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9A7AF1">
      <w:pPr>
        <w:spacing w:line="360" w:lineRule="auto"/>
        <w:jc w:val="center"/>
        <w:rPr>
          <w:rFonts w:hint="eastAsia" w:ascii="仿宋" w:hAnsi="仿宋" w:eastAsia="仿宋" w:cs="仿宋"/>
          <w:b/>
          <w:color w:val="auto"/>
          <w:sz w:val="24"/>
          <w:highlight w:val="none"/>
        </w:rPr>
      </w:pPr>
    </w:p>
    <w:p w14:paraId="1122E596">
      <w:pPr>
        <w:spacing w:line="360" w:lineRule="auto"/>
        <w:jc w:val="center"/>
        <w:rPr>
          <w:rFonts w:hint="eastAsia" w:ascii="仿宋" w:hAnsi="仿宋" w:eastAsia="仿宋" w:cs="仿宋"/>
          <w:b/>
          <w:color w:val="auto"/>
          <w:sz w:val="24"/>
          <w:highlight w:val="none"/>
        </w:rPr>
      </w:pPr>
    </w:p>
    <w:p w14:paraId="7A4FB7CA">
      <w:pPr>
        <w:adjustRightInd/>
        <w:spacing w:line="360" w:lineRule="auto"/>
        <w:jc w:val="center"/>
        <w:rPr>
          <w:rFonts w:hint="eastAsia" w:ascii="仿宋" w:hAnsi="仿宋" w:eastAsia="仿宋" w:cs="仿宋"/>
          <w:b/>
          <w:color w:val="auto"/>
          <w:sz w:val="48"/>
          <w:szCs w:val="48"/>
          <w:highlight w:val="none"/>
        </w:rPr>
      </w:pPr>
    </w:p>
    <w:p w14:paraId="0F6BACFE">
      <w:pPr>
        <w:adjustRightInd/>
        <w:spacing w:line="360" w:lineRule="auto"/>
        <w:jc w:val="center"/>
        <w:rPr>
          <w:rFonts w:hint="eastAsia" w:ascii="仿宋" w:hAnsi="仿宋" w:eastAsia="仿宋" w:cs="仿宋"/>
          <w:color w:val="auto"/>
          <w:sz w:val="48"/>
          <w:szCs w:val="48"/>
          <w:highlight w:val="none"/>
          <w:lang w:val="en-US" w:eastAsia="zh-CN"/>
        </w:rPr>
      </w:pPr>
      <w:r>
        <w:rPr>
          <w:rFonts w:hint="eastAsia" w:ascii="仿宋" w:hAnsi="仿宋" w:eastAsia="仿宋" w:cs="仿宋"/>
          <w:color w:val="auto"/>
          <w:sz w:val="48"/>
          <w:szCs w:val="48"/>
          <w:highlight w:val="none"/>
          <w:lang w:val="en-US" w:eastAsia="zh-CN"/>
        </w:rPr>
        <w:t>杭州市萧山区中医骨伤科医院被服清洗</w:t>
      </w:r>
    </w:p>
    <w:p w14:paraId="5263A09C">
      <w:pPr>
        <w:adjustRightInd/>
        <w:spacing w:line="360" w:lineRule="auto"/>
        <w:jc w:val="center"/>
        <w:rPr>
          <w:rFonts w:hint="default" w:ascii="仿宋" w:hAnsi="仿宋" w:eastAsia="仿宋" w:cs="仿宋"/>
          <w:color w:val="auto"/>
          <w:sz w:val="48"/>
          <w:szCs w:val="48"/>
          <w:highlight w:val="none"/>
          <w:lang w:val="en-US" w:eastAsia="zh-CN"/>
        </w:rPr>
      </w:pPr>
      <w:r>
        <w:rPr>
          <w:rFonts w:hint="eastAsia" w:ascii="仿宋" w:hAnsi="仿宋" w:eastAsia="仿宋" w:cs="仿宋"/>
          <w:color w:val="auto"/>
          <w:sz w:val="48"/>
          <w:szCs w:val="48"/>
          <w:highlight w:val="none"/>
          <w:lang w:val="en-US" w:eastAsia="zh-CN"/>
        </w:rPr>
        <w:t>服务采购项目</w:t>
      </w:r>
    </w:p>
    <w:p w14:paraId="6D0522EC">
      <w:pPr>
        <w:adjustRightInd/>
        <w:spacing w:line="360" w:lineRule="auto"/>
        <w:jc w:val="center"/>
        <w:rPr>
          <w:rFonts w:hint="eastAsia" w:ascii="仿宋" w:hAnsi="仿宋" w:eastAsia="仿宋" w:cs="仿宋"/>
          <w:color w:val="auto"/>
          <w:sz w:val="48"/>
          <w:szCs w:val="48"/>
          <w:highlight w:val="none"/>
          <w:lang w:eastAsia="zh-CN"/>
        </w:rPr>
      </w:pPr>
    </w:p>
    <w:p w14:paraId="69F3B5AE">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lang w:eastAsia="zh-CN"/>
        </w:rPr>
        <w:t>交易文件</w:t>
      </w:r>
    </w:p>
    <w:p w14:paraId="258DC818">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w:t>
      </w:r>
      <w:r>
        <w:rPr>
          <w:rFonts w:hint="eastAsia" w:ascii="仿宋" w:hAnsi="仿宋" w:eastAsia="仿宋" w:cs="仿宋"/>
          <w:b/>
          <w:color w:val="auto"/>
          <w:sz w:val="44"/>
          <w:szCs w:val="44"/>
          <w:highlight w:val="none"/>
          <w:lang w:val="en-US" w:eastAsia="zh-CN"/>
        </w:rPr>
        <w:t>交易</w:t>
      </w:r>
      <w:r>
        <w:rPr>
          <w:rFonts w:hint="eastAsia" w:ascii="仿宋" w:hAnsi="仿宋" w:eastAsia="仿宋" w:cs="仿宋"/>
          <w:b/>
          <w:color w:val="auto"/>
          <w:sz w:val="44"/>
          <w:szCs w:val="44"/>
          <w:highlight w:val="none"/>
        </w:rPr>
        <w:t>标）</w:t>
      </w:r>
    </w:p>
    <w:p w14:paraId="4DFE77D1">
      <w:pPr>
        <w:snapToGrid w:val="0"/>
        <w:spacing w:line="360" w:lineRule="auto"/>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val="en-US" w:eastAsia="zh-CN"/>
        </w:rPr>
        <w:t>ZFZX2025-CG081</w:t>
      </w:r>
    </w:p>
    <w:p w14:paraId="29312C3D">
      <w:pPr>
        <w:adjustRightInd/>
        <w:spacing w:line="360" w:lineRule="auto"/>
        <w:rPr>
          <w:rFonts w:hint="eastAsia" w:ascii="仿宋" w:hAnsi="仿宋" w:eastAsia="仿宋" w:cs="仿宋"/>
          <w:color w:val="auto"/>
          <w:sz w:val="28"/>
          <w:szCs w:val="20"/>
          <w:highlight w:val="none"/>
        </w:rPr>
      </w:pPr>
    </w:p>
    <w:p w14:paraId="78CE5911">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25339D0F">
      <w:pPr>
        <w:spacing w:line="360" w:lineRule="auto"/>
        <w:jc w:val="center"/>
        <w:rPr>
          <w:rFonts w:hint="eastAsia" w:ascii="仿宋" w:hAnsi="仿宋" w:eastAsia="仿宋" w:cs="仿宋"/>
          <w:b/>
          <w:color w:val="auto"/>
          <w:sz w:val="44"/>
          <w:szCs w:val="44"/>
          <w:highlight w:val="none"/>
        </w:rPr>
      </w:pPr>
    </w:p>
    <w:p w14:paraId="1E148069">
      <w:pPr>
        <w:pStyle w:val="80"/>
        <w:rPr>
          <w:rFonts w:hint="eastAsia"/>
          <w:highlight w:val="none"/>
        </w:rPr>
      </w:pPr>
    </w:p>
    <w:p w14:paraId="02407DB2">
      <w:pPr>
        <w:spacing w:line="360" w:lineRule="auto"/>
        <w:jc w:val="center"/>
        <w:rPr>
          <w:rFonts w:hint="eastAsia" w:ascii="仿宋" w:hAnsi="仿宋" w:eastAsia="仿宋" w:cs="仿宋"/>
          <w:color w:val="auto"/>
          <w:sz w:val="24"/>
          <w:highlight w:val="none"/>
        </w:rPr>
      </w:pPr>
    </w:p>
    <w:p w14:paraId="2997FA53">
      <w:pPr>
        <w:spacing w:line="360" w:lineRule="auto"/>
        <w:jc w:val="center"/>
        <w:rPr>
          <w:rFonts w:hint="eastAsia" w:ascii="仿宋" w:hAnsi="仿宋" w:eastAsia="仿宋" w:cs="仿宋"/>
          <w:color w:val="auto"/>
          <w:sz w:val="24"/>
          <w:highlight w:val="none"/>
        </w:rPr>
      </w:pPr>
    </w:p>
    <w:p w14:paraId="47E974A0">
      <w:pPr>
        <w:spacing w:line="360" w:lineRule="auto"/>
        <w:rPr>
          <w:rFonts w:hint="eastAsia" w:ascii="仿宋" w:hAnsi="仿宋" w:eastAsia="仿宋" w:cs="仿宋"/>
          <w:color w:val="auto"/>
          <w:sz w:val="32"/>
          <w:szCs w:val="32"/>
          <w:highlight w:val="none"/>
        </w:rPr>
      </w:pPr>
    </w:p>
    <w:p w14:paraId="13DD0EF2">
      <w:pPr>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杭州市萧山区中医骨伤科医院</w:t>
      </w:r>
    </w:p>
    <w:p w14:paraId="12630113">
      <w:pPr>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浙江省房地产管理咨询有限公司</w:t>
      </w:r>
    </w:p>
    <w:p w14:paraId="4740B348">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 xml:space="preserve"> </w:t>
      </w:r>
      <w:r>
        <w:rPr>
          <w:rFonts w:hint="eastAsia" w:ascii="仿宋" w:hAnsi="仿宋" w:eastAsia="仿宋" w:cs="仿宋"/>
          <w:bCs/>
          <w:color w:val="auto"/>
          <w:sz w:val="32"/>
          <w:szCs w:val="32"/>
          <w:highlight w:val="none"/>
        </w:rPr>
        <w:t xml:space="preserve"> </w:t>
      </w:r>
      <w:r>
        <w:rPr>
          <w:rFonts w:hint="eastAsia" w:ascii="仿宋" w:hAnsi="仿宋" w:eastAsia="仿宋" w:cs="仿宋"/>
          <w:bCs/>
          <w:color w:val="auto"/>
          <w:sz w:val="32"/>
          <w:szCs w:val="32"/>
          <w:highlight w:val="none"/>
          <w:lang w:val="en-US" w:eastAsia="zh-CN"/>
        </w:rPr>
        <w:t>202</w:t>
      </w:r>
      <w:r>
        <w:rPr>
          <w:rFonts w:hint="default" w:ascii="仿宋" w:hAnsi="仿宋" w:eastAsia="仿宋" w:cs="仿宋"/>
          <w:bCs/>
          <w:color w:val="auto"/>
          <w:sz w:val="32"/>
          <w:szCs w:val="32"/>
          <w:highlight w:val="none"/>
          <w:lang w:val="en-US" w:eastAsia="zh-CN"/>
        </w:rPr>
        <w:t>5</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7</w:t>
      </w:r>
      <w:r>
        <w:rPr>
          <w:rFonts w:hint="eastAsia" w:ascii="仿宋" w:hAnsi="仿宋" w:eastAsia="仿宋" w:cs="仿宋"/>
          <w:bCs/>
          <w:color w:val="auto"/>
          <w:sz w:val="32"/>
          <w:szCs w:val="32"/>
          <w:highlight w:val="none"/>
        </w:rPr>
        <w:t>月</w:t>
      </w:r>
    </w:p>
    <w:p w14:paraId="0003BAEC">
      <w:pPr>
        <w:jc w:val="center"/>
        <w:rPr>
          <w:rFonts w:hint="eastAsia" w:ascii="仿宋" w:hAnsi="仿宋" w:eastAsia="仿宋" w:cs="仿宋"/>
          <w:color w:val="auto"/>
          <w:highlight w:val="none"/>
        </w:rPr>
      </w:pPr>
    </w:p>
    <w:p w14:paraId="3DD13B8C">
      <w:pPr>
        <w:bidi w:val="0"/>
        <w:rPr>
          <w:rFonts w:hint="eastAsia" w:ascii="仿宋" w:hAnsi="仿宋" w:eastAsia="仿宋" w:cs="仿宋"/>
          <w:color w:val="auto"/>
          <w:highlight w:val="none"/>
        </w:rPr>
      </w:pPr>
    </w:p>
    <w:p w14:paraId="2E452C0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2AFD3B02">
      <w:pPr>
        <w:bidi w:val="0"/>
        <w:rPr>
          <w:rFonts w:hint="eastAsia" w:ascii="仿宋" w:hAnsi="仿宋" w:eastAsia="仿宋" w:cs="仿宋"/>
          <w:color w:val="auto"/>
          <w:highlight w:val="none"/>
        </w:rPr>
      </w:pPr>
    </w:p>
    <w:p w14:paraId="360F174C">
      <w:pPr>
        <w:spacing w:line="360" w:lineRule="auto"/>
        <w:jc w:val="center"/>
        <w:rPr>
          <w:rFonts w:hint="eastAsia" w:ascii="仿宋" w:hAnsi="仿宋" w:eastAsia="仿宋" w:cs="仿宋"/>
          <w:b/>
          <w:color w:val="auto"/>
          <w:sz w:val="48"/>
          <w:szCs w:val="48"/>
          <w:highlight w:val="none"/>
        </w:rPr>
      </w:pPr>
    </w:p>
    <w:p w14:paraId="4317A8D7">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267596B5">
      <w:pPr>
        <w:spacing w:line="360" w:lineRule="auto"/>
        <w:rPr>
          <w:rFonts w:hint="eastAsia" w:ascii="仿宋" w:hAnsi="仿宋" w:eastAsia="仿宋" w:cs="仿宋"/>
          <w:color w:val="auto"/>
          <w:sz w:val="32"/>
          <w:szCs w:val="32"/>
          <w:highlight w:val="none"/>
        </w:rPr>
      </w:pPr>
    </w:p>
    <w:p w14:paraId="1BE8EA1F">
      <w:pPr>
        <w:spacing w:line="360" w:lineRule="auto"/>
        <w:rPr>
          <w:rFonts w:hint="eastAsia" w:ascii="仿宋" w:hAnsi="仿宋" w:eastAsia="仿宋" w:cs="仿宋"/>
          <w:color w:val="auto"/>
          <w:sz w:val="32"/>
          <w:szCs w:val="32"/>
          <w:highlight w:val="none"/>
        </w:rPr>
      </w:pPr>
    </w:p>
    <w:p w14:paraId="6D06DECA">
      <w:pPr>
        <w:spacing w:line="360" w:lineRule="auto"/>
        <w:ind w:firstLine="1280" w:firstLineChars="4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 xml:space="preserve">第一部分      </w:t>
      </w:r>
      <w:r>
        <w:rPr>
          <w:rFonts w:hint="eastAsia" w:ascii="仿宋" w:hAnsi="仿宋" w:eastAsia="仿宋" w:cs="仿宋"/>
          <w:color w:val="auto"/>
          <w:sz w:val="32"/>
          <w:szCs w:val="32"/>
          <w:highlight w:val="none"/>
          <w:lang w:eastAsia="zh-CN"/>
        </w:rPr>
        <w:t>交易公告</w:t>
      </w:r>
    </w:p>
    <w:p w14:paraId="2C1DDDF3">
      <w:pPr>
        <w:spacing w:line="360" w:lineRule="auto"/>
        <w:ind w:firstLine="1280" w:firstLineChars="4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 xml:space="preserve">第二部分      </w:t>
      </w:r>
      <w:r>
        <w:rPr>
          <w:rFonts w:hint="eastAsia" w:ascii="仿宋" w:hAnsi="仿宋" w:eastAsia="仿宋" w:cs="仿宋"/>
          <w:color w:val="auto"/>
          <w:sz w:val="32"/>
          <w:szCs w:val="32"/>
          <w:highlight w:val="none"/>
          <w:lang w:eastAsia="zh-CN"/>
        </w:rPr>
        <w:t>供应商须知</w:t>
      </w:r>
    </w:p>
    <w:p w14:paraId="2764AE6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265E3A1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6228DEA7">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25EDBF66">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04031295">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3B2566DA">
      <w:pPr>
        <w:spacing w:line="360" w:lineRule="auto"/>
        <w:ind w:firstLine="549" w:firstLineChars="229"/>
        <w:rPr>
          <w:rFonts w:hint="eastAsia" w:ascii="仿宋" w:hAnsi="仿宋" w:eastAsia="仿宋" w:cs="仿宋"/>
          <w:color w:val="auto"/>
          <w:sz w:val="24"/>
          <w:highlight w:val="none"/>
        </w:rPr>
      </w:pPr>
    </w:p>
    <w:p w14:paraId="1D5EA95B">
      <w:pPr>
        <w:spacing w:line="360" w:lineRule="auto"/>
        <w:ind w:firstLine="549" w:firstLineChars="229"/>
        <w:rPr>
          <w:rFonts w:hint="eastAsia" w:ascii="仿宋" w:hAnsi="仿宋" w:eastAsia="仿宋" w:cs="仿宋"/>
          <w:color w:val="auto"/>
          <w:sz w:val="24"/>
          <w:highlight w:val="none"/>
        </w:rPr>
      </w:pPr>
    </w:p>
    <w:p w14:paraId="494DA199">
      <w:pPr>
        <w:spacing w:line="360" w:lineRule="auto"/>
        <w:ind w:firstLine="549" w:firstLineChars="229"/>
        <w:rPr>
          <w:rFonts w:hint="eastAsia" w:ascii="仿宋" w:hAnsi="仿宋" w:eastAsia="仿宋" w:cs="仿宋"/>
          <w:color w:val="auto"/>
          <w:sz w:val="24"/>
          <w:highlight w:val="none"/>
        </w:rPr>
      </w:pPr>
    </w:p>
    <w:p w14:paraId="107FA94E">
      <w:pPr>
        <w:spacing w:line="360" w:lineRule="auto"/>
        <w:ind w:firstLine="549" w:firstLineChars="229"/>
        <w:rPr>
          <w:rFonts w:hint="eastAsia" w:ascii="仿宋" w:hAnsi="仿宋" w:eastAsia="仿宋" w:cs="仿宋"/>
          <w:color w:val="auto"/>
          <w:sz w:val="24"/>
          <w:highlight w:val="none"/>
        </w:rPr>
      </w:pPr>
    </w:p>
    <w:p w14:paraId="5AA23777">
      <w:pPr>
        <w:spacing w:line="360" w:lineRule="auto"/>
        <w:ind w:firstLine="549" w:firstLineChars="229"/>
        <w:rPr>
          <w:rFonts w:hint="eastAsia" w:ascii="仿宋" w:hAnsi="仿宋" w:eastAsia="仿宋" w:cs="仿宋"/>
          <w:color w:val="auto"/>
          <w:sz w:val="24"/>
          <w:highlight w:val="none"/>
        </w:rPr>
      </w:pPr>
    </w:p>
    <w:p w14:paraId="5F18EEA2">
      <w:pPr>
        <w:spacing w:line="360" w:lineRule="auto"/>
        <w:ind w:firstLine="549" w:firstLineChars="229"/>
        <w:rPr>
          <w:rFonts w:hint="eastAsia" w:ascii="仿宋" w:hAnsi="仿宋" w:eastAsia="仿宋" w:cs="仿宋"/>
          <w:color w:val="auto"/>
          <w:sz w:val="24"/>
          <w:highlight w:val="none"/>
        </w:rPr>
      </w:pPr>
    </w:p>
    <w:p w14:paraId="2B57193B">
      <w:pPr>
        <w:spacing w:line="360" w:lineRule="auto"/>
        <w:ind w:firstLine="549" w:firstLineChars="229"/>
        <w:rPr>
          <w:rFonts w:hint="eastAsia" w:ascii="仿宋" w:hAnsi="仿宋" w:eastAsia="仿宋" w:cs="仿宋"/>
          <w:color w:val="auto"/>
          <w:sz w:val="24"/>
          <w:highlight w:val="none"/>
        </w:rPr>
      </w:pPr>
    </w:p>
    <w:p w14:paraId="3A7AC93A">
      <w:pPr>
        <w:spacing w:line="360" w:lineRule="auto"/>
        <w:ind w:firstLine="549" w:firstLineChars="229"/>
        <w:rPr>
          <w:rFonts w:hint="eastAsia" w:ascii="仿宋" w:hAnsi="仿宋" w:eastAsia="仿宋" w:cs="仿宋"/>
          <w:color w:val="auto"/>
          <w:sz w:val="24"/>
          <w:highlight w:val="none"/>
        </w:rPr>
      </w:pPr>
    </w:p>
    <w:p w14:paraId="1C1EB56E">
      <w:pPr>
        <w:spacing w:line="360" w:lineRule="auto"/>
        <w:ind w:firstLine="549" w:firstLineChars="229"/>
        <w:rPr>
          <w:rFonts w:hint="eastAsia" w:ascii="仿宋" w:hAnsi="仿宋" w:eastAsia="仿宋" w:cs="仿宋"/>
          <w:color w:val="auto"/>
          <w:sz w:val="24"/>
          <w:highlight w:val="none"/>
        </w:rPr>
      </w:pPr>
    </w:p>
    <w:p w14:paraId="65D24186">
      <w:pPr>
        <w:spacing w:line="360" w:lineRule="auto"/>
        <w:ind w:firstLine="549" w:firstLineChars="229"/>
        <w:rPr>
          <w:rFonts w:hint="eastAsia" w:ascii="仿宋" w:hAnsi="仿宋" w:eastAsia="仿宋" w:cs="仿宋"/>
          <w:color w:val="auto"/>
          <w:sz w:val="24"/>
          <w:highlight w:val="none"/>
        </w:rPr>
      </w:pPr>
    </w:p>
    <w:p w14:paraId="45B7F6A8">
      <w:pPr>
        <w:spacing w:line="360" w:lineRule="auto"/>
        <w:ind w:firstLine="549" w:firstLineChars="229"/>
        <w:rPr>
          <w:rFonts w:hint="eastAsia" w:ascii="仿宋" w:hAnsi="仿宋" w:eastAsia="仿宋" w:cs="仿宋"/>
          <w:color w:val="auto"/>
          <w:sz w:val="24"/>
          <w:highlight w:val="none"/>
        </w:rPr>
      </w:pPr>
    </w:p>
    <w:p w14:paraId="71F39E7B">
      <w:pPr>
        <w:spacing w:line="360" w:lineRule="auto"/>
        <w:ind w:firstLine="549" w:firstLineChars="229"/>
        <w:rPr>
          <w:rFonts w:hint="eastAsia" w:ascii="仿宋" w:hAnsi="仿宋" w:eastAsia="仿宋" w:cs="仿宋"/>
          <w:color w:val="auto"/>
          <w:sz w:val="24"/>
          <w:highlight w:val="none"/>
        </w:rPr>
      </w:pPr>
    </w:p>
    <w:p w14:paraId="04601409">
      <w:pPr>
        <w:spacing w:line="360" w:lineRule="auto"/>
        <w:rPr>
          <w:rFonts w:hint="eastAsia" w:ascii="仿宋" w:hAnsi="仿宋" w:eastAsia="仿宋" w:cs="仿宋"/>
          <w:color w:val="auto"/>
          <w:sz w:val="24"/>
          <w:highlight w:val="none"/>
        </w:rPr>
      </w:pPr>
    </w:p>
    <w:p w14:paraId="50474E0C">
      <w:pPr>
        <w:adjustRightInd/>
        <w:spacing w:line="360" w:lineRule="auto"/>
        <w:jc w:val="center"/>
        <w:outlineLvl w:val="0"/>
        <w:rPr>
          <w:rFonts w:hint="eastAsia" w:ascii="仿宋" w:hAnsi="仿宋" w:eastAsia="仿宋" w:cs="仿宋"/>
          <w:b/>
          <w:color w:val="auto"/>
          <w:sz w:val="36"/>
          <w:szCs w:val="20"/>
          <w:highlight w:val="none"/>
          <w:lang w:eastAsia="zh-CN"/>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 xml:space="preserve">第一部分 </w:t>
      </w:r>
      <w:r>
        <w:rPr>
          <w:rFonts w:hint="eastAsia" w:ascii="仿宋" w:hAnsi="仿宋" w:eastAsia="仿宋" w:cs="仿宋"/>
          <w:b/>
          <w:color w:val="auto"/>
          <w:sz w:val="36"/>
          <w:szCs w:val="20"/>
          <w:highlight w:val="none"/>
          <w:lang w:eastAsia="zh-CN"/>
        </w:rPr>
        <w:t>交易公告</w:t>
      </w:r>
    </w:p>
    <w:p w14:paraId="5EB3BF2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17E2F57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杭州市萧山区中医骨伤科医院被服清洗服务采购项目</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项目的潜在</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应在</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7"/>
          <w:rFonts w:hint="eastAsia" w:ascii="仿宋" w:hAnsi="仿宋" w:eastAsia="仿宋" w:cs="仿宋"/>
          <w:snapToGrid/>
          <w:color w:val="auto"/>
          <w:kern w:val="2"/>
          <w:sz w:val="24"/>
          <w:szCs w:val="24"/>
          <w:highlight w:val="none"/>
          <w:lang w:eastAsia="zh-CN"/>
        </w:rPr>
        <w:t>www.lecaiyun.com</w:t>
      </w:r>
      <w:r>
        <w:rPr>
          <w:rStyle w:val="77"/>
          <w:rFonts w:hint="eastAsia" w:ascii="仿宋" w:hAnsi="仿宋" w:eastAsia="仿宋" w:cs="仿宋"/>
          <w:snapToGrid/>
          <w:color w:val="auto"/>
          <w:kern w:val="2"/>
          <w:sz w:val="24"/>
          <w:szCs w:val="24"/>
          <w:highlight w:val="none"/>
        </w:rPr>
        <w:t>）获取（下</w:t>
      </w:r>
      <w:r>
        <w:rPr>
          <w:rFonts w:hint="eastAsia" w:ascii="仿宋" w:hAnsi="仿宋" w:eastAsia="仿宋" w:cs="仿宋"/>
          <w:color w:val="auto"/>
          <w:sz w:val="24"/>
          <w:highlight w:val="none"/>
        </w:rPr>
        <w:t>载）</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w:t>
      </w:r>
      <w:r>
        <w:rPr>
          <w:rStyle w:val="77"/>
          <w:rFonts w:hint="eastAsia" w:ascii="仿宋" w:hAnsi="仿宋" w:eastAsia="仿宋" w:cs="仿宋"/>
          <w:snapToGrid/>
          <w:color w:val="auto"/>
          <w:kern w:val="2"/>
          <w:sz w:val="24"/>
          <w:szCs w:val="24"/>
          <w:highlight w:val="none"/>
        </w:rPr>
        <w:t>并于202</w:t>
      </w:r>
      <w:r>
        <w:rPr>
          <w:rStyle w:val="77"/>
          <w:rFonts w:hint="default" w:ascii="仿宋" w:hAnsi="仿宋" w:eastAsia="仿宋" w:cs="仿宋"/>
          <w:snapToGrid/>
          <w:color w:val="auto"/>
          <w:kern w:val="2"/>
          <w:sz w:val="24"/>
          <w:szCs w:val="24"/>
          <w:highlight w:val="none"/>
          <w:lang w:val="en-US" w:eastAsia="zh-CN"/>
        </w:rPr>
        <w:t>5</w:t>
      </w:r>
      <w:r>
        <w:rPr>
          <w:rStyle w:val="77"/>
          <w:rFonts w:hint="eastAsia" w:ascii="仿宋" w:hAnsi="仿宋" w:eastAsia="仿宋" w:cs="仿宋"/>
          <w:snapToGrid/>
          <w:color w:val="auto"/>
          <w:kern w:val="2"/>
          <w:sz w:val="24"/>
          <w:szCs w:val="24"/>
          <w:highlight w:val="none"/>
        </w:rPr>
        <w:t>年</w:t>
      </w:r>
      <w:r>
        <w:rPr>
          <w:rStyle w:val="77"/>
          <w:rFonts w:hint="eastAsia" w:ascii="仿宋" w:hAnsi="仿宋" w:eastAsia="仿宋" w:cs="仿宋"/>
          <w:snapToGrid/>
          <w:color w:val="auto"/>
          <w:kern w:val="2"/>
          <w:sz w:val="24"/>
          <w:szCs w:val="24"/>
          <w:highlight w:val="none"/>
          <w:lang w:val="en-US" w:eastAsia="zh-CN"/>
        </w:rPr>
        <w:t>7</w:t>
      </w:r>
      <w:r>
        <w:rPr>
          <w:rStyle w:val="77"/>
          <w:rFonts w:hint="eastAsia" w:ascii="仿宋" w:hAnsi="仿宋" w:eastAsia="仿宋" w:cs="仿宋"/>
          <w:snapToGrid/>
          <w:color w:val="auto"/>
          <w:kern w:val="2"/>
          <w:sz w:val="24"/>
          <w:szCs w:val="24"/>
          <w:highlight w:val="none"/>
        </w:rPr>
        <w:t>月</w:t>
      </w:r>
      <w:r>
        <w:rPr>
          <w:rStyle w:val="77"/>
          <w:rFonts w:hint="eastAsia" w:ascii="仿宋" w:hAnsi="仿宋" w:eastAsia="仿宋" w:cs="仿宋"/>
          <w:snapToGrid/>
          <w:color w:val="auto"/>
          <w:kern w:val="2"/>
          <w:sz w:val="24"/>
          <w:szCs w:val="24"/>
          <w:highlight w:val="none"/>
          <w:lang w:val="en-US" w:eastAsia="zh-CN"/>
        </w:rPr>
        <w:t>28</w:t>
      </w:r>
      <w:r>
        <w:rPr>
          <w:rStyle w:val="77"/>
          <w:rFonts w:hint="eastAsia" w:ascii="仿宋" w:hAnsi="仿宋" w:eastAsia="仿宋" w:cs="仿宋"/>
          <w:snapToGrid/>
          <w:color w:val="auto"/>
          <w:kern w:val="2"/>
          <w:sz w:val="24"/>
          <w:szCs w:val="24"/>
          <w:highlight w:val="none"/>
        </w:rPr>
        <w:t>日</w:t>
      </w:r>
      <w:r>
        <w:rPr>
          <w:rStyle w:val="77"/>
          <w:rFonts w:hint="eastAsia" w:ascii="仿宋" w:hAnsi="仿宋" w:eastAsia="仿宋" w:cs="仿宋"/>
          <w:snapToGrid/>
          <w:color w:val="auto"/>
          <w:kern w:val="2"/>
          <w:sz w:val="24"/>
          <w:szCs w:val="24"/>
          <w:highlight w:val="none"/>
          <w:lang w:val="en-US" w:eastAsia="zh-CN"/>
        </w:rPr>
        <w:t>14</w:t>
      </w:r>
      <w:r>
        <w:rPr>
          <w:rStyle w:val="77"/>
          <w:rFonts w:hint="eastAsia" w:ascii="仿宋" w:hAnsi="仿宋" w:eastAsia="仿宋" w:cs="仿宋"/>
          <w:snapToGrid/>
          <w:color w:val="auto"/>
          <w:kern w:val="2"/>
          <w:sz w:val="24"/>
          <w:szCs w:val="24"/>
          <w:highlight w:val="none"/>
        </w:rPr>
        <w:t>点</w:t>
      </w:r>
      <w:r>
        <w:rPr>
          <w:rStyle w:val="77"/>
          <w:rFonts w:hint="eastAsia" w:ascii="仿宋" w:hAnsi="仿宋" w:eastAsia="仿宋" w:cs="仿宋"/>
          <w:snapToGrid/>
          <w:color w:val="auto"/>
          <w:kern w:val="2"/>
          <w:sz w:val="24"/>
          <w:szCs w:val="24"/>
          <w:highlight w:val="none"/>
          <w:lang w:val="en-US" w:eastAsia="zh-CN"/>
        </w:rPr>
        <w:t>30</w:t>
      </w:r>
      <w:r>
        <w:rPr>
          <w:rStyle w:val="77"/>
          <w:rFonts w:hint="eastAsia" w:ascii="仿宋" w:hAnsi="仿宋" w:eastAsia="仿宋" w:cs="仿宋"/>
          <w:snapToGrid/>
          <w:color w:val="auto"/>
          <w:kern w:val="2"/>
          <w:sz w:val="24"/>
          <w:szCs w:val="24"/>
          <w:highlight w:val="none"/>
        </w:rPr>
        <w:t>分</w:t>
      </w:r>
      <w:r>
        <w:rPr>
          <w:rStyle w:val="77"/>
          <w:rFonts w:hint="eastAsia" w:ascii="仿宋" w:hAnsi="仿宋" w:eastAsia="仿宋" w:cs="仿宋"/>
          <w:bCs/>
          <w:snapToGrid/>
          <w:color w:val="auto"/>
          <w:kern w:val="2"/>
          <w:sz w:val="24"/>
          <w:szCs w:val="24"/>
          <w:highlight w:val="none"/>
        </w:rPr>
        <w:t>00秒</w:t>
      </w:r>
      <w:r>
        <w:rPr>
          <w:rStyle w:val="77"/>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w:t>
      </w:r>
    </w:p>
    <w:p w14:paraId="5209A12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7C74A8A8">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val="en-US" w:eastAsia="zh-CN"/>
        </w:rPr>
        <w:t>ZFZX2025-CG081</w:t>
      </w:r>
    </w:p>
    <w:p w14:paraId="78E2B7EB">
      <w:pPr>
        <w:spacing w:line="360" w:lineRule="auto"/>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b w:val="0"/>
          <w:bCs/>
          <w:color w:val="auto"/>
          <w:sz w:val="24"/>
          <w:highlight w:val="none"/>
          <w:lang w:val="en-US" w:eastAsia="zh-CN"/>
        </w:rPr>
        <w:t>杭州市萧山区中医骨伤科医院被服清洗服务采购项目</w:t>
      </w:r>
    </w:p>
    <w:p w14:paraId="11A943A9">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color w:val="auto"/>
          <w:sz w:val="24"/>
          <w:highlight w:val="none"/>
          <w:lang w:val="en-US" w:eastAsia="zh-CN"/>
        </w:rPr>
        <w:t>380000</w:t>
      </w:r>
    </w:p>
    <w:p w14:paraId="467A5CCE">
      <w:pPr>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380000</w:t>
      </w:r>
    </w:p>
    <w:p w14:paraId="310E9137">
      <w:pPr>
        <w:pStyle w:val="15"/>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snapToGrid/>
          <w:color w:val="auto"/>
          <w:kern w:val="2"/>
          <w:sz w:val="24"/>
          <w:szCs w:val="24"/>
          <w:highlight w:val="none"/>
        </w:rPr>
        <w:t>（</w:t>
      </w:r>
      <w:r>
        <w:rPr>
          <w:rFonts w:hint="eastAsia" w:ascii="仿宋" w:hAnsi="仿宋" w:eastAsia="仿宋" w:cs="仿宋"/>
          <w:bCs/>
          <w:snapToGrid/>
          <w:color w:val="auto"/>
          <w:kern w:val="2"/>
          <w:sz w:val="24"/>
          <w:szCs w:val="24"/>
          <w:highlight w:val="none"/>
          <w:lang w:val="en-US" w:eastAsia="zh-CN"/>
        </w:rPr>
        <w:t>杭州市萧山区中医骨伤科医院被服清洗服务采购项目</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bCs/>
          <w:snapToGrid/>
          <w:color w:val="auto"/>
          <w:kern w:val="2"/>
          <w:sz w:val="24"/>
          <w:szCs w:val="24"/>
          <w:highlight w:val="none"/>
          <w:lang w:val="en-US" w:eastAsia="zh-CN"/>
        </w:rPr>
        <w:t>详见采购需求</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w:t>
      </w:r>
      <w:r>
        <w:rPr>
          <w:rFonts w:hint="eastAsia" w:ascii="仿宋" w:hAnsi="仿宋" w:eastAsia="仿宋" w:cs="仿宋"/>
          <w:snapToGrid/>
          <w:color w:val="auto"/>
          <w:kern w:val="2"/>
          <w:sz w:val="24"/>
          <w:szCs w:val="24"/>
          <w:highlight w:val="none"/>
          <w:lang w:eastAsia="zh-CN"/>
        </w:rPr>
        <w:t>交易文件</w:t>
      </w:r>
      <w:r>
        <w:rPr>
          <w:rFonts w:hint="eastAsia" w:ascii="仿宋" w:hAnsi="仿宋" w:eastAsia="仿宋" w:cs="仿宋"/>
          <w:snapToGrid/>
          <w:color w:val="auto"/>
          <w:kern w:val="2"/>
          <w:sz w:val="24"/>
          <w:szCs w:val="24"/>
          <w:highlight w:val="none"/>
        </w:rPr>
        <w:t>第三部分采购需求为准，供应商可点击本公告下方“浏览采购文件”查看采购需求。</w:t>
      </w:r>
    </w:p>
    <w:p w14:paraId="0FBFCBB7">
      <w:pPr>
        <w:pStyle w:val="130"/>
        <w:ind w:firstLine="482"/>
        <w:outlineLvl w:val="2"/>
        <w:rPr>
          <w:rFonts w:hint="eastAsia" w:ascii="仿宋" w:hAnsi="仿宋" w:eastAsia="仿宋" w:cs="仿宋"/>
          <w:color w:val="auto"/>
          <w:highlight w:val="none"/>
          <w:lang w:val="en-US" w:eastAsia="zh-CN"/>
        </w:rPr>
      </w:pPr>
      <w:r>
        <w:rPr>
          <w:rFonts w:hint="eastAsia" w:ascii="仿宋" w:hAnsi="仿宋" w:eastAsia="仿宋" w:cs="仿宋"/>
          <w:b/>
          <w:color w:val="auto"/>
          <w:highlight w:val="none"/>
        </w:rPr>
        <w:t>合同履约期限：</w:t>
      </w:r>
      <w:r>
        <w:rPr>
          <w:rFonts w:hint="eastAsia" w:ascii="仿宋" w:hAnsi="仿宋" w:eastAsia="仿宋" w:cs="仿宋"/>
          <w:color w:val="auto"/>
          <w:highlight w:val="none"/>
          <w:lang w:val="en-US" w:eastAsia="zh-CN"/>
        </w:rPr>
        <w:t>详见交易文件</w:t>
      </w:r>
    </w:p>
    <w:p w14:paraId="2143228A">
      <w:pPr>
        <w:pStyle w:val="15"/>
        <w:spacing w:line="360" w:lineRule="auto"/>
        <w:ind w:firstLine="48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w:t>
      </w:r>
      <w:r>
        <w:rPr>
          <w:rFonts w:hint="eastAsia" w:ascii="仿宋" w:hAnsi="仿宋" w:eastAsia="仿宋" w:cs="仿宋"/>
          <w:b/>
          <w:color w:val="auto"/>
          <w:sz w:val="24"/>
          <w:highlight w:val="none"/>
          <w:lang w:val="en-US" w:eastAsia="zh-CN"/>
        </w:rPr>
        <w:t>响应</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rPr>
        <w:sym w:font="Wingdings" w:char="00FE"/>
      </w:r>
      <w:r>
        <w:rPr>
          <w:rFonts w:hint="eastAsia" w:ascii="仿宋" w:hAnsi="仿宋" w:eastAsia="仿宋" w:cs="仿宋"/>
          <w:b/>
          <w:color w:val="auto"/>
          <w:sz w:val="24"/>
          <w:highlight w:val="none"/>
          <w:lang w:val="en-US" w:eastAsia="zh-CN"/>
        </w:rPr>
        <w:t>否</w:t>
      </w:r>
      <w:r>
        <w:rPr>
          <w:rFonts w:hint="eastAsia" w:ascii="仿宋" w:hAnsi="仿宋" w:eastAsia="仿宋" w:cs="仿宋"/>
          <w:color w:val="auto"/>
          <w:kern w:val="0"/>
          <w:sz w:val="24"/>
          <w:highlight w:val="none"/>
        </w:rPr>
        <w:t>。</w:t>
      </w:r>
    </w:p>
    <w:p w14:paraId="1B853DA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43D4F823">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7E409DC">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snapToGrid w:val="0"/>
          <w:color w:val="auto"/>
          <w:kern w:val="28"/>
          <w:sz w:val="24"/>
          <w:szCs w:val="20"/>
          <w:highlight w:val="none"/>
          <w:lang w:val="en-US" w:eastAsia="zh-CN"/>
        </w:rPr>
        <w:t>2</w:t>
      </w:r>
      <w:r>
        <w:rPr>
          <w:rFonts w:hint="eastAsia" w:ascii="仿宋" w:hAnsi="仿宋" w:eastAsia="仿宋" w:cs="仿宋"/>
          <w:snapToGrid w:val="0"/>
          <w:color w:val="auto"/>
          <w:kern w:val="28"/>
          <w:sz w:val="24"/>
          <w:szCs w:val="20"/>
          <w:highlight w:val="none"/>
        </w:rPr>
        <w:t>.落实采购政策需满足的资格要求：</w:t>
      </w:r>
      <w:r>
        <w:rPr>
          <w:rFonts w:hint="eastAsia" w:ascii="仿宋" w:hAnsi="仿宋" w:eastAsia="仿宋" w:cs="仿宋"/>
          <w:snapToGrid w:val="0"/>
          <w:color w:val="auto"/>
          <w:kern w:val="28"/>
          <w:sz w:val="24"/>
          <w:szCs w:val="20"/>
          <w:highlight w:val="none"/>
          <w:lang w:val="en-US" w:eastAsia="zh-CN"/>
        </w:rPr>
        <w:t>无</w:t>
      </w:r>
    </w:p>
    <w:p w14:paraId="0AFC8E7F">
      <w:pPr>
        <w:snapToGrid w:val="0"/>
        <w:spacing w:line="360" w:lineRule="auto"/>
        <w:ind w:firstLine="480" w:firstLineChars="20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val="en-US" w:eastAsia="zh-CN"/>
        </w:rPr>
        <w:t>无</w:t>
      </w:r>
    </w:p>
    <w:p w14:paraId="3BF3269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7FA0084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三、获取</w:t>
      </w:r>
      <w:r>
        <w:rPr>
          <w:rFonts w:hint="eastAsia" w:ascii="仿宋" w:hAnsi="仿宋" w:eastAsia="仿宋" w:cs="仿宋"/>
          <w:b/>
          <w:color w:val="auto"/>
          <w:sz w:val="24"/>
          <w:highlight w:val="none"/>
          <w:lang w:eastAsia="zh-CN"/>
        </w:rPr>
        <w:t>交易文件</w:t>
      </w:r>
      <w:r>
        <w:rPr>
          <w:rFonts w:hint="eastAsia" w:ascii="仿宋" w:hAnsi="仿宋" w:eastAsia="仿宋" w:cs="仿宋"/>
          <w:b/>
          <w:color w:val="auto"/>
          <w:sz w:val="24"/>
          <w:highlight w:val="none"/>
        </w:rPr>
        <w:t xml:space="preserve"> </w:t>
      </w:r>
    </w:p>
    <w:p w14:paraId="16A34BEF">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300A6258">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www.lecaiyun.com</w:t>
      </w:r>
      <w:r>
        <w:rPr>
          <w:rFonts w:hint="eastAsia" w:ascii="仿宋" w:hAnsi="仿宋" w:eastAsia="仿宋" w:cs="仿宋"/>
          <w:color w:val="auto"/>
          <w:sz w:val="24"/>
          <w:highlight w:val="none"/>
        </w:rPr>
        <w:t xml:space="preserve">） </w:t>
      </w:r>
    </w:p>
    <w:p w14:paraId="0913127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w:t>
      </w:r>
      <w:r>
        <w:rPr>
          <w:rFonts w:hint="eastAsia" w:ascii="仿宋" w:hAnsi="仿宋" w:eastAsia="仿宋" w:cs="仿宋"/>
          <w:color w:val="auto"/>
          <w:sz w:val="24"/>
          <w:highlight w:val="none"/>
          <w:lang w:eastAsia="zh-CN"/>
        </w:rPr>
        <w:t>乐采云平台www.lecaiyun.com</w:t>
      </w:r>
      <w:r>
        <w:rPr>
          <w:rFonts w:hint="eastAsia" w:ascii="仿宋" w:hAnsi="仿宋" w:eastAsia="仿宋" w:cs="仿宋"/>
          <w:color w:val="auto"/>
          <w:sz w:val="24"/>
          <w:highlight w:val="none"/>
        </w:rPr>
        <w:t xml:space="preserve">在线申请获取采购文件（进入“项目采购”应用，在获取采购文件菜单中选择项目，申请获取采购文件）。 </w:t>
      </w:r>
    </w:p>
    <w:p w14:paraId="732A00B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2DDD59D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截止时间、</w:t>
      </w:r>
      <w:r>
        <w:rPr>
          <w:rFonts w:hint="eastAsia" w:ascii="仿宋" w:hAnsi="仿宋" w:eastAsia="仿宋" w:cs="仿宋"/>
          <w:b/>
          <w:color w:val="auto"/>
          <w:sz w:val="24"/>
          <w:highlight w:val="none"/>
          <w:lang w:eastAsia="zh-CN"/>
        </w:rPr>
        <w:t>交易时间</w:t>
      </w:r>
      <w:r>
        <w:rPr>
          <w:rFonts w:hint="eastAsia" w:ascii="仿宋" w:hAnsi="仿宋" w:eastAsia="仿宋" w:cs="仿宋"/>
          <w:b/>
          <w:color w:val="auto"/>
          <w:sz w:val="24"/>
          <w:highlight w:val="none"/>
        </w:rPr>
        <w:t>和地点</w:t>
      </w:r>
    </w:p>
    <w:p w14:paraId="4B0E045C">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716E68C8">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响应地点</w:t>
      </w:r>
      <w:r>
        <w:rPr>
          <w:rFonts w:hint="eastAsia" w:ascii="仿宋" w:hAnsi="仿宋" w:eastAsia="仿宋" w:cs="仿宋"/>
          <w:b/>
          <w:color w:val="auto"/>
          <w:sz w:val="24"/>
          <w:highlight w:val="none"/>
        </w:rPr>
        <w:t>（网址）：</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www.lecaiyun.com</w:t>
      </w:r>
      <w:r>
        <w:rPr>
          <w:rFonts w:hint="eastAsia" w:ascii="仿宋" w:hAnsi="仿宋" w:eastAsia="仿宋" w:cs="仿宋"/>
          <w:color w:val="auto"/>
          <w:sz w:val="24"/>
          <w:highlight w:val="none"/>
        </w:rPr>
        <w:t xml:space="preserve">） </w:t>
      </w:r>
    </w:p>
    <w:p w14:paraId="33818134">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lang w:eastAsia="zh-CN"/>
        </w:rPr>
        <w:t>交易时间</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p>
    <w:p w14:paraId="2F9A9C18">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lang w:eastAsia="zh-CN"/>
        </w:rPr>
        <w:t>交易地点</w:t>
      </w:r>
      <w:r>
        <w:rPr>
          <w:rFonts w:hint="eastAsia" w:ascii="仿宋" w:hAnsi="仿宋" w:eastAsia="仿宋" w:cs="仿宋"/>
          <w:b/>
          <w:color w:val="auto"/>
          <w:sz w:val="24"/>
          <w:highlight w:val="none"/>
        </w:rPr>
        <w:t>（网址）：</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www.lecaiyun.com</w:t>
      </w:r>
      <w:r>
        <w:rPr>
          <w:rFonts w:hint="eastAsia" w:ascii="仿宋" w:hAnsi="仿宋" w:eastAsia="仿宋" w:cs="仿宋"/>
          <w:color w:val="auto"/>
          <w:sz w:val="24"/>
          <w:highlight w:val="none"/>
        </w:rPr>
        <w:t>）</w:t>
      </w:r>
    </w:p>
    <w:p w14:paraId="34A123CF">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4977588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w:t>
      </w:r>
      <w:r>
        <w:rPr>
          <w:rFonts w:hint="eastAsia" w:ascii="仿宋" w:hAnsi="仿宋" w:eastAsia="仿宋" w:cs="仿宋"/>
          <w:color w:val="auto"/>
          <w:sz w:val="24"/>
          <w:highlight w:val="none"/>
          <w:lang w:val="en-US" w:eastAsia="zh-CN"/>
        </w:rPr>
        <w:t>个工作</w:t>
      </w:r>
      <w:r>
        <w:rPr>
          <w:rFonts w:hint="eastAsia" w:ascii="仿宋" w:hAnsi="仿宋" w:eastAsia="仿宋" w:cs="仿宋"/>
          <w:color w:val="auto"/>
          <w:sz w:val="24"/>
          <w:highlight w:val="none"/>
        </w:rPr>
        <w:t>日。</w:t>
      </w:r>
    </w:p>
    <w:p w14:paraId="42E4CAD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53B5351B">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.供应商认为</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使自己的权益受到损害的，可以自获取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之日或者</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公告期限届满之日（公告期限届满后获取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的，以公告期限届满之日为准）起</w:t>
      </w:r>
      <w:r>
        <w:rPr>
          <w:rFonts w:hint="eastAsia" w:ascii="仿宋" w:hAnsi="仿宋" w:eastAsia="仿宋" w:cs="仿宋"/>
          <w:color w:val="auto"/>
          <w:sz w:val="24"/>
          <w:highlight w:val="none"/>
          <w:lang w:val="en-US" w:eastAsia="zh-CN"/>
        </w:rPr>
        <w:t>7个工作日</w:t>
      </w:r>
      <w:r>
        <w:rPr>
          <w:rFonts w:hint="eastAsia" w:ascii="仿宋" w:hAnsi="仿宋" w:eastAsia="仿宋" w:cs="仿宋"/>
          <w:color w:val="auto"/>
          <w:sz w:val="24"/>
          <w:highlight w:val="none"/>
        </w:rPr>
        <w:t>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14:paraId="6643AFF9">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.其他事项：（1）需要落实的采购政策：</w:t>
      </w: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highlight w:val="none"/>
        </w:rPr>
        <w:t>。（2）电子交易（招投标）的说明：①电子交易（招投标）：本项目以数据电文形式，依托“</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www.lecaiyun.com</w:t>
      </w:r>
      <w:r>
        <w:rPr>
          <w:rFonts w:hint="eastAsia" w:ascii="仿宋" w:hAnsi="仿宋" w:eastAsia="仿宋" w:cs="仿宋"/>
          <w:color w:val="auto"/>
          <w:sz w:val="24"/>
          <w:highlight w:val="none"/>
        </w:rPr>
        <w:t>）”进行</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活动，不接受纸质</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；②</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准备：注册账号--点击“商家入驻”，进行供应商资料填写；申领CA数字证书---申领流程详见“浙江政府采购网-下载专区-电子交易客户端-CA驱动和申领流程”；安装“</w:t>
      </w:r>
      <w:r>
        <w:rPr>
          <w:rFonts w:hint="eastAsia" w:ascii="仿宋" w:hAnsi="仿宋" w:eastAsia="仿宋" w:cs="仿宋"/>
          <w:color w:val="auto"/>
          <w:sz w:val="24"/>
          <w:highlight w:val="none"/>
          <w:lang w:val="en-US" w:eastAsia="zh-CN"/>
        </w:rPr>
        <w:t>乐</w:t>
      </w:r>
      <w:r>
        <w:rPr>
          <w:rFonts w:hint="eastAsia" w:ascii="仿宋" w:hAnsi="仿宋" w:eastAsia="仿宋" w:cs="仿宋"/>
          <w:color w:val="auto"/>
          <w:sz w:val="24"/>
          <w:highlight w:val="none"/>
        </w:rPr>
        <w:t>采云电子交易客户端”</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下载链接：https://b.zhengcaiyun.cn/luban/category?parentId=550045&amp;childrenCode=qicaiCategory17&amp;utm=luban.luban-PC-39026.959-pc-websitegroup-navBar-front.8.c8789bc0520b11efb86dbfa49a87be0d）；③</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的获取：使用账号登录或者使用CA登录</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；进入“项目采购”应用，在获取采购文件菜单中选择项目，获取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；④</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的制作：在“</w:t>
      </w:r>
      <w:r>
        <w:rPr>
          <w:rFonts w:hint="eastAsia" w:ascii="仿宋" w:hAnsi="仿宋" w:eastAsia="仿宋" w:cs="仿宋"/>
          <w:color w:val="auto"/>
          <w:sz w:val="24"/>
          <w:highlight w:val="none"/>
          <w:lang w:val="en-US" w:eastAsia="zh-CN"/>
        </w:rPr>
        <w:t>乐</w:t>
      </w:r>
      <w:r>
        <w:rPr>
          <w:rFonts w:hint="eastAsia" w:ascii="仿宋" w:hAnsi="仿宋" w:eastAsia="仿宋" w:cs="仿宋"/>
          <w:color w:val="auto"/>
          <w:sz w:val="24"/>
          <w:highlight w:val="none"/>
        </w:rPr>
        <w:t>采云电子交易客户端”中完成“填写基本信息”、“导入</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完成本项目的电子交易活动，平台不接受未按上述方式获取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的供应商进行</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活动； ⑥对未按上述方式获取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的供应商对该文件提出的质疑，采购人或采购代理机构将不予处理；⑦不提供</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纸质版；⑧</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的传输递交：</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截止时间前将加密的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上传至</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，还可以在</w:t>
      </w:r>
      <w:r>
        <w:rPr>
          <w:rFonts w:hint="eastAsia" w:ascii="仿宋" w:hAnsi="仿宋" w:eastAsia="仿宋" w:cs="仿宋"/>
          <w:color w:val="auto"/>
          <w:sz w:val="24"/>
          <w:highlight w:val="none"/>
          <w:lang w:eastAsia="zh-CN"/>
        </w:rPr>
        <w:t>响应截止时间</w:t>
      </w:r>
      <w:r>
        <w:rPr>
          <w:rFonts w:hint="eastAsia" w:ascii="仿宋" w:hAnsi="仿宋" w:eastAsia="仿宋" w:cs="仿宋"/>
          <w:color w:val="auto"/>
          <w:sz w:val="24"/>
          <w:highlight w:val="none"/>
        </w:rPr>
        <w:t>前直接提交或者以邮政快递方式递交备份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1份。备份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的制作、存储、密封详见</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第二部分第15点—“备份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项目是否接收备份文件，以前附表说明为准。</w:t>
      </w:r>
      <w:r>
        <w:rPr>
          <w:rFonts w:hint="eastAsia" w:ascii="仿宋" w:hAnsi="仿宋" w:eastAsia="仿宋" w:cs="仿宋"/>
          <w:color w:val="auto"/>
          <w:sz w:val="24"/>
          <w:highlight w:val="none"/>
        </w:rPr>
        <w:t>⑨</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的解密：</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按照平台提示和</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的规定在半小时内完成在线解密。通过“</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”上传递交的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无法按时解密，</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供应商递交了备份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的，以备份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为依据，否则视为</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撤回。通过“</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”上传递交的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已按时解密的，备份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自动失效。</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仅提交备份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，未在电子交易平台传输递交</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无效；⑩具体操作指南：详见</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“服务中心-帮助文档-项目采购-操作流程-电子招投标-政府采购项目电子交易管理操作指南-供应商”。（3）</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公告期限与</w:t>
      </w:r>
      <w:r>
        <w:rPr>
          <w:rFonts w:hint="eastAsia" w:ascii="仿宋" w:hAnsi="仿宋" w:eastAsia="仿宋" w:cs="仿宋"/>
          <w:color w:val="auto"/>
          <w:sz w:val="24"/>
          <w:highlight w:val="none"/>
          <w:lang w:eastAsia="zh-CN"/>
        </w:rPr>
        <w:t>交易公告</w:t>
      </w:r>
      <w:r>
        <w:rPr>
          <w:rFonts w:hint="eastAsia" w:ascii="仿宋" w:hAnsi="仿宋" w:eastAsia="仿宋" w:cs="仿宋"/>
          <w:color w:val="auto"/>
          <w:sz w:val="24"/>
          <w:highlight w:val="none"/>
        </w:rPr>
        <w:t>的公告期限一致。</w:t>
      </w:r>
    </w:p>
    <w:p w14:paraId="2DA9684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720728A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31F477F2">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名    称：</w:t>
      </w:r>
      <w:r>
        <w:rPr>
          <w:rFonts w:hint="eastAsia" w:ascii="仿宋" w:hAnsi="仿宋" w:eastAsia="仿宋" w:cs="仿宋"/>
          <w:color w:val="auto"/>
          <w:sz w:val="24"/>
          <w:highlight w:val="none"/>
          <w:lang w:eastAsia="zh-CN"/>
        </w:rPr>
        <w:t>杭州市萧山区中医骨伤科医院</w:t>
      </w:r>
    </w:p>
    <w:p w14:paraId="2071AF8F">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地    址：</w:t>
      </w:r>
      <w:r>
        <w:rPr>
          <w:rFonts w:hint="eastAsia" w:ascii="仿宋" w:hAnsi="仿宋" w:eastAsia="仿宋" w:cs="仿宋"/>
          <w:color w:val="auto"/>
          <w:sz w:val="24"/>
          <w:highlight w:val="none"/>
          <w:lang w:val="en-US" w:eastAsia="zh-CN"/>
        </w:rPr>
        <w:t>杭州市萧山区戴村镇锦绣路79号</w:t>
      </w:r>
    </w:p>
    <w:p w14:paraId="1D9A1359">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eastAsia="zh-CN"/>
        </w:rPr>
        <w:t>徐沈欢</w:t>
      </w:r>
    </w:p>
    <w:p w14:paraId="67674FBF">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项目联系方式（询问）：0571-57137109</w:t>
      </w:r>
    </w:p>
    <w:p w14:paraId="7D96FFD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6B2D2508">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浙江省房地产管理咨询有限公司</w:t>
      </w:r>
    </w:p>
    <w:p w14:paraId="4E016B0C">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址：萧山区晨晖路1096号南和城4幢1单元1003室</w:t>
      </w:r>
    </w:p>
    <w:p w14:paraId="607D43D1">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传    真： </w:t>
      </w:r>
      <w:r>
        <w:rPr>
          <w:rFonts w:hint="eastAsia" w:ascii="仿宋" w:hAnsi="仿宋" w:eastAsia="仿宋" w:cs="仿宋"/>
          <w:color w:val="auto"/>
          <w:sz w:val="24"/>
          <w:highlight w:val="none"/>
          <w:lang w:val="en-US" w:eastAsia="zh-CN"/>
        </w:rPr>
        <w:t>/</w:t>
      </w:r>
    </w:p>
    <w:p w14:paraId="24070E3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w:t>
      </w:r>
      <w:r>
        <w:rPr>
          <w:rFonts w:hint="eastAsia" w:ascii="仿宋" w:hAnsi="仿宋" w:eastAsia="仿宋" w:cs="仿宋"/>
          <w:color w:val="auto"/>
          <w:sz w:val="24"/>
          <w:highlight w:val="none"/>
          <w:lang w:val="en-US" w:eastAsia="zh-CN"/>
        </w:rPr>
        <w:t>沈煜飞</w:t>
      </w:r>
    </w:p>
    <w:p w14:paraId="6E647839">
      <w:pPr>
        <w:spacing w:line="360" w:lineRule="auto"/>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17348894601</w:t>
      </w:r>
    </w:p>
    <w:p w14:paraId="22218C4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 </w:t>
      </w:r>
      <w:r>
        <w:rPr>
          <w:rFonts w:hint="eastAsia" w:ascii="仿宋" w:hAnsi="仿宋" w:eastAsia="仿宋" w:cs="仿宋"/>
          <w:color w:val="auto"/>
          <w:sz w:val="24"/>
          <w:highlight w:val="none"/>
          <w:lang w:val="en-US" w:eastAsia="zh-CN"/>
        </w:rPr>
        <w:t>俞佳</w:t>
      </w:r>
    </w:p>
    <w:p w14:paraId="3C11A36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质疑联系方式：0571-83731873</w:t>
      </w:r>
    </w:p>
    <w:p w14:paraId="517C9089">
      <w:pPr>
        <w:spacing w:line="360" w:lineRule="auto"/>
        <w:ind w:firstLine="480"/>
        <w:rPr>
          <w:rFonts w:hint="eastAsia" w:ascii="仿宋" w:hAnsi="仿宋" w:eastAsia="仿宋" w:cs="仿宋"/>
          <w:color w:val="auto"/>
          <w:sz w:val="24"/>
          <w:highlight w:val="none"/>
          <w:lang w:val="en-US" w:eastAsia="zh-CN"/>
        </w:rPr>
      </w:pPr>
    </w:p>
    <w:p w14:paraId="2607732D">
      <w:pP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w:t>
      </w:r>
      <w:r>
        <w:rPr>
          <w:rFonts w:hint="eastAsia" w:ascii="仿宋" w:hAnsi="仿宋" w:eastAsia="仿宋" w:cs="仿宋"/>
          <w:color w:val="auto"/>
          <w:sz w:val="24"/>
          <w:highlight w:val="none"/>
          <w:lang w:val="en-US" w:eastAsia="zh-CN"/>
        </w:rPr>
        <w:t>乐</w:t>
      </w:r>
      <w:r>
        <w:rPr>
          <w:rFonts w:hint="eastAsia" w:ascii="仿宋" w:hAnsi="仿宋" w:eastAsia="仿宋" w:cs="仿宋"/>
          <w:color w:val="auto"/>
          <w:sz w:val="24"/>
          <w:highlight w:val="none"/>
        </w:rPr>
        <w:t>采云（</w:t>
      </w:r>
      <w:r>
        <w:rPr>
          <w:rFonts w:hint="eastAsia" w:ascii="仿宋" w:hAnsi="仿宋" w:eastAsia="仿宋" w:cs="仿宋"/>
          <w:color w:val="auto"/>
          <w:sz w:val="24"/>
          <w:highlight w:val="none"/>
          <w:lang w:eastAsia="zh-CN"/>
        </w:rPr>
        <w:t>www.lecaiyun.com</w:t>
      </w:r>
      <w:r>
        <w:rPr>
          <w:rFonts w:hint="eastAsia" w:ascii="仿宋" w:hAnsi="仿宋" w:eastAsia="仿宋" w:cs="仿宋"/>
          <w:color w:val="auto"/>
          <w:sz w:val="24"/>
          <w:highlight w:val="none"/>
        </w:rPr>
        <w:t>），点击右侧咨询小采，获取采小蜜智能服务管家帮助，或拨打</w:t>
      </w:r>
      <w:r>
        <w:rPr>
          <w:rFonts w:hint="eastAsia" w:ascii="仿宋" w:hAnsi="仿宋" w:eastAsia="仿宋" w:cs="仿宋"/>
          <w:color w:val="auto"/>
          <w:sz w:val="24"/>
          <w:highlight w:val="none"/>
          <w:lang w:val="en-US" w:eastAsia="zh-CN"/>
        </w:rPr>
        <w:t>乐</w:t>
      </w:r>
      <w:r>
        <w:rPr>
          <w:rFonts w:hint="eastAsia" w:ascii="仿宋" w:hAnsi="仿宋" w:eastAsia="仿宋" w:cs="仿宋"/>
          <w:color w:val="auto"/>
          <w:sz w:val="24"/>
          <w:highlight w:val="none"/>
        </w:rPr>
        <w:t>采云服务热线95763获取热线服务帮助。</w:t>
      </w:r>
    </w:p>
    <w:p w14:paraId="5C941D0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5E86FF1B">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66A96F88">
      <w:pPr>
        <w:adjustRightInd/>
        <w:spacing w:line="360" w:lineRule="auto"/>
        <w:jc w:val="center"/>
        <w:outlineLvl w:val="0"/>
        <w:rPr>
          <w:rFonts w:hint="eastAsia" w:ascii="仿宋" w:hAnsi="仿宋" w:eastAsia="仿宋" w:cs="仿宋"/>
          <w:b/>
          <w:color w:val="auto"/>
          <w:sz w:val="36"/>
          <w:szCs w:val="20"/>
          <w:highlight w:val="none"/>
          <w:lang w:eastAsia="zh-CN"/>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w:t>
      </w:r>
      <w:bookmarkEnd w:id="9"/>
      <w:r>
        <w:rPr>
          <w:rFonts w:hint="eastAsia" w:ascii="仿宋" w:hAnsi="仿宋" w:eastAsia="仿宋" w:cs="仿宋"/>
          <w:b/>
          <w:color w:val="auto"/>
          <w:sz w:val="36"/>
          <w:szCs w:val="20"/>
          <w:highlight w:val="none"/>
          <w:lang w:eastAsia="zh-CN"/>
        </w:rPr>
        <w:t>供应商须知</w:t>
      </w:r>
    </w:p>
    <w:p w14:paraId="7C4D38D3">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D0656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5" w:hRule="atLeast"/>
        </w:trPr>
        <w:tc>
          <w:tcPr>
            <w:tcW w:w="629" w:type="dxa"/>
            <w:tcBorders>
              <w:top w:val="single" w:color="auto" w:sz="4" w:space="0"/>
              <w:left w:val="single" w:color="auto" w:sz="4" w:space="0"/>
              <w:bottom w:val="single" w:color="auto" w:sz="4" w:space="0"/>
              <w:right w:val="single" w:color="auto" w:sz="4" w:space="0"/>
            </w:tcBorders>
            <w:vAlign w:val="center"/>
          </w:tcPr>
          <w:p w14:paraId="28C1B62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0B83A1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9F0E3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14:paraId="29D0EE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6" w:hRule="atLeast"/>
        </w:trPr>
        <w:tc>
          <w:tcPr>
            <w:tcW w:w="629" w:type="dxa"/>
            <w:tcBorders>
              <w:top w:val="single" w:color="auto" w:sz="4" w:space="0"/>
              <w:left w:val="single" w:color="auto" w:sz="4" w:space="0"/>
              <w:bottom w:val="single" w:color="auto" w:sz="4" w:space="0"/>
              <w:right w:val="single" w:color="auto" w:sz="4" w:space="0"/>
            </w:tcBorders>
            <w:vAlign w:val="center"/>
          </w:tcPr>
          <w:p w14:paraId="46777B2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6A0113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F2423D8">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服务类。</w:t>
            </w:r>
          </w:p>
        </w:tc>
      </w:tr>
      <w:tr w14:paraId="254DDA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38" w:hRule="atLeast"/>
        </w:trPr>
        <w:tc>
          <w:tcPr>
            <w:tcW w:w="629" w:type="dxa"/>
            <w:tcBorders>
              <w:top w:val="single" w:color="auto" w:sz="4" w:space="0"/>
              <w:left w:val="single" w:color="auto" w:sz="4" w:space="0"/>
              <w:bottom w:val="single" w:color="auto" w:sz="4" w:space="0"/>
              <w:right w:val="single" w:color="auto" w:sz="4" w:space="0"/>
            </w:tcBorders>
            <w:vAlign w:val="center"/>
          </w:tcPr>
          <w:p w14:paraId="6CF1FAA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9615CEB">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EADCED1">
            <w:pPr>
              <w:snapToGrid w:val="0"/>
              <w:spacing w:line="360" w:lineRule="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（1）标的：</w:t>
            </w:r>
            <w:r>
              <w:rPr>
                <w:rFonts w:hint="eastAsia" w:ascii="仿宋" w:hAnsi="仿宋" w:eastAsia="仿宋" w:cs="仿宋"/>
                <w:color w:val="auto"/>
                <w:sz w:val="24"/>
                <w:szCs w:val="24"/>
                <w:highlight w:val="none"/>
                <w:lang w:val="en-US" w:eastAsia="zh-CN"/>
              </w:rPr>
              <w:t>杭州市萧山区中医骨伤科医院被服清洗服务采购项目</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lang w:val="en-US" w:eastAsia="zh-CN"/>
              </w:rPr>
              <w:t>其他未列明</w:t>
            </w:r>
            <w:r>
              <w:rPr>
                <w:rFonts w:hint="eastAsia" w:ascii="仿宋" w:hAnsi="仿宋" w:eastAsia="仿宋" w:cs="仿宋"/>
                <w:color w:val="auto"/>
                <w:sz w:val="24"/>
                <w:szCs w:val="24"/>
                <w:highlight w:val="none"/>
              </w:rPr>
              <w:t>行业；</w:t>
            </w:r>
          </w:p>
          <w:p w14:paraId="6F808DE9">
            <w:pP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《关于印发中小企业划型标准规定的通知》工信部联企业〔2011〕300号</w:t>
            </w:r>
          </w:p>
        </w:tc>
      </w:tr>
      <w:tr w14:paraId="2F73A5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7" w:hRule="atLeast"/>
        </w:trPr>
        <w:tc>
          <w:tcPr>
            <w:tcW w:w="629" w:type="dxa"/>
            <w:tcBorders>
              <w:top w:val="single" w:color="auto" w:sz="4" w:space="0"/>
              <w:left w:val="single" w:color="auto" w:sz="4" w:space="0"/>
              <w:bottom w:val="single" w:color="auto" w:sz="4" w:space="0"/>
              <w:right w:val="single" w:color="auto" w:sz="4" w:space="0"/>
            </w:tcBorders>
            <w:vAlign w:val="center"/>
          </w:tcPr>
          <w:p w14:paraId="1F51A68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DC93E45">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A273F25">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sym w:font="Wingdings" w:char="00FE"/>
            </w:r>
            <w:r>
              <w:rPr>
                <w:rFonts w:hint="eastAsia" w:ascii="仿宋" w:hAnsi="仿宋" w:eastAsia="仿宋" w:cs="仿宋"/>
                <w:color w:val="auto"/>
                <w:kern w:val="0"/>
                <w:sz w:val="24"/>
                <w:szCs w:val="24"/>
                <w:highlight w:val="none"/>
                <w:lang w:val="en-US" w:eastAsia="zh-CN"/>
              </w:rPr>
              <w:t>本</w:t>
            </w:r>
            <w:r>
              <w:rPr>
                <w:rFonts w:hint="eastAsia" w:ascii="仿宋" w:hAnsi="仿宋" w:eastAsia="仿宋" w:cs="仿宋"/>
                <w:color w:val="auto"/>
                <w:kern w:val="0"/>
                <w:sz w:val="24"/>
                <w:szCs w:val="24"/>
                <w:highlight w:val="none"/>
              </w:rPr>
              <w:t>项目不允许采购进口产品。</w:t>
            </w:r>
          </w:p>
        </w:tc>
      </w:tr>
      <w:tr w14:paraId="528982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4" w:hRule="atLeast"/>
        </w:trPr>
        <w:tc>
          <w:tcPr>
            <w:tcW w:w="629" w:type="dxa"/>
            <w:tcBorders>
              <w:top w:val="single" w:color="auto" w:sz="4" w:space="0"/>
              <w:left w:val="single" w:color="auto" w:sz="4" w:space="0"/>
              <w:bottom w:val="single" w:color="auto" w:sz="4" w:space="0"/>
              <w:right w:val="single" w:color="auto" w:sz="4" w:space="0"/>
            </w:tcBorders>
            <w:vAlign w:val="center"/>
          </w:tcPr>
          <w:p w14:paraId="52B43DA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0B6F0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A13AE89">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rPr>
              <w:t>不同意分包。</w:t>
            </w:r>
          </w:p>
        </w:tc>
      </w:tr>
      <w:tr w14:paraId="13962A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1" w:hRule="atLeast"/>
        </w:trPr>
        <w:tc>
          <w:tcPr>
            <w:tcW w:w="629" w:type="dxa"/>
            <w:tcBorders>
              <w:top w:val="single" w:color="auto" w:sz="4" w:space="0"/>
              <w:left w:val="single" w:color="auto" w:sz="4" w:space="0"/>
              <w:bottom w:val="single" w:color="auto" w:sz="4" w:space="0"/>
              <w:right w:val="single" w:color="auto" w:sz="4" w:space="0"/>
            </w:tcBorders>
            <w:vAlign w:val="center"/>
          </w:tcPr>
          <w:p w14:paraId="35F66F0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2751433">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1BC4AF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lang w:val="en-US" w:eastAsia="zh-CN"/>
              </w:rPr>
              <w:t>A</w:t>
            </w:r>
            <w:r>
              <w:rPr>
                <w:rFonts w:hint="eastAsia" w:ascii="仿宋" w:hAnsi="仿宋" w:eastAsia="仿宋" w:cs="仿宋"/>
                <w:color w:val="auto"/>
                <w:sz w:val="24"/>
                <w:szCs w:val="24"/>
                <w:highlight w:val="none"/>
              </w:rPr>
              <w:t>不组织。</w:t>
            </w:r>
          </w:p>
        </w:tc>
      </w:tr>
      <w:tr w14:paraId="181A5D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1" w:hRule="atLeast"/>
        </w:trPr>
        <w:tc>
          <w:tcPr>
            <w:tcW w:w="629" w:type="dxa"/>
            <w:tcBorders>
              <w:top w:val="single" w:color="auto" w:sz="4" w:space="0"/>
              <w:left w:val="single" w:color="auto" w:sz="4" w:space="0"/>
              <w:bottom w:val="single" w:color="auto" w:sz="4" w:space="0"/>
              <w:right w:val="single" w:color="auto" w:sz="4" w:space="0"/>
            </w:tcBorders>
            <w:vAlign w:val="center"/>
          </w:tcPr>
          <w:p w14:paraId="7DBD365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3D5D7C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A257F59">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lang w:val="en-US" w:eastAsia="zh-CN"/>
              </w:rPr>
              <w:t>A</w:t>
            </w:r>
            <w:r>
              <w:rPr>
                <w:rFonts w:hint="eastAsia" w:ascii="仿宋" w:hAnsi="仿宋" w:eastAsia="仿宋" w:cs="仿宋"/>
                <w:color w:val="auto"/>
                <w:sz w:val="24"/>
                <w:szCs w:val="24"/>
                <w:highlight w:val="none"/>
              </w:rPr>
              <w:t>不要求提供。</w:t>
            </w:r>
          </w:p>
        </w:tc>
      </w:tr>
      <w:tr w14:paraId="64064E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5" w:hRule="atLeast"/>
        </w:trPr>
        <w:tc>
          <w:tcPr>
            <w:tcW w:w="629" w:type="dxa"/>
            <w:tcBorders>
              <w:top w:val="single" w:color="auto" w:sz="4" w:space="0"/>
              <w:left w:val="single" w:color="auto" w:sz="4" w:space="0"/>
              <w:bottom w:val="single" w:color="auto" w:sz="4" w:space="0"/>
              <w:right w:val="single" w:color="auto" w:sz="4" w:space="0"/>
            </w:tcBorders>
            <w:vAlign w:val="center"/>
          </w:tcPr>
          <w:p w14:paraId="40E7E1B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FD6C12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9910349">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lang w:val="en-US" w:eastAsia="zh-CN"/>
              </w:rPr>
              <w:t>A</w:t>
            </w:r>
            <w:r>
              <w:rPr>
                <w:rFonts w:hint="eastAsia" w:ascii="仿宋" w:hAnsi="仿宋" w:eastAsia="仿宋" w:cs="仿宋"/>
                <w:color w:val="auto"/>
                <w:sz w:val="24"/>
                <w:szCs w:val="24"/>
                <w:highlight w:val="none"/>
              </w:rPr>
              <w:t>不组织。</w:t>
            </w:r>
          </w:p>
        </w:tc>
      </w:tr>
      <w:tr w14:paraId="02B543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24B37BD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F71F0DD">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供应商</w:t>
            </w:r>
            <w:r>
              <w:rPr>
                <w:rFonts w:hint="eastAsia" w:ascii="仿宋" w:hAnsi="仿宋" w:eastAsia="仿宋" w:cs="仿宋"/>
                <w:b/>
                <w:color w:val="auto"/>
                <w:sz w:val="24"/>
                <w:szCs w:val="24"/>
                <w:highlight w:val="none"/>
              </w:rPr>
              <w:t>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47E7950">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w:t>
            </w:r>
            <w:r>
              <w:rPr>
                <w:rFonts w:hint="eastAsia" w:ascii="仿宋" w:hAnsi="仿宋" w:eastAsia="仿宋" w:cs="仿宋"/>
                <w:color w:val="auto"/>
                <w:sz w:val="24"/>
                <w:szCs w:val="24"/>
                <w:highlight w:val="none"/>
                <w:lang w:eastAsia="zh-CN"/>
              </w:rPr>
              <w:t>交易文件</w:t>
            </w:r>
            <w:r>
              <w:rPr>
                <w:rFonts w:hint="eastAsia" w:ascii="仿宋" w:hAnsi="仿宋" w:eastAsia="仿宋" w:cs="仿宋"/>
                <w:color w:val="auto"/>
                <w:sz w:val="24"/>
                <w:szCs w:val="24"/>
                <w:highlight w:val="none"/>
              </w:rPr>
              <w:t>第二部分11.1。</w:t>
            </w:r>
          </w:p>
          <w:p w14:paraId="0604092F">
            <w:pPr>
              <w:spacing w:line="360" w:lineRule="auto"/>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0"/>
                <w:sz w:val="24"/>
                <w:szCs w:val="24"/>
                <w:highlight w:val="none"/>
                <w:lang w:val="zh-CN"/>
              </w:rPr>
              <w:t>供应商未提供有效的资格证明文件的，视为供应商不具备交易文件中规定的资格要求，响应无效。</w:t>
            </w:r>
          </w:p>
        </w:tc>
      </w:tr>
      <w:tr w14:paraId="0BC8B6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7" w:hRule="atLeast"/>
        </w:trPr>
        <w:tc>
          <w:tcPr>
            <w:tcW w:w="629" w:type="dxa"/>
            <w:vMerge w:val="continue"/>
            <w:tcBorders>
              <w:left w:val="single" w:color="auto" w:sz="4" w:space="0"/>
              <w:bottom w:val="single" w:color="auto" w:sz="4" w:space="0"/>
              <w:right w:val="single" w:color="auto" w:sz="4" w:space="0"/>
            </w:tcBorders>
            <w:vAlign w:val="center"/>
          </w:tcPr>
          <w:p w14:paraId="26DDC94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4330641">
            <w:pPr>
              <w:snapToGrid w:val="0"/>
              <w:spacing w:line="360" w:lineRule="auto"/>
              <w:jc w:val="center"/>
              <w:rPr>
                <w:rFonts w:hint="eastAsia" w:ascii="仿宋" w:hAnsi="仿宋" w:eastAsia="仿宋" w:cs="仿宋"/>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D4DF6D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（2）资信证明文件：根据</w:t>
            </w:r>
            <w:r>
              <w:rPr>
                <w:rFonts w:hint="eastAsia" w:ascii="仿宋" w:hAnsi="仿宋" w:eastAsia="仿宋" w:cs="仿宋"/>
                <w:color w:val="auto"/>
                <w:sz w:val="24"/>
                <w:szCs w:val="24"/>
                <w:highlight w:val="none"/>
                <w:lang w:eastAsia="zh-CN"/>
              </w:rPr>
              <w:t>交易文件</w:t>
            </w:r>
            <w:r>
              <w:rPr>
                <w:rFonts w:hint="eastAsia" w:ascii="仿宋" w:hAnsi="仿宋" w:eastAsia="仿宋" w:cs="仿宋"/>
                <w:color w:val="auto"/>
                <w:sz w:val="24"/>
                <w:szCs w:val="24"/>
                <w:highlight w:val="none"/>
              </w:rPr>
              <w:t>第四部分评标标准提供。</w:t>
            </w:r>
          </w:p>
        </w:tc>
      </w:tr>
      <w:tr w14:paraId="212DB6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14C318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AFC23C4">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B137079">
            <w:pPr>
              <w:snapToGrid w:val="0"/>
              <w:spacing w:line="360" w:lineRule="auto"/>
              <w:jc w:val="left"/>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b/>
                <w:bCs/>
                <w:color w:val="auto"/>
                <w:kern w:val="0"/>
                <w:sz w:val="24"/>
                <w:szCs w:val="24"/>
                <w:highlight w:val="none"/>
                <w:lang w:val="zh-CN"/>
              </w:rPr>
              <w:t>响应文件</w:t>
            </w:r>
            <w:r>
              <w:rPr>
                <w:rFonts w:hint="eastAsia" w:ascii="仿宋" w:hAnsi="仿宋" w:eastAsia="仿宋" w:cs="仿宋"/>
                <w:b/>
                <w:bCs/>
                <w:color w:val="auto"/>
                <w:sz w:val="24"/>
                <w:szCs w:val="24"/>
                <w:highlight w:val="none"/>
                <w:lang w:val="en-US" w:eastAsia="zh-CN"/>
              </w:rPr>
              <w:t>响应</w:t>
            </w:r>
            <w:r>
              <w:rPr>
                <w:rFonts w:hint="eastAsia" w:ascii="仿宋" w:hAnsi="仿宋" w:eastAsia="仿宋" w:cs="仿宋"/>
                <w:b/>
                <w:bCs/>
                <w:color w:val="auto"/>
                <w:sz w:val="24"/>
                <w:szCs w:val="24"/>
                <w:highlight w:val="none"/>
                <w:lang w:eastAsia="zh-CN"/>
              </w:rPr>
              <w:t>一览表（报价表）</w:t>
            </w:r>
            <w:r>
              <w:rPr>
                <w:rFonts w:hint="eastAsia" w:ascii="仿宋" w:hAnsi="仿宋" w:eastAsia="仿宋" w:cs="仿宋"/>
                <w:b/>
                <w:bCs/>
                <w:color w:val="auto"/>
                <w:sz w:val="24"/>
                <w:szCs w:val="24"/>
                <w:highlight w:val="none"/>
              </w:rPr>
              <w:t>是报价的唯一载体，如</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在</w:t>
            </w:r>
            <w:r>
              <w:rPr>
                <w:rFonts w:hint="eastAsia" w:ascii="仿宋" w:hAnsi="仿宋" w:eastAsia="仿宋" w:cs="仿宋"/>
                <w:b/>
                <w:bCs/>
                <w:color w:val="auto"/>
                <w:sz w:val="24"/>
                <w:szCs w:val="24"/>
                <w:highlight w:val="none"/>
                <w:lang w:eastAsia="zh-CN"/>
              </w:rPr>
              <w:t>乐采云平台</w:t>
            </w:r>
            <w:r>
              <w:rPr>
                <w:rFonts w:hint="eastAsia" w:ascii="仿宋" w:hAnsi="仿宋" w:eastAsia="仿宋" w:cs="仿宋"/>
                <w:b/>
                <w:bCs/>
                <w:color w:val="auto"/>
                <w:sz w:val="24"/>
                <w:szCs w:val="24"/>
                <w:highlight w:val="none"/>
              </w:rPr>
              <w:t>填写的</w:t>
            </w:r>
            <w:r>
              <w:rPr>
                <w:rFonts w:hint="eastAsia" w:ascii="仿宋" w:hAnsi="仿宋" w:eastAsia="仿宋" w:cs="仿宋"/>
                <w:b/>
                <w:bCs/>
                <w:color w:val="auto"/>
                <w:sz w:val="24"/>
                <w:szCs w:val="24"/>
                <w:highlight w:val="none"/>
                <w:lang w:eastAsia="zh-CN"/>
              </w:rPr>
              <w:t>响应报价</w:t>
            </w:r>
            <w:r>
              <w:rPr>
                <w:rFonts w:hint="eastAsia" w:ascii="仿宋" w:hAnsi="仿宋" w:eastAsia="仿宋" w:cs="仿宋"/>
                <w:b/>
                <w:bCs/>
                <w:color w:val="auto"/>
                <w:sz w:val="24"/>
                <w:szCs w:val="24"/>
                <w:highlight w:val="none"/>
              </w:rPr>
              <w:t>与</w:t>
            </w:r>
            <w:r>
              <w:rPr>
                <w:rFonts w:hint="eastAsia" w:ascii="仿宋" w:hAnsi="仿宋" w:eastAsia="仿宋" w:cs="仿宋"/>
                <w:b/>
                <w:bCs/>
                <w:color w:val="auto"/>
                <w:sz w:val="24"/>
                <w:szCs w:val="24"/>
                <w:highlight w:val="none"/>
                <w:lang w:eastAsia="zh-CN"/>
              </w:rPr>
              <w:t>响应文件</w:t>
            </w:r>
            <w:r>
              <w:rPr>
                <w:rFonts w:hint="eastAsia" w:ascii="仿宋" w:hAnsi="仿宋" w:eastAsia="仿宋" w:cs="仿宋"/>
                <w:b/>
                <w:bCs/>
                <w:color w:val="auto"/>
                <w:sz w:val="24"/>
                <w:szCs w:val="24"/>
                <w:highlight w:val="none"/>
              </w:rPr>
              <w:t>报价文件中</w:t>
            </w:r>
            <w:r>
              <w:rPr>
                <w:rFonts w:hint="eastAsia" w:ascii="仿宋" w:hAnsi="仿宋" w:eastAsia="仿宋" w:cs="仿宋"/>
                <w:b/>
                <w:bCs/>
                <w:color w:val="auto"/>
                <w:sz w:val="24"/>
                <w:szCs w:val="24"/>
                <w:highlight w:val="none"/>
                <w:lang w:eastAsia="zh-CN"/>
              </w:rPr>
              <w:t>响应一览表（报价表）</w:t>
            </w:r>
            <w:r>
              <w:rPr>
                <w:rFonts w:hint="eastAsia" w:ascii="仿宋" w:hAnsi="仿宋" w:eastAsia="仿宋" w:cs="仿宋"/>
                <w:b/>
                <w:bCs/>
                <w:color w:val="auto"/>
                <w:sz w:val="24"/>
                <w:szCs w:val="24"/>
                <w:highlight w:val="none"/>
              </w:rPr>
              <w:t>不一致的，以报价文件中</w:t>
            </w:r>
            <w:r>
              <w:rPr>
                <w:rFonts w:hint="eastAsia" w:ascii="仿宋" w:hAnsi="仿宋" w:eastAsia="仿宋" w:cs="仿宋"/>
                <w:b/>
                <w:bCs/>
                <w:color w:val="auto"/>
                <w:sz w:val="24"/>
                <w:szCs w:val="24"/>
                <w:highlight w:val="none"/>
                <w:lang w:eastAsia="zh-CN"/>
              </w:rPr>
              <w:t>响应一览表（报价表）</w:t>
            </w:r>
            <w:r>
              <w:rPr>
                <w:rFonts w:hint="eastAsia" w:ascii="仿宋" w:hAnsi="仿宋" w:eastAsia="仿宋" w:cs="仿宋"/>
                <w:b/>
                <w:bCs/>
                <w:color w:val="auto"/>
                <w:sz w:val="24"/>
                <w:szCs w:val="24"/>
                <w:highlight w:val="none"/>
              </w:rPr>
              <w:t>为准。</w:t>
            </w:r>
            <w:r>
              <w:rPr>
                <w:rFonts w:hint="eastAsia" w:ascii="仿宋" w:hAnsi="仿宋" w:eastAsia="仿宋" w:cs="仿宋"/>
                <w:color w:val="auto"/>
                <w:kern w:val="0"/>
                <w:sz w:val="24"/>
                <w:szCs w:val="24"/>
                <w:highlight w:val="none"/>
                <w:lang w:val="zh-CN"/>
              </w:rPr>
              <w:t>响应文件中价格全部采用人民币报价。交易文件未列明，而供应商认为必需的费用也需列入报价。</w:t>
            </w:r>
            <w:r>
              <w:rPr>
                <w:rFonts w:hint="eastAsia" w:ascii="仿宋" w:hAnsi="仿宋" w:eastAsia="仿宋" w:cs="仿宋"/>
                <w:b/>
                <w:color w:val="auto"/>
                <w:kern w:val="0"/>
                <w:sz w:val="24"/>
                <w:szCs w:val="24"/>
                <w:highlight w:val="none"/>
                <w:lang w:val="zh-CN"/>
              </w:rPr>
              <w:t>提醒：验收时检测费用由采购人承担，不包含在响应总价中。</w:t>
            </w:r>
          </w:p>
          <w:p w14:paraId="554F9D23">
            <w:pPr>
              <w:snapToGrid w:val="0"/>
              <w:spacing w:line="360" w:lineRule="auto"/>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响应报价出现下列情形的，响应无效：</w:t>
            </w:r>
          </w:p>
          <w:p w14:paraId="210BB562">
            <w:pPr>
              <w:snapToGrid w:val="0"/>
              <w:spacing w:line="360" w:lineRule="auto"/>
              <w:ind w:firstLine="241" w:firstLineChars="100"/>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响应文件出现不是唯一的、有选择性响应报价的；</w:t>
            </w:r>
          </w:p>
          <w:p w14:paraId="369507AB">
            <w:pPr>
              <w:snapToGrid w:val="0"/>
              <w:spacing w:line="360" w:lineRule="auto"/>
              <w:ind w:firstLine="241" w:firstLineChars="100"/>
              <w:jc w:val="left"/>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响应报价超过交易文件中规定的预算金额或者最高限价的;</w:t>
            </w:r>
          </w:p>
          <w:p w14:paraId="34B367C2">
            <w:pPr>
              <w:spacing w:line="360" w:lineRule="auto"/>
              <w:ind w:firstLine="241" w:firstLineChars="100"/>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报价明显低于其他通过符合性审查</w:t>
            </w:r>
            <w:r>
              <w:rPr>
                <w:rFonts w:hint="eastAsia" w:ascii="仿宋" w:hAnsi="仿宋" w:eastAsia="仿宋" w:cs="仿宋"/>
                <w:b/>
                <w:color w:val="auto"/>
                <w:kern w:val="0"/>
                <w:sz w:val="24"/>
                <w:szCs w:val="24"/>
                <w:highlight w:val="none"/>
                <w:lang w:eastAsia="zh-CN"/>
              </w:rPr>
              <w:t>供应商</w:t>
            </w:r>
            <w:r>
              <w:rPr>
                <w:rFonts w:hint="eastAsia" w:ascii="仿宋" w:hAnsi="仿宋" w:eastAsia="仿宋" w:cs="仿宋"/>
                <w:b/>
                <w:color w:val="auto"/>
                <w:kern w:val="0"/>
                <w:sz w:val="24"/>
                <w:szCs w:val="24"/>
                <w:highlight w:val="none"/>
              </w:rPr>
              <w:t>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14:paraId="62F5B2CD">
            <w:pPr>
              <w:spacing w:line="360" w:lineRule="auto"/>
              <w:ind w:firstLine="241" w:firstLineChars="100"/>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eastAsia="zh-CN"/>
              </w:rPr>
              <w:t>供应商</w:t>
            </w:r>
            <w:r>
              <w:rPr>
                <w:rFonts w:hint="eastAsia" w:ascii="仿宋" w:hAnsi="仿宋" w:eastAsia="仿宋" w:cs="仿宋"/>
                <w:b/>
                <w:color w:val="auto"/>
                <w:kern w:val="0"/>
                <w:sz w:val="24"/>
                <w:szCs w:val="24"/>
                <w:highlight w:val="none"/>
              </w:rPr>
              <w:t>对根据修正原则修正后的报价不确认的</w:t>
            </w:r>
            <w:r>
              <w:rPr>
                <w:rFonts w:hint="eastAsia" w:ascii="仿宋" w:hAnsi="仿宋" w:eastAsia="仿宋" w:cs="仿宋"/>
                <w:b/>
                <w:color w:val="auto"/>
                <w:sz w:val="24"/>
                <w:szCs w:val="24"/>
                <w:highlight w:val="none"/>
              </w:rPr>
              <w:t>。</w:t>
            </w:r>
          </w:p>
          <w:p w14:paraId="40BBD45E">
            <w:pPr>
              <w:spacing w:line="360" w:lineRule="auto"/>
              <w:ind w:firstLine="241" w:firstLineChars="1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资格文件、商务技术文件与报价文件未分开制作。</w:t>
            </w:r>
          </w:p>
        </w:tc>
      </w:tr>
      <w:tr w14:paraId="6BC438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1"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D4736F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0</w:t>
            </w:r>
          </w:p>
        </w:tc>
        <w:tc>
          <w:tcPr>
            <w:tcW w:w="1843" w:type="dxa"/>
            <w:tcBorders>
              <w:top w:val="single" w:color="000000" w:sz="8" w:space="0"/>
              <w:left w:val="single" w:color="000000" w:sz="2" w:space="0"/>
              <w:bottom w:val="single" w:color="000000" w:sz="8" w:space="0"/>
              <w:right w:val="single" w:color="000000" w:sz="8" w:space="0"/>
            </w:tcBorders>
            <w:vAlign w:val="center"/>
          </w:tcPr>
          <w:p w14:paraId="0EA4CDB3">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06887107">
            <w:pPr>
              <w:pStyle w:val="33"/>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lang w:val="en-US" w:eastAsia="zh-CN"/>
              </w:rPr>
              <w:t>本项目</w:t>
            </w:r>
            <w:r>
              <w:rPr>
                <w:rFonts w:hint="eastAsia" w:ascii="仿宋" w:hAnsi="仿宋" w:eastAsia="仿宋" w:cs="仿宋"/>
                <w:color w:val="auto"/>
                <w:kern w:val="28"/>
                <w:sz w:val="24"/>
                <w:szCs w:val="24"/>
                <w:highlight w:val="none"/>
              </w:rPr>
              <w:t>备份文件是否收取：不收取</w:t>
            </w:r>
          </w:p>
        </w:tc>
      </w:tr>
      <w:tr w14:paraId="359E0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DA6840B">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50F43839">
            <w:pPr>
              <w:spacing w:after="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2D9D8028">
            <w:pPr>
              <w:keepNext w:val="0"/>
              <w:keepLines w:val="0"/>
              <w:pageBreakBefore w:val="0"/>
              <w:widowControl w:val="0"/>
              <w:kinsoku/>
              <w:wordWrap/>
              <w:overflowPunct/>
              <w:topLinePunct w:val="0"/>
              <w:autoSpaceDE/>
              <w:autoSpaceDN/>
              <w:bidi w:val="0"/>
              <w:adjustRightInd w:val="0"/>
              <w:snapToGrid/>
              <w:spacing w:after="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的代理服务费由成交人支付。代理服务费计费标准：代理服务费计费标准：以成交金额为计费基准，按计价格[2002]1980号文规定收费标准下浮40%结算收取（单项不足2000元的按2000元计算，最高不超过15000元）。结算方式及时间为：成交人在领取成交通知书前向代理机构支付代理服务费。</w:t>
            </w:r>
          </w:p>
        </w:tc>
      </w:tr>
      <w:tr w14:paraId="39CD4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9"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D4116E1">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2DA934D">
            <w:pPr>
              <w:keepNext w:val="0"/>
              <w:keepLines w:val="0"/>
              <w:pageBreakBefore w:val="0"/>
              <w:widowControl w:val="0"/>
              <w:kinsoku/>
              <w:wordWrap/>
              <w:overflowPunct/>
              <w:topLinePunct w:val="0"/>
              <w:autoSpaceDE/>
              <w:autoSpaceDN/>
              <w:bidi w:val="0"/>
              <w:adjustRightInd w:val="0"/>
              <w:snapToGrid/>
              <w:spacing w:after="0" w:line="240" w:lineRule="auto"/>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14:paraId="25E6B5FB">
            <w:pPr>
              <w:keepNext w:val="0"/>
              <w:keepLines w:val="0"/>
              <w:pageBreakBefore w:val="0"/>
              <w:widowControl w:val="0"/>
              <w:kinsoku/>
              <w:wordWrap/>
              <w:overflowPunct/>
              <w:topLinePunct w:val="0"/>
              <w:autoSpaceDE/>
              <w:autoSpaceDN/>
              <w:bidi w:val="0"/>
              <w:adjustRightInd w:val="0"/>
              <w:snapToGrid/>
              <w:spacing w:after="0" w:line="240" w:lineRule="auto"/>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6BE80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1"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7BA1478">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p>
        </w:tc>
        <w:tc>
          <w:tcPr>
            <w:tcW w:w="1843" w:type="dxa"/>
            <w:tcBorders>
              <w:top w:val="single" w:color="000000" w:sz="8" w:space="0"/>
              <w:left w:val="single" w:color="000000" w:sz="2" w:space="0"/>
              <w:bottom w:val="single" w:color="000000" w:sz="8" w:space="0"/>
              <w:right w:val="single" w:color="000000" w:sz="8" w:space="0"/>
            </w:tcBorders>
            <w:vAlign w:val="center"/>
          </w:tcPr>
          <w:p w14:paraId="32E6634A">
            <w:pPr>
              <w:spacing w:after="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szCs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64E3841B">
            <w:pPr>
              <w:keepNext w:val="0"/>
              <w:keepLines w:val="0"/>
              <w:pageBreakBefore w:val="0"/>
              <w:widowControl w:val="0"/>
              <w:kinsoku/>
              <w:wordWrap/>
              <w:overflowPunct/>
              <w:topLinePunct w:val="0"/>
              <w:autoSpaceDE/>
              <w:autoSpaceDN/>
              <w:bidi w:val="0"/>
              <w:adjustRightInd w:val="0"/>
              <w:snapToGrid/>
              <w:spacing w:after="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本项目由采购人进行资格文件及信用信息查询。</w:t>
            </w:r>
          </w:p>
        </w:tc>
      </w:tr>
      <w:tr w14:paraId="4C8B9E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1C39E284">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767F2609">
            <w:pPr>
              <w:spacing w:after="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073D599E">
            <w:pPr>
              <w:snapToGrid w:val="0"/>
              <w:spacing w:after="0"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采购人、采购机构质疑接收人、联系方式：详见公告</w:t>
            </w:r>
          </w:p>
          <w:p w14:paraId="27C1DAE1">
            <w:pPr>
              <w:snapToGrid w:val="0"/>
              <w:spacing w:after="0"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线上提交质疑方式：</w:t>
            </w:r>
            <w:r>
              <w:rPr>
                <w:rFonts w:hint="eastAsia" w:ascii="仿宋" w:hAnsi="仿宋" w:eastAsia="仿宋" w:cs="仿宋"/>
                <w:b/>
                <w:color w:val="auto"/>
                <w:sz w:val="24"/>
                <w:szCs w:val="24"/>
                <w:highlight w:val="none"/>
                <w:lang w:val="en-US" w:eastAsia="zh-CN"/>
              </w:rPr>
              <w:t>乐</w:t>
            </w:r>
            <w:r>
              <w:rPr>
                <w:rFonts w:hint="eastAsia" w:ascii="仿宋" w:hAnsi="仿宋" w:eastAsia="仿宋" w:cs="仿宋"/>
                <w:b/>
                <w:color w:val="auto"/>
                <w:sz w:val="24"/>
                <w:szCs w:val="24"/>
                <w:highlight w:val="none"/>
              </w:rPr>
              <w:t>采云线上质疑路径：项目采购-询问质疑投诉-质疑列表。请使用ca签章在每一页质疑文件中加盖电子公章，上传完整附件。</w:t>
            </w:r>
          </w:p>
          <w:p w14:paraId="6328D344">
            <w:pPr>
              <w:snapToGrid w:val="0"/>
              <w:spacing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本项目涉及资格条件、采购需求、评分办法及采购过程中有关现场考察或</w:t>
            </w:r>
            <w:r>
              <w:rPr>
                <w:rFonts w:hint="eastAsia" w:ascii="仿宋" w:hAnsi="仿宋" w:eastAsia="仿宋" w:cs="仿宋"/>
                <w:color w:val="auto"/>
                <w:sz w:val="24"/>
                <w:szCs w:val="24"/>
                <w:highlight w:val="none"/>
                <w:lang w:val="en-US" w:eastAsia="zh-CN"/>
              </w:rPr>
              <w:t>交易</w:t>
            </w:r>
            <w:r>
              <w:rPr>
                <w:rFonts w:hint="eastAsia" w:ascii="仿宋" w:hAnsi="仿宋" w:eastAsia="仿宋" w:cs="仿宋"/>
                <w:color w:val="auto"/>
                <w:sz w:val="24"/>
                <w:szCs w:val="24"/>
                <w:highlight w:val="none"/>
              </w:rPr>
              <w:t>前答疑会等事项由采购人进行答复。</w:t>
            </w:r>
          </w:p>
          <w:p w14:paraId="4551A9B5">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涉及流程规范性、组织程序等相关事项，由采购机构进行答复。</w:t>
            </w:r>
          </w:p>
        </w:tc>
      </w:tr>
      <w:tr w14:paraId="3BDE0B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auto" w:sz="4" w:space="0"/>
              <w:left w:val="single" w:color="000000" w:sz="8" w:space="0"/>
              <w:right w:val="single" w:color="000000" w:sz="2" w:space="0"/>
            </w:tcBorders>
            <w:vAlign w:val="center"/>
          </w:tcPr>
          <w:p w14:paraId="1808346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1843" w:type="dxa"/>
            <w:tcBorders>
              <w:top w:val="single" w:color="000000" w:sz="8" w:space="0"/>
              <w:left w:val="single" w:color="000000" w:sz="2" w:space="0"/>
              <w:right w:val="single" w:color="000000" w:sz="8" w:space="0"/>
            </w:tcBorders>
            <w:vAlign w:val="center"/>
          </w:tcPr>
          <w:p w14:paraId="17CC77E7">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7688A95">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评审因素对应的要求视为采购需求的一部分。</w:t>
            </w:r>
          </w:p>
          <w:p w14:paraId="2E9C218E">
            <w:pPr>
              <w:spacing w:line="360" w:lineRule="auto"/>
              <w:rPr>
                <w:rFonts w:hint="eastAsia" w:ascii="仿宋" w:hAnsi="仿宋" w:eastAsia="仿宋" w:cs="仿宋"/>
                <w:snapToGrid w:val="0"/>
                <w:color w:val="auto"/>
                <w:kern w:val="28"/>
                <w:sz w:val="24"/>
                <w:szCs w:val="24"/>
                <w:highlight w:val="none"/>
                <w:lang w:eastAsia="zh-CN"/>
              </w:rPr>
            </w:pPr>
            <w:r>
              <w:rPr>
                <w:rFonts w:hint="eastAsia" w:ascii="仿宋" w:hAnsi="仿宋" w:eastAsia="仿宋" w:cs="仿宋"/>
                <w:b/>
                <w:bCs/>
                <w:color w:val="auto"/>
                <w:sz w:val="24"/>
                <w:szCs w:val="24"/>
                <w:highlight w:val="none"/>
              </w:rPr>
              <w:t>本项目通用总则条款与前附表等专用特别规定有冲突之处，以专用条款（特别规定）为准</w:t>
            </w:r>
          </w:p>
        </w:tc>
      </w:tr>
      <w:bookmarkEnd w:id="10"/>
    </w:tbl>
    <w:p w14:paraId="63B1ABF8">
      <w:pPr>
        <w:rPr>
          <w:rFonts w:hint="eastAsia" w:ascii="仿宋" w:hAnsi="仿宋" w:eastAsia="仿宋" w:cs="仿宋"/>
          <w:b/>
          <w:color w:val="auto"/>
          <w:sz w:val="32"/>
          <w:szCs w:val="20"/>
          <w:highlight w:val="none"/>
        </w:rPr>
      </w:pPr>
      <w:bookmarkStart w:id="11" w:name="第三部分"/>
      <w:bookmarkStart w:id="12" w:name="_Toc164416483"/>
      <w:r>
        <w:rPr>
          <w:rFonts w:hint="eastAsia" w:ascii="仿宋" w:hAnsi="仿宋" w:eastAsia="仿宋" w:cs="仿宋"/>
          <w:b/>
          <w:color w:val="auto"/>
          <w:sz w:val="32"/>
          <w:szCs w:val="20"/>
          <w:highlight w:val="none"/>
        </w:rPr>
        <w:br w:type="page"/>
      </w:r>
    </w:p>
    <w:p w14:paraId="76100FD9">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3D3E6863">
      <w:pPr>
        <w:snapToGrid w:val="0"/>
        <w:spacing w:line="360" w:lineRule="auto"/>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786F2EA0">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适用于该项目的</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、资格审查及信用信息查询、评标、定标、合同、验收等行为（法律、法规另有规定的，从其规定）。</w:t>
      </w:r>
    </w:p>
    <w:p w14:paraId="6196201A">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0B07366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w:t>
      </w:r>
      <w:r>
        <w:rPr>
          <w:rFonts w:hint="eastAsia" w:ascii="仿宋" w:hAnsi="仿宋" w:eastAsia="仿宋" w:cs="仿宋"/>
          <w:color w:val="auto"/>
          <w:sz w:val="24"/>
          <w:highlight w:val="none"/>
          <w:lang w:eastAsia="zh-CN"/>
        </w:rPr>
        <w:t>交易公告</w:t>
      </w:r>
      <w:r>
        <w:rPr>
          <w:rFonts w:hint="eastAsia" w:ascii="仿宋" w:hAnsi="仿宋" w:eastAsia="仿宋" w:cs="仿宋"/>
          <w:color w:val="auto"/>
          <w:sz w:val="24"/>
          <w:highlight w:val="none"/>
        </w:rPr>
        <w:t>中载明的本项目的采购人。</w:t>
      </w:r>
    </w:p>
    <w:p w14:paraId="60B5D9D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w:t>
      </w:r>
      <w:r>
        <w:rPr>
          <w:rFonts w:hint="eastAsia" w:ascii="仿宋" w:hAnsi="仿宋" w:eastAsia="仿宋" w:cs="仿宋"/>
          <w:color w:val="auto"/>
          <w:sz w:val="24"/>
          <w:highlight w:val="none"/>
          <w:lang w:eastAsia="zh-CN"/>
        </w:rPr>
        <w:t>交易公告</w:t>
      </w:r>
      <w:r>
        <w:rPr>
          <w:rFonts w:hint="eastAsia" w:ascii="仿宋" w:hAnsi="仿宋" w:eastAsia="仿宋" w:cs="仿宋"/>
          <w:color w:val="auto"/>
          <w:sz w:val="24"/>
          <w:highlight w:val="none"/>
        </w:rPr>
        <w:t>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1540963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”系指是指响应</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、参加竞争的法人、其他组织或者自然人。</w:t>
      </w:r>
    </w:p>
    <w:p w14:paraId="7EF09B2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79DE745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时须提供《业务专用章使用说明函》（附件</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p>
    <w:p w14:paraId="27E92C3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指本项目采购活动所依托的</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www.lecaiyun.com</w:t>
      </w:r>
      <w:r>
        <w:rPr>
          <w:rFonts w:hint="eastAsia" w:ascii="仿宋" w:hAnsi="仿宋" w:eastAsia="仿宋" w:cs="仿宋"/>
          <w:color w:val="auto"/>
          <w:sz w:val="24"/>
          <w:highlight w:val="none"/>
        </w:rPr>
        <w:t>）。</w:t>
      </w:r>
    </w:p>
    <w:p w14:paraId="29569F4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eastAsia="zh-CN"/>
        </w:rPr>
        <w:sym w:font="Wingdings" w:char="00FE"/>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系指适用本项目的要求，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eastAsia="zh-CN"/>
        </w:rPr>
        <w:sym w:font="Wingdings" w:char="00A8"/>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系指不适用本项目的要求。</w:t>
      </w:r>
    </w:p>
    <w:p w14:paraId="42043A4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 询问、质疑、投诉</w:t>
      </w:r>
    </w:p>
    <w:p w14:paraId="0C4CA2BC">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3.1</w:t>
      </w:r>
      <w:r>
        <w:rPr>
          <w:rFonts w:hint="eastAsia" w:ascii="仿宋" w:hAnsi="仿宋" w:eastAsia="仿宋" w:cs="仿宋"/>
          <w:color w:val="auto"/>
          <w:kern w:val="0"/>
          <w:sz w:val="24"/>
          <w:highlight w:val="none"/>
          <w:lang w:val="zh-CN"/>
        </w:rPr>
        <w:t>供应商询问</w:t>
      </w:r>
    </w:p>
    <w:p w14:paraId="4432FECB">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37DD70F">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3.2</w:t>
      </w:r>
      <w:r>
        <w:rPr>
          <w:rFonts w:hint="eastAsia" w:ascii="仿宋" w:hAnsi="仿宋" w:eastAsia="仿宋" w:cs="仿宋"/>
          <w:color w:val="auto"/>
          <w:kern w:val="0"/>
          <w:sz w:val="24"/>
          <w:highlight w:val="none"/>
          <w:lang w:val="zh-CN"/>
        </w:rPr>
        <w:t>供应商质疑</w:t>
      </w:r>
    </w:p>
    <w:p w14:paraId="34F37298">
      <w:pPr>
        <w:pStyle w:val="33"/>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3.2</w:t>
      </w:r>
      <w:r>
        <w:rPr>
          <w:rFonts w:hint="eastAsia" w:ascii="仿宋" w:hAnsi="仿宋" w:eastAsia="仿宋" w:cs="仿宋"/>
          <w:color w:val="auto"/>
          <w:sz w:val="24"/>
          <w:highlight w:val="none"/>
        </w:rPr>
        <w:t>.1提出质疑的供应商应当是参与所质疑项目采购活动的供应商。潜在供应商已依法获取其可质疑的</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的，可以对该文件提出质疑。</w:t>
      </w:r>
    </w:p>
    <w:p w14:paraId="01F403CC">
      <w:pPr>
        <w:pStyle w:val="33"/>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3.2</w:t>
      </w:r>
      <w:r>
        <w:rPr>
          <w:rFonts w:hint="eastAsia" w:ascii="仿宋" w:hAnsi="仿宋" w:eastAsia="仿宋" w:cs="仿宋"/>
          <w:color w:val="auto"/>
          <w:sz w:val="24"/>
          <w:highlight w:val="none"/>
        </w:rPr>
        <w:t>.2供应商认为</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、采购过程和</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14:paraId="4F66E187">
      <w:pPr>
        <w:pStyle w:val="15"/>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snapToGrid/>
          <w:color w:val="auto"/>
          <w:kern w:val="2"/>
          <w:sz w:val="24"/>
          <w:highlight w:val="none"/>
        </w:rPr>
      </w:pPr>
      <w:r>
        <w:rPr>
          <w:rFonts w:hint="eastAsia" w:ascii="仿宋" w:hAnsi="仿宋" w:eastAsia="仿宋" w:cs="仿宋"/>
          <w:color w:val="auto"/>
          <w:kern w:val="0"/>
          <w:sz w:val="24"/>
          <w:highlight w:val="none"/>
          <w:lang w:val="en-US" w:eastAsia="zh-CN"/>
        </w:rPr>
        <w:t>3.2</w:t>
      </w:r>
      <w:r>
        <w:rPr>
          <w:rFonts w:hint="eastAsia" w:ascii="仿宋" w:hAnsi="仿宋" w:eastAsia="仿宋" w:cs="仿宋"/>
          <w:snapToGrid/>
          <w:color w:val="auto"/>
          <w:kern w:val="2"/>
          <w:sz w:val="24"/>
          <w:highlight w:val="none"/>
        </w:rPr>
        <w:t>.2.1对</w:t>
      </w:r>
      <w:r>
        <w:rPr>
          <w:rFonts w:hint="eastAsia" w:ascii="仿宋" w:hAnsi="仿宋" w:eastAsia="仿宋" w:cs="仿宋"/>
          <w:snapToGrid/>
          <w:color w:val="auto"/>
          <w:kern w:val="2"/>
          <w:sz w:val="24"/>
          <w:highlight w:val="none"/>
          <w:lang w:eastAsia="zh-CN"/>
        </w:rPr>
        <w:t>交易文件</w:t>
      </w:r>
      <w:r>
        <w:rPr>
          <w:rFonts w:hint="eastAsia" w:ascii="仿宋" w:hAnsi="仿宋" w:eastAsia="仿宋" w:cs="仿宋"/>
          <w:snapToGrid/>
          <w:color w:val="auto"/>
          <w:kern w:val="2"/>
          <w:sz w:val="24"/>
          <w:highlight w:val="none"/>
        </w:rPr>
        <w:t>提出质疑的，质疑期限为供应商获得</w:t>
      </w:r>
      <w:r>
        <w:rPr>
          <w:rFonts w:hint="eastAsia" w:ascii="仿宋" w:hAnsi="仿宋" w:eastAsia="仿宋" w:cs="仿宋"/>
          <w:snapToGrid/>
          <w:color w:val="auto"/>
          <w:kern w:val="2"/>
          <w:sz w:val="24"/>
          <w:highlight w:val="none"/>
          <w:lang w:eastAsia="zh-CN"/>
        </w:rPr>
        <w:t>交易文件</w:t>
      </w:r>
      <w:r>
        <w:rPr>
          <w:rFonts w:hint="eastAsia" w:ascii="仿宋" w:hAnsi="仿宋" w:eastAsia="仿宋" w:cs="仿宋"/>
          <w:snapToGrid/>
          <w:color w:val="auto"/>
          <w:kern w:val="2"/>
          <w:sz w:val="24"/>
          <w:highlight w:val="none"/>
        </w:rPr>
        <w:t>之日或者</w:t>
      </w:r>
      <w:r>
        <w:rPr>
          <w:rFonts w:hint="eastAsia" w:ascii="仿宋" w:hAnsi="仿宋" w:eastAsia="仿宋" w:cs="仿宋"/>
          <w:snapToGrid/>
          <w:color w:val="auto"/>
          <w:kern w:val="2"/>
          <w:sz w:val="24"/>
          <w:highlight w:val="none"/>
          <w:lang w:eastAsia="zh-CN"/>
        </w:rPr>
        <w:t>交易文件</w:t>
      </w:r>
      <w:r>
        <w:rPr>
          <w:rFonts w:hint="eastAsia" w:ascii="仿宋" w:hAnsi="仿宋" w:eastAsia="仿宋" w:cs="仿宋"/>
          <w:snapToGrid/>
          <w:color w:val="auto"/>
          <w:kern w:val="2"/>
          <w:sz w:val="24"/>
          <w:highlight w:val="none"/>
        </w:rPr>
        <w:t>公告期限届满之日起计算。</w:t>
      </w:r>
    </w:p>
    <w:p w14:paraId="16DAA1B1">
      <w:pPr>
        <w:pStyle w:val="33"/>
        <w:keepNext w:val="0"/>
        <w:keepLines w:val="0"/>
        <w:pageBreakBefore w:val="0"/>
        <w:kinsoku/>
        <w:wordWrap/>
        <w:overflowPunct/>
        <w:topLinePunct w:val="0"/>
        <w:bidi w:val="0"/>
        <w:adjustRightInd w:val="0"/>
        <w:spacing w:line="360" w:lineRule="auto"/>
        <w:ind w:left="479" w:leftChars="228"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3.2</w:t>
      </w:r>
      <w:r>
        <w:rPr>
          <w:rFonts w:hint="eastAsia" w:ascii="仿宋" w:hAnsi="仿宋" w:eastAsia="仿宋" w:cs="仿宋"/>
          <w:color w:val="auto"/>
          <w:sz w:val="24"/>
          <w:highlight w:val="none"/>
        </w:rPr>
        <w:t>.2.2对采购过程提出质疑的，质疑期限为各采购程序环节结束之日起计算。</w:t>
      </w:r>
      <w:r>
        <w:rPr>
          <w:rFonts w:hint="eastAsia" w:ascii="仿宋" w:hAnsi="仿宋" w:eastAsia="仿宋" w:cs="仿宋"/>
          <w:color w:val="auto"/>
          <w:kern w:val="0"/>
          <w:sz w:val="24"/>
          <w:highlight w:val="none"/>
          <w:lang w:val="en-US" w:eastAsia="zh-CN"/>
        </w:rPr>
        <w:t>3.2</w:t>
      </w:r>
      <w:r>
        <w:rPr>
          <w:rFonts w:hint="eastAsia" w:ascii="仿宋" w:hAnsi="仿宋" w:eastAsia="仿宋" w:cs="仿宋"/>
          <w:color w:val="auto"/>
          <w:sz w:val="24"/>
          <w:highlight w:val="none"/>
        </w:rPr>
        <w:t>.2.3对采购结果提出质疑的，质疑期限自采购结果公告期限届满之日起计算。</w:t>
      </w:r>
    </w:p>
    <w:p w14:paraId="1B4BF7C0">
      <w:pPr>
        <w:pStyle w:val="33"/>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3.2</w:t>
      </w:r>
      <w:r>
        <w:rPr>
          <w:rFonts w:hint="eastAsia" w:ascii="仿宋" w:hAnsi="仿宋" w:eastAsia="仿宋" w:cs="仿宋"/>
          <w:color w:val="auto"/>
          <w:kern w:val="0"/>
          <w:sz w:val="24"/>
          <w:highlight w:val="none"/>
          <w:lang w:val="zh-CN"/>
        </w:rPr>
        <w:t>.3</w:t>
      </w:r>
      <w:r>
        <w:rPr>
          <w:rFonts w:hint="eastAsia" w:ascii="仿宋" w:hAnsi="仿宋" w:eastAsia="仿宋" w:cs="仿宋"/>
          <w:color w:val="auto"/>
          <w:sz w:val="24"/>
          <w:highlight w:val="none"/>
        </w:rPr>
        <w:t>供应商提出质疑应当提交质疑函和必要的证明材料。质疑函应当包括下列内容：</w:t>
      </w:r>
    </w:p>
    <w:p w14:paraId="51A5A1DD">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w:t>
      </w:r>
      <w:r>
        <w:rPr>
          <w:rFonts w:hint="eastAsia" w:ascii="仿宋" w:hAnsi="仿宋" w:eastAsia="仿宋" w:cs="仿宋"/>
          <w:color w:val="auto"/>
          <w:kern w:val="0"/>
          <w:sz w:val="24"/>
          <w:highlight w:val="none"/>
          <w:lang w:val="en-US" w:eastAsia="zh-CN"/>
        </w:rPr>
        <w:t>3.2</w:t>
      </w:r>
      <w:r>
        <w:rPr>
          <w:rFonts w:hint="eastAsia" w:ascii="仿宋" w:hAnsi="仿宋" w:eastAsia="仿宋" w:cs="仿宋"/>
          <w:color w:val="auto"/>
          <w:kern w:val="0"/>
          <w:sz w:val="24"/>
          <w:highlight w:val="none"/>
          <w:lang w:val="zh-CN"/>
        </w:rPr>
        <w:t>.3.1供应商的姓名或者名称、地址、邮编、联系人及联系电话；</w:t>
      </w:r>
    </w:p>
    <w:p w14:paraId="4004051D">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w:t>
      </w:r>
      <w:r>
        <w:rPr>
          <w:rFonts w:hint="eastAsia" w:ascii="仿宋" w:hAnsi="仿宋" w:eastAsia="仿宋" w:cs="仿宋"/>
          <w:color w:val="auto"/>
          <w:kern w:val="0"/>
          <w:sz w:val="24"/>
          <w:highlight w:val="none"/>
          <w:lang w:val="en-US" w:eastAsia="zh-CN"/>
        </w:rPr>
        <w:t>3.2</w:t>
      </w:r>
      <w:r>
        <w:rPr>
          <w:rFonts w:hint="eastAsia" w:ascii="仿宋" w:hAnsi="仿宋" w:eastAsia="仿宋" w:cs="仿宋"/>
          <w:color w:val="auto"/>
          <w:kern w:val="0"/>
          <w:sz w:val="24"/>
          <w:highlight w:val="none"/>
          <w:lang w:val="zh-CN"/>
        </w:rPr>
        <w:t>.3.2质疑项目的名称、编号；</w:t>
      </w:r>
    </w:p>
    <w:p w14:paraId="53DA52E4">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w:t>
      </w:r>
      <w:r>
        <w:rPr>
          <w:rFonts w:hint="eastAsia" w:ascii="仿宋" w:hAnsi="仿宋" w:eastAsia="仿宋" w:cs="仿宋"/>
          <w:color w:val="auto"/>
          <w:kern w:val="0"/>
          <w:sz w:val="24"/>
          <w:highlight w:val="none"/>
          <w:lang w:val="en-US" w:eastAsia="zh-CN"/>
        </w:rPr>
        <w:t>3.2</w:t>
      </w:r>
      <w:r>
        <w:rPr>
          <w:rFonts w:hint="eastAsia" w:ascii="仿宋" w:hAnsi="仿宋" w:eastAsia="仿宋" w:cs="仿宋"/>
          <w:color w:val="auto"/>
          <w:kern w:val="0"/>
          <w:sz w:val="24"/>
          <w:highlight w:val="none"/>
          <w:lang w:val="zh-CN"/>
        </w:rPr>
        <w:t>.3.3具体、明确的质疑事项和与质疑事项相关的请求；</w:t>
      </w:r>
    </w:p>
    <w:p w14:paraId="7B93EC1F">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w:t>
      </w:r>
      <w:r>
        <w:rPr>
          <w:rFonts w:hint="eastAsia" w:ascii="仿宋" w:hAnsi="仿宋" w:eastAsia="仿宋" w:cs="仿宋"/>
          <w:color w:val="auto"/>
          <w:kern w:val="0"/>
          <w:sz w:val="24"/>
          <w:highlight w:val="none"/>
          <w:lang w:val="en-US" w:eastAsia="zh-CN"/>
        </w:rPr>
        <w:t>3.2</w:t>
      </w:r>
      <w:r>
        <w:rPr>
          <w:rFonts w:hint="eastAsia" w:ascii="仿宋" w:hAnsi="仿宋" w:eastAsia="仿宋" w:cs="仿宋"/>
          <w:color w:val="auto"/>
          <w:kern w:val="0"/>
          <w:sz w:val="24"/>
          <w:highlight w:val="none"/>
          <w:lang w:val="zh-CN"/>
        </w:rPr>
        <w:t>.3.4事实依据；</w:t>
      </w:r>
    </w:p>
    <w:p w14:paraId="5FBD9B0B">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w:t>
      </w:r>
      <w:r>
        <w:rPr>
          <w:rFonts w:hint="eastAsia" w:ascii="仿宋" w:hAnsi="仿宋" w:eastAsia="仿宋" w:cs="仿宋"/>
          <w:color w:val="auto"/>
          <w:kern w:val="0"/>
          <w:sz w:val="24"/>
          <w:highlight w:val="none"/>
          <w:lang w:val="en-US" w:eastAsia="zh-CN"/>
        </w:rPr>
        <w:t>3.2</w:t>
      </w:r>
      <w:r>
        <w:rPr>
          <w:rFonts w:hint="eastAsia" w:ascii="仿宋" w:hAnsi="仿宋" w:eastAsia="仿宋" w:cs="仿宋"/>
          <w:color w:val="auto"/>
          <w:kern w:val="0"/>
          <w:sz w:val="24"/>
          <w:highlight w:val="none"/>
          <w:lang w:val="zh-CN"/>
        </w:rPr>
        <w:t>.3.5必要的法律依据；</w:t>
      </w:r>
    </w:p>
    <w:p w14:paraId="3C788E94">
      <w:pPr>
        <w:pStyle w:val="33"/>
        <w:keepNext w:val="0"/>
        <w:keepLines w:val="0"/>
        <w:pageBreakBefore w:val="0"/>
        <w:widowControl w:val="0"/>
        <w:kinsoku/>
        <w:wordWrap/>
        <w:overflowPunct/>
        <w:topLinePunct w:val="0"/>
        <w:autoSpaceDE/>
        <w:autoSpaceDN/>
        <w:bidi w:val="0"/>
        <w:adjustRightInd w:val="0"/>
        <w:snapToGrid/>
        <w:spacing w:line="360" w:lineRule="auto"/>
        <w:ind w:firstLine="960" w:firstLineChars="4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3.2</w:t>
      </w:r>
      <w:r>
        <w:rPr>
          <w:rFonts w:hint="eastAsia" w:ascii="仿宋" w:hAnsi="仿宋" w:eastAsia="仿宋" w:cs="仿宋"/>
          <w:color w:val="auto"/>
          <w:kern w:val="0"/>
          <w:sz w:val="24"/>
          <w:highlight w:val="none"/>
          <w:lang w:val="zh-CN"/>
        </w:rPr>
        <w:t>.3.6提出质疑的日期。</w:t>
      </w:r>
    </w:p>
    <w:p w14:paraId="0635D1F3">
      <w:pPr>
        <w:pStyle w:val="88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8D3A023">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w:t>
      </w:r>
    </w:p>
    <w:p w14:paraId="2AE31660">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kern w:val="0"/>
          <w:sz w:val="24"/>
          <w:highlight w:val="none"/>
          <w:lang w:val="en-US" w:eastAsia="zh-CN"/>
        </w:rPr>
        <w:t>3.2</w:t>
      </w:r>
      <w:r>
        <w:rPr>
          <w:rFonts w:hint="eastAsia" w:ascii="仿宋" w:hAnsi="仿宋" w:eastAsia="仿宋" w:cs="仿宋"/>
          <w:color w:val="auto"/>
          <w:highlight w:val="none"/>
        </w:rPr>
        <w:t>.4对同一采购程序环节的质疑，供应商须在法定质疑期内一次性提出。</w:t>
      </w:r>
    </w:p>
    <w:p w14:paraId="2AD8558F">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kern w:val="0"/>
          <w:sz w:val="24"/>
          <w:highlight w:val="none"/>
          <w:lang w:val="en-US" w:eastAsia="zh-CN"/>
        </w:rPr>
        <w:t>3.2</w:t>
      </w:r>
      <w:r>
        <w:rPr>
          <w:rFonts w:hint="eastAsia" w:ascii="仿宋" w:hAnsi="仿宋" w:eastAsia="仿宋" w:cs="仿宋"/>
          <w:color w:val="auto"/>
          <w:highlight w:val="none"/>
        </w:rPr>
        <w:t>.5采购人或者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在质疑回复后5个工作日内，在浙江政府采购网的“其他公告”栏目公开质疑答复，答复内容应当完整。质疑函作为附件上传。</w:t>
      </w:r>
    </w:p>
    <w:p w14:paraId="460FE629">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kern w:val="0"/>
          <w:sz w:val="24"/>
          <w:highlight w:val="none"/>
          <w:lang w:val="en-US" w:eastAsia="zh-CN"/>
        </w:rPr>
        <w:t>3.2</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3B94970E">
      <w:pPr>
        <w:pStyle w:val="888"/>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en-US" w:eastAsia="zh-CN"/>
        </w:rPr>
        <w:t>3.3</w:t>
      </w:r>
      <w:r>
        <w:rPr>
          <w:rFonts w:hint="eastAsia" w:ascii="仿宋" w:hAnsi="仿宋" w:eastAsia="仿宋" w:cs="仿宋"/>
          <w:color w:val="auto"/>
          <w:highlight w:val="none"/>
          <w:lang w:val="zh-CN"/>
        </w:rPr>
        <w:t>供应商投诉</w:t>
      </w:r>
    </w:p>
    <w:p w14:paraId="4F3EAE82">
      <w:pPr>
        <w:pStyle w:val="888"/>
        <w:keepNext w:val="0"/>
        <w:keepLines w:val="0"/>
        <w:pageBreakBefore w:val="0"/>
        <w:widowControl/>
        <w:shd w:val="clear" w:color="auto" w:fill="FFFFFF"/>
        <w:kinsoku/>
        <w:wordWrap/>
        <w:overflowPunct/>
        <w:topLinePunct w:val="0"/>
        <w:autoSpaceDE/>
        <w:autoSpaceDN/>
        <w:bidi w:val="0"/>
        <w:adjustRightInd/>
        <w:snapToGrid w:val="0"/>
        <w:spacing w:after="240" w:afterAutospacing="0" w:line="360" w:lineRule="auto"/>
        <w:ind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3.3</w:t>
      </w:r>
      <w:r>
        <w:rPr>
          <w:rFonts w:hint="eastAsia" w:ascii="仿宋" w:hAnsi="仿宋" w:eastAsia="仿宋" w:cs="仿宋"/>
          <w:color w:val="auto"/>
          <w:highlight w:val="none"/>
        </w:rPr>
        <w:t>.1质疑供应商对采购人、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的答复不满意或者采购人、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未在规定的时间内作出答复的，可以在答复期满后十五个工作日内向同级采购监督管理部门提出投诉。</w:t>
      </w:r>
    </w:p>
    <w:p w14:paraId="2862BA37">
      <w:pPr>
        <w:pStyle w:val="888"/>
        <w:keepNext w:val="0"/>
        <w:keepLines w:val="0"/>
        <w:pageBreakBefore w:val="0"/>
        <w:widowControl/>
        <w:shd w:val="clear" w:color="auto" w:fill="FFFFFF"/>
        <w:kinsoku/>
        <w:wordWrap/>
        <w:overflowPunct/>
        <w:topLinePunct w:val="0"/>
        <w:autoSpaceDE/>
        <w:autoSpaceDN/>
        <w:bidi w:val="0"/>
        <w:adjustRightInd/>
        <w:snapToGrid w:val="0"/>
        <w:spacing w:after="240" w:afterAutospacing="0" w:line="360" w:lineRule="auto"/>
        <w:ind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3.3</w:t>
      </w:r>
      <w:r>
        <w:rPr>
          <w:rFonts w:hint="eastAsia" w:ascii="仿宋" w:hAnsi="仿宋" w:eastAsia="仿宋" w:cs="仿宋"/>
          <w:color w:val="auto"/>
          <w:highlight w:val="none"/>
        </w:rPr>
        <w:t>.</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70855200">
      <w:pPr>
        <w:pStyle w:val="888"/>
        <w:keepNext w:val="0"/>
        <w:keepLines w:val="0"/>
        <w:pageBreakBefore w:val="0"/>
        <w:widowControl/>
        <w:shd w:val="clear" w:color="auto" w:fill="FFFFFF"/>
        <w:kinsoku/>
        <w:wordWrap/>
        <w:overflowPunct/>
        <w:topLinePunct w:val="0"/>
        <w:autoSpaceDE/>
        <w:autoSpaceDN/>
        <w:bidi w:val="0"/>
        <w:adjustRightInd/>
        <w:snapToGrid w:val="0"/>
        <w:spacing w:after="240" w:afterAutospacing="0" w:line="360" w:lineRule="auto"/>
        <w:ind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3.3</w:t>
      </w:r>
      <w:r>
        <w:rPr>
          <w:rFonts w:hint="eastAsia" w:ascii="仿宋" w:hAnsi="仿宋" w:eastAsia="仿宋" w:cs="仿宋"/>
          <w:color w:val="auto"/>
          <w:highlight w:val="none"/>
        </w:rPr>
        <w:t>.3供应商投诉应当有明确的请求和必要的证明材料。</w:t>
      </w:r>
    </w:p>
    <w:p w14:paraId="00C6360E">
      <w:pPr>
        <w:pStyle w:val="888"/>
        <w:keepNext w:val="0"/>
        <w:keepLines w:val="0"/>
        <w:pageBreakBefore w:val="0"/>
        <w:widowControl/>
        <w:shd w:val="clear" w:color="auto" w:fill="FFFFFF"/>
        <w:kinsoku/>
        <w:wordWrap/>
        <w:overflowPunct/>
        <w:topLinePunct w:val="0"/>
        <w:autoSpaceDE/>
        <w:autoSpaceDN/>
        <w:bidi w:val="0"/>
        <w:adjustRightInd/>
        <w:snapToGrid w:val="0"/>
        <w:spacing w:after="240" w:afterAutospacing="0" w:line="360" w:lineRule="auto"/>
        <w:ind w:firstLine="480" w:firstLineChars="200"/>
        <w:contextualSpacing/>
        <w:textAlignment w:val="auto"/>
        <w:rPr>
          <w:rFonts w:hint="eastAsia" w:ascii="仿宋" w:hAnsi="仿宋" w:eastAsia="仿宋" w:cs="仿宋"/>
          <w:color w:val="auto"/>
          <w:sz w:val="18"/>
          <w:szCs w:val="18"/>
          <w:highlight w:val="none"/>
        </w:rPr>
      </w:pPr>
      <w:r>
        <w:rPr>
          <w:rFonts w:hint="eastAsia" w:ascii="仿宋" w:hAnsi="仿宋" w:eastAsia="仿宋" w:cs="仿宋"/>
          <w:color w:val="auto"/>
          <w:highlight w:val="none"/>
        </w:rPr>
        <w:t>投诉书范本及制作说明详见附件</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w:t>
      </w:r>
    </w:p>
    <w:p w14:paraId="133FF910">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w:t>
      </w:r>
      <w:r>
        <w:rPr>
          <w:rFonts w:hint="eastAsia" w:ascii="仿宋" w:hAnsi="仿宋" w:eastAsia="仿宋" w:cs="仿宋"/>
          <w:b/>
          <w:color w:val="auto"/>
          <w:sz w:val="32"/>
          <w:szCs w:val="20"/>
          <w:highlight w:val="none"/>
          <w:lang w:eastAsia="zh-CN"/>
        </w:rPr>
        <w:t>交易文件</w:t>
      </w:r>
      <w:r>
        <w:rPr>
          <w:rFonts w:hint="eastAsia" w:ascii="仿宋" w:hAnsi="仿宋" w:eastAsia="仿宋" w:cs="仿宋"/>
          <w:b/>
          <w:color w:val="auto"/>
          <w:sz w:val="32"/>
          <w:szCs w:val="20"/>
          <w:highlight w:val="none"/>
        </w:rPr>
        <w:t>的构成、澄清、修改</w:t>
      </w:r>
    </w:p>
    <w:p w14:paraId="6673074A">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eastAsia="zh-CN"/>
        </w:rPr>
        <w:t>交易文件</w:t>
      </w:r>
      <w:r>
        <w:rPr>
          <w:rFonts w:hint="eastAsia" w:ascii="仿宋" w:hAnsi="仿宋" w:eastAsia="仿宋" w:cs="仿宋"/>
          <w:b/>
          <w:color w:val="auto"/>
          <w:sz w:val="24"/>
          <w:szCs w:val="24"/>
          <w:highlight w:val="none"/>
        </w:rPr>
        <w:t>的构成</w:t>
      </w:r>
    </w:p>
    <w:p w14:paraId="60EE4142">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eastAsia="zh-CN"/>
        </w:rPr>
        <w:t>交易文件</w:t>
      </w:r>
      <w:r>
        <w:rPr>
          <w:rFonts w:hint="eastAsia" w:ascii="仿宋" w:hAnsi="仿宋" w:eastAsia="仿宋" w:cs="仿宋"/>
          <w:color w:val="auto"/>
          <w:sz w:val="24"/>
          <w:szCs w:val="24"/>
          <w:highlight w:val="none"/>
        </w:rPr>
        <w:t>包括下列文件及附件：</w:t>
      </w:r>
    </w:p>
    <w:p w14:paraId="49878332">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eastAsia="zh-CN"/>
        </w:rPr>
        <w:t>交易公告</w:t>
      </w:r>
      <w:r>
        <w:rPr>
          <w:rFonts w:hint="eastAsia" w:ascii="仿宋" w:hAnsi="仿宋" w:eastAsia="仿宋" w:cs="仿宋"/>
          <w:color w:val="auto"/>
          <w:sz w:val="24"/>
          <w:szCs w:val="24"/>
          <w:highlight w:val="none"/>
        </w:rPr>
        <w:t>；</w:t>
      </w:r>
    </w:p>
    <w:p w14:paraId="0C1C61FB">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eastAsia="zh-CN"/>
        </w:rPr>
        <w:t>供应商须知</w:t>
      </w:r>
      <w:r>
        <w:rPr>
          <w:rFonts w:hint="eastAsia" w:ascii="仿宋" w:hAnsi="仿宋" w:eastAsia="仿宋" w:cs="仿宋"/>
          <w:color w:val="auto"/>
          <w:sz w:val="24"/>
          <w:szCs w:val="24"/>
          <w:highlight w:val="none"/>
        </w:rPr>
        <w:t>；</w:t>
      </w:r>
    </w:p>
    <w:p w14:paraId="2FE36DC8">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.1.3采购需求；</w:t>
      </w:r>
    </w:p>
    <w:p w14:paraId="1F20AB29">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.1.4评标办法；</w:t>
      </w:r>
    </w:p>
    <w:p w14:paraId="62CE8A13">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.1.5拟签订的合同文本；</w:t>
      </w:r>
    </w:p>
    <w:p w14:paraId="7DD1D98E">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.1.6</w:t>
      </w:r>
      <w:r>
        <w:rPr>
          <w:rFonts w:hint="eastAsia" w:ascii="仿宋" w:hAnsi="仿宋" w:eastAsia="仿宋" w:cs="仿宋"/>
          <w:color w:val="auto"/>
          <w:sz w:val="24"/>
          <w:szCs w:val="24"/>
          <w:highlight w:val="none"/>
        </w:rPr>
        <w:t>应提交的有关格式范例。</w:t>
      </w:r>
    </w:p>
    <w:p w14:paraId="52AF350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.2与本项目有关的</w:t>
      </w:r>
      <w:r>
        <w:rPr>
          <w:rFonts w:hint="eastAsia" w:ascii="仿宋" w:hAnsi="仿宋" w:eastAsia="仿宋" w:cs="仿宋"/>
          <w:bCs/>
          <w:color w:val="auto"/>
          <w:sz w:val="24"/>
          <w:highlight w:val="none"/>
        </w:rPr>
        <w:t>澄清或者修改的内容为</w:t>
      </w:r>
      <w:r>
        <w:rPr>
          <w:rFonts w:hint="eastAsia" w:ascii="仿宋" w:hAnsi="仿宋" w:eastAsia="仿宋" w:cs="仿宋"/>
          <w:bCs/>
          <w:color w:val="auto"/>
          <w:sz w:val="24"/>
          <w:highlight w:val="none"/>
          <w:lang w:eastAsia="zh-CN"/>
        </w:rPr>
        <w:t>交易文件</w:t>
      </w:r>
      <w:r>
        <w:rPr>
          <w:rFonts w:hint="eastAsia" w:ascii="仿宋" w:hAnsi="仿宋" w:eastAsia="仿宋" w:cs="仿宋"/>
          <w:bCs/>
          <w:color w:val="auto"/>
          <w:sz w:val="24"/>
          <w:highlight w:val="none"/>
        </w:rPr>
        <w:t>的组成部分</w:t>
      </w:r>
      <w:r>
        <w:rPr>
          <w:rFonts w:hint="eastAsia" w:ascii="仿宋" w:hAnsi="仿宋" w:eastAsia="仿宋" w:cs="仿宋"/>
          <w:color w:val="auto"/>
          <w:sz w:val="24"/>
          <w:highlight w:val="none"/>
        </w:rPr>
        <w:t>。</w:t>
      </w:r>
    </w:p>
    <w:p w14:paraId="2F61223D">
      <w:pPr>
        <w:pStyle w:val="33"/>
        <w:spacing w:line="360" w:lineRule="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eastAsia="zh-CN"/>
        </w:rPr>
        <w:t>交易文件</w:t>
      </w:r>
      <w:r>
        <w:rPr>
          <w:rFonts w:hint="eastAsia" w:ascii="仿宋" w:hAnsi="仿宋" w:eastAsia="仿宋" w:cs="仿宋"/>
          <w:b/>
          <w:color w:val="auto"/>
          <w:sz w:val="24"/>
          <w:szCs w:val="24"/>
          <w:highlight w:val="none"/>
        </w:rPr>
        <w:t>的澄清、修改</w:t>
      </w:r>
    </w:p>
    <w:p w14:paraId="1CF02A61">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.1已获取</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的潜在</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，若有问题需要澄清，应于</w:t>
      </w:r>
      <w:r>
        <w:rPr>
          <w:rFonts w:hint="eastAsia" w:ascii="仿宋" w:hAnsi="仿宋" w:eastAsia="仿宋" w:cs="仿宋"/>
          <w:color w:val="auto"/>
          <w:highlight w:val="none"/>
          <w:lang w:eastAsia="zh-CN"/>
        </w:rPr>
        <w:t>响应截止时间</w:t>
      </w:r>
      <w:r>
        <w:rPr>
          <w:rFonts w:hint="eastAsia" w:ascii="仿宋" w:hAnsi="仿宋" w:eastAsia="仿宋" w:cs="仿宋"/>
          <w:color w:val="auto"/>
          <w:highlight w:val="none"/>
        </w:rPr>
        <w:t>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14:paraId="46EDA3FE">
      <w:pPr>
        <w:pStyle w:val="130"/>
        <w:keepNext w:val="0"/>
        <w:keepLines w:val="0"/>
        <w:pageBreakBefore w:val="0"/>
        <w:widowControl w:val="0"/>
        <w:kinsoku/>
        <w:wordWrap/>
        <w:overflowPunct/>
        <w:topLinePunct w:val="0"/>
        <w:autoSpaceDE/>
        <w:autoSpaceDN/>
        <w:bidi w:val="0"/>
        <w:adjustRightInd w:val="0"/>
        <w:snapToGrid w:val="0"/>
        <w:spacing w:before="0" w:after="240"/>
        <w:ind w:firstLine="480"/>
        <w:textAlignment w:val="auto"/>
        <w:rPr>
          <w:rFonts w:hint="eastAsia" w:ascii="仿宋" w:hAnsi="仿宋" w:eastAsia="仿宋" w:cs="仿宋"/>
          <w:color w:val="auto"/>
          <w:sz w:val="18"/>
          <w:szCs w:val="18"/>
          <w:highlight w:val="none"/>
          <w:lang w:val="en-US"/>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 xml:space="preserve">.2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进行澄清或修改的，将同时通过电子交易平台通知已获取</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的潜在</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。依法应当公告的，将按规定公告，同时视情况延长</w:t>
      </w:r>
      <w:r>
        <w:rPr>
          <w:rFonts w:hint="eastAsia" w:ascii="仿宋" w:hAnsi="仿宋" w:eastAsia="仿宋" w:cs="仿宋"/>
          <w:color w:val="auto"/>
          <w:highlight w:val="none"/>
          <w:lang w:eastAsia="zh-CN"/>
        </w:rPr>
        <w:t>响应截止时间</w:t>
      </w:r>
      <w:r>
        <w:rPr>
          <w:rFonts w:hint="eastAsia" w:ascii="仿宋" w:hAnsi="仿宋" w:eastAsia="仿宋" w:cs="仿宋"/>
          <w:color w:val="auto"/>
          <w:highlight w:val="none"/>
        </w:rPr>
        <w:t>和</w:t>
      </w:r>
      <w:r>
        <w:rPr>
          <w:rFonts w:hint="eastAsia" w:ascii="仿宋" w:hAnsi="仿宋" w:eastAsia="仿宋" w:cs="仿宋"/>
          <w:color w:val="auto"/>
          <w:highlight w:val="none"/>
          <w:lang w:eastAsia="zh-CN"/>
        </w:rPr>
        <w:t>交易时间</w:t>
      </w:r>
      <w:r>
        <w:rPr>
          <w:rFonts w:hint="eastAsia" w:ascii="仿宋" w:hAnsi="仿宋" w:eastAsia="仿宋" w:cs="仿宋"/>
          <w:color w:val="auto"/>
          <w:highlight w:val="none"/>
        </w:rPr>
        <w:t>。该澄清或者修改的内容为</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的组成部分。</w:t>
      </w:r>
      <w:r>
        <w:rPr>
          <w:rFonts w:hint="eastAsia" w:ascii="仿宋" w:hAnsi="仿宋" w:eastAsia="仿宋" w:cs="仿宋"/>
          <w:color w:val="auto"/>
          <w:szCs w:val="24"/>
          <w:highlight w:val="none"/>
          <w:lang w:val="en-US"/>
        </w:rPr>
        <w:t xml:space="preserve">    </w:t>
      </w:r>
    </w:p>
    <w:p w14:paraId="733C0FCE">
      <w:pPr>
        <w:adjustRightInd/>
        <w:spacing w:line="360" w:lineRule="auto"/>
        <w:jc w:val="center"/>
        <w:outlineLvl w:val="0"/>
        <w:rPr>
          <w:rFonts w:hint="eastAsia" w:ascii="仿宋" w:hAnsi="仿宋" w:eastAsia="仿宋" w:cs="仿宋"/>
          <w:b/>
          <w:color w:val="auto"/>
          <w:sz w:val="30"/>
          <w:szCs w:val="20"/>
          <w:highlight w:val="none"/>
          <w:lang w:eastAsia="zh-CN"/>
        </w:rPr>
      </w:pPr>
      <w:r>
        <w:rPr>
          <w:rFonts w:hint="eastAsia" w:ascii="仿宋" w:hAnsi="仿宋" w:eastAsia="仿宋" w:cs="仿宋"/>
          <w:b/>
          <w:color w:val="auto"/>
          <w:sz w:val="30"/>
          <w:szCs w:val="20"/>
          <w:highlight w:val="none"/>
        </w:rPr>
        <w:t>三、</w:t>
      </w:r>
      <w:r>
        <w:rPr>
          <w:rFonts w:hint="eastAsia" w:ascii="仿宋" w:hAnsi="仿宋" w:eastAsia="仿宋" w:cs="仿宋"/>
          <w:b/>
          <w:color w:val="auto"/>
          <w:sz w:val="30"/>
          <w:szCs w:val="20"/>
          <w:highlight w:val="none"/>
          <w:lang w:val="en-US" w:eastAsia="zh-CN"/>
        </w:rPr>
        <w:t>响应</w:t>
      </w:r>
    </w:p>
    <w:p w14:paraId="04FA72C1">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eastAsia="zh-CN"/>
        </w:rPr>
        <w:t>交易文件</w:t>
      </w:r>
      <w:r>
        <w:rPr>
          <w:rFonts w:hint="eastAsia" w:ascii="仿宋" w:hAnsi="仿宋" w:eastAsia="仿宋" w:cs="仿宋"/>
          <w:b/>
          <w:color w:val="auto"/>
          <w:sz w:val="24"/>
          <w:szCs w:val="24"/>
          <w:highlight w:val="none"/>
        </w:rPr>
        <w:t>的获取</w:t>
      </w:r>
    </w:p>
    <w:p w14:paraId="70AE1E1F">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w:t>
      </w:r>
      <w:r>
        <w:rPr>
          <w:rFonts w:hint="eastAsia" w:ascii="仿宋" w:hAnsi="仿宋" w:eastAsia="仿宋" w:cs="仿宋"/>
          <w:snapToGrid w:val="0"/>
          <w:color w:val="auto"/>
          <w:kern w:val="28"/>
          <w:sz w:val="24"/>
          <w:highlight w:val="none"/>
          <w:lang w:eastAsia="zh-CN"/>
        </w:rPr>
        <w:t>交易公告</w:t>
      </w:r>
      <w:r>
        <w:rPr>
          <w:rFonts w:hint="eastAsia" w:ascii="仿宋" w:hAnsi="仿宋" w:eastAsia="仿宋" w:cs="仿宋"/>
          <w:snapToGrid w:val="0"/>
          <w:color w:val="auto"/>
          <w:kern w:val="28"/>
          <w:sz w:val="24"/>
          <w:highlight w:val="none"/>
        </w:rPr>
        <w:t>中获取</w:t>
      </w:r>
      <w:r>
        <w:rPr>
          <w:rFonts w:hint="eastAsia" w:ascii="仿宋" w:hAnsi="仿宋" w:eastAsia="仿宋" w:cs="仿宋"/>
          <w:snapToGrid w:val="0"/>
          <w:color w:val="auto"/>
          <w:kern w:val="28"/>
          <w:sz w:val="24"/>
          <w:highlight w:val="none"/>
          <w:lang w:eastAsia="zh-CN"/>
        </w:rPr>
        <w:t>交易文件</w:t>
      </w:r>
      <w:r>
        <w:rPr>
          <w:rFonts w:hint="eastAsia" w:ascii="仿宋" w:hAnsi="仿宋" w:eastAsia="仿宋" w:cs="仿宋"/>
          <w:snapToGrid w:val="0"/>
          <w:color w:val="auto"/>
          <w:kern w:val="28"/>
          <w:sz w:val="24"/>
          <w:highlight w:val="none"/>
        </w:rPr>
        <w:t>的时间期限、地点、方式及</w:t>
      </w:r>
      <w:r>
        <w:rPr>
          <w:rFonts w:hint="eastAsia" w:ascii="仿宋" w:hAnsi="仿宋" w:eastAsia="仿宋" w:cs="仿宋"/>
          <w:snapToGrid w:val="0"/>
          <w:color w:val="auto"/>
          <w:kern w:val="28"/>
          <w:sz w:val="24"/>
          <w:highlight w:val="none"/>
          <w:lang w:eastAsia="zh-CN"/>
        </w:rPr>
        <w:t>交易文件</w:t>
      </w:r>
      <w:r>
        <w:rPr>
          <w:rFonts w:hint="eastAsia" w:ascii="仿宋" w:hAnsi="仿宋" w:eastAsia="仿宋" w:cs="仿宋"/>
          <w:snapToGrid w:val="0"/>
          <w:color w:val="auto"/>
          <w:kern w:val="28"/>
          <w:sz w:val="24"/>
          <w:highlight w:val="none"/>
        </w:rPr>
        <w:t>售价。</w:t>
      </w:r>
    </w:p>
    <w:p w14:paraId="4B0C315E">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交易</w:t>
      </w:r>
      <w:r>
        <w:rPr>
          <w:rFonts w:hint="eastAsia" w:ascii="仿宋" w:hAnsi="仿宋" w:eastAsia="仿宋" w:cs="仿宋"/>
          <w:b/>
          <w:color w:val="auto"/>
          <w:sz w:val="24"/>
          <w:szCs w:val="24"/>
          <w:highlight w:val="none"/>
        </w:rPr>
        <w:t>前答疑会或现场考察</w:t>
      </w:r>
    </w:p>
    <w:p w14:paraId="370D188B">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现场考察或者召开</w:t>
      </w:r>
      <w:r>
        <w:rPr>
          <w:rFonts w:hint="eastAsia" w:ascii="仿宋" w:hAnsi="仿宋" w:eastAsia="仿宋" w:cs="仿宋"/>
          <w:color w:val="auto"/>
          <w:sz w:val="24"/>
          <w:szCs w:val="24"/>
          <w:highlight w:val="none"/>
          <w:lang w:val="en-US" w:eastAsia="zh-CN"/>
        </w:rPr>
        <w:t>交易</w:t>
      </w:r>
      <w:r>
        <w:rPr>
          <w:rFonts w:hint="eastAsia" w:ascii="仿宋" w:hAnsi="仿宋" w:eastAsia="仿宋" w:cs="仿宋"/>
          <w:color w:val="auto"/>
          <w:sz w:val="24"/>
          <w:szCs w:val="24"/>
          <w:highlight w:val="none"/>
        </w:rPr>
        <w:t>前答疑会的，潜在</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按第二部分</w:t>
      </w:r>
      <w:r>
        <w:rPr>
          <w:rFonts w:hint="eastAsia" w:ascii="仿宋" w:hAnsi="仿宋" w:eastAsia="仿宋" w:cs="仿宋"/>
          <w:color w:val="auto"/>
          <w:sz w:val="24"/>
          <w:szCs w:val="24"/>
          <w:highlight w:val="none"/>
          <w:lang w:eastAsia="zh-CN"/>
        </w:rPr>
        <w:t>供应商须知</w:t>
      </w:r>
      <w:r>
        <w:rPr>
          <w:rFonts w:hint="eastAsia" w:ascii="仿宋" w:hAnsi="仿宋" w:eastAsia="仿宋" w:cs="仿宋"/>
          <w:color w:val="auto"/>
          <w:sz w:val="24"/>
          <w:szCs w:val="24"/>
          <w:highlight w:val="none"/>
        </w:rPr>
        <w:t>前附表的规定参加现场考察或者</w:t>
      </w:r>
      <w:r>
        <w:rPr>
          <w:rFonts w:hint="eastAsia" w:ascii="仿宋" w:hAnsi="仿宋" w:eastAsia="仿宋" w:cs="仿宋"/>
          <w:color w:val="auto"/>
          <w:sz w:val="24"/>
          <w:szCs w:val="24"/>
          <w:highlight w:val="none"/>
          <w:lang w:val="en-US" w:eastAsia="zh-CN"/>
        </w:rPr>
        <w:t>交易</w:t>
      </w:r>
      <w:r>
        <w:rPr>
          <w:rFonts w:hint="eastAsia" w:ascii="仿宋" w:hAnsi="仿宋" w:eastAsia="仿宋" w:cs="仿宋"/>
          <w:color w:val="auto"/>
          <w:sz w:val="24"/>
          <w:szCs w:val="24"/>
          <w:highlight w:val="none"/>
        </w:rPr>
        <w:t>前答疑会。</w:t>
      </w:r>
    </w:p>
    <w:p w14:paraId="2F01B5CD">
      <w:pPr>
        <w:pStyle w:val="33"/>
        <w:spacing w:line="360" w:lineRule="auto"/>
        <w:rPr>
          <w:rFonts w:hint="eastAsia" w:ascii="仿宋" w:hAnsi="仿宋" w:eastAsia="仿宋" w:cs="仿宋"/>
          <w:b/>
          <w:color w:val="auto"/>
          <w:szCs w:val="24"/>
          <w:highlight w:val="none"/>
          <w:lang w:eastAsia="zh-CN"/>
        </w:rPr>
      </w:pPr>
      <w:r>
        <w:rPr>
          <w:rFonts w:hint="eastAsia" w:ascii="仿宋" w:hAnsi="仿宋" w:eastAsia="仿宋" w:cs="仿宋"/>
          <w:b/>
          <w:color w:val="auto"/>
          <w:kern w:val="28"/>
          <w:sz w:val="24"/>
          <w:szCs w:val="24"/>
          <w:highlight w:val="none"/>
          <w:lang w:val="en-US" w:eastAsia="zh-CN"/>
        </w:rPr>
        <w:t>8</w:t>
      </w:r>
      <w:r>
        <w:rPr>
          <w:rFonts w:hint="eastAsia" w:ascii="仿宋" w:hAnsi="仿宋" w:eastAsia="仿宋" w:cs="仿宋"/>
          <w:b/>
          <w:color w:val="auto"/>
          <w:kern w:val="28"/>
          <w:sz w:val="24"/>
          <w:szCs w:val="24"/>
          <w:highlight w:val="none"/>
        </w:rPr>
        <w:t>.</w:t>
      </w:r>
      <w:r>
        <w:rPr>
          <w:rFonts w:hint="eastAsia" w:ascii="仿宋" w:hAnsi="仿宋" w:eastAsia="仿宋" w:cs="仿宋"/>
          <w:b/>
          <w:color w:val="auto"/>
          <w:kern w:val="28"/>
          <w:sz w:val="24"/>
          <w:szCs w:val="24"/>
          <w:highlight w:val="none"/>
          <w:lang w:eastAsia="zh-CN"/>
        </w:rPr>
        <w:t>响应保证金</w:t>
      </w:r>
    </w:p>
    <w:p w14:paraId="39C4B4E0">
      <w:pPr>
        <w:pStyle w:val="1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w:t>
      </w:r>
      <w:r>
        <w:rPr>
          <w:rFonts w:hint="eastAsia" w:ascii="仿宋" w:hAnsi="仿宋" w:eastAsia="仿宋" w:cs="仿宋"/>
          <w:color w:val="auto"/>
          <w:sz w:val="24"/>
          <w:highlight w:val="none"/>
          <w:lang w:eastAsia="zh-CN"/>
        </w:rPr>
        <w:t>响应保证金</w:t>
      </w:r>
      <w:r>
        <w:rPr>
          <w:rFonts w:hint="eastAsia" w:ascii="仿宋" w:hAnsi="仿宋" w:eastAsia="仿宋" w:cs="仿宋"/>
          <w:color w:val="auto"/>
          <w:sz w:val="24"/>
          <w:highlight w:val="none"/>
        </w:rPr>
        <w:t>。</w:t>
      </w:r>
    </w:p>
    <w:p w14:paraId="55B216F6">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的语言</w:t>
      </w:r>
    </w:p>
    <w:p w14:paraId="66202FB8">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及</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与采购有关的来往通知、函件和文件均应使用中文。</w:t>
      </w:r>
    </w:p>
    <w:p w14:paraId="3B165607">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10</w:t>
      </w: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的组成</w:t>
      </w:r>
    </w:p>
    <w:p w14:paraId="39FC186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23FD4543">
      <w:pPr>
        <w:snapToGrid w:val="0"/>
        <w:spacing w:line="360" w:lineRule="auto"/>
        <w:ind w:firstLine="960" w:firstLineChars="4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.1.1符合参加采购活动应当具备的一般条件的承诺函</w:t>
      </w:r>
      <w:r>
        <w:rPr>
          <w:rFonts w:hint="eastAsia" w:ascii="仿宋" w:hAnsi="仿宋" w:eastAsia="仿宋" w:cs="仿宋"/>
          <w:color w:val="auto"/>
          <w:sz w:val="24"/>
          <w:highlight w:val="none"/>
          <w:lang w:eastAsia="zh-CN"/>
        </w:rPr>
        <w:t>。</w:t>
      </w:r>
    </w:p>
    <w:p w14:paraId="09662CCD">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b/>
          <w:bCs/>
          <w:i w:val="0"/>
          <w:iCs w:val="0"/>
          <w:color w:val="auto"/>
          <w:sz w:val="24"/>
          <w:highlight w:val="none"/>
        </w:rPr>
        <w:t>商务技术</w:t>
      </w:r>
      <w:r>
        <w:rPr>
          <w:rFonts w:hint="eastAsia" w:ascii="仿宋" w:hAnsi="仿宋" w:eastAsia="仿宋" w:cs="仿宋"/>
          <w:b/>
          <w:bCs/>
          <w:i w:val="0"/>
          <w:iCs w:val="0"/>
          <w:color w:val="auto"/>
          <w:sz w:val="24"/>
          <w:highlight w:val="none"/>
          <w:lang w:val="zh-CN"/>
        </w:rPr>
        <w:t>文件</w:t>
      </w:r>
      <w:r>
        <w:rPr>
          <w:rFonts w:hint="eastAsia" w:ascii="仿宋" w:hAnsi="仿宋" w:eastAsia="仿宋" w:cs="仿宋"/>
          <w:color w:val="auto"/>
          <w:sz w:val="24"/>
          <w:highlight w:val="none"/>
          <w:lang w:val="zh-CN"/>
        </w:rPr>
        <w:t>：</w:t>
      </w:r>
    </w:p>
    <w:p w14:paraId="5C2D988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eastAsia="zh-CN"/>
        </w:rPr>
        <w:t>响应函</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 xml:space="preserve"> </w:t>
      </w:r>
    </w:p>
    <w:p w14:paraId="11E85B80">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.2.2授权委托书或法定代表人（单位负责人、自然人本人）身份证明；</w:t>
      </w:r>
    </w:p>
    <w:p w14:paraId="24CD80D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符合性审查资料；</w:t>
      </w:r>
    </w:p>
    <w:p w14:paraId="6FE5C38D">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评标标准相应的商务技术资料；</w:t>
      </w:r>
    </w:p>
    <w:p w14:paraId="5010849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商务技术偏离表；</w:t>
      </w:r>
    </w:p>
    <w:p w14:paraId="42FAE720">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val="zh-CN"/>
        </w:rPr>
        <w:t>供应商廉洁自律承诺书。</w:t>
      </w:r>
    </w:p>
    <w:p w14:paraId="44B710F4">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7D603D32">
      <w:pPr>
        <w:snapToGrid w:val="0"/>
        <w:spacing w:line="360" w:lineRule="auto"/>
        <w:ind w:firstLine="960" w:firstLineChars="4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.3.1</w:t>
      </w:r>
      <w:r>
        <w:rPr>
          <w:rFonts w:hint="eastAsia" w:ascii="仿宋" w:hAnsi="仿宋" w:eastAsia="仿宋" w:cs="仿宋"/>
          <w:color w:val="auto"/>
          <w:sz w:val="24"/>
          <w:highlight w:val="none"/>
          <w:lang w:eastAsia="zh-CN"/>
        </w:rPr>
        <w:t>响应一览表（报价表）。</w:t>
      </w:r>
    </w:p>
    <w:p w14:paraId="19391D2C">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含有采购人不能接受的附加条件的，</w:t>
      </w:r>
      <w:r>
        <w:rPr>
          <w:rFonts w:hint="eastAsia" w:ascii="仿宋" w:hAnsi="仿宋" w:eastAsia="仿宋" w:cs="仿宋"/>
          <w:b/>
          <w:color w:val="auto"/>
          <w:sz w:val="24"/>
          <w:highlight w:val="none"/>
          <w:lang w:eastAsia="zh-CN"/>
        </w:rPr>
        <w:t>响应无效</w:t>
      </w:r>
      <w:r>
        <w:rPr>
          <w:rFonts w:hint="eastAsia" w:ascii="仿宋" w:hAnsi="仿宋" w:eastAsia="仿宋" w:cs="仿宋"/>
          <w:b/>
          <w:color w:val="auto"/>
          <w:sz w:val="24"/>
          <w:highlight w:val="none"/>
        </w:rPr>
        <w:t>；</w:t>
      </w:r>
    </w:p>
    <w:p w14:paraId="3DCA0239">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提供虚假材料的，</w:t>
      </w:r>
      <w:r>
        <w:rPr>
          <w:rFonts w:hint="eastAsia" w:ascii="仿宋" w:hAnsi="仿宋" w:eastAsia="仿宋" w:cs="仿宋"/>
          <w:b/>
          <w:color w:val="auto"/>
          <w:sz w:val="24"/>
          <w:highlight w:val="none"/>
          <w:lang w:eastAsia="zh-CN"/>
        </w:rPr>
        <w:t>响应无效</w:t>
      </w:r>
      <w:r>
        <w:rPr>
          <w:rFonts w:hint="eastAsia" w:ascii="仿宋" w:hAnsi="仿宋" w:eastAsia="仿宋" w:cs="仿宋"/>
          <w:b/>
          <w:color w:val="auto"/>
          <w:sz w:val="24"/>
          <w:highlight w:val="none"/>
        </w:rPr>
        <w:t>。</w:t>
      </w:r>
    </w:p>
    <w:p w14:paraId="00A69733">
      <w:pPr>
        <w:pStyle w:val="130"/>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11</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lang w:eastAsia="zh-CN"/>
        </w:rPr>
        <w:t>响应文件</w:t>
      </w:r>
      <w:r>
        <w:rPr>
          <w:rFonts w:hint="eastAsia" w:ascii="仿宋" w:hAnsi="仿宋" w:eastAsia="仿宋" w:cs="仿宋"/>
          <w:b/>
          <w:color w:val="auto"/>
          <w:szCs w:val="24"/>
          <w:highlight w:val="none"/>
        </w:rPr>
        <w:t>的编制</w:t>
      </w:r>
    </w:p>
    <w:p w14:paraId="24237FA1">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val="zh-CN"/>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14:paraId="54D1EDEF">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val="zh-CN"/>
        </w:rPr>
        <w:t>.2供应商进行电子</w:t>
      </w:r>
      <w:r>
        <w:rPr>
          <w:rFonts w:hint="eastAsia" w:ascii="仿宋" w:hAnsi="仿宋" w:eastAsia="仿宋" w:cs="仿宋"/>
          <w:color w:val="auto"/>
          <w:kern w:val="0"/>
          <w:sz w:val="24"/>
          <w:highlight w:val="none"/>
          <w:lang w:val="en-US" w:eastAsia="zh-CN"/>
        </w:rPr>
        <w:t>响应</w:t>
      </w:r>
      <w:r>
        <w:rPr>
          <w:rFonts w:hint="eastAsia" w:ascii="仿宋" w:hAnsi="仿宋" w:eastAsia="仿宋" w:cs="仿宋"/>
          <w:color w:val="auto"/>
          <w:kern w:val="0"/>
          <w:sz w:val="24"/>
          <w:highlight w:val="none"/>
          <w:lang w:val="zh-CN"/>
        </w:rPr>
        <w:t>应安装客户端软件—“</w:t>
      </w:r>
      <w:r>
        <w:rPr>
          <w:rFonts w:hint="eastAsia" w:ascii="仿宋" w:hAnsi="仿宋" w:eastAsia="仿宋" w:cs="仿宋"/>
          <w:color w:val="auto"/>
          <w:kern w:val="0"/>
          <w:sz w:val="24"/>
          <w:highlight w:val="none"/>
          <w:lang w:val="en-US" w:eastAsia="zh-CN"/>
        </w:rPr>
        <w:t>乐</w:t>
      </w:r>
      <w:r>
        <w:rPr>
          <w:rFonts w:hint="eastAsia" w:ascii="仿宋" w:hAnsi="仿宋" w:eastAsia="仿宋" w:cs="仿宋"/>
          <w:color w:val="auto"/>
          <w:kern w:val="0"/>
          <w:sz w:val="24"/>
          <w:highlight w:val="none"/>
          <w:lang w:val="zh-CN"/>
        </w:rPr>
        <w:t>采云电子交易客户端”，并按照交易文件和电子交易平台的要求编制并加密响应文件。供应商未按规定加密的响应文件，电子交易平台将拒收并提示。</w:t>
      </w:r>
    </w:p>
    <w:p w14:paraId="4650BF27">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val="zh-CN"/>
        </w:rPr>
        <w:t>.3使用“</w:t>
      </w:r>
      <w:r>
        <w:rPr>
          <w:rFonts w:hint="eastAsia" w:ascii="仿宋" w:hAnsi="仿宋" w:eastAsia="仿宋" w:cs="仿宋"/>
          <w:color w:val="auto"/>
          <w:kern w:val="0"/>
          <w:sz w:val="24"/>
          <w:highlight w:val="none"/>
          <w:lang w:val="en-US" w:eastAsia="zh-CN"/>
        </w:rPr>
        <w:t>乐</w:t>
      </w:r>
      <w:r>
        <w:rPr>
          <w:rFonts w:hint="eastAsia" w:ascii="仿宋" w:hAnsi="仿宋" w:eastAsia="仿宋" w:cs="仿宋"/>
          <w:color w:val="auto"/>
          <w:kern w:val="0"/>
          <w:sz w:val="24"/>
          <w:highlight w:val="none"/>
          <w:lang w:val="zh-CN"/>
        </w:rPr>
        <w:t>采云电子交易客户端”需要提前申领CA数字证书，申领流程请自行前往“浙江政府采购网-下载专区-电子交易客户端-CA驱动和申领流程”进行查阅。</w:t>
      </w:r>
    </w:p>
    <w:p w14:paraId="6513FFC5">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的签署、盖章</w:t>
      </w:r>
    </w:p>
    <w:p w14:paraId="2683DC5D">
      <w:pPr>
        <w:pStyle w:val="130"/>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按照</w:t>
      </w:r>
      <w:r>
        <w:rPr>
          <w:rFonts w:hint="eastAsia" w:ascii="仿宋" w:hAnsi="仿宋" w:eastAsia="仿宋" w:cs="仿宋"/>
          <w:color w:val="auto"/>
          <w:szCs w:val="24"/>
          <w:highlight w:val="none"/>
          <w:lang w:eastAsia="zh-CN"/>
        </w:rPr>
        <w:t>交易文件</w:t>
      </w:r>
      <w:r>
        <w:rPr>
          <w:rFonts w:hint="eastAsia" w:ascii="仿宋" w:hAnsi="仿宋" w:eastAsia="仿宋" w:cs="仿宋"/>
          <w:color w:val="auto"/>
          <w:szCs w:val="24"/>
          <w:highlight w:val="none"/>
        </w:rPr>
        <w:t>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w:t>
      </w:r>
      <w:r>
        <w:rPr>
          <w:rFonts w:hint="eastAsia" w:ascii="仿宋" w:hAnsi="仿宋" w:eastAsia="仿宋" w:cs="仿宋"/>
          <w:b/>
          <w:color w:val="auto"/>
          <w:highlight w:val="none"/>
          <w:lang w:eastAsia="zh-CN"/>
        </w:rPr>
        <w:t>供应商</w:t>
      </w:r>
      <w:r>
        <w:rPr>
          <w:rFonts w:hint="eastAsia" w:ascii="仿宋" w:hAnsi="仿宋" w:eastAsia="仿宋" w:cs="仿宋"/>
          <w:b/>
          <w:color w:val="auto"/>
          <w:highlight w:val="none"/>
        </w:rPr>
        <w:t>的</w:t>
      </w:r>
      <w:r>
        <w:rPr>
          <w:rFonts w:hint="eastAsia" w:ascii="仿宋" w:hAnsi="仿宋" w:eastAsia="仿宋" w:cs="仿宋"/>
          <w:b/>
          <w:color w:val="auto"/>
          <w:highlight w:val="none"/>
          <w:lang w:eastAsia="zh-CN"/>
        </w:rPr>
        <w:t>响应文件</w:t>
      </w:r>
      <w:r>
        <w:rPr>
          <w:rFonts w:hint="eastAsia" w:ascii="仿宋" w:hAnsi="仿宋" w:eastAsia="仿宋" w:cs="仿宋"/>
          <w:b/>
          <w:color w:val="auto"/>
          <w:highlight w:val="none"/>
        </w:rPr>
        <w:t>未按照</w:t>
      </w:r>
      <w:r>
        <w:rPr>
          <w:rFonts w:hint="eastAsia" w:ascii="仿宋" w:hAnsi="仿宋" w:eastAsia="仿宋" w:cs="仿宋"/>
          <w:b/>
          <w:color w:val="auto"/>
          <w:highlight w:val="none"/>
          <w:lang w:eastAsia="zh-CN"/>
        </w:rPr>
        <w:t>交易文件</w:t>
      </w:r>
      <w:r>
        <w:rPr>
          <w:rFonts w:hint="eastAsia" w:ascii="仿宋" w:hAnsi="仿宋" w:eastAsia="仿宋" w:cs="仿宋"/>
          <w:b/>
          <w:color w:val="auto"/>
          <w:highlight w:val="none"/>
        </w:rPr>
        <w:t>要求签署、盖章的，其</w:t>
      </w:r>
      <w:r>
        <w:rPr>
          <w:rFonts w:hint="eastAsia" w:ascii="仿宋" w:hAnsi="仿宋" w:eastAsia="仿宋" w:cs="仿宋"/>
          <w:b/>
          <w:color w:val="auto"/>
          <w:highlight w:val="none"/>
          <w:lang w:eastAsia="zh-CN"/>
        </w:rPr>
        <w:t>响应无效</w:t>
      </w:r>
      <w:r>
        <w:rPr>
          <w:rFonts w:hint="eastAsia" w:ascii="仿宋" w:hAnsi="仿宋" w:eastAsia="仿宋" w:cs="仿宋"/>
          <w:color w:val="auto"/>
          <w:szCs w:val="24"/>
          <w:highlight w:val="none"/>
        </w:rPr>
        <w:t>。</w:t>
      </w:r>
    </w:p>
    <w:p w14:paraId="351C9DC3">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2</w:t>
      </w:r>
      <w:r>
        <w:rPr>
          <w:rFonts w:hint="eastAsia" w:ascii="仿宋" w:hAnsi="仿宋" w:eastAsia="仿宋" w:cs="仿宋"/>
          <w:color w:val="auto"/>
          <w:highlight w:val="none"/>
        </w:rPr>
        <w:t>.2为确保网上操作合法、有效和安全，</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应当在</w:t>
      </w:r>
      <w:r>
        <w:rPr>
          <w:rFonts w:hint="eastAsia" w:ascii="仿宋" w:hAnsi="仿宋" w:eastAsia="仿宋" w:cs="仿宋"/>
          <w:color w:val="auto"/>
          <w:highlight w:val="none"/>
          <w:lang w:eastAsia="zh-CN"/>
        </w:rPr>
        <w:t>响应截止时间</w:t>
      </w:r>
      <w:r>
        <w:rPr>
          <w:rFonts w:hint="eastAsia" w:ascii="仿宋" w:hAnsi="仿宋" w:eastAsia="仿宋" w:cs="仿宋"/>
          <w:color w:val="auto"/>
          <w:highlight w:val="none"/>
        </w:rPr>
        <w:t>前完成在“</w:t>
      </w:r>
      <w:r>
        <w:rPr>
          <w:rFonts w:hint="eastAsia" w:ascii="仿宋" w:hAnsi="仿宋" w:eastAsia="仿宋" w:cs="仿宋"/>
          <w:color w:val="auto"/>
          <w:highlight w:val="none"/>
          <w:lang w:eastAsia="zh-CN"/>
        </w:rPr>
        <w:t>乐采云平台</w:t>
      </w:r>
      <w:r>
        <w:rPr>
          <w:rFonts w:hint="eastAsia" w:ascii="仿宋" w:hAnsi="仿宋" w:eastAsia="仿宋" w:cs="仿宋"/>
          <w:color w:val="auto"/>
          <w:highlight w:val="none"/>
        </w:rPr>
        <w:t>”的身份认证，确保在电子</w:t>
      </w: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rPr>
        <w:t>过程中能够对相关数据电文进行加密和使用电子签名。</w:t>
      </w:r>
    </w:p>
    <w:p w14:paraId="7F869D23">
      <w:pPr>
        <w:pStyle w:val="13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2</w:t>
      </w:r>
      <w:r>
        <w:rPr>
          <w:rFonts w:hint="eastAsia" w:ascii="仿宋" w:hAnsi="仿宋" w:eastAsia="仿宋" w:cs="仿宋"/>
          <w:color w:val="auto"/>
          <w:highlight w:val="none"/>
        </w:rPr>
        <w:t>.3</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对</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签署、盖章的要求适用于电子签名。</w:t>
      </w:r>
    </w:p>
    <w:p w14:paraId="0D78006E">
      <w:pPr>
        <w:pStyle w:val="13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3</w:t>
      </w:r>
      <w:r>
        <w:rPr>
          <w:rFonts w:hint="eastAsia" w:ascii="仿宋" w:hAnsi="仿宋" w:eastAsia="仿宋" w:cs="仿宋"/>
          <w:b/>
          <w:color w:val="auto"/>
          <w:szCs w:val="24"/>
          <w:highlight w:val="none"/>
        </w:rPr>
        <w:t xml:space="preserve">. </w:t>
      </w:r>
      <w:r>
        <w:rPr>
          <w:rFonts w:hint="eastAsia" w:ascii="仿宋" w:hAnsi="仿宋" w:eastAsia="仿宋" w:cs="仿宋"/>
          <w:b/>
          <w:color w:val="auto"/>
          <w:szCs w:val="24"/>
          <w:highlight w:val="none"/>
          <w:lang w:eastAsia="zh-CN"/>
        </w:rPr>
        <w:t>响应文件</w:t>
      </w:r>
      <w:r>
        <w:rPr>
          <w:rFonts w:hint="eastAsia" w:ascii="仿宋" w:hAnsi="仿宋" w:eastAsia="仿宋" w:cs="仿宋"/>
          <w:b/>
          <w:color w:val="auto"/>
          <w:szCs w:val="24"/>
          <w:highlight w:val="none"/>
        </w:rPr>
        <w:t>的提交、补充、修改、撤回</w:t>
      </w:r>
    </w:p>
    <w:p w14:paraId="58099BA4">
      <w:pPr>
        <w:pStyle w:val="130"/>
        <w:keepNext w:val="0"/>
        <w:keepLines w:val="0"/>
        <w:pageBreakBefore w:val="0"/>
        <w:widowControl w:val="0"/>
        <w:kinsoku/>
        <w:wordWrap/>
        <w:overflowPunct/>
        <w:topLinePunct w:val="0"/>
        <w:autoSpaceDE/>
        <w:autoSpaceDN/>
        <w:bidi w:val="0"/>
        <w:adjustRightInd w:val="0"/>
        <w:snapToGrid/>
        <w:spacing w:before="0"/>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.1 供应商应当在</w:t>
      </w:r>
      <w:r>
        <w:rPr>
          <w:rFonts w:hint="eastAsia" w:ascii="仿宋" w:hAnsi="仿宋" w:eastAsia="仿宋" w:cs="仿宋"/>
          <w:color w:val="auto"/>
          <w:szCs w:val="24"/>
          <w:highlight w:val="none"/>
          <w:lang w:eastAsia="zh-CN"/>
        </w:rPr>
        <w:t>响应截止时间</w:t>
      </w:r>
      <w:r>
        <w:rPr>
          <w:rFonts w:hint="eastAsia" w:ascii="仿宋" w:hAnsi="仿宋" w:eastAsia="仿宋" w:cs="仿宋"/>
          <w:color w:val="auto"/>
          <w:szCs w:val="24"/>
          <w:highlight w:val="none"/>
        </w:rPr>
        <w:t>前完成</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的传输递交，并可以补充、修改或者撤回</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。补充或者修改</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的，应当先行撤回原文件，补充、修改后重新传输递交。供应商撤回</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不得损害国家利益、社会公共利益、采购人利益、代理机构利益、其他供应商利益，否则，供应商撤销（撤回）</w:t>
      </w:r>
      <w:r>
        <w:rPr>
          <w:rFonts w:hint="eastAsia" w:ascii="仿宋" w:hAnsi="仿宋" w:eastAsia="仿宋" w:cs="仿宋"/>
          <w:color w:val="auto"/>
          <w:szCs w:val="24"/>
          <w:highlight w:val="none"/>
          <w:lang w:eastAsia="zh-CN"/>
        </w:rPr>
        <w:t>响应无效</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eastAsia="zh-CN"/>
        </w:rPr>
        <w:t>响应截止时间</w:t>
      </w:r>
      <w:r>
        <w:rPr>
          <w:rFonts w:hint="eastAsia" w:ascii="仿宋" w:hAnsi="仿宋" w:eastAsia="仿宋" w:cs="仿宋"/>
          <w:color w:val="auto"/>
          <w:szCs w:val="24"/>
          <w:highlight w:val="none"/>
        </w:rPr>
        <w:t>前未完成传输的，视为撤回</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eastAsia="zh-CN"/>
        </w:rPr>
        <w:t>响应截止时间</w:t>
      </w:r>
      <w:r>
        <w:rPr>
          <w:rFonts w:hint="eastAsia" w:ascii="仿宋" w:hAnsi="仿宋" w:eastAsia="仿宋" w:cs="仿宋"/>
          <w:color w:val="auto"/>
          <w:szCs w:val="24"/>
          <w:highlight w:val="none"/>
        </w:rPr>
        <w:t>后递交的</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，电子交易平台将拒收。</w:t>
      </w:r>
    </w:p>
    <w:p w14:paraId="1B080039">
      <w:pPr>
        <w:pStyle w:val="13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.2电子交易平台收到</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，将妥善保存并即时向供应商发出确认回执通知。在</w:t>
      </w:r>
      <w:r>
        <w:rPr>
          <w:rFonts w:hint="eastAsia" w:ascii="仿宋" w:hAnsi="仿宋" w:eastAsia="仿宋" w:cs="仿宋"/>
          <w:color w:val="auto"/>
          <w:szCs w:val="24"/>
          <w:highlight w:val="none"/>
          <w:lang w:eastAsia="zh-CN"/>
        </w:rPr>
        <w:t>响应截止时间</w:t>
      </w:r>
      <w:r>
        <w:rPr>
          <w:rFonts w:hint="eastAsia" w:ascii="仿宋" w:hAnsi="仿宋" w:eastAsia="仿宋" w:cs="仿宋"/>
          <w:color w:val="auto"/>
          <w:szCs w:val="24"/>
          <w:highlight w:val="none"/>
        </w:rPr>
        <w:t>前，除供应商补充、修改或者撤回</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外，任何单位和个人不得解密或提取</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w:t>
      </w:r>
    </w:p>
    <w:p w14:paraId="5E90671F">
      <w:pPr>
        <w:pStyle w:val="13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w:t>
      </w:r>
      <w:r>
        <w:rPr>
          <w:rFonts w:hint="eastAsia" w:ascii="仿宋" w:hAnsi="仿宋" w:eastAsia="仿宋" w:cs="仿宋"/>
          <w:color w:val="auto"/>
          <w:szCs w:val="24"/>
          <w:highlight w:val="none"/>
          <w:lang w:eastAsia="zh-CN"/>
        </w:rPr>
        <w:t>供应商</w:t>
      </w:r>
      <w:r>
        <w:rPr>
          <w:rFonts w:hint="eastAsia" w:ascii="仿宋" w:hAnsi="仿宋" w:eastAsia="仿宋" w:cs="仿宋"/>
          <w:color w:val="auto"/>
          <w:szCs w:val="24"/>
          <w:highlight w:val="none"/>
        </w:rPr>
        <w:t>以前在</w:t>
      </w:r>
      <w:r>
        <w:rPr>
          <w:rFonts w:hint="eastAsia" w:ascii="仿宋" w:hAnsi="仿宋" w:eastAsia="仿宋" w:cs="仿宋"/>
          <w:color w:val="auto"/>
          <w:szCs w:val="24"/>
          <w:highlight w:val="none"/>
          <w:lang w:val="en-US" w:eastAsia="zh-CN"/>
        </w:rPr>
        <w:t>响应</w:t>
      </w:r>
      <w:r>
        <w:rPr>
          <w:rFonts w:hint="eastAsia" w:ascii="仿宋" w:hAnsi="仿宋" w:eastAsia="仿宋" w:cs="仿宋"/>
          <w:color w:val="auto"/>
          <w:szCs w:val="24"/>
          <w:highlight w:val="none"/>
        </w:rPr>
        <w:t>截止期方面的全部权利、责任和义务，将适用于延长至新的</w:t>
      </w:r>
      <w:r>
        <w:rPr>
          <w:rFonts w:hint="eastAsia" w:ascii="仿宋" w:hAnsi="仿宋" w:eastAsia="仿宋" w:cs="仿宋"/>
          <w:color w:val="auto"/>
          <w:szCs w:val="24"/>
          <w:highlight w:val="none"/>
          <w:lang w:val="en-US" w:eastAsia="zh-CN"/>
        </w:rPr>
        <w:t>响应</w:t>
      </w:r>
      <w:r>
        <w:rPr>
          <w:rFonts w:hint="eastAsia" w:ascii="仿宋" w:hAnsi="仿宋" w:eastAsia="仿宋" w:cs="仿宋"/>
          <w:color w:val="auto"/>
          <w:szCs w:val="24"/>
          <w:highlight w:val="none"/>
        </w:rPr>
        <w:t>截止期。</w:t>
      </w:r>
    </w:p>
    <w:p w14:paraId="0A95BA0D">
      <w:pPr>
        <w:pStyle w:val="33"/>
        <w:spacing w:line="360" w:lineRule="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.备份</w:t>
      </w:r>
      <w:r>
        <w:rPr>
          <w:rFonts w:hint="eastAsia" w:ascii="仿宋" w:hAnsi="仿宋" w:eastAsia="仿宋" w:cs="仿宋"/>
          <w:b/>
          <w:color w:val="auto"/>
          <w:sz w:val="24"/>
          <w:szCs w:val="24"/>
          <w:highlight w:val="none"/>
          <w:lang w:eastAsia="zh-CN"/>
        </w:rPr>
        <w:t>响应文件</w:t>
      </w:r>
    </w:p>
    <w:p w14:paraId="04E2C1B9">
      <w:pPr>
        <w:pStyle w:val="33"/>
        <w:spacing w:line="360" w:lineRule="auto"/>
        <w:ind w:firstLine="477" w:firstLineChars="19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本项目不收取备份响应文件</w:t>
      </w:r>
    </w:p>
    <w:p w14:paraId="589BA8C1">
      <w:pPr>
        <w:pStyle w:val="13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5</w:t>
      </w:r>
      <w:r>
        <w:rPr>
          <w:rFonts w:hint="eastAsia" w:ascii="仿宋" w:hAnsi="仿宋" w:eastAsia="仿宋" w:cs="仿宋"/>
          <w:b/>
          <w:color w:val="auto"/>
          <w:szCs w:val="24"/>
          <w:highlight w:val="none"/>
        </w:rPr>
        <w:t>.</w:t>
      </w:r>
      <w:r>
        <w:rPr>
          <w:rFonts w:hint="eastAsia" w:ascii="仿宋" w:hAnsi="仿宋" w:eastAsia="仿宋" w:cs="仿宋"/>
          <w:b/>
          <w:color w:val="auto"/>
          <w:szCs w:val="24"/>
          <w:highlight w:val="none"/>
          <w:lang w:eastAsia="zh-CN"/>
        </w:rPr>
        <w:t>响应文件</w:t>
      </w:r>
      <w:r>
        <w:rPr>
          <w:rFonts w:hint="eastAsia" w:ascii="仿宋" w:hAnsi="仿宋" w:eastAsia="仿宋" w:cs="仿宋"/>
          <w:b/>
          <w:color w:val="auto"/>
          <w:szCs w:val="24"/>
          <w:highlight w:val="none"/>
        </w:rPr>
        <w:t>的无效处理</w:t>
      </w:r>
    </w:p>
    <w:p w14:paraId="7D7BA032">
      <w:pPr>
        <w:pStyle w:val="24"/>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w:t>
      </w:r>
      <w:r>
        <w:rPr>
          <w:rFonts w:hint="eastAsia" w:ascii="仿宋" w:hAnsi="仿宋" w:eastAsia="仿宋" w:cs="仿宋"/>
          <w:color w:val="auto"/>
          <w:szCs w:val="21"/>
          <w:highlight w:val="none"/>
          <w:lang w:eastAsia="zh-CN"/>
        </w:rPr>
        <w:t>交易文件</w:t>
      </w:r>
      <w:r>
        <w:rPr>
          <w:rFonts w:hint="eastAsia" w:ascii="仿宋" w:hAnsi="仿宋" w:eastAsia="仿宋" w:cs="仿宋"/>
          <w:color w:val="auto"/>
          <w:szCs w:val="21"/>
          <w:highlight w:val="none"/>
        </w:rPr>
        <w:t>第四部分4.2规定的情形之一的，</w:t>
      </w:r>
      <w:r>
        <w:rPr>
          <w:rFonts w:hint="eastAsia" w:ascii="仿宋" w:hAnsi="仿宋" w:eastAsia="仿宋" w:cs="仿宋"/>
          <w:color w:val="auto"/>
          <w:szCs w:val="21"/>
          <w:highlight w:val="none"/>
          <w:lang w:eastAsia="zh-CN"/>
        </w:rPr>
        <w:t>响应无效</w:t>
      </w:r>
      <w:r>
        <w:rPr>
          <w:rFonts w:hint="eastAsia" w:ascii="仿宋" w:hAnsi="仿宋" w:eastAsia="仿宋" w:cs="仿宋"/>
          <w:color w:val="auto"/>
          <w:szCs w:val="21"/>
          <w:highlight w:val="none"/>
        </w:rPr>
        <w:t>：</w:t>
      </w:r>
    </w:p>
    <w:p w14:paraId="241EAB23">
      <w:pPr>
        <w:pStyle w:val="130"/>
        <w:spacing w:before="0"/>
        <w:ind w:firstLine="0" w:firstLineChars="0"/>
        <w:rPr>
          <w:rFonts w:hint="eastAsia" w:ascii="仿宋" w:hAnsi="仿宋" w:eastAsia="仿宋" w:cs="仿宋"/>
          <w:b/>
          <w:color w:val="auto"/>
          <w:szCs w:val="24"/>
          <w:highlight w:val="none"/>
          <w:lang w:eastAsia="zh-CN"/>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6</w:t>
      </w:r>
      <w:r>
        <w:rPr>
          <w:rFonts w:hint="eastAsia" w:ascii="仿宋" w:hAnsi="仿宋" w:eastAsia="仿宋" w:cs="仿宋"/>
          <w:b/>
          <w:color w:val="auto"/>
          <w:szCs w:val="24"/>
          <w:highlight w:val="none"/>
        </w:rPr>
        <w:t>.</w:t>
      </w:r>
      <w:r>
        <w:rPr>
          <w:rFonts w:hint="eastAsia" w:ascii="仿宋" w:hAnsi="仿宋" w:eastAsia="仿宋" w:cs="仿宋"/>
          <w:b/>
          <w:color w:val="auto"/>
          <w:szCs w:val="24"/>
          <w:highlight w:val="none"/>
          <w:lang w:eastAsia="zh-CN"/>
        </w:rPr>
        <w:t>响应有效期</w:t>
      </w:r>
    </w:p>
    <w:p w14:paraId="1008F189">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w:t>
      </w:r>
      <w:r>
        <w:rPr>
          <w:rFonts w:hint="eastAsia" w:ascii="仿宋" w:hAnsi="仿宋" w:eastAsia="仿宋" w:cs="仿宋"/>
          <w:color w:val="auto"/>
          <w:sz w:val="24"/>
          <w:szCs w:val="20"/>
          <w:highlight w:val="none"/>
          <w:lang w:val="en-US" w:eastAsia="zh-CN"/>
        </w:rPr>
        <w:t>6</w:t>
      </w:r>
      <w:r>
        <w:rPr>
          <w:rFonts w:hint="eastAsia" w:ascii="仿宋" w:hAnsi="仿宋" w:eastAsia="仿宋" w:cs="仿宋"/>
          <w:color w:val="auto"/>
          <w:sz w:val="24"/>
          <w:szCs w:val="20"/>
          <w:highlight w:val="none"/>
        </w:rPr>
        <w:t>.1</w:t>
      </w:r>
      <w:r>
        <w:rPr>
          <w:rFonts w:hint="eastAsia" w:ascii="仿宋" w:hAnsi="仿宋" w:eastAsia="仿宋" w:cs="仿宋"/>
          <w:color w:val="auto"/>
          <w:sz w:val="24"/>
          <w:szCs w:val="20"/>
          <w:highlight w:val="none"/>
          <w:lang w:eastAsia="zh-CN"/>
        </w:rPr>
        <w:t>响应有效期</w:t>
      </w:r>
      <w:r>
        <w:rPr>
          <w:rFonts w:hint="eastAsia" w:ascii="仿宋" w:hAnsi="仿宋" w:eastAsia="仿宋" w:cs="仿宋"/>
          <w:color w:val="auto"/>
          <w:sz w:val="24"/>
          <w:szCs w:val="20"/>
          <w:highlight w:val="none"/>
        </w:rPr>
        <w:t>为从提交</w:t>
      </w:r>
      <w:r>
        <w:rPr>
          <w:rFonts w:hint="eastAsia" w:ascii="仿宋" w:hAnsi="仿宋" w:eastAsia="仿宋" w:cs="仿宋"/>
          <w:color w:val="auto"/>
          <w:sz w:val="24"/>
          <w:szCs w:val="20"/>
          <w:highlight w:val="none"/>
          <w:lang w:eastAsia="zh-CN"/>
        </w:rPr>
        <w:t>响应文件</w:t>
      </w:r>
      <w:r>
        <w:rPr>
          <w:rFonts w:hint="eastAsia" w:ascii="仿宋" w:hAnsi="仿宋" w:eastAsia="仿宋" w:cs="仿宋"/>
          <w:color w:val="auto"/>
          <w:sz w:val="24"/>
          <w:szCs w:val="20"/>
          <w:highlight w:val="none"/>
        </w:rPr>
        <w:t>的截止之日起90天。▲</w:t>
      </w:r>
      <w:r>
        <w:rPr>
          <w:rFonts w:hint="eastAsia" w:ascii="仿宋" w:hAnsi="仿宋" w:eastAsia="仿宋" w:cs="仿宋"/>
          <w:b/>
          <w:color w:val="auto"/>
          <w:sz w:val="24"/>
          <w:szCs w:val="20"/>
          <w:highlight w:val="none"/>
          <w:lang w:eastAsia="zh-CN"/>
        </w:rPr>
        <w:t>供应商</w:t>
      </w:r>
      <w:r>
        <w:rPr>
          <w:rFonts w:hint="eastAsia" w:ascii="仿宋" w:hAnsi="仿宋" w:eastAsia="仿宋" w:cs="仿宋"/>
          <w:b/>
          <w:color w:val="auto"/>
          <w:sz w:val="24"/>
          <w:szCs w:val="20"/>
          <w:highlight w:val="none"/>
        </w:rPr>
        <w:t>的</w:t>
      </w:r>
      <w:r>
        <w:rPr>
          <w:rFonts w:hint="eastAsia" w:ascii="仿宋" w:hAnsi="仿宋" w:eastAsia="仿宋" w:cs="仿宋"/>
          <w:b/>
          <w:color w:val="auto"/>
          <w:sz w:val="24"/>
          <w:szCs w:val="20"/>
          <w:highlight w:val="none"/>
          <w:lang w:eastAsia="zh-CN"/>
        </w:rPr>
        <w:t>响应文件</w:t>
      </w:r>
      <w:r>
        <w:rPr>
          <w:rFonts w:hint="eastAsia" w:ascii="仿宋" w:hAnsi="仿宋" w:eastAsia="仿宋" w:cs="仿宋"/>
          <w:b/>
          <w:color w:val="auto"/>
          <w:sz w:val="24"/>
          <w:szCs w:val="20"/>
          <w:highlight w:val="none"/>
        </w:rPr>
        <w:t>中承</w:t>
      </w:r>
      <w:r>
        <w:rPr>
          <w:rFonts w:hint="eastAsia" w:ascii="仿宋" w:hAnsi="仿宋" w:eastAsia="仿宋" w:cs="仿宋"/>
          <w:b/>
          <w:color w:val="auto"/>
          <w:sz w:val="24"/>
          <w:szCs w:val="21"/>
          <w:highlight w:val="none"/>
        </w:rPr>
        <w:t>诺的</w:t>
      </w:r>
      <w:r>
        <w:rPr>
          <w:rFonts w:hint="eastAsia" w:ascii="仿宋" w:hAnsi="仿宋" w:eastAsia="仿宋" w:cs="仿宋"/>
          <w:b/>
          <w:color w:val="auto"/>
          <w:sz w:val="24"/>
          <w:szCs w:val="21"/>
          <w:highlight w:val="none"/>
          <w:lang w:eastAsia="zh-CN"/>
        </w:rPr>
        <w:t>响应有效期</w:t>
      </w:r>
      <w:r>
        <w:rPr>
          <w:rFonts w:hint="eastAsia" w:ascii="仿宋" w:hAnsi="仿宋" w:eastAsia="仿宋" w:cs="仿宋"/>
          <w:b/>
          <w:color w:val="auto"/>
          <w:sz w:val="24"/>
          <w:szCs w:val="21"/>
          <w:highlight w:val="none"/>
        </w:rPr>
        <w:t>少于</w:t>
      </w:r>
      <w:r>
        <w:rPr>
          <w:rFonts w:hint="eastAsia" w:ascii="仿宋" w:hAnsi="仿宋" w:eastAsia="仿宋" w:cs="仿宋"/>
          <w:b/>
          <w:color w:val="auto"/>
          <w:sz w:val="24"/>
          <w:szCs w:val="21"/>
          <w:highlight w:val="none"/>
          <w:lang w:eastAsia="zh-CN"/>
        </w:rPr>
        <w:t>交易文件</w:t>
      </w:r>
      <w:r>
        <w:rPr>
          <w:rFonts w:hint="eastAsia" w:ascii="仿宋" w:hAnsi="仿宋" w:eastAsia="仿宋" w:cs="仿宋"/>
          <w:b/>
          <w:color w:val="auto"/>
          <w:sz w:val="24"/>
          <w:szCs w:val="21"/>
          <w:highlight w:val="none"/>
        </w:rPr>
        <w:t>中载明的</w:t>
      </w:r>
      <w:r>
        <w:rPr>
          <w:rFonts w:hint="eastAsia" w:ascii="仿宋" w:hAnsi="仿宋" w:eastAsia="仿宋" w:cs="仿宋"/>
          <w:b/>
          <w:color w:val="auto"/>
          <w:sz w:val="24"/>
          <w:szCs w:val="21"/>
          <w:highlight w:val="none"/>
          <w:lang w:eastAsia="zh-CN"/>
        </w:rPr>
        <w:t>响应有效期</w:t>
      </w:r>
      <w:r>
        <w:rPr>
          <w:rFonts w:hint="eastAsia" w:ascii="仿宋" w:hAnsi="仿宋" w:eastAsia="仿宋" w:cs="仿宋"/>
          <w:b/>
          <w:color w:val="auto"/>
          <w:sz w:val="24"/>
          <w:szCs w:val="21"/>
          <w:highlight w:val="none"/>
        </w:rPr>
        <w:t>的，</w:t>
      </w:r>
      <w:r>
        <w:rPr>
          <w:rFonts w:hint="eastAsia" w:ascii="仿宋" w:hAnsi="仿宋" w:eastAsia="仿宋" w:cs="仿宋"/>
          <w:b/>
          <w:color w:val="auto"/>
          <w:sz w:val="24"/>
          <w:szCs w:val="21"/>
          <w:highlight w:val="none"/>
          <w:lang w:eastAsia="zh-CN"/>
        </w:rPr>
        <w:t>响应无效</w:t>
      </w:r>
      <w:r>
        <w:rPr>
          <w:rFonts w:hint="eastAsia" w:ascii="仿宋" w:hAnsi="仿宋" w:eastAsia="仿宋" w:cs="仿宋"/>
          <w:b/>
          <w:color w:val="auto"/>
          <w:sz w:val="24"/>
          <w:szCs w:val="21"/>
          <w:highlight w:val="none"/>
        </w:rPr>
        <w:t>。</w:t>
      </w:r>
    </w:p>
    <w:p w14:paraId="6F13380A">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sz w:val="24"/>
          <w:szCs w:val="20"/>
          <w:highlight w:val="none"/>
        </w:rPr>
        <w:t>1</w:t>
      </w:r>
      <w:r>
        <w:rPr>
          <w:rFonts w:hint="eastAsia" w:ascii="仿宋" w:hAnsi="仿宋" w:eastAsia="仿宋" w:cs="仿宋"/>
          <w:color w:val="auto"/>
          <w:sz w:val="24"/>
          <w:szCs w:val="20"/>
          <w:highlight w:val="none"/>
          <w:lang w:val="en-US" w:eastAsia="zh-CN"/>
        </w:rPr>
        <w:t>6</w:t>
      </w:r>
      <w:r>
        <w:rPr>
          <w:rFonts w:hint="eastAsia" w:ascii="仿宋" w:hAnsi="仿宋" w:eastAsia="仿宋" w:cs="仿宋"/>
          <w:color w:val="auto"/>
          <w:highlight w:val="none"/>
        </w:rPr>
        <w:t>.2</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合格投递后，自</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截止日期起，在</w:t>
      </w:r>
      <w:r>
        <w:rPr>
          <w:rFonts w:hint="eastAsia" w:ascii="仿宋" w:hAnsi="仿宋" w:eastAsia="仿宋" w:cs="仿宋"/>
          <w:color w:val="auto"/>
          <w:highlight w:val="none"/>
          <w:lang w:eastAsia="zh-CN"/>
        </w:rPr>
        <w:t>响应有效期</w:t>
      </w:r>
      <w:r>
        <w:rPr>
          <w:rFonts w:hint="eastAsia" w:ascii="仿宋" w:hAnsi="仿宋" w:eastAsia="仿宋" w:cs="仿宋"/>
          <w:color w:val="auto"/>
          <w:highlight w:val="none"/>
        </w:rPr>
        <w:t>内有效。</w:t>
      </w:r>
    </w:p>
    <w:p w14:paraId="2A30609D">
      <w:pPr>
        <w:pStyle w:val="130"/>
        <w:keepNext w:val="0"/>
        <w:keepLines w:val="0"/>
        <w:pageBreakBefore w:val="0"/>
        <w:widowControl w:val="0"/>
        <w:kinsoku/>
        <w:wordWrap/>
        <w:overflowPunct/>
        <w:topLinePunct w:val="0"/>
        <w:autoSpaceDE/>
        <w:autoSpaceDN/>
        <w:bidi w:val="0"/>
        <w:adjustRightInd w:val="0"/>
        <w:snapToGrid w:val="0"/>
        <w:spacing w:before="0"/>
        <w:ind w:firstLine="480"/>
        <w:jc w:val="left"/>
        <w:textAlignment w:val="auto"/>
        <w:rPr>
          <w:rFonts w:hint="eastAsia" w:ascii="仿宋" w:hAnsi="仿宋" w:eastAsia="仿宋" w:cs="仿宋"/>
          <w:color w:val="auto"/>
          <w:highlight w:val="none"/>
        </w:rPr>
      </w:pPr>
      <w:r>
        <w:rPr>
          <w:rFonts w:hint="eastAsia" w:ascii="仿宋" w:hAnsi="仿宋" w:eastAsia="仿宋" w:cs="仿宋"/>
          <w:color w:val="auto"/>
          <w:sz w:val="24"/>
          <w:szCs w:val="20"/>
          <w:highlight w:val="none"/>
        </w:rPr>
        <w:t>1</w:t>
      </w:r>
      <w:r>
        <w:rPr>
          <w:rFonts w:hint="eastAsia" w:ascii="仿宋" w:hAnsi="仿宋" w:eastAsia="仿宋" w:cs="仿宋"/>
          <w:color w:val="auto"/>
          <w:sz w:val="24"/>
          <w:szCs w:val="20"/>
          <w:highlight w:val="none"/>
          <w:lang w:val="en-US" w:eastAsia="zh-CN"/>
        </w:rPr>
        <w:t>6</w:t>
      </w:r>
      <w:r>
        <w:rPr>
          <w:rFonts w:hint="eastAsia" w:ascii="仿宋" w:hAnsi="仿宋" w:eastAsia="仿宋" w:cs="仿宋"/>
          <w:color w:val="auto"/>
          <w:highlight w:val="none"/>
        </w:rPr>
        <w:t>.3在原定</w:t>
      </w:r>
      <w:r>
        <w:rPr>
          <w:rFonts w:hint="eastAsia" w:ascii="仿宋" w:hAnsi="仿宋" w:eastAsia="仿宋" w:cs="仿宋"/>
          <w:color w:val="auto"/>
          <w:highlight w:val="none"/>
          <w:lang w:eastAsia="zh-CN"/>
        </w:rPr>
        <w:t>响应有效期</w:t>
      </w:r>
      <w:r>
        <w:rPr>
          <w:rFonts w:hint="eastAsia" w:ascii="仿宋" w:hAnsi="仿宋" w:eastAsia="仿宋" w:cs="仿宋"/>
          <w:color w:val="auto"/>
          <w:highlight w:val="none"/>
        </w:rPr>
        <w:t>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延长</w:t>
      </w:r>
      <w:r>
        <w:rPr>
          <w:rFonts w:hint="eastAsia" w:ascii="仿宋" w:hAnsi="仿宋" w:eastAsia="仿宋" w:cs="仿宋"/>
          <w:color w:val="auto"/>
          <w:highlight w:val="none"/>
          <w:lang w:eastAsia="zh-CN"/>
        </w:rPr>
        <w:t>响应有效期</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同意延长的，不得要求或被允许修改其</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拒绝延长的，其</w:t>
      </w:r>
      <w:r>
        <w:rPr>
          <w:rFonts w:hint="eastAsia" w:ascii="仿宋" w:hAnsi="仿宋" w:eastAsia="仿宋" w:cs="仿宋"/>
          <w:color w:val="auto"/>
          <w:highlight w:val="none"/>
          <w:lang w:eastAsia="zh-CN"/>
        </w:rPr>
        <w:t>响应无效</w:t>
      </w:r>
      <w:r>
        <w:rPr>
          <w:rFonts w:hint="eastAsia" w:ascii="仿宋" w:hAnsi="仿宋" w:eastAsia="仿宋" w:cs="仿宋"/>
          <w:color w:val="auto"/>
          <w:highlight w:val="none"/>
        </w:rPr>
        <w:t>。</w:t>
      </w:r>
    </w:p>
    <w:p w14:paraId="4B6E96A9">
      <w:pPr>
        <w:pStyle w:val="130"/>
        <w:keepNext w:val="0"/>
        <w:keepLines w:val="0"/>
        <w:pageBreakBefore w:val="0"/>
        <w:widowControl w:val="0"/>
        <w:kinsoku/>
        <w:wordWrap/>
        <w:overflowPunct/>
        <w:topLinePunct w:val="0"/>
        <w:autoSpaceDE/>
        <w:autoSpaceDN/>
        <w:bidi w:val="0"/>
        <w:adjustRightInd w:val="0"/>
        <w:snapToGrid w:val="0"/>
        <w:spacing w:before="0" w:after="240"/>
        <w:ind w:firstLine="480"/>
        <w:jc w:val="left"/>
        <w:textAlignment w:val="auto"/>
        <w:rPr>
          <w:rFonts w:hint="eastAsia" w:ascii="仿宋" w:hAnsi="仿宋" w:eastAsia="仿宋" w:cs="仿宋"/>
          <w:b/>
          <w:color w:val="auto"/>
          <w:sz w:val="32"/>
          <w:highlight w:val="none"/>
        </w:rPr>
      </w:pPr>
      <w:r>
        <w:rPr>
          <w:rFonts w:hint="eastAsia" w:ascii="仿宋" w:hAnsi="仿宋" w:eastAsia="仿宋" w:cs="仿宋"/>
          <w:color w:val="auto"/>
          <w:sz w:val="24"/>
          <w:szCs w:val="20"/>
          <w:highlight w:val="none"/>
        </w:rPr>
        <w:t>1</w:t>
      </w:r>
      <w:r>
        <w:rPr>
          <w:rFonts w:hint="eastAsia" w:ascii="仿宋" w:hAnsi="仿宋" w:eastAsia="仿宋" w:cs="仿宋"/>
          <w:color w:val="auto"/>
          <w:sz w:val="24"/>
          <w:szCs w:val="20"/>
          <w:highlight w:val="none"/>
          <w:lang w:val="en-US" w:eastAsia="zh-CN"/>
        </w:rPr>
        <w:t>6</w:t>
      </w:r>
      <w:r>
        <w:rPr>
          <w:rFonts w:hint="eastAsia" w:ascii="仿宋" w:hAnsi="仿宋" w:eastAsia="仿宋" w:cs="仿宋"/>
          <w:color w:val="auto"/>
          <w:highlight w:val="none"/>
        </w:rPr>
        <w:t>.4在</w:t>
      </w:r>
      <w:r>
        <w:rPr>
          <w:rFonts w:hint="eastAsia" w:ascii="仿宋" w:hAnsi="仿宋" w:eastAsia="仿宋" w:cs="仿宋"/>
          <w:color w:val="auto"/>
          <w:highlight w:val="none"/>
          <w:lang w:eastAsia="zh-CN"/>
        </w:rPr>
        <w:t>响应截止时间</w:t>
      </w:r>
      <w:r>
        <w:rPr>
          <w:rFonts w:hint="eastAsia" w:ascii="仿宋" w:hAnsi="仿宋" w:eastAsia="仿宋" w:cs="仿宋"/>
          <w:color w:val="auto"/>
          <w:highlight w:val="none"/>
        </w:rPr>
        <w:t>起至</w:t>
      </w:r>
      <w:r>
        <w:rPr>
          <w:rFonts w:hint="eastAsia" w:ascii="仿宋" w:hAnsi="仿宋" w:eastAsia="仿宋" w:cs="仿宋"/>
          <w:color w:val="auto"/>
          <w:highlight w:val="none"/>
          <w:lang w:eastAsia="zh-CN"/>
        </w:rPr>
        <w:t>响应有效期</w:t>
      </w:r>
      <w:r>
        <w:rPr>
          <w:rFonts w:hint="eastAsia" w:ascii="仿宋" w:hAnsi="仿宋" w:eastAsia="仿宋" w:cs="仿宋"/>
          <w:color w:val="auto"/>
          <w:highlight w:val="none"/>
        </w:rPr>
        <w:t>届满，供应商</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不可撤销。</w:t>
      </w:r>
    </w:p>
    <w:p w14:paraId="5CD194CA">
      <w:pPr>
        <w:pStyle w:val="130"/>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w:t>
      </w:r>
      <w:r>
        <w:rPr>
          <w:rFonts w:hint="eastAsia" w:ascii="仿宋" w:hAnsi="仿宋" w:eastAsia="仿宋" w:cs="仿宋"/>
          <w:b/>
          <w:color w:val="auto"/>
          <w:sz w:val="32"/>
          <w:highlight w:val="none"/>
          <w:lang w:val="en-US" w:eastAsia="zh-CN"/>
        </w:rPr>
        <w:t>交易</w:t>
      </w:r>
      <w:r>
        <w:rPr>
          <w:rFonts w:hint="eastAsia" w:ascii="仿宋" w:hAnsi="仿宋" w:eastAsia="仿宋" w:cs="仿宋"/>
          <w:b/>
          <w:color w:val="auto"/>
          <w:sz w:val="32"/>
          <w:highlight w:val="none"/>
        </w:rPr>
        <w:t>、资格审查与信用信息查询</w:t>
      </w:r>
    </w:p>
    <w:p w14:paraId="6B511541">
      <w:pPr>
        <w:pStyle w:val="557"/>
        <w:spacing w:before="0" w:line="360" w:lineRule="auto"/>
        <w:ind w:left="0" w:leftChars="0" w:firstLine="0" w:firstLineChars="0"/>
        <w:contextualSpacing/>
        <w:rPr>
          <w:rFonts w:hint="eastAsia" w:ascii="仿宋" w:hAnsi="仿宋" w:eastAsia="仿宋" w:cs="仿宋"/>
          <w:color w:val="auto"/>
          <w:sz w:val="24"/>
          <w:highlight w:val="none"/>
          <w:lang w:eastAsia="zh-CN"/>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交易</w:t>
      </w:r>
    </w:p>
    <w:p w14:paraId="6599EF8D">
      <w:pPr>
        <w:pStyle w:val="557"/>
        <w:keepNext w:val="0"/>
        <w:keepLines w:val="0"/>
        <w:pageBreakBefore w:val="0"/>
        <w:widowControl w:val="0"/>
        <w:kinsoku/>
        <w:wordWrap/>
        <w:overflowPunct/>
        <w:topLinePunct w:val="0"/>
        <w:autoSpaceDE w:val="0"/>
        <w:autoSpaceDN w:val="0"/>
        <w:bidi w:val="0"/>
        <w:adjustRightInd w:val="0"/>
        <w:snapToGrid/>
        <w:spacing w:before="0" w:line="360" w:lineRule="auto"/>
        <w:ind w:left="0" w:leftChars="0"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规定的时间通过电子交易平台组织</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，所有</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均应当准时在线参加。</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不足3家的，不得</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w:t>
      </w:r>
    </w:p>
    <w:p w14:paraId="55005D68">
      <w:pPr>
        <w:pStyle w:val="557"/>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时，电子交易平台按</w:t>
      </w:r>
      <w:r>
        <w:rPr>
          <w:rFonts w:hint="eastAsia" w:ascii="仿宋" w:hAnsi="仿宋" w:eastAsia="仿宋" w:cs="仿宋"/>
          <w:color w:val="auto"/>
          <w:sz w:val="24"/>
          <w:highlight w:val="none"/>
          <w:lang w:eastAsia="zh-CN"/>
        </w:rPr>
        <w:t>交易时间</w:t>
      </w:r>
      <w:r>
        <w:rPr>
          <w:rFonts w:hint="eastAsia" w:ascii="仿宋" w:hAnsi="仿宋" w:eastAsia="仿宋" w:cs="仿宋"/>
          <w:color w:val="auto"/>
          <w:sz w:val="24"/>
          <w:highlight w:val="none"/>
        </w:rPr>
        <w:t>自动提取所有</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按照平台提示和</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的规定在半小时内完成在线解密。</w:t>
      </w:r>
    </w:p>
    <w:p w14:paraId="3CDBD093">
      <w:pPr>
        <w:pStyle w:val="557"/>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.3</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未按时解密，</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提供了备份</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的，以备份</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作为依据，否则视为</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撤回。</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已按时解密的，备份</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自动失效。</w:t>
      </w:r>
    </w:p>
    <w:p w14:paraId="4FCD06DD">
      <w:pPr>
        <w:keepNext w:val="0"/>
        <w:keepLines w:val="0"/>
        <w:pageBreakBefore w:val="0"/>
        <w:widowControl/>
        <w:kinsoku/>
        <w:wordWrap/>
        <w:overflowPunct/>
        <w:topLinePunct w:val="0"/>
        <w:autoSpaceDE/>
        <w:autoSpaceDN/>
        <w:bidi w:val="0"/>
        <w:adjustRightInd w:val="0"/>
        <w:snapToGrid/>
        <w:spacing w:beforeAutospacing="0" w:line="360" w:lineRule="auto"/>
        <w:jc w:val="left"/>
        <w:textAlignment w:val="auto"/>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1</w:t>
      </w:r>
      <w:r>
        <w:rPr>
          <w:rFonts w:hint="eastAsia" w:ascii="仿宋" w:hAnsi="仿宋" w:eastAsia="仿宋" w:cs="仿宋"/>
          <w:b/>
          <w:color w:val="auto"/>
          <w:sz w:val="24"/>
          <w:szCs w:val="20"/>
          <w:highlight w:val="none"/>
          <w:lang w:val="en-US" w:eastAsia="zh-CN"/>
        </w:rPr>
        <w:t>8</w:t>
      </w:r>
      <w:r>
        <w:rPr>
          <w:rFonts w:hint="eastAsia" w:ascii="仿宋" w:hAnsi="仿宋" w:eastAsia="仿宋" w:cs="仿宋"/>
          <w:b/>
          <w:color w:val="auto"/>
          <w:sz w:val="24"/>
          <w:szCs w:val="20"/>
          <w:highlight w:val="none"/>
        </w:rPr>
        <w:t>、资格审查</w:t>
      </w:r>
    </w:p>
    <w:p w14:paraId="1D9814AF">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18</w:t>
      </w:r>
      <w:r>
        <w:rPr>
          <w:rFonts w:hint="eastAsia" w:ascii="仿宋" w:hAnsi="仿宋" w:eastAsia="仿宋" w:cs="仿宋"/>
          <w:color w:val="auto"/>
          <w:kern w:val="0"/>
          <w:szCs w:val="24"/>
          <w:highlight w:val="none"/>
        </w:rPr>
        <w:t>.1</w:t>
      </w:r>
      <w:r>
        <w:rPr>
          <w:rFonts w:hint="eastAsia" w:ascii="仿宋" w:hAnsi="仿宋" w:eastAsia="仿宋" w:cs="仿宋"/>
          <w:color w:val="auto"/>
          <w:kern w:val="0"/>
          <w:szCs w:val="24"/>
          <w:highlight w:val="none"/>
          <w:lang w:val="en-US" w:eastAsia="zh-CN"/>
        </w:rPr>
        <w:t>交易开始</w:t>
      </w:r>
      <w:r>
        <w:rPr>
          <w:rFonts w:hint="eastAsia" w:ascii="仿宋" w:hAnsi="仿宋" w:eastAsia="仿宋" w:cs="仿宋"/>
          <w:color w:val="auto"/>
          <w:kern w:val="0"/>
          <w:szCs w:val="24"/>
          <w:highlight w:val="none"/>
        </w:rPr>
        <w:t>后，采购人将依据法律法规和</w:t>
      </w:r>
      <w:r>
        <w:rPr>
          <w:rFonts w:hint="eastAsia" w:ascii="仿宋" w:hAnsi="仿宋" w:eastAsia="仿宋" w:cs="仿宋"/>
          <w:color w:val="auto"/>
          <w:kern w:val="0"/>
          <w:szCs w:val="24"/>
          <w:highlight w:val="none"/>
          <w:lang w:eastAsia="zh-CN"/>
        </w:rPr>
        <w:t>交易文件</w:t>
      </w:r>
      <w:r>
        <w:rPr>
          <w:rFonts w:hint="eastAsia" w:ascii="仿宋" w:hAnsi="仿宋" w:eastAsia="仿宋" w:cs="仿宋"/>
          <w:color w:val="auto"/>
          <w:kern w:val="0"/>
          <w:szCs w:val="24"/>
          <w:highlight w:val="none"/>
        </w:rPr>
        <w:t>的规定，对</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的资格进行审查。</w:t>
      </w:r>
    </w:p>
    <w:p w14:paraId="0FC998D5">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w:t>
      </w:r>
      <w:r>
        <w:rPr>
          <w:rFonts w:hint="eastAsia" w:ascii="仿宋" w:hAnsi="仿宋" w:eastAsia="仿宋" w:cs="仿宋"/>
          <w:color w:val="auto"/>
          <w:kern w:val="0"/>
          <w:szCs w:val="24"/>
          <w:highlight w:val="none"/>
          <w:lang w:val="en-US" w:eastAsia="zh-CN"/>
        </w:rPr>
        <w:t>8</w:t>
      </w:r>
      <w:r>
        <w:rPr>
          <w:rFonts w:hint="eastAsia" w:ascii="仿宋" w:hAnsi="仿宋" w:eastAsia="仿宋" w:cs="仿宋"/>
          <w:color w:val="auto"/>
          <w:kern w:val="0"/>
          <w:szCs w:val="24"/>
          <w:highlight w:val="none"/>
        </w:rPr>
        <w:t>.2</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未按照</w:t>
      </w:r>
      <w:r>
        <w:rPr>
          <w:rFonts w:hint="eastAsia" w:ascii="仿宋" w:hAnsi="仿宋" w:eastAsia="仿宋" w:cs="仿宋"/>
          <w:color w:val="auto"/>
          <w:kern w:val="0"/>
          <w:szCs w:val="24"/>
          <w:highlight w:val="none"/>
          <w:lang w:eastAsia="zh-CN"/>
        </w:rPr>
        <w:t>交易文件</w:t>
      </w:r>
      <w:r>
        <w:rPr>
          <w:rFonts w:hint="eastAsia" w:ascii="仿宋" w:hAnsi="仿宋" w:eastAsia="仿宋" w:cs="仿宋"/>
          <w:color w:val="auto"/>
          <w:kern w:val="0"/>
          <w:szCs w:val="24"/>
          <w:highlight w:val="none"/>
        </w:rPr>
        <w:t>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不具备</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中规定的资格要求，其</w:t>
      </w:r>
      <w:r>
        <w:rPr>
          <w:rFonts w:hint="eastAsia" w:ascii="仿宋" w:hAnsi="仿宋" w:eastAsia="仿宋" w:cs="仿宋"/>
          <w:color w:val="auto"/>
          <w:highlight w:val="none"/>
          <w:lang w:eastAsia="zh-CN"/>
        </w:rPr>
        <w:t>响应无效</w:t>
      </w:r>
      <w:r>
        <w:rPr>
          <w:rFonts w:hint="eastAsia" w:ascii="仿宋" w:hAnsi="仿宋" w:eastAsia="仿宋" w:cs="仿宋"/>
          <w:color w:val="auto"/>
          <w:highlight w:val="none"/>
        </w:rPr>
        <w:t>。</w:t>
      </w:r>
    </w:p>
    <w:p w14:paraId="6AAE190A">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w:t>
      </w:r>
      <w:r>
        <w:rPr>
          <w:rFonts w:hint="eastAsia" w:ascii="仿宋" w:hAnsi="仿宋" w:eastAsia="仿宋" w:cs="仿宋"/>
          <w:color w:val="auto"/>
          <w:kern w:val="0"/>
          <w:szCs w:val="24"/>
          <w:highlight w:val="none"/>
          <w:lang w:val="en-US" w:eastAsia="zh-CN"/>
        </w:rPr>
        <w:t>8</w:t>
      </w:r>
      <w:r>
        <w:rPr>
          <w:rFonts w:hint="eastAsia" w:ascii="仿宋" w:hAnsi="仿宋" w:eastAsia="仿宋" w:cs="仿宋"/>
          <w:color w:val="auto"/>
          <w:kern w:val="0"/>
          <w:szCs w:val="24"/>
          <w:highlight w:val="none"/>
        </w:rPr>
        <w:t>.</w:t>
      </w:r>
      <w:r>
        <w:rPr>
          <w:rFonts w:hint="eastAsia" w:ascii="仿宋" w:hAnsi="仿宋" w:eastAsia="仿宋" w:cs="仿宋"/>
          <w:color w:val="auto"/>
          <w:highlight w:val="none"/>
        </w:rPr>
        <w:t>3对未通过资格审查的</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，告知其未通过的原因。</w:t>
      </w:r>
    </w:p>
    <w:p w14:paraId="33693CF4">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w:t>
      </w:r>
      <w:r>
        <w:rPr>
          <w:rFonts w:hint="eastAsia" w:ascii="仿宋" w:hAnsi="仿宋" w:eastAsia="仿宋" w:cs="仿宋"/>
          <w:color w:val="auto"/>
          <w:kern w:val="0"/>
          <w:szCs w:val="24"/>
          <w:highlight w:val="none"/>
          <w:lang w:val="en-US" w:eastAsia="zh-CN"/>
        </w:rPr>
        <w:t>8</w:t>
      </w:r>
      <w:r>
        <w:rPr>
          <w:rFonts w:hint="eastAsia" w:ascii="仿宋" w:hAnsi="仿宋" w:eastAsia="仿宋" w:cs="仿宋"/>
          <w:color w:val="auto"/>
          <w:kern w:val="0"/>
          <w:szCs w:val="24"/>
          <w:highlight w:val="none"/>
        </w:rPr>
        <w:t>.</w:t>
      </w:r>
      <w:r>
        <w:rPr>
          <w:rFonts w:hint="eastAsia" w:ascii="仿宋" w:hAnsi="仿宋" w:eastAsia="仿宋" w:cs="仿宋"/>
          <w:color w:val="auto"/>
          <w:highlight w:val="none"/>
        </w:rPr>
        <w:t>4合格</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不足3家的，不再评标。</w:t>
      </w:r>
    </w:p>
    <w:p w14:paraId="2FC3D6BC">
      <w:pPr>
        <w:pStyle w:val="13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19</w:t>
      </w:r>
      <w:r>
        <w:rPr>
          <w:rFonts w:hint="eastAsia" w:ascii="仿宋" w:hAnsi="仿宋" w:eastAsia="仿宋" w:cs="仿宋"/>
          <w:b/>
          <w:color w:val="auto"/>
          <w:szCs w:val="24"/>
          <w:highlight w:val="none"/>
        </w:rPr>
        <w:t>、信用信息查询</w:t>
      </w:r>
    </w:p>
    <w:p w14:paraId="03A7D06B">
      <w:pPr>
        <w:pStyle w:val="13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19</w:t>
      </w:r>
      <w:r>
        <w:rPr>
          <w:rFonts w:hint="eastAsia" w:ascii="仿宋" w:hAnsi="仿宋" w:eastAsia="仿宋" w:cs="仿宋"/>
          <w:color w:val="auto"/>
          <w:kern w:val="0"/>
          <w:szCs w:val="24"/>
          <w:highlight w:val="none"/>
        </w:rPr>
        <w:t>.1信用信息查询渠道及截止时间：</w:t>
      </w:r>
      <w:r>
        <w:rPr>
          <w:rFonts w:hint="eastAsia" w:ascii="仿宋" w:hAnsi="仿宋" w:eastAsia="仿宋" w:cs="仿宋"/>
          <w:color w:val="auto"/>
          <w:kern w:val="0"/>
          <w:szCs w:val="24"/>
          <w:highlight w:val="none"/>
          <w:lang w:val="en-US" w:eastAsia="zh-CN"/>
        </w:rPr>
        <w:t>采购人</w:t>
      </w:r>
      <w:r>
        <w:rPr>
          <w:rFonts w:hint="eastAsia" w:ascii="仿宋" w:hAnsi="仿宋" w:eastAsia="仿宋" w:cs="仿宋"/>
          <w:color w:val="auto"/>
          <w:kern w:val="0"/>
          <w:szCs w:val="24"/>
          <w:highlight w:val="none"/>
        </w:rPr>
        <w:t>将在资格审查时通过“信用中国”网站(www.creditchina.gov.cn)、中国政府采购网(www.ccgp.gov.cn)渠道查询</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接受资格时的信用记录。</w:t>
      </w:r>
    </w:p>
    <w:p w14:paraId="01F94B18">
      <w:pPr>
        <w:pStyle w:val="13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19</w:t>
      </w:r>
      <w:r>
        <w:rPr>
          <w:rFonts w:hint="eastAsia" w:ascii="仿宋" w:hAnsi="仿宋" w:eastAsia="仿宋" w:cs="仿宋"/>
          <w:color w:val="auto"/>
          <w:kern w:val="0"/>
          <w:szCs w:val="24"/>
          <w:highlight w:val="none"/>
        </w:rPr>
        <w:t>.2信用信息查询记录和证据留存的具体方式：现场查询的</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的信用记录、查询结果经确认后将与采购文件一起存档。</w:t>
      </w:r>
    </w:p>
    <w:p w14:paraId="16EA12A7">
      <w:pPr>
        <w:pStyle w:val="13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19</w:t>
      </w:r>
      <w:r>
        <w:rPr>
          <w:rFonts w:hint="eastAsia" w:ascii="仿宋" w:hAnsi="仿宋" w:eastAsia="仿宋" w:cs="仿宋"/>
          <w:color w:val="auto"/>
          <w:kern w:val="0"/>
          <w:szCs w:val="24"/>
          <w:highlight w:val="none"/>
        </w:rPr>
        <w:t>.3信用信息的使用规则：经查询列入失信被执行人名单、重大税收违法案件当事人名单、政府采购严重违法失信行为记录名单的</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将被拒绝参与采购活动。</w:t>
      </w:r>
    </w:p>
    <w:p w14:paraId="555FE2C6">
      <w:pPr>
        <w:pStyle w:val="130"/>
        <w:keepNext w:val="0"/>
        <w:keepLines w:val="0"/>
        <w:pageBreakBefore w:val="0"/>
        <w:widowControl w:val="0"/>
        <w:kinsoku/>
        <w:wordWrap/>
        <w:overflowPunct/>
        <w:topLinePunct w:val="0"/>
        <w:autoSpaceDE/>
        <w:autoSpaceDN/>
        <w:bidi w:val="0"/>
        <w:adjustRightInd w:val="0"/>
        <w:snapToGrid/>
        <w:spacing w:before="0" w:after="240"/>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19</w:t>
      </w:r>
      <w:r>
        <w:rPr>
          <w:rFonts w:hint="eastAsia" w:ascii="仿宋" w:hAnsi="仿宋" w:eastAsia="仿宋" w:cs="仿宋"/>
          <w:color w:val="auto"/>
          <w:kern w:val="0"/>
          <w:szCs w:val="24"/>
          <w:highlight w:val="none"/>
        </w:rPr>
        <w:t>.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63E8DBBF">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787FACAB">
      <w:pPr>
        <w:spacing w:line="360" w:lineRule="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0</w:t>
      </w:r>
      <w:r>
        <w:rPr>
          <w:rFonts w:hint="eastAsia" w:ascii="仿宋" w:hAnsi="仿宋" w:eastAsia="仿宋" w:cs="仿宋"/>
          <w:b/>
          <w:color w:val="auto"/>
          <w:sz w:val="24"/>
          <w:highlight w:val="none"/>
        </w:rPr>
        <w:t>.</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和有关规定，履行评标工作职责，并按照评标方法及评分标准，全面衡量各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的响应情况。对实质上响应</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，按照评审因素的量化指标排出推荐</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的先后顺序，并按顺序提出授标建议。</w:t>
      </w:r>
      <w:r>
        <w:rPr>
          <w:rFonts w:hint="eastAsia" w:ascii="仿宋" w:hAnsi="仿宋" w:eastAsia="仿宋" w:cs="仿宋"/>
          <w:b/>
          <w:color w:val="auto"/>
          <w:sz w:val="24"/>
          <w:highlight w:val="none"/>
        </w:rPr>
        <w:t>详见</w:t>
      </w:r>
      <w:r>
        <w:rPr>
          <w:rFonts w:hint="eastAsia" w:ascii="仿宋" w:hAnsi="仿宋" w:eastAsia="仿宋" w:cs="仿宋"/>
          <w:b/>
          <w:color w:val="auto"/>
          <w:sz w:val="24"/>
          <w:highlight w:val="none"/>
          <w:lang w:eastAsia="zh-CN"/>
        </w:rPr>
        <w:t>交易文件</w:t>
      </w:r>
      <w:r>
        <w:rPr>
          <w:rFonts w:hint="eastAsia" w:ascii="仿宋" w:hAnsi="仿宋" w:eastAsia="仿宋" w:cs="仿宋"/>
          <w:b/>
          <w:color w:val="auto"/>
          <w:sz w:val="24"/>
          <w:highlight w:val="none"/>
        </w:rPr>
        <w:t>第四部分评标办法。</w:t>
      </w:r>
    </w:p>
    <w:p w14:paraId="55453AF7">
      <w:pPr>
        <w:spacing w:line="360" w:lineRule="auto"/>
        <w:rPr>
          <w:rFonts w:hint="eastAsia" w:ascii="仿宋" w:hAnsi="仿宋" w:eastAsia="仿宋" w:cs="仿宋"/>
          <w:b/>
          <w:color w:val="auto"/>
          <w:sz w:val="24"/>
          <w:highlight w:val="none"/>
        </w:rPr>
      </w:pPr>
    </w:p>
    <w:p w14:paraId="57D5886B">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09ED57CF">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1</w:t>
      </w:r>
      <w:r>
        <w:rPr>
          <w:rFonts w:hint="eastAsia" w:ascii="仿宋" w:hAnsi="仿宋" w:eastAsia="仿宋" w:cs="仿宋"/>
          <w:b/>
          <w:color w:val="auto"/>
          <w:highlight w:val="none"/>
        </w:rPr>
        <w:t>. 确定</w:t>
      </w:r>
      <w:r>
        <w:rPr>
          <w:rFonts w:hint="eastAsia" w:ascii="仿宋" w:hAnsi="仿宋" w:eastAsia="仿宋" w:cs="仿宋"/>
          <w:b/>
          <w:color w:val="auto"/>
          <w:highlight w:val="none"/>
          <w:lang w:val="en-US" w:eastAsia="zh-CN"/>
        </w:rPr>
        <w:t>成交</w:t>
      </w:r>
      <w:r>
        <w:rPr>
          <w:rFonts w:hint="eastAsia" w:ascii="仿宋" w:hAnsi="仿宋" w:eastAsia="仿宋" w:cs="仿宋"/>
          <w:b/>
          <w:color w:val="auto"/>
          <w:highlight w:val="none"/>
        </w:rPr>
        <w:t>供应商</w:t>
      </w:r>
    </w:p>
    <w:p w14:paraId="11A810C7">
      <w:pPr>
        <w:pStyle w:val="130"/>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成交供应商。在采购结果确认环节，成交候选人撤销响应文件不能成为采购人不确认采购结果的正当理由。成交通知书和成交结果公告应当在规定时间内同时发出。</w:t>
      </w:r>
    </w:p>
    <w:p w14:paraId="185B9E6F">
      <w:pPr>
        <w:pStyle w:val="130"/>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w:t>
      </w:r>
      <w:r>
        <w:rPr>
          <w:rFonts w:hint="eastAsia" w:ascii="仿宋" w:hAnsi="仿宋" w:eastAsia="仿宋" w:cs="仿宋"/>
          <w:b/>
          <w:color w:val="auto"/>
          <w:szCs w:val="24"/>
          <w:highlight w:val="none"/>
          <w:lang w:val="en-US" w:eastAsia="zh-CN"/>
        </w:rPr>
        <w:t>2</w:t>
      </w:r>
      <w:r>
        <w:rPr>
          <w:rFonts w:hint="eastAsia" w:ascii="仿宋" w:hAnsi="仿宋" w:eastAsia="仿宋" w:cs="仿宋"/>
          <w:b/>
          <w:color w:val="auto"/>
          <w:szCs w:val="24"/>
          <w:highlight w:val="none"/>
        </w:rPr>
        <w:t>.</w:t>
      </w:r>
      <w:r>
        <w:rPr>
          <w:rFonts w:hint="eastAsia" w:ascii="仿宋" w:hAnsi="仿宋" w:eastAsia="仿宋" w:cs="仿宋"/>
          <w:b/>
          <w:color w:val="auto"/>
          <w:szCs w:val="24"/>
          <w:highlight w:val="none"/>
          <w:lang w:val="en-US" w:eastAsia="zh-CN"/>
        </w:rPr>
        <w:t>成交</w:t>
      </w:r>
      <w:r>
        <w:rPr>
          <w:rFonts w:hint="eastAsia" w:ascii="仿宋" w:hAnsi="仿宋" w:eastAsia="仿宋" w:cs="仿宋"/>
          <w:b/>
          <w:color w:val="auto"/>
          <w:szCs w:val="24"/>
          <w:highlight w:val="none"/>
        </w:rPr>
        <w:t>通知与</w:t>
      </w:r>
      <w:r>
        <w:rPr>
          <w:rFonts w:hint="eastAsia" w:ascii="仿宋" w:hAnsi="仿宋" w:eastAsia="仿宋" w:cs="仿宋"/>
          <w:b/>
          <w:color w:val="auto"/>
          <w:szCs w:val="24"/>
          <w:highlight w:val="none"/>
          <w:lang w:val="en-US" w:eastAsia="zh-CN"/>
        </w:rPr>
        <w:t>成交</w:t>
      </w:r>
      <w:r>
        <w:rPr>
          <w:rFonts w:hint="eastAsia" w:ascii="仿宋" w:hAnsi="仿宋" w:eastAsia="仿宋" w:cs="仿宋"/>
          <w:b/>
          <w:color w:val="auto"/>
          <w:szCs w:val="24"/>
          <w:highlight w:val="none"/>
        </w:rPr>
        <w:t>结果公告</w:t>
      </w:r>
    </w:p>
    <w:p w14:paraId="47A1085F">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.1自</w:t>
      </w:r>
      <w:r>
        <w:rPr>
          <w:rFonts w:hint="eastAsia" w:ascii="仿宋" w:hAnsi="仿宋" w:eastAsia="仿宋" w:cs="仿宋"/>
          <w:color w:val="auto"/>
          <w:sz w:val="24"/>
          <w:highlight w:val="none"/>
          <w:lang w:val="en-US" w:eastAsia="zh-CN"/>
        </w:rPr>
        <w:t>成交人</w:t>
      </w:r>
      <w:r>
        <w:rPr>
          <w:rFonts w:hint="eastAsia" w:ascii="仿宋" w:hAnsi="仿宋" w:eastAsia="仿宋" w:cs="仿宋"/>
          <w:color w:val="auto"/>
          <w:sz w:val="24"/>
          <w:highlight w:val="none"/>
        </w:rPr>
        <w:t>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w:t>
      </w:r>
      <w:r>
        <w:rPr>
          <w:rFonts w:hint="eastAsia" w:ascii="仿宋" w:hAnsi="仿宋" w:eastAsia="仿宋" w:cs="仿宋"/>
          <w:color w:val="auto"/>
          <w:sz w:val="24"/>
          <w:highlight w:val="none"/>
          <w:lang w:val="en-US" w:eastAsia="zh-CN"/>
        </w:rPr>
        <w:t>成交人</w:t>
      </w:r>
      <w:r>
        <w:rPr>
          <w:rFonts w:hint="eastAsia" w:ascii="仿宋" w:hAnsi="仿宋" w:eastAsia="仿宋" w:cs="仿宋"/>
          <w:color w:val="auto"/>
          <w:sz w:val="24"/>
          <w:highlight w:val="none"/>
        </w:rPr>
        <w:t>发出</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w:t>
      </w:r>
      <w:r>
        <w:rPr>
          <w:rFonts w:hint="eastAsia" w:ascii="仿宋" w:hAnsi="仿宋" w:eastAsia="仿宋" w:cs="仿宋"/>
          <w:color w:val="auto"/>
          <w:sz w:val="24"/>
          <w:highlight w:val="none"/>
          <w:lang w:val="en-US" w:eastAsia="zh-CN"/>
        </w:rPr>
        <w:t>成交人</w:t>
      </w:r>
      <w:r>
        <w:rPr>
          <w:rFonts w:hint="eastAsia" w:ascii="仿宋" w:hAnsi="仿宋" w:eastAsia="仿宋" w:cs="仿宋"/>
          <w:color w:val="auto"/>
          <w:sz w:val="24"/>
          <w:highlight w:val="none"/>
        </w:rPr>
        <w:t>通知。</w:t>
      </w:r>
    </w:p>
    <w:p w14:paraId="1BD42C78">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人名称、地址和</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金额，主要</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标的的名称、规格型号、数量、单价、服务要求，</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记录、</w:t>
      </w:r>
      <w:bookmarkStart w:id="14" w:name="_Hlk101184471"/>
      <w:r>
        <w:rPr>
          <w:rFonts w:hint="eastAsia" w:ascii="仿宋" w:hAnsi="仿宋" w:eastAsia="仿宋" w:cs="仿宋"/>
          <w:color w:val="auto"/>
          <w:sz w:val="24"/>
          <w:highlight w:val="none"/>
        </w:rPr>
        <w:t>资格审查情况、评审专家抽取规则、符合性审查情况、</w:t>
      </w:r>
      <w:bookmarkEnd w:id="14"/>
      <w:r>
        <w:rPr>
          <w:rFonts w:hint="eastAsia" w:ascii="仿宋" w:hAnsi="仿宋" w:eastAsia="仿宋" w:cs="仿宋"/>
          <w:color w:val="auto"/>
          <w:sz w:val="24"/>
          <w:highlight w:val="none"/>
        </w:rPr>
        <w:t>未</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情况说明、</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公告期限以及评审专家名单、评分汇总及明细。</w:t>
      </w:r>
    </w:p>
    <w:p w14:paraId="7DB9D376">
      <w:pPr>
        <w:keepNext w:val="0"/>
        <w:keepLines w:val="0"/>
        <w:pageBreakBefore w:val="0"/>
        <w:widowControl/>
        <w:shd w:val="clear" w:color="auto" w:fill="FFFFFF"/>
        <w:kinsoku/>
        <w:wordWrap/>
        <w:overflowPunct/>
        <w:topLinePunct w:val="0"/>
        <w:autoSpaceDE/>
        <w:autoSpaceDN/>
        <w:bidi w:val="0"/>
        <w:adjustRightInd w:val="0"/>
        <w:snapToGrid/>
        <w:spacing w:after="240" w:line="360" w:lineRule="auto"/>
        <w:ind w:firstLine="482"/>
        <w:jc w:val="left"/>
        <w:textAlignment w:val="auto"/>
        <w:rPr>
          <w:rFonts w:hint="eastAsia" w:ascii="仿宋" w:hAnsi="仿宋" w:eastAsia="仿宋" w:cs="仿宋"/>
          <w:b/>
          <w:color w:val="auto"/>
          <w:sz w:val="32"/>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.3公告期限为1个工作日。</w:t>
      </w:r>
    </w:p>
    <w:p w14:paraId="292A78F7">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5D23140B">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3</w:t>
      </w:r>
      <w:r>
        <w:rPr>
          <w:rFonts w:hint="eastAsia" w:ascii="仿宋" w:hAnsi="仿宋" w:eastAsia="仿宋" w:cs="仿宋"/>
          <w:b/>
          <w:color w:val="auto"/>
          <w:highlight w:val="none"/>
        </w:rPr>
        <w:t xml:space="preserve">. </w:t>
      </w:r>
      <w:r>
        <w:rPr>
          <w:rFonts w:hint="eastAsia" w:ascii="仿宋" w:hAnsi="仿宋" w:eastAsia="仿宋" w:cs="仿宋"/>
          <w:color w:val="auto"/>
          <w:highlight w:val="none"/>
        </w:rPr>
        <w:t>合同主要条款详见第五部分拟签订的合同文本。</w:t>
      </w:r>
    </w:p>
    <w:p w14:paraId="1ECDD9E1">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4</w:t>
      </w:r>
      <w:r>
        <w:rPr>
          <w:rFonts w:hint="eastAsia" w:ascii="仿宋" w:hAnsi="仿宋" w:eastAsia="仿宋" w:cs="仿宋"/>
          <w:b/>
          <w:color w:val="auto"/>
          <w:highlight w:val="none"/>
        </w:rPr>
        <w:t>. 合同的签订</w:t>
      </w:r>
    </w:p>
    <w:p w14:paraId="67F66FFF">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rPr>
        <w:t xml:space="preserve"> 采购人与</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人应当通过电子交易平台在</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通知书发出之日起三十日内，按照</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确定的事项签订采购合同。</w:t>
      </w:r>
    </w:p>
    <w:p w14:paraId="282669B8">
      <w:pPr>
        <w:pStyle w:val="130"/>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lang w:val="en-US" w:eastAsia="zh-CN"/>
        </w:rPr>
        <w:t>4</w:t>
      </w: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lang w:val="en-US" w:eastAsia="zh-CN"/>
        </w:rPr>
        <w:t>成交</w:t>
      </w:r>
      <w:r>
        <w:rPr>
          <w:rFonts w:hint="eastAsia" w:ascii="仿宋" w:hAnsi="仿宋" w:eastAsia="仿宋" w:cs="仿宋"/>
          <w:color w:val="auto"/>
          <w:kern w:val="0"/>
          <w:highlight w:val="none"/>
          <w:lang w:val="zh-CN"/>
        </w:rPr>
        <w:t>人按规定的日期、时间、地点，由法定代表人或其授权代表与采购人代表签订合同。如</w:t>
      </w:r>
      <w:r>
        <w:rPr>
          <w:rFonts w:hint="eastAsia" w:ascii="仿宋" w:hAnsi="仿宋" w:eastAsia="仿宋" w:cs="仿宋"/>
          <w:color w:val="auto"/>
          <w:kern w:val="0"/>
          <w:highlight w:val="none"/>
          <w:lang w:val="en-US" w:eastAsia="zh-CN"/>
        </w:rPr>
        <w:t>成交</w:t>
      </w:r>
      <w:r>
        <w:rPr>
          <w:rFonts w:hint="eastAsia" w:ascii="仿宋" w:hAnsi="仿宋" w:eastAsia="仿宋" w:cs="仿宋"/>
          <w:color w:val="auto"/>
          <w:kern w:val="0"/>
          <w:highlight w:val="none"/>
          <w:lang w:val="zh-CN"/>
        </w:rPr>
        <w:t>人为联合体的，由联合体成员各方法定代表人或其授权代表与采购人代表签订合同。</w:t>
      </w:r>
    </w:p>
    <w:p w14:paraId="4D01302A">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.3如签订合同并生效后，供应商无故拒绝或延期，除按照合同条款处理外，列入不良行为记录一次，并给予通报。</w:t>
      </w:r>
    </w:p>
    <w:p w14:paraId="74EF893D">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供应商拒绝与采购人签订合同的，采购人可以按照评审报告推荐的成交候选人名单排序，确定下一候选人为</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供应商，也可以重新开展采购活动。</w:t>
      </w:r>
    </w:p>
    <w:p w14:paraId="284193CD">
      <w:pPr>
        <w:pStyle w:val="130"/>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.5采购合同由采购人与</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供应商根据</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等内容通过采购电子交易平台在线签订，自动备案。</w:t>
      </w:r>
    </w:p>
    <w:p w14:paraId="1D3FD567">
      <w:pPr>
        <w:pStyle w:val="24"/>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5</w:t>
      </w:r>
      <w:r>
        <w:rPr>
          <w:rFonts w:hint="eastAsia" w:ascii="仿宋" w:hAnsi="仿宋" w:eastAsia="仿宋" w:cs="仿宋"/>
          <w:b/>
          <w:color w:val="auto"/>
          <w:highlight w:val="none"/>
        </w:rPr>
        <w:t>. 履约保证金</w:t>
      </w:r>
    </w:p>
    <w:p w14:paraId="268AAEE9">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34C22EBC">
      <w:pPr>
        <w:keepNext w:val="0"/>
        <w:keepLines w:val="0"/>
        <w:pageBreakBefore w:val="0"/>
        <w:widowControl w:val="0"/>
        <w:tabs>
          <w:tab w:val="left" w:pos="0"/>
        </w:tabs>
        <w:kinsoku/>
        <w:wordWrap/>
        <w:overflowPunct/>
        <w:topLinePunct w:val="0"/>
        <w:autoSpaceDE/>
        <w:autoSpaceDN/>
        <w:bidi w:val="0"/>
        <w:adjustRightInd w:val="0"/>
        <w:snapToGrid/>
        <w:spacing w:after="240" w:line="360" w:lineRule="auto"/>
        <w:ind w:firstLine="480" w:firstLineChars="200"/>
        <w:textAlignment w:val="auto"/>
        <w:rPr>
          <w:rFonts w:hint="eastAsia" w:ascii="仿宋" w:hAnsi="仿宋" w:eastAsia="仿宋" w:cs="仿宋"/>
          <w:b/>
          <w:color w:val="auto"/>
          <w:sz w:val="32"/>
          <w:highlight w:val="none"/>
        </w:rPr>
      </w:pPr>
      <w:r>
        <w:rPr>
          <w:rFonts w:hint="eastAsia" w:ascii="仿宋" w:hAnsi="仿宋" w:eastAsia="仿宋" w:cs="仿宋"/>
          <w:color w:val="auto"/>
          <w:kern w:val="0"/>
          <w:sz w:val="24"/>
          <w:highlight w:val="none"/>
        </w:rPr>
        <w:t>供应商</w:t>
      </w:r>
      <w:r>
        <w:rPr>
          <w:rFonts w:hint="eastAsia" w:ascii="仿宋" w:hAnsi="仿宋" w:eastAsia="仿宋" w:cs="仿宋"/>
          <w:color w:val="auto"/>
          <w:kern w:val="0"/>
          <w:sz w:val="24"/>
          <w:highlight w:val="none"/>
          <w:lang w:val="en-US"/>
        </w:rPr>
        <w:t>可</w:t>
      </w:r>
      <w:r>
        <w:rPr>
          <w:rFonts w:hint="eastAsia" w:ascii="仿宋" w:hAnsi="仿宋" w:eastAsia="仿宋" w:cs="仿宋"/>
          <w:color w:val="auto"/>
          <w:kern w:val="0"/>
          <w:sz w:val="24"/>
          <w:highlight w:val="none"/>
        </w:rPr>
        <w:t>登录</w:t>
      </w:r>
      <w:r>
        <w:rPr>
          <w:rFonts w:hint="eastAsia" w:ascii="仿宋" w:hAnsi="仿宋" w:eastAsia="仿宋" w:cs="仿宋"/>
          <w:color w:val="auto"/>
          <w:kern w:val="0"/>
          <w:sz w:val="24"/>
          <w:highlight w:val="none"/>
          <w:lang w:eastAsia="zh-CN"/>
        </w:rPr>
        <w:t>乐采云平台</w:t>
      </w:r>
      <w:r>
        <w:rPr>
          <w:rFonts w:hint="eastAsia" w:ascii="仿宋" w:hAnsi="仿宋" w:eastAsia="仿宋" w:cs="仿宋"/>
          <w:color w:val="auto"/>
          <w:kern w:val="0"/>
          <w:sz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项目—确认信息—等待保险/保函受理—确认保单—支付保费—成功出单。</w:t>
      </w:r>
      <w:r>
        <w:rPr>
          <w:rFonts w:hint="eastAsia" w:ascii="仿宋" w:hAnsi="仿宋" w:eastAsia="仿宋" w:cs="仿宋"/>
          <w:color w:val="auto"/>
          <w:kern w:val="0"/>
          <w:sz w:val="24"/>
          <w:highlight w:val="none"/>
          <w:lang w:val="en-US" w:eastAsia="zh-CN"/>
        </w:rPr>
        <w:t>乐</w:t>
      </w:r>
      <w:r>
        <w:rPr>
          <w:rFonts w:hint="eastAsia" w:ascii="仿宋" w:hAnsi="仿宋" w:eastAsia="仿宋" w:cs="仿宋"/>
          <w:color w:val="auto"/>
          <w:kern w:val="0"/>
          <w:sz w:val="24"/>
          <w:highlight w:val="none"/>
        </w:rPr>
        <w:t>采云金融专线400-903-9583。</w:t>
      </w:r>
    </w:p>
    <w:p w14:paraId="40044011">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2063EC43">
      <w:pPr>
        <w:pStyle w:val="130"/>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rPr>
        <w:t>2</w:t>
      </w:r>
      <w:r>
        <w:rPr>
          <w:rFonts w:hint="eastAsia" w:ascii="仿宋" w:hAnsi="仿宋" w:eastAsia="仿宋" w:cs="仿宋"/>
          <w:b/>
          <w:bCs/>
          <w:color w:val="auto"/>
          <w:sz w:val="24"/>
          <w:szCs w:val="20"/>
          <w:highlight w:val="none"/>
          <w:lang w:val="en-US" w:eastAsia="zh-CN"/>
        </w:rPr>
        <w:t>6</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3B0BACF7">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1CD91CCB">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2A29DC1C">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660BD1B4">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3D5B3ED6">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76D66E3C">
      <w:pPr>
        <w:pStyle w:val="130"/>
        <w:keepNext w:val="0"/>
        <w:keepLines w:val="0"/>
        <w:pageBreakBefore w:val="0"/>
        <w:widowControl w:val="0"/>
        <w:kinsoku/>
        <w:wordWrap/>
        <w:overflowPunct/>
        <w:topLinePunct w:val="0"/>
        <w:autoSpaceDE/>
        <w:autoSpaceDN/>
        <w:bidi w:val="0"/>
        <w:adjustRightInd w:val="0"/>
        <w:snapToGrid w:val="0"/>
        <w:spacing w:before="0" w:after="240"/>
        <w:ind w:left="0" w:leftChars="0"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FB3DCBF">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5B622D73">
      <w:pPr>
        <w:pStyle w:val="24"/>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lang w:val="en-US" w:eastAsia="zh-CN"/>
        </w:rPr>
        <w:t>28</w:t>
      </w:r>
      <w:r>
        <w:rPr>
          <w:rFonts w:hint="eastAsia" w:ascii="仿宋" w:hAnsi="仿宋" w:eastAsia="仿宋" w:cs="仿宋"/>
          <w:b/>
          <w:color w:val="auto"/>
          <w:highlight w:val="none"/>
        </w:rPr>
        <w:t>.验收</w:t>
      </w:r>
    </w:p>
    <w:p w14:paraId="2033518D">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lang w:val="en-US" w:eastAsia="zh-CN"/>
        </w:rPr>
        <w:t>28</w:t>
      </w:r>
      <w:r>
        <w:rPr>
          <w:rFonts w:hint="eastAsia" w:ascii="仿宋" w:hAnsi="仿宋" w:eastAsia="仿宋" w:cs="仿宋"/>
          <w:color w:val="auto"/>
          <w:kern w:val="0"/>
          <w:sz w:val="24"/>
          <w:highlight w:val="none"/>
        </w:rPr>
        <w:t>.1采购人组织对供应商履约的验收。</w:t>
      </w:r>
    </w:p>
    <w:bookmarkEnd w:id="13"/>
    <w:p w14:paraId="229BB14A">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30295"/>
      <w:bookmarkEnd w:id="15"/>
      <w:bookmarkStart w:id="16" w:name="_Hlt75236290"/>
      <w:bookmarkEnd w:id="16"/>
      <w:bookmarkStart w:id="17" w:name="_Hlt68072990"/>
      <w:bookmarkEnd w:id="17"/>
      <w:bookmarkStart w:id="18" w:name="_Hlt74707468"/>
      <w:bookmarkEnd w:id="18"/>
      <w:bookmarkStart w:id="19" w:name="_Hlt75236101"/>
      <w:bookmarkEnd w:id="19"/>
      <w:bookmarkStart w:id="20" w:name="_Hlt68073093"/>
      <w:bookmarkEnd w:id="20"/>
      <w:bookmarkStart w:id="21" w:name="_Hlt68057669"/>
      <w:bookmarkEnd w:id="21"/>
      <w:bookmarkStart w:id="22" w:name="_Hlt75236011"/>
      <w:bookmarkEnd w:id="22"/>
      <w:bookmarkStart w:id="23" w:name="_Hlt68072998"/>
      <w:bookmarkEnd w:id="23"/>
      <w:bookmarkStart w:id="24" w:name="_Hlt68403820"/>
      <w:bookmarkEnd w:id="24"/>
      <w:bookmarkStart w:id="25" w:name="_Hlt74714665"/>
      <w:bookmarkEnd w:id="25"/>
      <w:bookmarkStart w:id="26" w:name="_Hlt74729768"/>
      <w:bookmarkEnd w:id="26"/>
    </w:p>
    <w:bookmarkEnd w:id="11"/>
    <w:bookmarkEnd w:id="12"/>
    <w:p w14:paraId="38B539CB">
      <w:pPr>
        <w:spacing w:line="360" w:lineRule="auto"/>
        <w:jc w:val="center"/>
        <w:outlineLvl w:val="0"/>
        <w:rPr>
          <w:rFonts w:hint="eastAsia" w:ascii="仿宋" w:hAnsi="仿宋" w:eastAsia="仿宋" w:cs="仿宋"/>
          <w:b/>
          <w:color w:val="auto"/>
          <w:sz w:val="36"/>
          <w:szCs w:val="36"/>
          <w:highlight w:val="none"/>
        </w:rPr>
      </w:pPr>
      <w:bookmarkStart w:id="27" w:name="第四部分"/>
      <w:r>
        <w:rPr>
          <w:rFonts w:hint="eastAsia" w:ascii="仿宋" w:hAnsi="仿宋" w:eastAsia="仿宋" w:cs="仿宋"/>
          <w:b/>
          <w:color w:val="auto"/>
          <w:sz w:val="36"/>
          <w:szCs w:val="36"/>
          <w:highlight w:val="none"/>
        </w:rPr>
        <w:t>第三部分   采购需求</w:t>
      </w:r>
    </w:p>
    <w:p w14:paraId="3A1A9815">
      <w:pPr>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highlight w:val="none"/>
        </w:rPr>
      </w:pPr>
      <w:r>
        <w:rPr>
          <w:rStyle w:val="964"/>
          <w:rFonts w:hint="eastAsia" w:ascii="仿宋" w:hAnsi="仿宋" w:eastAsia="仿宋" w:cs="仿宋"/>
          <w:i w:val="0"/>
          <w:iCs w:val="0"/>
          <w:color w:val="auto"/>
          <w:sz w:val="24"/>
          <w:szCs w:val="24"/>
          <w:highlight w:val="none"/>
        </w:rPr>
        <w:t>属于实质性要求条款的，请用符号“▲”标明，否则属于非实质性要求。</w:t>
      </w:r>
    </w:p>
    <w:p w14:paraId="1CB89F4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zh-CN" w:eastAsia="zh-CN"/>
        </w:rPr>
        <w:t>一、</w:t>
      </w:r>
      <w:r>
        <w:rPr>
          <w:rFonts w:hint="eastAsia" w:ascii="仿宋" w:hAnsi="仿宋" w:eastAsia="仿宋" w:cs="仿宋"/>
          <w:b/>
          <w:bCs/>
          <w:color w:val="auto"/>
          <w:sz w:val="32"/>
          <w:szCs w:val="32"/>
          <w:highlight w:val="none"/>
          <w:lang w:val="en-US" w:eastAsia="zh-CN"/>
        </w:rPr>
        <w:t>交易</w:t>
      </w:r>
      <w:r>
        <w:rPr>
          <w:rFonts w:hint="eastAsia" w:ascii="仿宋" w:hAnsi="仿宋" w:eastAsia="仿宋" w:cs="仿宋"/>
          <w:b/>
          <w:bCs/>
          <w:color w:val="auto"/>
          <w:sz w:val="32"/>
          <w:szCs w:val="32"/>
          <w:highlight w:val="none"/>
        </w:rPr>
        <w:t>一览表</w:t>
      </w:r>
    </w:p>
    <w:p w14:paraId="03273C75">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标项一：</w:t>
      </w:r>
      <w:r>
        <w:rPr>
          <w:rFonts w:hint="eastAsia" w:ascii="仿宋" w:hAnsi="仿宋" w:eastAsia="仿宋" w:cs="仿宋"/>
          <w:color w:val="auto"/>
          <w:sz w:val="28"/>
          <w:szCs w:val="28"/>
          <w:highlight w:val="none"/>
          <w:lang w:val="en-US" w:eastAsia="zh-CN"/>
        </w:rPr>
        <w:t>杭州市萧山区中医骨伤科医院被服清洗服务采购项目</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1584"/>
        <w:gridCol w:w="783"/>
        <w:gridCol w:w="900"/>
        <w:gridCol w:w="1350"/>
        <w:gridCol w:w="1908"/>
        <w:gridCol w:w="1214"/>
      </w:tblGrid>
      <w:tr w14:paraId="345DA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756" w:type="dxa"/>
            <w:vAlign w:val="center"/>
          </w:tcPr>
          <w:p w14:paraId="5FB947CB">
            <w:pPr>
              <w:tabs>
                <w:tab w:val="left" w:pos="0"/>
              </w:tabs>
              <w:adjustRightInd w:val="0"/>
              <w:snapToGrid w:val="0"/>
              <w:spacing w:after="0"/>
              <w:jc w:val="center"/>
              <w:rPr>
                <w:rFonts w:hint="eastAsia" w:ascii="仿宋" w:hAnsi="仿宋" w:eastAsia="仿宋" w:cs="仿宋"/>
                <w:b/>
                <w:bCs/>
                <w:color w:val="auto"/>
                <w:sz w:val="24"/>
                <w:szCs w:val="24"/>
                <w:highlight w:val="none"/>
                <w:vertAlign w:val="baseline"/>
              </w:rPr>
            </w:pPr>
            <w:r>
              <w:rPr>
                <w:rFonts w:hint="eastAsia" w:ascii="仿宋" w:hAnsi="仿宋" w:eastAsia="仿宋" w:cs="仿宋"/>
                <w:color w:val="auto"/>
                <w:sz w:val="24"/>
                <w:szCs w:val="24"/>
                <w:highlight w:val="none"/>
              </w:rPr>
              <w:t>序号</w:t>
            </w:r>
          </w:p>
        </w:tc>
        <w:tc>
          <w:tcPr>
            <w:tcW w:w="1584" w:type="dxa"/>
            <w:vAlign w:val="center"/>
          </w:tcPr>
          <w:p w14:paraId="20C2BE44">
            <w:pPr>
              <w:tabs>
                <w:tab w:val="left" w:pos="0"/>
              </w:tabs>
              <w:adjustRightInd w:val="0"/>
              <w:snapToGrid w:val="0"/>
              <w:spacing w:after="0"/>
              <w:jc w:val="center"/>
              <w:rPr>
                <w:rFonts w:hint="eastAsia" w:ascii="仿宋" w:hAnsi="仿宋" w:eastAsia="仿宋" w:cs="仿宋"/>
                <w:b/>
                <w:bCs/>
                <w:color w:val="auto"/>
                <w:sz w:val="24"/>
                <w:szCs w:val="24"/>
                <w:highlight w:val="none"/>
                <w:vertAlign w:val="baseline"/>
              </w:rPr>
            </w:pPr>
            <w:r>
              <w:rPr>
                <w:rFonts w:hint="eastAsia" w:ascii="仿宋" w:hAnsi="仿宋" w:eastAsia="仿宋" w:cs="仿宋"/>
                <w:color w:val="auto"/>
                <w:sz w:val="24"/>
                <w:szCs w:val="24"/>
                <w:highlight w:val="none"/>
              </w:rPr>
              <w:t>名称</w:t>
            </w:r>
          </w:p>
        </w:tc>
        <w:tc>
          <w:tcPr>
            <w:tcW w:w="783" w:type="dxa"/>
            <w:vAlign w:val="center"/>
          </w:tcPr>
          <w:p w14:paraId="362FF3CC">
            <w:pPr>
              <w:tabs>
                <w:tab w:val="left" w:pos="0"/>
              </w:tabs>
              <w:adjustRightInd w:val="0"/>
              <w:snapToGrid w:val="0"/>
              <w:spacing w:after="0"/>
              <w:jc w:val="center"/>
              <w:rPr>
                <w:rFonts w:hint="eastAsia" w:ascii="仿宋" w:hAnsi="仿宋" w:eastAsia="仿宋" w:cs="仿宋"/>
                <w:b/>
                <w:bCs/>
                <w:color w:val="auto"/>
                <w:sz w:val="24"/>
                <w:szCs w:val="24"/>
                <w:highlight w:val="none"/>
                <w:vertAlign w:val="baseline"/>
              </w:rPr>
            </w:pPr>
            <w:r>
              <w:rPr>
                <w:rFonts w:hint="eastAsia" w:ascii="仿宋" w:hAnsi="仿宋" w:eastAsia="仿宋" w:cs="仿宋"/>
                <w:color w:val="auto"/>
                <w:sz w:val="24"/>
                <w:szCs w:val="24"/>
                <w:highlight w:val="none"/>
              </w:rPr>
              <w:t>数量</w:t>
            </w:r>
          </w:p>
        </w:tc>
        <w:tc>
          <w:tcPr>
            <w:tcW w:w="900" w:type="dxa"/>
            <w:vAlign w:val="center"/>
          </w:tcPr>
          <w:p w14:paraId="08E638D8">
            <w:pPr>
              <w:tabs>
                <w:tab w:val="left" w:pos="0"/>
              </w:tabs>
              <w:adjustRightInd w:val="0"/>
              <w:snapToGrid w:val="0"/>
              <w:spacing w:after="0"/>
              <w:jc w:val="center"/>
              <w:rPr>
                <w:rFonts w:hint="eastAsia" w:ascii="仿宋" w:hAnsi="仿宋" w:eastAsia="仿宋" w:cs="仿宋"/>
                <w:b/>
                <w:bCs/>
                <w:color w:val="auto"/>
                <w:sz w:val="24"/>
                <w:szCs w:val="24"/>
                <w:highlight w:val="none"/>
                <w:vertAlign w:val="baseline"/>
              </w:rPr>
            </w:pPr>
            <w:r>
              <w:rPr>
                <w:rFonts w:hint="eastAsia" w:ascii="仿宋" w:hAnsi="仿宋" w:eastAsia="仿宋" w:cs="仿宋"/>
                <w:color w:val="auto"/>
                <w:sz w:val="24"/>
                <w:szCs w:val="24"/>
                <w:highlight w:val="none"/>
              </w:rPr>
              <w:t>单位</w:t>
            </w:r>
          </w:p>
        </w:tc>
        <w:tc>
          <w:tcPr>
            <w:tcW w:w="1350" w:type="dxa"/>
            <w:vAlign w:val="center"/>
          </w:tcPr>
          <w:p w14:paraId="15BC0237">
            <w:pPr>
              <w:tabs>
                <w:tab w:val="left" w:pos="0"/>
              </w:tabs>
              <w:adjustRightInd w:val="0"/>
              <w:snapToGrid w:val="0"/>
              <w:spacing w:after="0"/>
              <w:jc w:val="center"/>
              <w:rPr>
                <w:rFonts w:hint="eastAsia" w:ascii="仿宋" w:hAnsi="仿宋" w:eastAsia="仿宋" w:cs="仿宋"/>
                <w:b/>
                <w:bCs/>
                <w:color w:val="auto"/>
                <w:sz w:val="24"/>
                <w:szCs w:val="24"/>
                <w:highlight w:val="none"/>
                <w:vertAlign w:val="baseline"/>
              </w:rPr>
            </w:pPr>
            <w:r>
              <w:rPr>
                <w:rFonts w:hint="eastAsia" w:ascii="仿宋" w:hAnsi="仿宋" w:eastAsia="仿宋" w:cs="仿宋"/>
                <w:color w:val="auto"/>
                <w:sz w:val="24"/>
                <w:szCs w:val="24"/>
                <w:highlight w:val="none"/>
              </w:rPr>
              <w:t>预算（元）</w:t>
            </w:r>
          </w:p>
        </w:tc>
        <w:tc>
          <w:tcPr>
            <w:tcW w:w="1908" w:type="dxa"/>
            <w:vAlign w:val="center"/>
          </w:tcPr>
          <w:p w14:paraId="1A6A5DAD">
            <w:pPr>
              <w:tabs>
                <w:tab w:val="left" w:pos="0"/>
              </w:tabs>
              <w:adjustRightInd w:val="0"/>
              <w:snapToGrid w:val="0"/>
              <w:spacing w:after="0"/>
              <w:jc w:val="center"/>
              <w:rPr>
                <w:rFonts w:hint="eastAsia" w:ascii="仿宋" w:hAnsi="仿宋" w:eastAsia="仿宋" w:cs="仿宋"/>
                <w:b/>
                <w:bCs/>
                <w:color w:val="auto"/>
                <w:sz w:val="24"/>
                <w:szCs w:val="24"/>
                <w:highlight w:val="none"/>
                <w:vertAlign w:val="baseline"/>
              </w:rPr>
            </w:pPr>
            <w:r>
              <w:rPr>
                <w:rFonts w:hint="eastAsia" w:ascii="仿宋" w:hAnsi="仿宋" w:eastAsia="仿宋" w:cs="仿宋"/>
                <w:color w:val="auto"/>
                <w:sz w:val="24"/>
                <w:szCs w:val="24"/>
                <w:highlight w:val="none"/>
              </w:rPr>
              <w:t>简要规格描述或基本情况介绍</w:t>
            </w:r>
          </w:p>
        </w:tc>
        <w:tc>
          <w:tcPr>
            <w:tcW w:w="1214" w:type="dxa"/>
            <w:vAlign w:val="center"/>
          </w:tcPr>
          <w:p w14:paraId="05BCE7E8">
            <w:pPr>
              <w:tabs>
                <w:tab w:val="left" w:pos="0"/>
              </w:tabs>
              <w:adjustRightInd w:val="0"/>
              <w:snapToGrid w:val="0"/>
              <w:spacing w:after="0"/>
              <w:jc w:val="center"/>
              <w:rPr>
                <w:rFonts w:hint="eastAsia" w:ascii="仿宋" w:hAnsi="仿宋" w:eastAsia="仿宋" w:cs="仿宋"/>
                <w:b/>
                <w:bCs/>
                <w:color w:val="auto"/>
                <w:sz w:val="24"/>
                <w:szCs w:val="24"/>
                <w:highlight w:val="none"/>
                <w:vertAlign w:val="baseline"/>
              </w:rPr>
            </w:pPr>
            <w:r>
              <w:rPr>
                <w:rFonts w:hint="eastAsia" w:ascii="仿宋" w:hAnsi="仿宋" w:eastAsia="仿宋" w:cs="仿宋"/>
                <w:color w:val="auto"/>
                <w:sz w:val="24"/>
                <w:szCs w:val="24"/>
                <w:highlight w:val="none"/>
              </w:rPr>
              <w:t>最高限价（元）</w:t>
            </w:r>
          </w:p>
        </w:tc>
      </w:tr>
      <w:tr w14:paraId="0231C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56" w:type="dxa"/>
            <w:vAlign w:val="center"/>
          </w:tcPr>
          <w:p w14:paraId="7FC1F4D8">
            <w:pPr>
              <w:tabs>
                <w:tab w:val="left" w:pos="0"/>
              </w:tabs>
              <w:jc w:val="center"/>
              <w:rPr>
                <w:rFonts w:hint="eastAsia" w:ascii="仿宋" w:hAnsi="仿宋" w:eastAsia="仿宋" w:cs="仿宋"/>
                <w:b/>
                <w:bCs/>
                <w:color w:val="auto"/>
                <w:sz w:val="24"/>
                <w:szCs w:val="24"/>
                <w:highlight w:val="none"/>
                <w:vertAlign w:val="baseline"/>
              </w:rPr>
            </w:pPr>
            <w:r>
              <w:rPr>
                <w:rFonts w:hint="eastAsia" w:ascii="仿宋" w:hAnsi="仿宋" w:eastAsia="仿宋" w:cs="仿宋"/>
                <w:color w:val="auto"/>
                <w:sz w:val="24"/>
                <w:szCs w:val="24"/>
                <w:highlight w:val="none"/>
              </w:rPr>
              <w:t>1</w:t>
            </w:r>
          </w:p>
        </w:tc>
        <w:tc>
          <w:tcPr>
            <w:tcW w:w="1584" w:type="dxa"/>
            <w:vAlign w:val="center"/>
          </w:tcPr>
          <w:p w14:paraId="43746522">
            <w:pPr>
              <w:jc w:val="center"/>
              <w:textAlignment w:val="center"/>
              <w:rPr>
                <w:rFonts w:hint="default" w:ascii="仿宋" w:hAnsi="仿宋" w:eastAsia="仿宋" w:cs="仿宋"/>
                <w:b/>
                <w:bCs/>
                <w:color w:val="auto"/>
                <w:sz w:val="24"/>
                <w:szCs w:val="24"/>
                <w:highlight w:val="none"/>
                <w:vertAlign w:val="baseline"/>
                <w:lang w:val="en-US"/>
              </w:rPr>
            </w:pPr>
            <w:r>
              <w:rPr>
                <w:rFonts w:hint="eastAsia" w:ascii="仿宋" w:hAnsi="仿宋" w:eastAsia="仿宋" w:cs="仿宋"/>
                <w:color w:val="auto"/>
                <w:sz w:val="24"/>
                <w:szCs w:val="24"/>
                <w:highlight w:val="none"/>
                <w:lang w:val="en-US" w:eastAsia="zh-CN"/>
              </w:rPr>
              <w:t>杭州市萧山区中医骨伤科医院被服清洗服务采购项目</w:t>
            </w:r>
          </w:p>
        </w:tc>
        <w:tc>
          <w:tcPr>
            <w:tcW w:w="783" w:type="dxa"/>
            <w:vAlign w:val="center"/>
          </w:tcPr>
          <w:p w14:paraId="2CA907F6">
            <w:pPr>
              <w:jc w:val="center"/>
              <w:textAlignment w:val="center"/>
              <w:rPr>
                <w:rFonts w:hint="eastAsia" w:ascii="仿宋" w:hAnsi="仿宋" w:eastAsia="仿宋" w:cs="仿宋"/>
                <w:b/>
                <w:bCs/>
                <w:color w:val="auto"/>
                <w:sz w:val="24"/>
                <w:szCs w:val="24"/>
                <w:highlight w:val="none"/>
                <w:vertAlign w:val="baseline"/>
              </w:rPr>
            </w:pPr>
            <w:r>
              <w:rPr>
                <w:rFonts w:hint="eastAsia" w:ascii="仿宋" w:hAnsi="仿宋" w:eastAsia="仿宋" w:cs="仿宋"/>
                <w:color w:val="auto"/>
                <w:sz w:val="24"/>
                <w:szCs w:val="24"/>
                <w:highlight w:val="none"/>
                <w:lang w:val="en-US" w:eastAsia="zh-CN"/>
              </w:rPr>
              <w:t>1</w:t>
            </w:r>
          </w:p>
        </w:tc>
        <w:tc>
          <w:tcPr>
            <w:tcW w:w="900" w:type="dxa"/>
            <w:vAlign w:val="center"/>
          </w:tcPr>
          <w:p w14:paraId="1A96D5BF">
            <w:pPr>
              <w:jc w:val="center"/>
              <w:textAlignment w:val="center"/>
              <w:rPr>
                <w:rFonts w:hint="eastAsia" w:ascii="仿宋" w:hAnsi="仿宋" w:eastAsia="仿宋" w:cs="仿宋"/>
                <w:b/>
                <w:bCs/>
                <w:color w:val="auto"/>
                <w:sz w:val="24"/>
                <w:szCs w:val="24"/>
                <w:highlight w:val="none"/>
                <w:vertAlign w:val="baseline"/>
              </w:rPr>
            </w:pPr>
            <w:r>
              <w:rPr>
                <w:rFonts w:hint="eastAsia" w:ascii="仿宋" w:hAnsi="仿宋" w:eastAsia="仿宋" w:cs="仿宋"/>
                <w:color w:val="auto"/>
                <w:sz w:val="24"/>
                <w:szCs w:val="24"/>
                <w:highlight w:val="none"/>
                <w:lang w:val="en-US" w:eastAsia="zh-CN"/>
              </w:rPr>
              <w:t>项</w:t>
            </w:r>
          </w:p>
        </w:tc>
        <w:tc>
          <w:tcPr>
            <w:tcW w:w="1350" w:type="dxa"/>
            <w:vAlign w:val="center"/>
          </w:tcPr>
          <w:p w14:paraId="79A7F7C6">
            <w:pPr>
              <w:jc w:val="center"/>
              <w:textAlignment w:val="center"/>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380000</w:t>
            </w:r>
          </w:p>
        </w:tc>
        <w:tc>
          <w:tcPr>
            <w:tcW w:w="1908" w:type="dxa"/>
            <w:vAlign w:val="center"/>
          </w:tcPr>
          <w:p w14:paraId="012F1731">
            <w:pPr>
              <w:tabs>
                <w:tab w:val="left" w:pos="0"/>
              </w:tabs>
              <w:jc w:val="center"/>
              <w:rPr>
                <w:rFonts w:hint="eastAsia" w:ascii="仿宋" w:hAnsi="仿宋" w:eastAsia="仿宋" w:cs="仿宋"/>
                <w:b w:val="0"/>
                <w:bCs w:val="0"/>
                <w:color w:val="auto"/>
                <w:sz w:val="24"/>
                <w:szCs w:val="24"/>
                <w:highlight w:val="none"/>
                <w:vertAlign w:val="baseline"/>
              </w:rPr>
            </w:pPr>
            <w:r>
              <w:rPr>
                <w:rFonts w:hint="eastAsia" w:ascii="仿宋" w:hAnsi="仿宋" w:eastAsia="仿宋" w:cs="仿宋"/>
                <w:b w:val="0"/>
                <w:bCs w:val="0"/>
                <w:color w:val="auto"/>
                <w:sz w:val="24"/>
                <w:szCs w:val="24"/>
                <w:highlight w:val="none"/>
                <w:lang w:eastAsia="zh-Hans"/>
              </w:rPr>
              <w:t>二、</w:t>
            </w:r>
            <w:r>
              <w:rPr>
                <w:rFonts w:hint="eastAsia" w:ascii="仿宋" w:hAnsi="仿宋" w:eastAsia="仿宋" w:cs="仿宋"/>
                <w:b w:val="0"/>
                <w:bCs w:val="0"/>
                <w:color w:val="auto"/>
                <w:sz w:val="24"/>
                <w:szCs w:val="24"/>
                <w:highlight w:val="none"/>
                <w:lang w:val="en-US" w:eastAsia="zh-CN"/>
              </w:rPr>
              <w:t>采购</w:t>
            </w:r>
            <w:r>
              <w:rPr>
                <w:rFonts w:hint="eastAsia" w:ascii="仿宋" w:hAnsi="仿宋" w:eastAsia="仿宋" w:cs="仿宋"/>
                <w:b w:val="0"/>
                <w:bCs w:val="0"/>
                <w:color w:val="auto"/>
                <w:sz w:val="24"/>
                <w:szCs w:val="24"/>
                <w:highlight w:val="none"/>
              </w:rPr>
              <w:t>需求-1、技术需求</w:t>
            </w:r>
          </w:p>
        </w:tc>
        <w:tc>
          <w:tcPr>
            <w:tcW w:w="1214" w:type="dxa"/>
            <w:vAlign w:val="center"/>
          </w:tcPr>
          <w:p w14:paraId="13A4BFAE">
            <w:pPr>
              <w:jc w:val="center"/>
              <w:textAlignment w:val="center"/>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380000</w:t>
            </w:r>
          </w:p>
        </w:tc>
      </w:tr>
    </w:tbl>
    <w:p w14:paraId="5C66E441">
      <w:pPr>
        <w:jc w:val="center"/>
        <w:rPr>
          <w:rFonts w:hint="eastAsia" w:ascii="仿宋" w:hAnsi="仿宋" w:eastAsia="仿宋" w:cs="仿宋"/>
          <w:snapToGrid w:val="0"/>
          <w:kern w:val="0"/>
          <w:sz w:val="32"/>
          <w:szCs w:val="32"/>
        </w:rPr>
      </w:pPr>
    </w:p>
    <w:p w14:paraId="06C27ADD">
      <w:pPr>
        <w:pageBreakBefore w:val="0"/>
        <w:kinsoku/>
        <w:wordWrap/>
        <w:overflowPunct/>
        <w:topLinePunct w:val="0"/>
        <w:bidi w:val="0"/>
        <w:spacing w:line="360" w:lineRule="auto"/>
        <w:ind w:left="0" w:firstLine="482" w:firstLineChars="200"/>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交易需求</w:t>
      </w:r>
    </w:p>
    <w:p w14:paraId="772C1E0E">
      <w:pPr>
        <w:pageBreakBefore w:val="0"/>
        <w:kinsoku/>
        <w:wordWrap/>
        <w:overflowPunct/>
        <w:topLinePunct w:val="0"/>
        <w:bidi w:val="0"/>
        <w:spacing w:line="360" w:lineRule="auto"/>
        <w:ind w:left="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1.服务要求：</w:t>
      </w:r>
    </w:p>
    <w:p w14:paraId="27A71746">
      <w:pPr>
        <w:pageBreakBefore w:val="0"/>
        <w:kinsoku/>
        <w:wordWrap/>
        <w:overflowPunct/>
        <w:topLinePunct w:val="0"/>
        <w:bidi w:val="0"/>
        <w:spacing w:line="360" w:lineRule="auto"/>
        <w:ind w:left="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1.1 内容：</w:t>
      </w:r>
    </w:p>
    <w:p w14:paraId="7F734F54">
      <w:pPr>
        <w:pageBreakBefore w:val="0"/>
        <w:kinsoku/>
        <w:wordWrap/>
        <w:overflowPunct/>
        <w:topLinePunct w:val="0"/>
        <w:bidi w:val="0"/>
        <w:spacing w:line="360" w:lineRule="auto"/>
        <w:ind w:left="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全院被服清洗服务（洗涤、消毒、烘干熨平等服务。当天上午从被服间收、次日上午发)具体以满足采购单位服务需求而定。 </w:t>
      </w:r>
    </w:p>
    <w:p w14:paraId="50A950B5">
      <w:pPr>
        <w:pageBreakBefore w:val="0"/>
        <w:kinsoku/>
        <w:wordWrap/>
        <w:overflowPunct/>
        <w:topLinePunct w:val="0"/>
        <w:bidi w:val="0"/>
        <w:spacing w:line="360" w:lineRule="auto"/>
        <w:ind w:left="0" w:firstLine="482" w:firstLineChars="200"/>
        <w:textAlignment w:val="auto"/>
        <w:rPr>
          <w:rFonts w:hint="eastAsia" w:ascii="仿宋" w:hAnsi="仿宋" w:eastAsia="仿宋" w:cs="仿宋"/>
          <w:color w:val="000000"/>
          <w:sz w:val="24"/>
          <w:szCs w:val="24"/>
        </w:rPr>
      </w:pPr>
      <w:r>
        <w:rPr>
          <w:rFonts w:hint="eastAsia" w:ascii="仿宋" w:hAnsi="仿宋" w:eastAsia="仿宋" w:cs="仿宋"/>
          <w:b/>
          <w:sz w:val="24"/>
          <w:szCs w:val="24"/>
        </w:rPr>
        <w:t>1.2  工作量：</w:t>
      </w:r>
      <w:r>
        <w:rPr>
          <w:rFonts w:hint="eastAsia" w:ascii="仿宋" w:hAnsi="仿宋" w:eastAsia="仿宋" w:cs="仿宋"/>
          <w:color w:val="000000"/>
          <w:sz w:val="24"/>
          <w:szCs w:val="24"/>
        </w:rPr>
        <w:t>全院年洗涤量约</w:t>
      </w:r>
      <w:r>
        <w:rPr>
          <w:rFonts w:hint="eastAsia" w:ascii="仿宋" w:hAnsi="仿宋" w:eastAsia="仿宋" w:cs="仿宋"/>
          <w:kern w:val="0"/>
          <w:sz w:val="24"/>
          <w:szCs w:val="24"/>
        </w:rPr>
        <w:t xml:space="preserve"> 128554 </w:t>
      </w:r>
      <w:r>
        <w:rPr>
          <w:rFonts w:hint="eastAsia" w:ascii="仿宋" w:hAnsi="仿宋" w:eastAsia="仿宋" w:cs="仿宋"/>
          <w:sz w:val="24"/>
          <w:szCs w:val="24"/>
        </w:rPr>
        <w:t>件，</w:t>
      </w:r>
      <w:r>
        <w:rPr>
          <w:rFonts w:hint="eastAsia" w:ascii="仿宋" w:hAnsi="仿宋" w:eastAsia="仿宋" w:cs="仿宋"/>
          <w:b/>
          <w:bCs/>
          <w:color w:val="000000"/>
          <w:sz w:val="24"/>
          <w:szCs w:val="24"/>
        </w:rPr>
        <w:t>但采购人对实际发生数量不做承诺。</w:t>
      </w:r>
    </w:p>
    <w:p w14:paraId="42905CB5">
      <w:pPr>
        <w:pageBreakBefore w:val="0"/>
        <w:kinsoku/>
        <w:wordWrap/>
        <w:overflowPunct/>
        <w:topLinePunct w:val="0"/>
        <w:bidi w:val="0"/>
        <w:spacing w:line="360" w:lineRule="auto"/>
        <w:ind w:left="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1.3 基本要求：</w:t>
      </w:r>
    </w:p>
    <w:p w14:paraId="24E21FAD">
      <w:pPr>
        <w:pageBreakBefore w:val="0"/>
        <w:kinsoku/>
        <w:wordWrap/>
        <w:overflowPunct/>
        <w:topLinePunct w:val="0"/>
        <w:bidi w:val="0"/>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（1）投标人必须具有一定的洗涤、消毒及运送等设备，投标人的场地、设施设备及人员，须满足</w:t>
      </w:r>
    </w:p>
    <w:p w14:paraId="68C57494">
      <w:pPr>
        <w:pageBreakBefore w:val="0"/>
        <w:kinsoku/>
        <w:wordWrap/>
        <w:overflowPunct/>
        <w:topLinePunct w:val="0"/>
        <w:bidi w:val="0"/>
        <w:spacing w:line="360" w:lineRule="auto"/>
        <w:ind w:left="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WS/T 508-2016  医院医用织物洗涤消毒技术规范</w:t>
      </w:r>
    </w:p>
    <w:p w14:paraId="5462A400">
      <w:pPr>
        <w:pageBreakBefore w:val="0"/>
        <w:kinsoku/>
        <w:wordWrap/>
        <w:overflowPunct/>
        <w:topLinePunct w:val="0"/>
        <w:bidi w:val="0"/>
        <w:spacing w:line="360" w:lineRule="auto"/>
        <w:ind w:left="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GB 15982-2012   医院消毒卫生标准</w:t>
      </w:r>
    </w:p>
    <w:p w14:paraId="26FE583A">
      <w:pPr>
        <w:pageBreakBefore w:val="0"/>
        <w:kinsoku/>
        <w:wordWrap/>
        <w:overflowPunct/>
        <w:topLinePunct w:val="0"/>
        <w:bidi w:val="0"/>
        <w:spacing w:line="360" w:lineRule="auto"/>
        <w:ind w:left="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WS/T 311-2009   医院隔离技术规范</w:t>
      </w:r>
    </w:p>
    <w:p w14:paraId="7E465DA5">
      <w:pPr>
        <w:pageBreakBefore w:val="0"/>
        <w:kinsoku/>
        <w:wordWrap/>
        <w:overflowPunct/>
        <w:topLinePunct w:val="0"/>
        <w:bidi w:val="0"/>
        <w:spacing w:line="360" w:lineRule="auto"/>
        <w:ind w:left="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WS/T 313-2009   医务人员手卫生规范</w:t>
      </w:r>
    </w:p>
    <w:p w14:paraId="612D4C90">
      <w:pPr>
        <w:pageBreakBefore w:val="0"/>
        <w:kinsoku/>
        <w:wordWrap/>
        <w:overflowPunct/>
        <w:topLinePunct w:val="0"/>
        <w:bidi w:val="0"/>
        <w:spacing w:line="360" w:lineRule="auto"/>
        <w:ind w:left="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WS/T 367－2012  医疗机构消毒技术规范</w:t>
      </w:r>
    </w:p>
    <w:p w14:paraId="26915605">
      <w:pPr>
        <w:pageBreakBefore w:val="0"/>
        <w:kinsoku/>
        <w:wordWrap/>
        <w:overflowPunct/>
        <w:topLinePunct w:val="0"/>
        <w:bidi w:val="0"/>
        <w:spacing w:line="360" w:lineRule="auto"/>
        <w:ind w:left="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SB/T 10989-2013 衣物洗涤质量要求</w:t>
      </w:r>
    </w:p>
    <w:p w14:paraId="2D3A4367">
      <w:pPr>
        <w:pageBreakBefore w:val="0"/>
        <w:kinsoku/>
        <w:wordWrap/>
        <w:overflowPunct/>
        <w:topLinePunct w:val="0"/>
        <w:bidi w:val="0"/>
        <w:spacing w:line="360" w:lineRule="auto"/>
        <w:ind w:left="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（2）投标公司必须负责洗涤物品的整体收送工作；</w:t>
      </w:r>
    </w:p>
    <w:p w14:paraId="3CEDF5D8">
      <w:pPr>
        <w:pageBreakBefore w:val="0"/>
        <w:kinsoku/>
        <w:wordWrap/>
        <w:overflowPunct/>
        <w:topLinePunct w:val="0"/>
        <w:bidi w:val="0"/>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（3）投标人必须具有能在3小时内将急需物品送达采购人指定地点的能力；</w:t>
      </w:r>
    </w:p>
    <w:p w14:paraId="467F57BF">
      <w:pPr>
        <w:pageBreakBefore w:val="0"/>
        <w:kinsoku/>
        <w:wordWrap/>
        <w:overflowPunct/>
        <w:topLinePunct w:val="0"/>
        <w:bidi w:val="0"/>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（4）投标人在投标文件中需明列出新制洗涤物品的报损率；</w:t>
      </w:r>
    </w:p>
    <w:p w14:paraId="0FED97A4">
      <w:pPr>
        <w:pageBreakBefore w:val="0"/>
        <w:kinsoku/>
        <w:wordWrap/>
        <w:overflowPunct/>
        <w:topLinePunct w:val="0"/>
        <w:bidi w:val="0"/>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（5）无论定期或不定期抽检，投标人必须达到有关部门洗涤检测标准，投标人必须定期对洗净后的织物进行检测，检测报告（复印件需加盖公章）需提供给招标单位；</w:t>
      </w:r>
    </w:p>
    <w:p w14:paraId="177E6280">
      <w:pPr>
        <w:pageBreakBefore w:val="0"/>
        <w:kinsoku/>
        <w:wordWrap/>
        <w:overflowPunct/>
        <w:topLinePunct w:val="0"/>
        <w:bidi w:val="0"/>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color w:val="000000"/>
          <w:sz w:val="24"/>
          <w:szCs w:val="24"/>
        </w:rPr>
        <w:t>（6</w:t>
      </w:r>
      <w:r>
        <w:rPr>
          <w:rFonts w:hint="eastAsia" w:ascii="仿宋" w:hAnsi="仿宋" w:eastAsia="仿宋" w:cs="仿宋"/>
          <w:sz w:val="24"/>
          <w:szCs w:val="24"/>
        </w:rPr>
        <w:t>）投标人必须服从院方管理和调度。特别是服务态度、收发物品的时间等方面必须无条件达到院方要求；</w:t>
      </w:r>
    </w:p>
    <w:p w14:paraId="63028AA3">
      <w:pPr>
        <w:pageBreakBefore w:val="0"/>
        <w:kinsoku/>
        <w:wordWrap/>
        <w:overflowPunct/>
        <w:topLinePunct w:val="0"/>
        <w:bidi w:val="0"/>
        <w:spacing w:line="360" w:lineRule="auto"/>
        <w:ind w:left="0" w:firstLine="482" w:firstLineChars="200"/>
        <w:textAlignment w:val="auto"/>
        <w:rPr>
          <w:rFonts w:hint="eastAsia" w:ascii="仿宋" w:hAnsi="仿宋" w:eastAsia="仿宋" w:cs="仿宋"/>
          <w:b/>
          <w:bCs/>
          <w:sz w:val="24"/>
          <w:szCs w:val="24"/>
        </w:rPr>
      </w:pPr>
      <w:r>
        <w:rPr>
          <w:rFonts w:hint="eastAsia" w:ascii="仿宋" w:hAnsi="仿宋" w:eastAsia="仿宋" w:cs="仿宋"/>
          <w:b/>
          <w:bCs/>
          <w:color w:val="000000"/>
          <w:sz w:val="24"/>
          <w:szCs w:val="24"/>
        </w:rPr>
        <w:t>▲（7）洗涤物品必须按照WS/T508-2016《医院医用织物洗涤消毒技术规范》</w:t>
      </w:r>
      <w:r>
        <w:rPr>
          <w:rFonts w:hint="eastAsia" w:ascii="仿宋" w:hAnsi="仿宋" w:eastAsia="仿宋" w:cs="仿宋"/>
          <w:b/>
          <w:bCs/>
          <w:sz w:val="24"/>
          <w:szCs w:val="24"/>
        </w:rPr>
        <w:t>要求严格分类洗涤，预防交叉感染；</w:t>
      </w:r>
    </w:p>
    <w:p w14:paraId="6C5E6618">
      <w:pPr>
        <w:pageBreakBefore w:val="0"/>
        <w:kinsoku/>
        <w:wordWrap/>
        <w:overflowPunct/>
        <w:topLinePunct w:val="0"/>
        <w:bidi w:val="0"/>
        <w:spacing w:line="360" w:lineRule="auto"/>
        <w:ind w:left="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（8）采购需求：由招标一览表、招标需求组成，投标人应按要求完整填写以下表格，不得遗漏、缺项，否则被视为对招标内容的不响应。</w:t>
      </w:r>
    </w:p>
    <w:p w14:paraId="57D6CAED">
      <w:pPr>
        <w:pageBreakBefore w:val="0"/>
        <w:kinsoku/>
        <w:wordWrap/>
        <w:overflowPunct/>
        <w:topLinePunct w:val="0"/>
        <w:bidi w:val="0"/>
        <w:spacing w:line="360" w:lineRule="auto"/>
        <w:ind w:left="0" w:firstLine="480" w:firstLineChars="200"/>
        <w:textAlignment w:val="auto"/>
        <w:rPr>
          <w:rFonts w:hint="eastAsia" w:ascii="仿宋" w:hAnsi="仿宋" w:eastAsia="仿宋" w:cs="仿宋"/>
          <w:color w:val="000000"/>
          <w:sz w:val="24"/>
          <w:szCs w:val="24"/>
        </w:rPr>
      </w:pPr>
    </w:p>
    <w:tbl>
      <w:tblPr>
        <w:tblStyle w:val="63"/>
        <w:tblW w:w="8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876"/>
        <w:gridCol w:w="1082"/>
        <w:gridCol w:w="1473"/>
        <w:gridCol w:w="1121"/>
        <w:gridCol w:w="1767"/>
      </w:tblGrid>
      <w:tr w14:paraId="41A13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7" w:type="dxa"/>
            <w:vAlign w:val="center"/>
          </w:tcPr>
          <w:p w14:paraId="45F8E3CF">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1853" w:type="dxa"/>
            <w:gridSpan w:val="2"/>
            <w:vAlign w:val="center"/>
          </w:tcPr>
          <w:p w14:paraId="068DD1E0">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品名</w:t>
            </w:r>
          </w:p>
        </w:tc>
        <w:tc>
          <w:tcPr>
            <w:tcW w:w="1484" w:type="dxa"/>
            <w:vAlign w:val="center"/>
          </w:tcPr>
          <w:p w14:paraId="46FBD589">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25-26预估量</w:t>
            </w:r>
          </w:p>
        </w:tc>
        <w:tc>
          <w:tcPr>
            <w:tcW w:w="1132" w:type="dxa"/>
            <w:vAlign w:val="center"/>
          </w:tcPr>
          <w:p w14:paraId="1862855C">
            <w:pPr>
              <w:pageBreakBefore w:val="0"/>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单价</w:t>
            </w:r>
          </w:p>
        </w:tc>
        <w:tc>
          <w:tcPr>
            <w:tcW w:w="1806" w:type="dxa"/>
            <w:vAlign w:val="center"/>
          </w:tcPr>
          <w:p w14:paraId="37F82793">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备注</w:t>
            </w:r>
          </w:p>
        </w:tc>
      </w:tr>
      <w:tr w14:paraId="1AACE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7" w:type="dxa"/>
            <w:vAlign w:val="center"/>
          </w:tcPr>
          <w:p w14:paraId="675BF2B1">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853" w:type="dxa"/>
            <w:gridSpan w:val="2"/>
            <w:vAlign w:val="center"/>
          </w:tcPr>
          <w:p w14:paraId="1AE7559F">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被套</w:t>
            </w:r>
          </w:p>
        </w:tc>
        <w:tc>
          <w:tcPr>
            <w:tcW w:w="1484" w:type="dxa"/>
            <w:vAlign w:val="center"/>
          </w:tcPr>
          <w:p w14:paraId="69194791">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7398</w:t>
            </w:r>
          </w:p>
        </w:tc>
        <w:tc>
          <w:tcPr>
            <w:tcW w:w="1132" w:type="dxa"/>
            <w:vAlign w:val="center"/>
          </w:tcPr>
          <w:p w14:paraId="79C1B707">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p>
        </w:tc>
        <w:tc>
          <w:tcPr>
            <w:tcW w:w="1806" w:type="dxa"/>
            <w:vAlign w:val="center"/>
          </w:tcPr>
          <w:p w14:paraId="7EBE6022">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p>
        </w:tc>
      </w:tr>
      <w:tr w14:paraId="09931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7" w:type="dxa"/>
            <w:vAlign w:val="center"/>
          </w:tcPr>
          <w:p w14:paraId="2779CE97">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853" w:type="dxa"/>
            <w:gridSpan w:val="2"/>
            <w:vAlign w:val="center"/>
          </w:tcPr>
          <w:p w14:paraId="2A16BD5F">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被单</w:t>
            </w:r>
          </w:p>
        </w:tc>
        <w:tc>
          <w:tcPr>
            <w:tcW w:w="1484" w:type="dxa"/>
            <w:vAlign w:val="center"/>
          </w:tcPr>
          <w:p w14:paraId="1EF42D74">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8433</w:t>
            </w:r>
          </w:p>
        </w:tc>
        <w:tc>
          <w:tcPr>
            <w:tcW w:w="1132" w:type="dxa"/>
            <w:vAlign w:val="center"/>
          </w:tcPr>
          <w:p w14:paraId="4256B1EA">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p>
        </w:tc>
        <w:tc>
          <w:tcPr>
            <w:tcW w:w="1806" w:type="dxa"/>
            <w:vAlign w:val="center"/>
          </w:tcPr>
          <w:p w14:paraId="5635931F">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p>
        </w:tc>
      </w:tr>
      <w:tr w14:paraId="343E2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7" w:type="dxa"/>
            <w:vAlign w:val="center"/>
          </w:tcPr>
          <w:p w14:paraId="44194779">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853" w:type="dxa"/>
            <w:gridSpan w:val="2"/>
            <w:vAlign w:val="center"/>
          </w:tcPr>
          <w:p w14:paraId="4C55E847">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枕套</w:t>
            </w:r>
          </w:p>
        </w:tc>
        <w:tc>
          <w:tcPr>
            <w:tcW w:w="1484" w:type="dxa"/>
            <w:vAlign w:val="center"/>
          </w:tcPr>
          <w:p w14:paraId="16E492BE">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5971</w:t>
            </w:r>
          </w:p>
        </w:tc>
        <w:tc>
          <w:tcPr>
            <w:tcW w:w="1132" w:type="dxa"/>
            <w:vAlign w:val="center"/>
          </w:tcPr>
          <w:p w14:paraId="1EA9D5DC">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p>
        </w:tc>
        <w:tc>
          <w:tcPr>
            <w:tcW w:w="1806" w:type="dxa"/>
            <w:vAlign w:val="center"/>
          </w:tcPr>
          <w:p w14:paraId="08A3C627">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p>
        </w:tc>
      </w:tr>
      <w:tr w14:paraId="399E5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7" w:type="dxa"/>
            <w:vAlign w:val="center"/>
          </w:tcPr>
          <w:p w14:paraId="6BEA9EBE">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853" w:type="dxa"/>
            <w:gridSpan w:val="2"/>
            <w:vAlign w:val="center"/>
          </w:tcPr>
          <w:p w14:paraId="3BB0736E">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枕头</w:t>
            </w:r>
          </w:p>
        </w:tc>
        <w:tc>
          <w:tcPr>
            <w:tcW w:w="1484" w:type="dxa"/>
            <w:vAlign w:val="center"/>
          </w:tcPr>
          <w:p w14:paraId="0E30042E">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150</w:t>
            </w:r>
          </w:p>
        </w:tc>
        <w:tc>
          <w:tcPr>
            <w:tcW w:w="1132" w:type="dxa"/>
            <w:vAlign w:val="center"/>
          </w:tcPr>
          <w:p w14:paraId="3BD391DB">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p>
        </w:tc>
        <w:tc>
          <w:tcPr>
            <w:tcW w:w="1806" w:type="dxa"/>
            <w:vAlign w:val="center"/>
          </w:tcPr>
          <w:p w14:paraId="33484231">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p>
        </w:tc>
      </w:tr>
      <w:tr w14:paraId="14D98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7" w:type="dxa"/>
            <w:vAlign w:val="center"/>
          </w:tcPr>
          <w:p w14:paraId="635527C1">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853" w:type="dxa"/>
            <w:gridSpan w:val="2"/>
            <w:vAlign w:val="center"/>
          </w:tcPr>
          <w:p w14:paraId="2CD7B663">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棉被</w:t>
            </w:r>
          </w:p>
        </w:tc>
        <w:tc>
          <w:tcPr>
            <w:tcW w:w="1484" w:type="dxa"/>
            <w:vAlign w:val="center"/>
          </w:tcPr>
          <w:p w14:paraId="7895BBBB">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200</w:t>
            </w:r>
          </w:p>
        </w:tc>
        <w:tc>
          <w:tcPr>
            <w:tcW w:w="1132" w:type="dxa"/>
            <w:vAlign w:val="center"/>
          </w:tcPr>
          <w:p w14:paraId="60ED5748">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p>
        </w:tc>
        <w:tc>
          <w:tcPr>
            <w:tcW w:w="1806" w:type="dxa"/>
            <w:vAlign w:val="center"/>
          </w:tcPr>
          <w:p w14:paraId="3B5D1B9A">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p>
        </w:tc>
      </w:tr>
      <w:tr w14:paraId="0F710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7" w:type="dxa"/>
            <w:vAlign w:val="center"/>
          </w:tcPr>
          <w:p w14:paraId="7CC30E80">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1853" w:type="dxa"/>
            <w:gridSpan w:val="2"/>
            <w:vAlign w:val="center"/>
          </w:tcPr>
          <w:p w14:paraId="45729258">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工作衣</w:t>
            </w:r>
          </w:p>
        </w:tc>
        <w:tc>
          <w:tcPr>
            <w:tcW w:w="1484" w:type="dxa"/>
            <w:vAlign w:val="center"/>
          </w:tcPr>
          <w:p w14:paraId="5EDC3D29">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7504</w:t>
            </w:r>
          </w:p>
        </w:tc>
        <w:tc>
          <w:tcPr>
            <w:tcW w:w="1132" w:type="dxa"/>
            <w:vAlign w:val="center"/>
          </w:tcPr>
          <w:p w14:paraId="353ED3E5">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p>
        </w:tc>
        <w:tc>
          <w:tcPr>
            <w:tcW w:w="1806" w:type="dxa"/>
            <w:vAlign w:val="center"/>
          </w:tcPr>
          <w:p w14:paraId="34A57587">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p>
        </w:tc>
      </w:tr>
      <w:tr w14:paraId="56217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7" w:type="dxa"/>
            <w:vAlign w:val="center"/>
          </w:tcPr>
          <w:p w14:paraId="4A2438FA">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1853" w:type="dxa"/>
            <w:gridSpan w:val="2"/>
            <w:vAlign w:val="center"/>
          </w:tcPr>
          <w:p w14:paraId="7F0A67F7">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工作裤</w:t>
            </w:r>
          </w:p>
        </w:tc>
        <w:tc>
          <w:tcPr>
            <w:tcW w:w="1484" w:type="dxa"/>
            <w:vAlign w:val="center"/>
          </w:tcPr>
          <w:p w14:paraId="647B5441">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3242</w:t>
            </w:r>
          </w:p>
        </w:tc>
        <w:tc>
          <w:tcPr>
            <w:tcW w:w="1132" w:type="dxa"/>
            <w:vAlign w:val="center"/>
          </w:tcPr>
          <w:p w14:paraId="6BF13410">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p>
        </w:tc>
        <w:tc>
          <w:tcPr>
            <w:tcW w:w="1806" w:type="dxa"/>
            <w:vAlign w:val="center"/>
          </w:tcPr>
          <w:p w14:paraId="1C37608D">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p>
        </w:tc>
      </w:tr>
      <w:tr w14:paraId="0A602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907" w:type="dxa"/>
            <w:vAlign w:val="center"/>
          </w:tcPr>
          <w:p w14:paraId="31F14AF0">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1853" w:type="dxa"/>
            <w:gridSpan w:val="2"/>
            <w:vAlign w:val="center"/>
          </w:tcPr>
          <w:p w14:paraId="69D0011D">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病人衣</w:t>
            </w:r>
          </w:p>
        </w:tc>
        <w:tc>
          <w:tcPr>
            <w:tcW w:w="1484" w:type="dxa"/>
            <w:vAlign w:val="center"/>
          </w:tcPr>
          <w:p w14:paraId="4DE26504">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2688</w:t>
            </w:r>
          </w:p>
        </w:tc>
        <w:tc>
          <w:tcPr>
            <w:tcW w:w="1132" w:type="dxa"/>
            <w:vAlign w:val="center"/>
          </w:tcPr>
          <w:p w14:paraId="2596222E">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p>
        </w:tc>
        <w:tc>
          <w:tcPr>
            <w:tcW w:w="1806" w:type="dxa"/>
            <w:vAlign w:val="center"/>
          </w:tcPr>
          <w:p w14:paraId="24FA89D9">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p>
        </w:tc>
      </w:tr>
      <w:tr w14:paraId="10F1D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7" w:type="dxa"/>
            <w:vAlign w:val="center"/>
          </w:tcPr>
          <w:p w14:paraId="54C6BE07">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9</w:t>
            </w:r>
          </w:p>
        </w:tc>
        <w:tc>
          <w:tcPr>
            <w:tcW w:w="1853" w:type="dxa"/>
            <w:gridSpan w:val="2"/>
            <w:vAlign w:val="center"/>
          </w:tcPr>
          <w:p w14:paraId="7B2181F7">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病人裤</w:t>
            </w:r>
          </w:p>
        </w:tc>
        <w:tc>
          <w:tcPr>
            <w:tcW w:w="1484" w:type="dxa"/>
            <w:vAlign w:val="center"/>
          </w:tcPr>
          <w:p w14:paraId="458E50FA">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2519</w:t>
            </w:r>
          </w:p>
        </w:tc>
        <w:tc>
          <w:tcPr>
            <w:tcW w:w="1132" w:type="dxa"/>
            <w:vAlign w:val="center"/>
          </w:tcPr>
          <w:p w14:paraId="3415C80E">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p>
        </w:tc>
        <w:tc>
          <w:tcPr>
            <w:tcW w:w="1806" w:type="dxa"/>
            <w:vAlign w:val="center"/>
          </w:tcPr>
          <w:p w14:paraId="3F1FA99D">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p>
        </w:tc>
      </w:tr>
      <w:tr w14:paraId="172D7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7" w:type="dxa"/>
            <w:vAlign w:val="center"/>
          </w:tcPr>
          <w:p w14:paraId="5AB832FF">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1853" w:type="dxa"/>
            <w:gridSpan w:val="2"/>
            <w:vAlign w:val="center"/>
          </w:tcPr>
          <w:p w14:paraId="732DF236">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窗帘</w:t>
            </w:r>
          </w:p>
        </w:tc>
        <w:tc>
          <w:tcPr>
            <w:tcW w:w="1484" w:type="dxa"/>
            <w:vAlign w:val="center"/>
          </w:tcPr>
          <w:p w14:paraId="31F9043C">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375</w:t>
            </w:r>
          </w:p>
        </w:tc>
        <w:tc>
          <w:tcPr>
            <w:tcW w:w="1132" w:type="dxa"/>
            <w:vAlign w:val="center"/>
          </w:tcPr>
          <w:p w14:paraId="6F874CCA">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p>
        </w:tc>
        <w:tc>
          <w:tcPr>
            <w:tcW w:w="1806" w:type="dxa"/>
            <w:vAlign w:val="center"/>
          </w:tcPr>
          <w:p w14:paraId="3D766274">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p>
        </w:tc>
      </w:tr>
      <w:tr w14:paraId="34D8D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7" w:type="dxa"/>
            <w:vAlign w:val="center"/>
          </w:tcPr>
          <w:p w14:paraId="10B80DED">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11</w:t>
            </w:r>
          </w:p>
        </w:tc>
        <w:tc>
          <w:tcPr>
            <w:tcW w:w="1853" w:type="dxa"/>
            <w:gridSpan w:val="2"/>
            <w:vAlign w:val="center"/>
          </w:tcPr>
          <w:p w14:paraId="72ADFF8D">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工作帽</w:t>
            </w:r>
          </w:p>
        </w:tc>
        <w:tc>
          <w:tcPr>
            <w:tcW w:w="1484" w:type="dxa"/>
            <w:vAlign w:val="center"/>
          </w:tcPr>
          <w:p w14:paraId="7D2B462D">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200</w:t>
            </w:r>
          </w:p>
        </w:tc>
        <w:tc>
          <w:tcPr>
            <w:tcW w:w="1132" w:type="dxa"/>
            <w:vAlign w:val="center"/>
          </w:tcPr>
          <w:p w14:paraId="36E7EC9D">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p>
        </w:tc>
        <w:tc>
          <w:tcPr>
            <w:tcW w:w="1806" w:type="dxa"/>
            <w:vAlign w:val="center"/>
          </w:tcPr>
          <w:p w14:paraId="18ADFE74">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p>
        </w:tc>
      </w:tr>
      <w:tr w14:paraId="14AD7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7" w:type="dxa"/>
            <w:vAlign w:val="center"/>
          </w:tcPr>
          <w:p w14:paraId="68538CA0">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1853" w:type="dxa"/>
            <w:gridSpan w:val="2"/>
            <w:vAlign w:val="center"/>
          </w:tcPr>
          <w:p w14:paraId="08771F6F">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床帘</w:t>
            </w:r>
          </w:p>
        </w:tc>
        <w:tc>
          <w:tcPr>
            <w:tcW w:w="1484" w:type="dxa"/>
            <w:vAlign w:val="center"/>
          </w:tcPr>
          <w:p w14:paraId="18600FEB">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400</w:t>
            </w:r>
          </w:p>
        </w:tc>
        <w:tc>
          <w:tcPr>
            <w:tcW w:w="1132" w:type="dxa"/>
            <w:vAlign w:val="center"/>
          </w:tcPr>
          <w:p w14:paraId="3FA9BECB">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p>
        </w:tc>
        <w:tc>
          <w:tcPr>
            <w:tcW w:w="1806" w:type="dxa"/>
            <w:vAlign w:val="center"/>
          </w:tcPr>
          <w:p w14:paraId="6153483E">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p>
        </w:tc>
      </w:tr>
      <w:tr w14:paraId="0B204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7" w:type="dxa"/>
            <w:vAlign w:val="center"/>
          </w:tcPr>
          <w:p w14:paraId="3B7CE456">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13</w:t>
            </w:r>
          </w:p>
        </w:tc>
        <w:tc>
          <w:tcPr>
            <w:tcW w:w="1853" w:type="dxa"/>
            <w:gridSpan w:val="2"/>
            <w:vAlign w:val="center"/>
          </w:tcPr>
          <w:p w14:paraId="3BA93E13">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洗手衣、裤</w:t>
            </w:r>
          </w:p>
        </w:tc>
        <w:tc>
          <w:tcPr>
            <w:tcW w:w="1484" w:type="dxa"/>
            <w:vAlign w:val="center"/>
          </w:tcPr>
          <w:p w14:paraId="29B8CC5D">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16168</w:t>
            </w:r>
          </w:p>
        </w:tc>
        <w:tc>
          <w:tcPr>
            <w:tcW w:w="1132" w:type="dxa"/>
            <w:vAlign w:val="center"/>
          </w:tcPr>
          <w:p w14:paraId="0BE794BF">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p>
        </w:tc>
        <w:tc>
          <w:tcPr>
            <w:tcW w:w="1806" w:type="dxa"/>
            <w:vAlign w:val="center"/>
          </w:tcPr>
          <w:p w14:paraId="4C71BF50">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p>
        </w:tc>
      </w:tr>
      <w:tr w14:paraId="2C5D8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7" w:type="dxa"/>
            <w:vAlign w:val="center"/>
          </w:tcPr>
          <w:p w14:paraId="703B1FF5">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14</w:t>
            </w:r>
          </w:p>
        </w:tc>
        <w:tc>
          <w:tcPr>
            <w:tcW w:w="1853" w:type="dxa"/>
            <w:gridSpan w:val="2"/>
            <w:vAlign w:val="center"/>
          </w:tcPr>
          <w:p w14:paraId="3BB5970B">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手术衣</w:t>
            </w:r>
          </w:p>
        </w:tc>
        <w:tc>
          <w:tcPr>
            <w:tcW w:w="1484" w:type="dxa"/>
            <w:vAlign w:val="center"/>
          </w:tcPr>
          <w:p w14:paraId="4C15C3C0">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9586</w:t>
            </w:r>
          </w:p>
        </w:tc>
        <w:tc>
          <w:tcPr>
            <w:tcW w:w="1132" w:type="dxa"/>
            <w:vAlign w:val="center"/>
          </w:tcPr>
          <w:p w14:paraId="34B2758A">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p>
        </w:tc>
        <w:tc>
          <w:tcPr>
            <w:tcW w:w="1806" w:type="dxa"/>
            <w:vAlign w:val="center"/>
          </w:tcPr>
          <w:p w14:paraId="7A005B45">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p>
        </w:tc>
      </w:tr>
      <w:tr w14:paraId="014B2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7" w:type="dxa"/>
            <w:vAlign w:val="center"/>
          </w:tcPr>
          <w:p w14:paraId="07DE7880">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p>
        </w:tc>
        <w:tc>
          <w:tcPr>
            <w:tcW w:w="1853" w:type="dxa"/>
            <w:gridSpan w:val="2"/>
            <w:vAlign w:val="center"/>
          </w:tcPr>
          <w:p w14:paraId="4DFFBADF">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羽绒护士服</w:t>
            </w:r>
          </w:p>
        </w:tc>
        <w:tc>
          <w:tcPr>
            <w:tcW w:w="1484" w:type="dxa"/>
            <w:vAlign w:val="center"/>
          </w:tcPr>
          <w:p w14:paraId="64F02C61">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220</w:t>
            </w:r>
          </w:p>
        </w:tc>
        <w:tc>
          <w:tcPr>
            <w:tcW w:w="1132" w:type="dxa"/>
            <w:vAlign w:val="center"/>
          </w:tcPr>
          <w:p w14:paraId="4C33EF8B">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p>
        </w:tc>
        <w:tc>
          <w:tcPr>
            <w:tcW w:w="1806" w:type="dxa"/>
            <w:vAlign w:val="center"/>
          </w:tcPr>
          <w:p w14:paraId="0A33A8D9">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p>
        </w:tc>
      </w:tr>
      <w:tr w14:paraId="06F1D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7" w:type="dxa"/>
            <w:vAlign w:val="center"/>
          </w:tcPr>
          <w:p w14:paraId="76869CA2">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15</w:t>
            </w:r>
          </w:p>
        </w:tc>
        <w:tc>
          <w:tcPr>
            <w:tcW w:w="764" w:type="dxa"/>
            <w:vMerge w:val="restart"/>
            <w:vAlign w:val="center"/>
          </w:tcPr>
          <w:p w14:paraId="07DDED82">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手术室各类布品</w:t>
            </w:r>
          </w:p>
        </w:tc>
        <w:tc>
          <w:tcPr>
            <w:tcW w:w="1089" w:type="dxa"/>
            <w:vAlign w:val="center"/>
          </w:tcPr>
          <w:p w14:paraId="229F3763">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方（毛）巾</w:t>
            </w:r>
          </w:p>
        </w:tc>
        <w:tc>
          <w:tcPr>
            <w:tcW w:w="1484" w:type="dxa"/>
            <w:vMerge w:val="restart"/>
            <w:vAlign w:val="center"/>
          </w:tcPr>
          <w:p w14:paraId="3E1E315E">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37580</w:t>
            </w:r>
          </w:p>
        </w:tc>
        <w:tc>
          <w:tcPr>
            <w:tcW w:w="1132" w:type="dxa"/>
            <w:vAlign w:val="center"/>
          </w:tcPr>
          <w:p w14:paraId="2C64E419">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p>
        </w:tc>
        <w:tc>
          <w:tcPr>
            <w:tcW w:w="1806" w:type="dxa"/>
            <w:vAlign w:val="center"/>
          </w:tcPr>
          <w:p w14:paraId="64E667C8">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p>
        </w:tc>
      </w:tr>
      <w:tr w14:paraId="7768C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7" w:type="dxa"/>
            <w:vAlign w:val="center"/>
          </w:tcPr>
          <w:p w14:paraId="32427444">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16</w:t>
            </w:r>
          </w:p>
        </w:tc>
        <w:tc>
          <w:tcPr>
            <w:tcW w:w="764" w:type="dxa"/>
            <w:vMerge w:val="continue"/>
            <w:vAlign w:val="center"/>
          </w:tcPr>
          <w:p w14:paraId="08DA0AA9">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p>
        </w:tc>
        <w:tc>
          <w:tcPr>
            <w:tcW w:w="1089" w:type="dxa"/>
            <w:vAlign w:val="center"/>
          </w:tcPr>
          <w:p w14:paraId="38AE34C6">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小洞布</w:t>
            </w:r>
          </w:p>
        </w:tc>
        <w:tc>
          <w:tcPr>
            <w:tcW w:w="1484" w:type="dxa"/>
            <w:vMerge w:val="continue"/>
            <w:vAlign w:val="center"/>
          </w:tcPr>
          <w:p w14:paraId="3134C212">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p>
        </w:tc>
        <w:tc>
          <w:tcPr>
            <w:tcW w:w="1132" w:type="dxa"/>
            <w:vAlign w:val="center"/>
          </w:tcPr>
          <w:p w14:paraId="68DE0573">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p>
        </w:tc>
        <w:tc>
          <w:tcPr>
            <w:tcW w:w="1806" w:type="dxa"/>
            <w:vAlign w:val="center"/>
          </w:tcPr>
          <w:p w14:paraId="0AEE8C2F">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p>
        </w:tc>
      </w:tr>
      <w:tr w14:paraId="68567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7" w:type="dxa"/>
            <w:vAlign w:val="center"/>
          </w:tcPr>
          <w:p w14:paraId="7E0DDDCC">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17</w:t>
            </w:r>
          </w:p>
        </w:tc>
        <w:tc>
          <w:tcPr>
            <w:tcW w:w="764" w:type="dxa"/>
            <w:vMerge w:val="continue"/>
            <w:vAlign w:val="center"/>
          </w:tcPr>
          <w:p w14:paraId="072DC0AB">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p>
        </w:tc>
        <w:tc>
          <w:tcPr>
            <w:tcW w:w="1089" w:type="dxa"/>
            <w:vAlign w:val="center"/>
          </w:tcPr>
          <w:p w14:paraId="6D0EB00D">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托盘单</w:t>
            </w:r>
          </w:p>
        </w:tc>
        <w:tc>
          <w:tcPr>
            <w:tcW w:w="1484" w:type="dxa"/>
            <w:vMerge w:val="continue"/>
            <w:vAlign w:val="center"/>
          </w:tcPr>
          <w:p w14:paraId="7DA53BF3">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p>
        </w:tc>
        <w:tc>
          <w:tcPr>
            <w:tcW w:w="1132" w:type="dxa"/>
            <w:vAlign w:val="center"/>
          </w:tcPr>
          <w:p w14:paraId="392675D9">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p>
        </w:tc>
        <w:tc>
          <w:tcPr>
            <w:tcW w:w="1806" w:type="dxa"/>
            <w:vAlign w:val="center"/>
          </w:tcPr>
          <w:p w14:paraId="4BD881B1">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p>
        </w:tc>
      </w:tr>
      <w:tr w14:paraId="1F9AA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7" w:type="dxa"/>
            <w:vAlign w:val="center"/>
          </w:tcPr>
          <w:p w14:paraId="7E02BEC5">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18</w:t>
            </w:r>
          </w:p>
        </w:tc>
        <w:tc>
          <w:tcPr>
            <w:tcW w:w="764" w:type="dxa"/>
            <w:vMerge w:val="continue"/>
            <w:vAlign w:val="center"/>
          </w:tcPr>
          <w:p w14:paraId="3A8C47D5">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p>
        </w:tc>
        <w:tc>
          <w:tcPr>
            <w:tcW w:w="1089" w:type="dxa"/>
            <w:vAlign w:val="center"/>
          </w:tcPr>
          <w:p w14:paraId="420D3053">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包布</w:t>
            </w:r>
          </w:p>
        </w:tc>
        <w:tc>
          <w:tcPr>
            <w:tcW w:w="1484" w:type="dxa"/>
            <w:vMerge w:val="continue"/>
            <w:vAlign w:val="center"/>
          </w:tcPr>
          <w:p w14:paraId="56C799E6">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p>
        </w:tc>
        <w:tc>
          <w:tcPr>
            <w:tcW w:w="1132" w:type="dxa"/>
            <w:vAlign w:val="center"/>
          </w:tcPr>
          <w:p w14:paraId="570535A9">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p>
        </w:tc>
        <w:tc>
          <w:tcPr>
            <w:tcW w:w="1806" w:type="dxa"/>
            <w:vAlign w:val="center"/>
          </w:tcPr>
          <w:p w14:paraId="12F7A0C1">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p>
        </w:tc>
      </w:tr>
      <w:tr w14:paraId="23E7A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7" w:type="dxa"/>
            <w:vAlign w:val="center"/>
          </w:tcPr>
          <w:p w14:paraId="364B849E">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19</w:t>
            </w:r>
          </w:p>
        </w:tc>
        <w:tc>
          <w:tcPr>
            <w:tcW w:w="764" w:type="dxa"/>
            <w:vMerge w:val="continue"/>
            <w:vAlign w:val="center"/>
          </w:tcPr>
          <w:p w14:paraId="7CB6F21C">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p>
        </w:tc>
        <w:tc>
          <w:tcPr>
            <w:tcW w:w="1089" w:type="dxa"/>
            <w:vAlign w:val="center"/>
          </w:tcPr>
          <w:p w14:paraId="133B38A7">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其他</w:t>
            </w:r>
          </w:p>
        </w:tc>
        <w:tc>
          <w:tcPr>
            <w:tcW w:w="1484" w:type="dxa"/>
            <w:vMerge w:val="continue"/>
            <w:vAlign w:val="center"/>
          </w:tcPr>
          <w:p w14:paraId="507DC72F">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p>
        </w:tc>
        <w:tc>
          <w:tcPr>
            <w:tcW w:w="1132" w:type="dxa"/>
            <w:vAlign w:val="center"/>
          </w:tcPr>
          <w:p w14:paraId="3D867E6D">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p>
        </w:tc>
        <w:tc>
          <w:tcPr>
            <w:tcW w:w="1806" w:type="dxa"/>
            <w:vAlign w:val="center"/>
          </w:tcPr>
          <w:p w14:paraId="6E7007B0">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p>
        </w:tc>
      </w:tr>
      <w:tr w14:paraId="6E686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7" w:type="dxa"/>
            <w:vAlign w:val="center"/>
          </w:tcPr>
          <w:p w14:paraId="3F50324D">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w:t>
            </w:r>
          </w:p>
        </w:tc>
        <w:tc>
          <w:tcPr>
            <w:tcW w:w="764" w:type="dxa"/>
            <w:vMerge w:val="continue"/>
            <w:vAlign w:val="center"/>
          </w:tcPr>
          <w:p w14:paraId="0A7DCA7F">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p>
        </w:tc>
        <w:tc>
          <w:tcPr>
            <w:tcW w:w="1089" w:type="dxa"/>
            <w:vAlign w:val="center"/>
          </w:tcPr>
          <w:p w14:paraId="4BC98A66">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大洞巾</w:t>
            </w:r>
          </w:p>
        </w:tc>
        <w:tc>
          <w:tcPr>
            <w:tcW w:w="1484" w:type="dxa"/>
            <w:vAlign w:val="center"/>
          </w:tcPr>
          <w:p w14:paraId="5295CEC6">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1455</w:t>
            </w:r>
          </w:p>
        </w:tc>
        <w:tc>
          <w:tcPr>
            <w:tcW w:w="1132" w:type="dxa"/>
            <w:vAlign w:val="center"/>
          </w:tcPr>
          <w:p w14:paraId="23D7A2FC">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p>
        </w:tc>
        <w:tc>
          <w:tcPr>
            <w:tcW w:w="1806" w:type="dxa"/>
            <w:vAlign w:val="center"/>
          </w:tcPr>
          <w:p w14:paraId="2A1C3267">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p>
        </w:tc>
      </w:tr>
      <w:tr w14:paraId="257A3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7" w:type="dxa"/>
            <w:vAlign w:val="center"/>
          </w:tcPr>
          <w:p w14:paraId="68C714C9">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21</w:t>
            </w:r>
          </w:p>
        </w:tc>
        <w:tc>
          <w:tcPr>
            <w:tcW w:w="764" w:type="dxa"/>
            <w:vMerge w:val="continue"/>
            <w:vAlign w:val="center"/>
          </w:tcPr>
          <w:p w14:paraId="4134910D">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p>
        </w:tc>
        <w:tc>
          <w:tcPr>
            <w:tcW w:w="1089" w:type="dxa"/>
            <w:vAlign w:val="center"/>
          </w:tcPr>
          <w:p w14:paraId="3E6029F4">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中单</w:t>
            </w:r>
          </w:p>
        </w:tc>
        <w:tc>
          <w:tcPr>
            <w:tcW w:w="1484" w:type="dxa"/>
            <w:vAlign w:val="center"/>
          </w:tcPr>
          <w:p w14:paraId="0A00F1C5">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24465</w:t>
            </w:r>
          </w:p>
        </w:tc>
        <w:tc>
          <w:tcPr>
            <w:tcW w:w="1132" w:type="dxa"/>
            <w:vAlign w:val="center"/>
          </w:tcPr>
          <w:p w14:paraId="6731FACE">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p>
        </w:tc>
        <w:tc>
          <w:tcPr>
            <w:tcW w:w="1806" w:type="dxa"/>
            <w:vAlign w:val="center"/>
          </w:tcPr>
          <w:p w14:paraId="71DCEA43">
            <w:pPr>
              <w:pageBreakBefore w:val="0"/>
              <w:widowControl/>
              <w:kinsoku/>
              <w:wordWrap/>
              <w:overflowPunct/>
              <w:topLinePunct w:val="0"/>
              <w:bidi w:val="0"/>
              <w:spacing w:line="360" w:lineRule="auto"/>
              <w:ind w:left="0" w:firstLine="480" w:firstLineChars="200"/>
              <w:jc w:val="center"/>
              <w:textAlignment w:val="auto"/>
              <w:rPr>
                <w:rFonts w:hint="eastAsia" w:ascii="仿宋" w:hAnsi="仿宋" w:eastAsia="仿宋" w:cs="仿宋"/>
                <w:kern w:val="0"/>
                <w:sz w:val="24"/>
                <w:szCs w:val="24"/>
              </w:rPr>
            </w:pPr>
          </w:p>
        </w:tc>
      </w:tr>
    </w:tbl>
    <w:p w14:paraId="534596E9">
      <w:pPr>
        <w:pageBreakBefore w:val="0"/>
        <w:kinsoku/>
        <w:wordWrap/>
        <w:overflowPunct/>
        <w:topLinePunct w:val="0"/>
        <w:bidi w:val="0"/>
        <w:spacing w:line="360" w:lineRule="auto"/>
        <w:ind w:left="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如有未列入品种投标单位可参照其他医院规格物品进行另行单独报价。以便医院今后结算使用。</w:t>
      </w:r>
    </w:p>
    <w:p w14:paraId="4BB0832B">
      <w:pPr>
        <w:pageBreakBefore w:val="0"/>
        <w:kinsoku/>
        <w:wordWrap/>
        <w:overflowPunct/>
        <w:topLinePunct w:val="0"/>
        <w:bidi w:val="0"/>
        <w:spacing w:line="360" w:lineRule="auto"/>
        <w:ind w:left="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1.4 洗涤质量要求：</w:t>
      </w:r>
    </w:p>
    <w:p w14:paraId="325C7DE6">
      <w:pPr>
        <w:pageBreakBefore w:val="0"/>
        <w:kinsoku/>
        <w:wordWrap/>
        <w:overflowPunct/>
        <w:topLinePunct w:val="0"/>
        <w:bidi w:val="0"/>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（1）所有织物的洗涤必须符合2016版的《医院医用织物洗涤消毒技术规范》的要求。</w:t>
      </w:r>
    </w:p>
    <w:p w14:paraId="499F6E36">
      <w:pPr>
        <w:pageBreakBefore w:val="0"/>
        <w:kinsoku/>
        <w:wordWrap/>
        <w:overflowPunct/>
        <w:topLinePunct w:val="0"/>
        <w:bidi w:val="0"/>
        <w:spacing w:line="360" w:lineRule="auto"/>
        <w:ind w:left="0" w:firstLine="480" w:firstLineChars="200"/>
        <w:textAlignment w:val="auto"/>
        <w:rPr>
          <w:rFonts w:hint="eastAsia" w:ascii="仿宋" w:hAnsi="仿宋" w:eastAsia="仿宋" w:cs="仿宋"/>
          <w:color w:val="000000"/>
          <w:sz w:val="24"/>
          <w:szCs w:val="24"/>
        </w:rPr>
      </w:pPr>
      <w:r>
        <w:rPr>
          <w:rFonts w:hint="eastAsia" w:ascii="仿宋" w:hAnsi="仿宋" w:eastAsia="仿宋" w:cs="仿宋"/>
          <w:sz w:val="24"/>
          <w:szCs w:val="24"/>
        </w:rPr>
        <w:t>（2）运输工具及收集运送时间：运输工具由洗涤公司自行提供。根据医院时间要求，</w:t>
      </w:r>
      <w:r>
        <w:rPr>
          <w:rFonts w:hint="eastAsia" w:ascii="仿宋" w:hAnsi="仿宋" w:eastAsia="仿宋" w:cs="仿宋"/>
          <w:color w:val="000000"/>
          <w:sz w:val="24"/>
          <w:szCs w:val="24"/>
        </w:rPr>
        <w:t>并清点数量（包括手术室布类）开具三联单，由医院被服间工作人员、洗涤公司运送人员双方签字确认，双签名后一联交医院，一联交洗衣公司，一联交洗衣房留根作帐，遇重洗、缝补多时应及时通知并在清洗单上注明，暂欠物品隔日结清。如不及时送达，影响医院工作正常运行，</w:t>
      </w:r>
      <w:r>
        <w:rPr>
          <w:rFonts w:hint="eastAsia" w:ascii="仿宋" w:hAnsi="仿宋" w:eastAsia="仿宋" w:cs="仿宋"/>
          <w:color w:val="000000"/>
          <w:sz w:val="24"/>
          <w:szCs w:val="24"/>
          <w:lang w:eastAsia="zh-CN"/>
        </w:rPr>
        <w:t>中标方</w:t>
      </w:r>
      <w:r>
        <w:rPr>
          <w:rFonts w:hint="eastAsia" w:ascii="仿宋" w:hAnsi="仿宋" w:eastAsia="仿宋" w:cs="仿宋"/>
          <w:color w:val="000000"/>
          <w:sz w:val="24"/>
          <w:szCs w:val="24"/>
        </w:rPr>
        <w:t>按成交总额的5%向院方支付违约金；严重影响医院正常运行时，院方有权终止合同。</w:t>
      </w:r>
    </w:p>
    <w:p w14:paraId="4D684FDD">
      <w:pPr>
        <w:pageBreakBefore w:val="0"/>
        <w:kinsoku/>
        <w:wordWrap/>
        <w:overflowPunct/>
        <w:topLinePunct w:val="0"/>
        <w:bidi w:val="0"/>
        <w:spacing w:line="360" w:lineRule="auto"/>
        <w:ind w:left="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洗涤要求：洗涤公司应根据医用被服物品的特点，明确工艺标准，科学安排洗涤工序，分拣、分类、洗涤，病人衣被和医护人员被服、工作衣帽分开回收，分类洗涤。保证洗涤质量。随时接受卫生防疫部门的检测，定期报告医院，医院有权对洗涤公司所洗被服物品和洗涤场所进行抽查和检验，并根据实际结果给与奖惩，以确保洗涤质量。</w:t>
      </w:r>
    </w:p>
    <w:p w14:paraId="08A97D97">
      <w:pPr>
        <w:pageBreakBefore w:val="0"/>
        <w:kinsoku/>
        <w:wordWrap/>
        <w:overflowPunct/>
        <w:topLinePunct w:val="0"/>
        <w:bidi w:val="0"/>
        <w:spacing w:line="360" w:lineRule="auto"/>
        <w:ind w:left="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（4）必须严格执行消毒隔离制度，有血物品、传染病人及可疑传染病人物品必须先浸泡消毒后清洗，严防交叉感染。</w:t>
      </w:r>
    </w:p>
    <w:p w14:paraId="5C1C7FF6">
      <w:pPr>
        <w:pageBreakBefore w:val="0"/>
        <w:kinsoku/>
        <w:wordWrap/>
        <w:overflowPunct/>
        <w:topLinePunct w:val="0"/>
        <w:bidi w:val="0"/>
        <w:spacing w:line="360" w:lineRule="auto"/>
        <w:ind w:left="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医院提供的医用被服物品，如因顽渍太多，经多次洗涤仍无明显效果的，由医院作报废处理或另作他用；棉织品洗涤后外观清洁平整，无污迹、血迹、黄迹、锈迹，如出现应洗清而实际未洗清物品，医院按此物品洗涤价格罚款十倍。如因清洗不当造成物品报损的（包括清洗、消毒液腐蚀破损情况），由清洗公司按物品原价赔偿。</w:t>
      </w:r>
    </w:p>
    <w:p w14:paraId="0C94EAD0">
      <w:pPr>
        <w:pageBreakBefore w:val="0"/>
        <w:kinsoku/>
        <w:wordWrap/>
        <w:overflowPunct/>
        <w:topLinePunct w:val="0"/>
        <w:bidi w:val="0"/>
        <w:spacing w:line="360" w:lineRule="auto"/>
        <w:ind w:left="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被服类烘干要彻底，整烫要按规范烫平、外观好（包括缝补的外观），其平整度应满足使用科室要求为止。棉织品折叠规范，特别是手术室物品必须符合规范，不影响临床使用。出现极度不平整或折叠布类中出现异物情况的，医院将按此物品洗涤价格的十倍扣款。影响临床使用的，扣除当月洗涤费用的1%。</w:t>
      </w:r>
    </w:p>
    <w:p w14:paraId="5F75E40E">
      <w:pPr>
        <w:pageBreakBefore w:val="0"/>
        <w:kinsoku/>
        <w:wordWrap/>
        <w:overflowPunct/>
        <w:topLinePunct w:val="0"/>
        <w:bidi w:val="0"/>
        <w:spacing w:line="360" w:lineRule="auto"/>
        <w:ind w:left="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7）遗失与破损要求：遗失物品及工作服等特殊物品按原值的100%赔偿。有颜色的棉织品应分开清洗，如因工作失误、不分检造成棉织品搭色损坏，及操作不当造成棉织品损坏的，由洗衣公司按质论价赔偿。如有不符合洗涤标准的物品，洗衣公司应负责免费重洗。</w:t>
      </w:r>
    </w:p>
    <w:p w14:paraId="116567F6">
      <w:pPr>
        <w:pageBreakBefore w:val="0"/>
        <w:kinsoku/>
        <w:wordWrap/>
        <w:overflowPunct/>
        <w:topLinePunct w:val="0"/>
        <w:bidi w:val="0"/>
        <w:spacing w:line="360" w:lineRule="auto"/>
        <w:ind w:left="0" w:firstLine="482" w:firstLineChars="200"/>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1.5.被服洗涤、消毒、运送制度</w:t>
      </w:r>
    </w:p>
    <w:p w14:paraId="647CAF7D">
      <w:pPr>
        <w:pageBreakBefore w:val="0"/>
        <w:kinsoku/>
        <w:wordWrap/>
        <w:overflowPunct/>
        <w:topLinePunct w:val="0"/>
        <w:bidi w:val="0"/>
        <w:spacing w:line="360" w:lineRule="auto"/>
        <w:ind w:left="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一般无明显污染及无传染性的衣服有洗涤剂70℃以上温度（化纤被服宜40℃~45℃）在洗衣机内洗涤30分钟，再用清水漂洗。</w:t>
      </w:r>
    </w:p>
    <w:p w14:paraId="4E1EEDEE">
      <w:pPr>
        <w:pageBreakBefore w:val="0"/>
        <w:kinsoku/>
        <w:wordWrap/>
        <w:overflowPunct/>
        <w:topLinePunct w:val="0"/>
        <w:bidi w:val="0"/>
        <w:spacing w:line="360" w:lineRule="auto"/>
        <w:ind w:left="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有传染病菌的被服，应先用消毒剂浸泡消毒30分钟，再放入洗涤剂于90℃以上洗涤30分钟，然后清水漂洗。</w:t>
      </w:r>
    </w:p>
    <w:p w14:paraId="235653CC">
      <w:pPr>
        <w:pageBreakBefore w:val="0"/>
        <w:kinsoku/>
        <w:wordWrap/>
        <w:overflowPunct/>
        <w:topLinePunct w:val="0"/>
        <w:bidi w:val="0"/>
        <w:spacing w:line="360" w:lineRule="auto"/>
        <w:ind w:left="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有明显血、脓、便污染的衣服，视为传染性衣服，在用热水洗涤前，先用冷水洗涤液或1~2%冷碱水将血、脓、便等有机物洗涤，再用洗涤剂70℃及以上温度（化纤被服宜40℃~45℃）在洗衣机内洗涤30分钟，再用清水漂洗。</w:t>
      </w:r>
    </w:p>
    <w:p w14:paraId="40AEE58C">
      <w:pPr>
        <w:pageBreakBefore w:val="0"/>
        <w:kinsoku/>
        <w:wordWrap/>
        <w:overflowPunct/>
        <w:topLinePunct w:val="0"/>
        <w:bidi w:val="0"/>
        <w:spacing w:line="360" w:lineRule="auto"/>
        <w:ind w:left="0" w:firstLine="482" w:firstLineChars="200"/>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1.6．洗涤程序中的消毒过程的设定必须至少符合以下其中一个要求：</w:t>
      </w:r>
    </w:p>
    <w:p w14:paraId="2DEB039B">
      <w:pPr>
        <w:pageBreakBefore w:val="0"/>
        <w:kinsoku/>
        <w:wordWrap/>
        <w:overflowPunct/>
        <w:topLinePunct w:val="0"/>
        <w:bidi w:val="0"/>
        <w:spacing w:line="360" w:lineRule="auto"/>
        <w:ind w:left="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温度不小于80摄氏度，保持至少10分钟；</w:t>
      </w:r>
    </w:p>
    <w:p w14:paraId="058C2784">
      <w:pPr>
        <w:pageBreakBefore w:val="0"/>
        <w:kinsoku/>
        <w:wordWrap/>
        <w:overflowPunct/>
        <w:topLinePunct w:val="0"/>
        <w:bidi w:val="0"/>
        <w:spacing w:line="360" w:lineRule="auto"/>
        <w:ind w:left="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一般感染性织物使用含氯消毒剂，洗涤溶液有效氯浓度不低于250mg/L—500mg/L洗涤消毒时间不少于30分钟</w:t>
      </w:r>
      <w:r>
        <w:rPr>
          <w:rFonts w:hint="eastAsia" w:ascii="仿宋" w:hAnsi="仿宋" w:eastAsia="仿宋" w:cs="仿宋"/>
          <w:sz w:val="24"/>
          <w:szCs w:val="24"/>
        </w:rPr>
        <w:t>。</w:t>
      </w:r>
      <w:r>
        <w:rPr>
          <w:rFonts w:hint="eastAsia" w:ascii="仿宋" w:hAnsi="仿宋" w:eastAsia="仿宋" w:cs="仿宋"/>
          <w:color w:val="000000"/>
          <w:sz w:val="24"/>
          <w:szCs w:val="24"/>
        </w:rPr>
        <w:t>如遇特殊感染的感染性织物洗涤溶液有效氯浓度不低于2000mg/L—5000mg/L洗涤消毒时间不少于30分钟</w:t>
      </w:r>
    </w:p>
    <w:p w14:paraId="5D4CC847">
      <w:pPr>
        <w:pageBreakBefore w:val="0"/>
        <w:kinsoku/>
        <w:wordWrap/>
        <w:overflowPunct/>
        <w:topLinePunct w:val="0"/>
        <w:bidi w:val="0"/>
        <w:spacing w:line="360" w:lineRule="auto"/>
        <w:ind w:left="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布草在洗涤消毒后的技术指标：细菌数量小于12 CFU/25cm2。</w:t>
      </w:r>
    </w:p>
    <w:p w14:paraId="619075D1">
      <w:pPr>
        <w:pageBreakBefore w:val="0"/>
        <w:kinsoku/>
        <w:wordWrap/>
        <w:overflowPunct/>
        <w:topLinePunct w:val="0"/>
        <w:bidi w:val="0"/>
        <w:spacing w:line="360" w:lineRule="auto"/>
        <w:ind w:left="0" w:firstLine="480" w:firstLineChars="200"/>
        <w:textAlignment w:val="auto"/>
        <w:rPr>
          <w:rFonts w:hint="eastAsia" w:ascii="仿宋" w:hAnsi="仿宋" w:eastAsia="仿宋" w:cs="仿宋"/>
          <w:b/>
          <w:color w:val="000000"/>
          <w:sz w:val="24"/>
          <w:szCs w:val="24"/>
        </w:rPr>
      </w:pPr>
      <w:r>
        <w:rPr>
          <w:rFonts w:hint="eastAsia" w:ascii="仿宋" w:hAnsi="仿宋" w:eastAsia="仿宋" w:cs="仿宋"/>
          <w:color w:val="000000"/>
          <w:sz w:val="24"/>
          <w:szCs w:val="24"/>
        </w:rPr>
        <w:t>运送被服应做到污、洁分开，接送被服的车清洁车使用前进行消毒，污物车使用后要及时消毒处理。</w:t>
      </w:r>
    </w:p>
    <w:p w14:paraId="3156F99C">
      <w:pPr>
        <w:pageBreakBefore w:val="0"/>
        <w:kinsoku/>
        <w:wordWrap/>
        <w:overflowPunct/>
        <w:topLinePunct w:val="0"/>
        <w:bidi w:val="0"/>
        <w:spacing w:line="360" w:lineRule="auto"/>
        <w:ind w:left="0" w:firstLine="482" w:firstLineChars="200"/>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2. 质量保证及售后服务要求</w:t>
      </w:r>
    </w:p>
    <w:p w14:paraId="5C6AF2AF">
      <w:pPr>
        <w:pageBreakBefore w:val="0"/>
        <w:kinsoku/>
        <w:wordWrap/>
        <w:overflowPunct/>
        <w:topLinePunct w:val="0"/>
        <w:bidi w:val="0"/>
        <w:spacing w:line="360" w:lineRule="auto"/>
        <w:ind w:left="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2.1 服务</w:t>
      </w:r>
      <w:r>
        <w:rPr>
          <w:rFonts w:hint="eastAsia" w:ascii="仿宋" w:hAnsi="仿宋" w:eastAsia="仿宋" w:cs="仿宋"/>
          <w:color w:val="000000"/>
          <w:sz w:val="24"/>
          <w:szCs w:val="24"/>
        </w:rPr>
        <w:tab/>
      </w:r>
    </w:p>
    <w:p w14:paraId="7F8218A1">
      <w:pPr>
        <w:pageBreakBefore w:val="0"/>
        <w:kinsoku/>
        <w:wordWrap/>
        <w:overflowPunct/>
        <w:topLinePunct w:val="0"/>
        <w:bidi w:val="0"/>
        <w:spacing w:line="360" w:lineRule="auto"/>
        <w:ind w:left="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签订合同后，供应商按照其与采购人的事先约定至杭州市萧山区中医骨伤科医院实施被服洗涤项目所有服务事宜。</w:t>
      </w:r>
    </w:p>
    <w:p w14:paraId="3C0DBD9E">
      <w:pPr>
        <w:pageBreakBefore w:val="0"/>
        <w:kinsoku/>
        <w:wordWrap/>
        <w:overflowPunct/>
        <w:topLinePunct w:val="0"/>
        <w:bidi w:val="0"/>
        <w:spacing w:line="360" w:lineRule="auto"/>
        <w:ind w:left="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▲2.2 服务期：</w:t>
      </w:r>
    </w:p>
    <w:p w14:paraId="040B4864">
      <w:pPr>
        <w:pageBreakBefore w:val="0"/>
        <w:kinsoku/>
        <w:wordWrap/>
        <w:overflowPunct/>
        <w:topLinePunct w:val="0"/>
        <w:bidi w:val="0"/>
        <w:spacing w:line="360" w:lineRule="auto"/>
        <w:ind w:left="0" w:firstLine="480" w:firstLineChars="200"/>
        <w:jc w:val="left"/>
        <w:textAlignment w:val="auto"/>
        <w:rPr>
          <w:rFonts w:hint="eastAsia" w:ascii="仿宋" w:hAnsi="仿宋" w:eastAsia="仿宋" w:cs="仿宋"/>
          <w:bCs/>
          <w:sz w:val="24"/>
          <w:szCs w:val="24"/>
        </w:rPr>
      </w:pPr>
      <w:r>
        <w:rPr>
          <w:rFonts w:hint="eastAsia" w:ascii="仿宋" w:hAnsi="仿宋" w:eastAsia="仿宋" w:cs="仿宋"/>
          <w:bCs/>
          <w:sz w:val="24"/>
          <w:szCs w:val="24"/>
        </w:rPr>
        <w:t>一年。具体起始日期在合同中另行约定。</w:t>
      </w:r>
    </w:p>
    <w:p w14:paraId="23850EB3">
      <w:pPr>
        <w:pageBreakBefore w:val="0"/>
        <w:kinsoku/>
        <w:wordWrap/>
        <w:overflowPunct/>
        <w:topLinePunct w:val="0"/>
        <w:bidi w:val="0"/>
        <w:spacing w:line="360" w:lineRule="auto"/>
        <w:ind w:left="0" w:firstLine="480" w:firstLineChars="200"/>
        <w:jc w:val="left"/>
        <w:textAlignment w:val="auto"/>
        <w:rPr>
          <w:rFonts w:hint="eastAsia" w:ascii="仿宋" w:hAnsi="仿宋" w:eastAsia="仿宋" w:cs="仿宋"/>
          <w:bCs/>
          <w:sz w:val="24"/>
          <w:szCs w:val="24"/>
        </w:rPr>
      </w:pPr>
      <w:r>
        <w:rPr>
          <w:rFonts w:hint="eastAsia" w:ascii="仿宋" w:hAnsi="仿宋" w:eastAsia="仿宋" w:cs="仿宋"/>
          <w:bCs/>
          <w:sz w:val="24"/>
          <w:szCs w:val="24"/>
        </w:rPr>
        <w:t xml:space="preserve">在服务期内中标人能严格履行合同，如中标人在服务期内违反合同约定，经考核不合格，采购单位有权提前终止合同。 </w:t>
      </w:r>
    </w:p>
    <w:p w14:paraId="6B89F7E1">
      <w:pPr>
        <w:pageBreakBefore w:val="0"/>
        <w:kinsoku/>
        <w:wordWrap/>
        <w:overflowPunct/>
        <w:topLinePunct w:val="0"/>
        <w:bidi w:val="0"/>
        <w:spacing w:line="360" w:lineRule="auto"/>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rPr>
        <w:t>合同履行完毕后，在未找到接替</w:t>
      </w:r>
      <w:bookmarkStart w:id="399" w:name="_GoBack"/>
      <w:r>
        <w:rPr>
          <w:rFonts w:hint="eastAsia" w:ascii="仿宋" w:hAnsi="仿宋" w:eastAsia="仿宋" w:cs="仿宋"/>
          <w:sz w:val="24"/>
          <w:szCs w:val="24"/>
          <w:highlight w:val="none"/>
        </w:rPr>
        <w:t>的单位之前，中标人应延续1-2个月的服务，费用按原合同签订的服务管理月度费用标准支付。</w:t>
      </w:r>
    </w:p>
    <w:p w14:paraId="266E2087">
      <w:pPr>
        <w:pageBreakBefore w:val="0"/>
        <w:kinsoku/>
        <w:wordWrap/>
        <w:overflowPunct/>
        <w:topLinePunct w:val="0"/>
        <w:bidi w:val="0"/>
        <w:spacing w:line="360" w:lineRule="auto"/>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2.3 付款方式</w:t>
      </w:r>
    </w:p>
    <w:p w14:paraId="160C2CEC">
      <w:pPr>
        <w:keepNext w:val="0"/>
        <w:keepLines w:val="0"/>
        <w:pageBreakBefore w:val="0"/>
        <w:widowControl w:val="0"/>
        <w:kinsoku/>
        <w:wordWrap/>
        <w:overflowPunct/>
        <w:topLinePunct w:val="0"/>
        <w:autoSpaceDE/>
        <w:autoSpaceDN/>
        <w:bidi w:val="0"/>
        <w:adjustRightInd w:val="0"/>
        <w:snapToGrid/>
        <w:spacing w:line="360" w:lineRule="auto"/>
        <w:ind w:left="239" w:leftChars="114" w:firstLine="240" w:firstLineChars="1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按每月实际的洗涤数量，每月结算一次。</w:t>
      </w:r>
      <w:r>
        <w:rPr>
          <w:rFonts w:hint="eastAsia" w:ascii="仿宋" w:hAnsi="仿宋" w:eastAsia="仿宋" w:cs="仿宋"/>
          <w:sz w:val="24"/>
          <w:szCs w:val="24"/>
          <w:highlight w:val="none"/>
        </w:rPr>
        <w:br w:type="textWrapping"/>
      </w:r>
      <w:r>
        <w:rPr>
          <w:rFonts w:hint="eastAsia" w:ascii="仿宋" w:hAnsi="仿宋" w:eastAsia="仿宋" w:cs="仿宋"/>
          <w:b/>
          <w:bCs/>
          <w:color w:val="000000"/>
          <w:sz w:val="24"/>
          <w:szCs w:val="24"/>
          <w:highlight w:val="none"/>
        </w:rPr>
        <w:t>▲</w:t>
      </w:r>
      <w:r>
        <w:rPr>
          <w:rFonts w:hint="eastAsia" w:ascii="仿宋" w:hAnsi="仿宋" w:eastAsia="仿宋" w:cs="仿宋"/>
          <w:b/>
          <w:bCs/>
          <w:sz w:val="24"/>
          <w:szCs w:val="24"/>
          <w:highlight w:val="none"/>
          <w:lang w:val="en-US" w:eastAsia="zh-CN"/>
        </w:rPr>
        <w:t>2.4 其他要求</w:t>
      </w:r>
      <w:r>
        <w:rPr>
          <w:rFonts w:hint="eastAsia" w:ascii="仿宋" w:hAnsi="仿宋" w:eastAsia="仿宋" w:cs="仿宋"/>
          <w:b/>
          <w:bCs/>
          <w:sz w:val="24"/>
          <w:szCs w:val="24"/>
          <w:highlight w:val="none"/>
          <w:lang w:val="en-US" w:eastAsia="zh-CN"/>
        </w:rPr>
        <w:br w:type="textWrapping"/>
      </w:r>
      <w:r>
        <w:rPr>
          <w:rFonts w:hint="eastAsia" w:ascii="仿宋" w:hAnsi="仿宋" w:eastAsia="仿宋" w:cs="仿宋"/>
          <w:b/>
          <w:bCs/>
          <w:sz w:val="24"/>
          <w:szCs w:val="24"/>
          <w:highlight w:val="none"/>
          <w:lang w:val="en-US" w:eastAsia="zh-CN"/>
        </w:rPr>
        <w:t>如遇医共体总院要求集中采购，采购人有权单方面解除合同，不承担任何违约责任。</w:t>
      </w:r>
    </w:p>
    <w:p w14:paraId="57A59184">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 投标报价要求：</w:t>
      </w:r>
    </w:p>
    <w:p w14:paraId="229AA7CA">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3.1 投标单位必须根据采购单位洗涤工作质量要求和全年洗涤数量为参考核定单价，填入表内，并逐项合价，列入投标总价中。 </w:t>
      </w:r>
    </w:p>
    <w:bookmarkEnd w:id="399"/>
    <w:p w14:paraId="7D14D9A0">
      <w:pPr>
        <w:pageBreakBefore w:val="0"/>
        <w:kinsoku/>
        <w:wordWrap/>
        <w:overflowPunct/>
        <w:topLinePunct w:val="0"/>
        <w:bidi w:val="0"/>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 投标单位根据采购单位年洗涤总量，计算全年预算报价。结合投标单位自身洗涤技术、管理水平、承受能力分析确定竞争下浮费用，并在预算报价中扣除后，确定最终报价。</w:t>
      </w:r>
    </w:p>
    <w:p w14:paraId="2B92FD38">
      <w:pPr>
        <w:pageBreakBefore w:val="0"/>
        <w:kinsoku/>
        <w:wordWrap/>
        <w:overflowPunct/>
        <w:topLinePunct w:val="0"/>
        <w:bidi w:val="0"/>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 如洗涤量发生变化则按实际洗涤数量结算相应费用。</w:t>
      </w:r>
    </w:p>
    <w:p w14:paraId="3E75D809">
      <w:pPr>
        <w:pageBreakBefore w:val="0"/>
        <w:kinsoku/>
        <w:wordWrap/>
        <w:overflowPunct/>
        <w:topLinePunct w:val="0"/>
        <w:bidi w:val="0"/>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3.4 投标单位报价文件中必须提供详细单件物品的单价分析。</w:t>
      </w:r>
    </w:p>
    <w:p w14:paraId="41B98C96">
      <w:pPr>
        <w:pageBreakBefore w:val="0"/>
        <w:kinsoku/>
        <w:wordWrap/>
        <w:overflowPunct/>
        <w:topLinePunct w:val="0"/>
        <w:bidi w:val="0"/>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3.5投标单位确定的最终报价，投标单位应承担全部风险责任，中标签约合同后，承包方不得以任何理由要求变更单价或追加其他费用。</w:t>
      </w:r>
    </w:p>
    <w:p w14:paraId="75B80F9F">
      <w:pPr>
        <w:pageBreakBefore w:val="0"/>
        <w:numPr>
          <w:ilvl w:val="0"/>
          <w:numId w:val="1"/>
        </w:numPr>
        <w:kinsoku/>
        <w:wordWrap/>
        <w:overflowPunct/>
        <w:topLinePunct w:val="0"/>
        <w:bidi w:val="0"/>
        <w:spacing w:line="360" w:lineRule="auto"/>
        <w:ind w:left="0" w:firstLine="480" w:firstLineChars="200"/>
        <w:textAlignment w:val="auto"/>
        <w:rPr>
          <w:rFonts w:hint="eastAsia" w:ascii="仿宋" w:hAnsi="仿宋" w:eastAsia="仿宋" w:cs="仿宋"/>
          <w:color w:val="000000"/>
          <w:sz w:val="24"/>
          <w:szCs w:val="24"/>
        </w:rPr>
      </w:pPr>
      <w:r>
        <w:rPr>
          <w:rFonts w:hint="eastAsia" w:ascii="仿宋" w:hAnsi="仿宋" w:eastAsia="仿宋" w:cs="仿宋"/>
          <w:bCs/>
          <w:color w:val="000000"/>
          <w:sz w:val="24"/>
          <w:szCs w:val="24"/>
        </w:rPr>
        <w:t>考核要求</w:t>
      </w:r>
      <w:r>
        <w:rPr>
          <w:rFonts w:hint="eastAsia" w:ascii="仿宋" w:hAnsi="仿宋" w:eastAsia="仿宋" w:cs="仿宋"/>
          <w:b/>
          <w:bCs/>
          <w:color w:val="000000"/>
          <w:sz w:val="24"/>
          <w:szCs w:val="24"/>
        </w:rPr>
        <w:t>：</w:t>
      </w:r>
      <w:r>
        <w:rPr>
          <w:rFonts w:hint="eastAsia" w:ascii="仿宋" w:hAnsi="仿宋" w:eastAsia="仿宋" w:cs="仿宋"/>
          <w:color w:val="000000"/>
          <w:sz w:val="24"/>
          <w:szCs w:val="24"/>
        </w:rPr>
        <w:t>每季度采购单位管理人员和洗涤公司负责人对本季度的洗涤、缝补、熨烫的质量进行各病区洗涤服务考评，考评以100分为满分，</w:t>
      </w:r>
      <w:r>
        <w:rPr>
          <w:rFonts w:hint="eastAsia" w:ascii="仿宋" w:hAnsi="仿宋" w:eastAsia="仿宋" w:cs="仿宋"/>
          <w:sz w:val="24"/>
          <w:szCs w:val="24"/>
        </w:rPr>
        <w:t>90分以上合格</w:t>
      </w:r>
      <w:r>
        <w:rPr>
          <w:rFonts w:hint="eastAsia" w:ascii="仿宋" w:hAnsi="仿宋" w:eastAsia="仿宋" w:cs="仿宋"/>
          <w:color w:val="000000"/>
          <w:sz w:val="24"/>
          <w:szCs w:val="24"/>
        </w:rPr>
        <w:t>，按合同全额支付；90分以下每下降一个百分点，扣罚考核季度当月洗涤费的1%，依此类推不封顶；但低于75分除按规定扣罚外，予以书面警告一次，全年出现二次警告的将终止合同；对医院各科室投诉核实的问题被服，每件次按20元扣罚。采购单位管理人员将针对洗涤流程、消毒隔离措施落实、收发环节等不定期进行实地检查以及对织物进行微生物监测，并根据检查结果进行考核，酌情扣款。具体考核细则详见“医院洗涤服务考评表”。</w:t>
      </w:r>
    </w:p>
    <w:p w14:paraId="76801FFF">
      <w:pPr>
        <w:rPr>
          <w:rFonts w:hint="eastAsia" w:ascii="仿宋" w:hAnsi="仿宋" w:eastAsia="仿宋" w:cs="仿宋"/>
          <w:sz w:val="24"/>
          <w:szCs w:val="24"/>
        </w:rPr>
      </w:pPr>
      <w:r>
        <w:rPr>
          <w:rFonts w:hint="eastAsia" w:ascii="仿宋" w:hAnsi="仿宋" w:eastAsia="仿宋" w:cs="仿宋"/>
          <w:sz w:val="24"/>
          <w:szCs w:val="24"/>
        </w:rPr>
        <w:br w:type="page"/>
      </w:r>
    </w:p>
    <w:p w14:paraId="4CCA36BF">
      <w:pPr>
        <w:keepNext w:val="0"/>
        <w:keepLines w:val="0"/>
        <w:pageBreakBefore w:val="0"/>
        <w:widowControl w:val="0"/>
        <w:tabs>
          <w:tab w:val="left" w:pos="2680"/>
          <w:tab w:val="center" w:pos="4592"/>
        </w:tabs>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医院洗涤服务考评表</w:t>
      </w:r>
    </w:p>
    <w:tbl>
      <w:tblPr>
        <w:tblStyle w:val="63"/>
        <w:tblW w:w="9334"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8"/>
        <w:gridCol w:w="800"/>
        <w:gridCol w:w="1545"/>
        <w:gridCol w:w="870"/>
        <w:gridCol w:w="2561"/>
      </w:tblGrid>
      <w:tr w14:paraId="17EBE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3558" w:type="dxa"/>
            <w:noWrap/>
            <w:vAlign w:val="center"/>
          </w:tcPr>
          <w:p w14:paraId="47EE3C87">
            <w:pPr>
              <w:keepNext w:val="0"/>
              <w:keepLines w:val="0"/>
              <w:pageBreakBefore w:val="0"/>
              <w:widowControl w:val="0"/>
              <w:kinsoku/>
              <w:wordWrap/>
              <w:overflowPunct/>
              <w:topLinePunct w:val="0"/>
              <w:autoSpaceDE/>
              <w:autoSpaceDN/>
              <w:bidi w:val="0"/>
              <w:adjustRightInd w:val="0"/>
              <w:spacing w:line="360" w:lineRule="auto"/>
              <w:ind w:left="0"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考核项目</w:t>
            </w:r>
          </w:p>
        </w:tc>
        <w:tc>
          <w:tcPr>
            <w:tcW w:w="800" w:type="dxa"/>
            <w:noWrap/>
            <w:vAlign w:val="center"/>
          </w:tcPr>
          <w:p w14:paraId="0BDE69C8">
            <w:pPr>
              <w:keepNext w:val="0"/>
              <w:keepLines w:val="0"/>
              <w:pageBreakBefore w:val="0"/>
              <w:widowControl w:val="0"/>
              <w:kinsoku/>
              <w:wordWrap/>
              <w:overflowPunct/>
              <w:topLinePunct w:val="0"/>
              <w:autoSpaceDE/>
              <w:autoSpaceDN/>
              <w:bidi w:val="0"/>
              <w:adjustRightInd w:val="0"/>
              <w:spacing w:line="360" w:lineRule="auto"/>
              <w:ind w:left="0"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分值</w:t>
            </w:r>
          </w:p>
        </w:tc>
        <w:tc>
          <w:tcPr>
            <w:tcW w:w="1545" w:type="dxa"/>
            <w:noWrap/>
          </w:tcPr>
          <w:p w14:paraId="3C74547F">
            <w:pPr>
              <w:keepNext w:val="0"/>
              <w:keepLines w:val="0"/>
              <w:pageBreakBefore w:val="0"/>
              <w:widowControl w:val="0"/>
              <w:kinsoku/>
              <w:wordWrap/>
              <w:overflowPunct/>
              <w:topLinePunct w:val="0"/>
              <w:autoSpaceDE/>
              <w:autoSpaceDN/>
              <w:bidi w:val="0"/>
              <w:adjustRightInd w:val="0"/>
              <w:spacing w:line="360" w:lineRule="auto"/>
              <w:ind w:left="0" w:firstLine="0" w:firstLineChars="0"/>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扣分</w:t>
            </w:r>
          </w:p>
          <w:p w14:paraId="22CF522A">
            <w:pPr>
              <w:keepNext w:val="0"/>
              <w:keepLines w:val="0"/>
              <w:pageBreakBefore w:val="0"/>
              <w:widowControl w:val="0"/>
              <w:kinsoku/>
              <w:wordWrap/>
              <w:overflowPunct/>
              <w:topLinePunct w:val="0"/>
              <w:autoSpaceDE/>
              <w:autoSpaceDN/>
              <w:bidi w:val="0"/>
              <w:adjustRightInd w:val="0"/>
              <w:spacing w:line="360" w:lineRule="auto"/>
              <w:ind w:left="0"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（不符一例-0.5分）</w:t>
            </w:r>
          </w:p>
        </w:tc>
        <w:tc>
          <w:tcPr>
            <w:tcW w:w="870" w:type="dxa"/>
            <w:noWrap/>
            <w:vAlign w:val="center"/>
          </w:tcPr>
          <w:p w14:paraId="79B1E660">
            <w:pPr>
              <w:keepNext w:val="0"/>
              <w:keepLines w:val="0"/>
              <w:pageBreakBefore w:val="0"/>
              <w:widowControl w:val="0"/>
              <w:kinsoku/>
              <w:wordWrap/>
              <w:overflowPunct/>
              <w:topLinePunct w:val="0"/>
              <w:autoSpaceDE/>
              <w:autoSpaceDN/>
              <w:bidi w:val="0"/>
              <w:adjustRightInd w:val="0"/>
              <w:spacing w:line="360" w:lineRule="auto"/>
              <w:ind w:left="0"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得分</w:t>
            </w:r>
          </w:p>
        </w:tc>
        <w:tc>
          <w:tcPr>
            <w:tcW w:w="2561" w:type="dxa"/>
            <w:noWrap/>
            <w:vAlign w:val="center"/>
          </w:tcPr>
          <w:p w14:paraId="4E910F65">
            <w:pPr>
              <w:keepNext w:val="0"/>
              <w:keepLines w:val="0"/>
              <w:pageBreakBefore w:val="0"/>
              <w:widowControl w:val="0"/>
              <w:kinsoku/>
              <w:wordWrap/>
              <w:overflowPunct/>
              <w:topLinePunct w:val="0"/>
              <w:autoSpaceDE/>
              <w:autoSpaceDN/>
              <w:bidi w:val="0"/>
              <w:adjustRightInd w:val="0"/>
              <w:spacing w:line="360" w:lineRule="auto"/>
              <w:ind w:left="0"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扣分理由及建议</w:t>
            </w:r>
          </w:p>
        </w:tc>
      </w:tr>
      <w:tr w14:paraId="56236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558" w:type="dxa"/>
            <w:noWrap/>
            <w:vAlign w:val="center"/>
          </w:tcPr>
          <w:p w14:paraId="505269A4">
            <w:pPr>
              <w:keepNext w:val="0"/>
              <w:keepLines w:val="0"/>
              <w:pageBreakBefore w:val="0"/>
              <w:widowControl w:val="0"/>
              <w:kinsoku/>
              <w:wordWrap/>
              <w:overflowPunct/>
              <w:topLinePunct w:val="0"/>
              <w:autoSpaceDE/>
              <w:autoSpaceDN/>
              <w:bidi w:val="0"/>
              <w:adjustRightInd w:val="0"/>
              <w:spacing w:line="360" w:lineRule="auto"/>
              <w:ind w:left="0" w:firstLine="0" w:firstLine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工作人员服务态度、仪容仪表规范，不在病房内大声呼叫保洁员，被服车、布袋整洁，推车车轮清洁</w:t>
            </w:r>
          </w:p>
        </w:tc>
        <w:tc>
          <w:tcPr>
            <w:tcW w:w="800" w:type="dxa"/>
            <w:noWrap/>
            <w:vAlign w:val="center"/>
          </w:tcPr>
          <w:p w14:paraId="1386DF25">
            <w:pPr>
              <w:keepNext w:val="0"/>
              <w:keepLines w:val="0"/>
              <w:pageBreakBefore w:val="0"/>
              <w:widowControl w:val="0"/>
              <w:kinsoku/>
              <w:wordWrap/>
              <w:overflowPunct/>
              <w:topLinePunct w:val="0"/>
              <w:autoSpaceDE/>
              <w:autoSpaceDN/>
              <w:bidi w:val="0"/>
              <w:adjustRightInd w:val="0"/>
              <w:spacing w:line="360" w:lineRule="auto"/>
              <w:ind w:left="0"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1545" w:type="dxa"/>
            <w:noWrap/>
          </w:tcPr>
          <w:p w14:paraId="40239989">
            <w:pPr>
              <w:keepNext w:val="0"/>
              <w:keepLines w:val="0"/>
              <w:pageBreakBefore w:val="0"/>
              <w:widowControl w:val="0"/>
              <w:kinsoku/>
              <w:wordWrap/>
              <w:overflowPunct/>
              <w:topLinePunct w:val="0"/>
              <w:autoSpaceDE/>
              <w:autoSpaceDN/>
              <w:bidi w:val="0"/>
              <w:adjustRightInd w:val="0"/>
              <w:spacing w:line="360" w:lineRule="auto"/>
              <w:ind w:left="0" w:firstLine="0" w:firstLineChars="0"/>
              <w:textAlignment w:val="auto"/>
              <w:rPr>
                <w:rFonts w:hint="eastAsia" w:ascii="仿宋" w:hAnsi="仿宋" w:eastAsia="仿宋" w:cs="仿宋"/>
                <w:color w:val="000000"/>
                <w:sz w:val="24"/>
                <w:szCs w:val="24"/>
              </w:rPr>
            </w:pPr>
          </w:p>
        </w:tc>
        <w:tc>
          <w:tcPr>
            <w:tcW w:w="870" w:type="dxa"/>
            <w:noWrap/>
          </w:tcPr>
          <w:p w14:paraId="5615BD22">
            <w:pPr>
              <w:keepNext w:val="0"/>
              <w:keepLines w:val="0"/>
              <w:pageBreakBefore w:val="0"/>
              <w:widowControl w:val="0"/>
              <w:kinsoku/>
              <w:wordWrap/>
              <w:overflowPunct/>
              <w:topLinePunct w:val="0"/>
              <w:autoSpaceDE/>
              <w:autoSpaceDN/>
              <w:bidi w:val="0"/>
              <w:adjustRightInd w:val="0"/>
              <w:spacing w:line="360" w:lineRule="auto"/>
              <w:ind w:left="0" w:firstLine="0" w:firstLineChars="0"/>
              <w:textAlignment w:val="auto"/>
              <w:rPr>
                <w:rFonts w:hint="eastAsia" w:ascii="仿宋" w:hAnsi="仿宋" w:eastAsia="仿宋" w:cs="仿宋"/>
                <w:color w:val="000000"/>
                <w:sz w:val="24"/>
                <w:szCs w:val="24"/>
              </w:rPr>
            </w:pPr>
          </w:p>
        </w:tc>
        <w:tc>
          <w:tcPr>
            <w:tcW w:w="2561" w:type="dxa"/>
            <w:noWrap/>
          </w:tcPr>
          <w:p w14:paraId="51D04803">
            <w:pPr>
              <w:keepNext w:val="0"/>
              <w:keepLines w:val="0"/>
              <w:pageBreakBefore w:val="0"/>
              <w:widowControl w:val="0"/>
              <w:kinsoku/>
              <w:wordWrap/>
              <w:overflowPunct/>
              <w:topLinePunct w:val="0"/>
              <w:autoSpaceDE/>
              <w:autoSpaceDN/>
              <w:bidi w:val="0"/>
              <w:adjustRightInd w:val="0"/>
              <w:spacing w:line="360" w:lineRule="auto"/>
              <w:ind w:left="0" w:firstLine="0" w:firstLineChars="0"/>
              <w:textAlignment w:val="auto"/>
              <w:rPr>
                <w:rFonts w:hint="eastAsia" w:ascii="仿宋" w:hAnsi="仿宋" w:eastAsia="仿宋" w:cs="仿宋"/>
                <w:color w:val="000000"/>
                <w:sz w:val="24"/>
                <w:szCs w:val="24"/>
              </w:rPr>
            </w:pPr>
          </w:p>
        </w:tc>
      </w:tr>
      <w:tr w14:paraId="6E27C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558" w:type="dxa"/>
            <w:noWrap/>
            <w:vAlign w:val="center"/>
          </w:tcPr>
          <w:p w14:paraId="346DC9A7">
            <w:pPr>
              <w:keepNext w:val="0"/>
              <w:keepLines w:val="0"/>
              <w:pageBreakBefore w:val="0"/>
              <w:widowControl w:val="0"/>
              <w:kinsoku/>
              <w:wordWrap/>
              <w:overflowPunct/>
              <w:topLinePunct w:val="0"/>
              <w:autoSpaceDE/>
              <w:autoSpaceDN/>
              <w:bidi w:val="0"/>
              <w:adjustRightInd w:val="0"/>
              <w:spacing w:line="360" w:lineRule="auto"/>
              <w:ind w:left="0" w:firstLine="0" w:firstLine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与科室人员当面清点、交接、双方签名，不相互代签</w:t>
            </w:r>
          </w:p>
        </w:tc>
        <w:tc>
          <w:tcPr>
            <w:tcW w:w="800" w:type="dxa"/>
            <w:noWrap/>
            <w:vAlign w:val="center"/>
          </w:tcPr>
          <w:p w14:paraId="0CF1576E">
            <w:pPr>
              <w:keepNext w:val="0"/>
              <w:keepLines w:val="0"/>
              <w:pageBreakBefore w:val="0"/>
              <w:widowControl w:val="0"/>
              <w:kinsoku/>
              <w:wordWrap/>
              <w:overflowPunct/>
              <w:topLinePunct w:val="0"/>
              <w:autoSpaceDE/>
              <w:autoSpaceDN/>
              <w:bidi w:val="0"/>
              <w:adjustRightInd w:val="0"/>
              <w:spacing w:line="360" w:lineRule="auto"/>
              <w:ind w:left="0"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1545" w:type="dxa"/>
            <w:noWrap/>
          </w:tcPr>
          <w:p w14:paraId="219CC614">
            <w:pPr>
              <w:keepNext w:val="0"/>
              <w:keepLines w:val="0"/>
              <w:pageBreakBefore w:val="0"/>
              <w:widowControl w:val="0"/>
              <w:kinsoku/>
              <w:wordWrap/>
              <w:overflowPunct/>
              <w:topLinePunct w:val="0"/>
              <w:autoSpaceDE/>
              <w:autoSpaceDN/>
              <w:bidi w:val="0"/>
              <w:adjustRightInd w:val="0"/>
              <w:spacing w:line="360" w:lineRule="auto"/>
              <w:ind w:left="0" w:firstLine="0" w:firstLineChars="0"/>
              <w:textAlignment w:val="auto"/>
              <w:rPr>
                <w:rFonts w:hint="eastAsia" w:ascii="仿宋" w:hAnsi="仿宋" w:eastAsia="仿宋" w:cs="仿宋"/>
                <w:color w:val="000000"/>
                <w:sz w:val="24"/>
                <w:szCs w:val="24"/>
              </w:rPr>
            </w:pPr>
          </w:p>
        </w:tc>
        <w:tc>
          <w:tcPr>
            <w:tcW w:w="870" w:type="dxa"/>
            <w:noWrap/>
          </w:tcPr>
          <w:p w14:paraId="1768629E">
            <w:pPr>
              <w:keepNext w:val="0"/>
              <w:keepLines w:val="0"/>
              <w:pageBreakBefore w:val="0"/>
              <w:widowControl w:val="0"/>
              <w:kinsoku/>
              <w:wordWrap/>
              <w:overflowPunct/>
              <w:topLinePunct w:val="0"/>
              <w:autoSpaceDE/>
              <w:autoSpaceDN/>
              <w:bidi w:val="0"/>
              <w:adjustRightInd w:val="0"/>
              <w:spacing w:line="360" w:lineRule="auto"/>
              <w:ind w:left="0" w:firstLine="0" w:firstLineChars="0"/>
              <w:textAlignment w:val="auto"/>
              <w:rPr>
                <w:rFonts w:hint="eastAsia" w:ascii="仿宋" w:hAnsi="仿宋" w:eastAsia="仿宋" w:cs="仿宋"/>
                <w:color w:val="000000"/>
                <w:sz w:val="24"/>
                <w:szCs w:val="24"/>
              </w:rPr>
            </w:pPr>
          </w:p>
        </w:tc>
        <w:tc>
          <w:tcPr>
            <w:tcW w:w="2561" w:type="dxa"/>
            <w:noWrap/>
          </w:tcPr>
          <w:p w14:paraId="4E27EEFA">
            <w:pPr>
              <w:keepNext w:val="0"/>
              <w:keepLines w:val="0"/>
              <w:pageBreakBefore w:val="0"/>
              <w:widowControl w:val="0"/>
              <w:kinsoku/>
              <w:wordWrap/>
              <w:overflowPunct/>
              <w:topLinePunct w:val="0"/>
              <w:autoSpaceDE/>
              <w:autoSpaceDN/>
              <w:bidi w:val="0"/>
              <w:adjustRightInd w:val="0"/>
              <w:spacing w:line="360" w:lineRule="auto"/>
              <w:ind w:left="0" w:firstLine="0" w:firstLineChars="0"/>
              <w:textAlignment w:val="auto"/>
              <w:rPr>
                <w:rFonts w:hint="eastAsia" w:ascii="仿宋" w:hAnsi="仿宋" w:eastAsia="仿宋" w:cs="仿宋"/>
                <w:color w:val="000000"/>
                <w:sz w:val="24"/>
                <w:szCs w:val="24"/>
              </w:rPr>
            </w:pPr>
          </w:p>
        </w:tc>
      </w:tr>
      <w:tr w14:paraId="22B4F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558" w:type="dxa"/>
            <w:noWrap/>
            <w:vAlign w:val="center"/>
          </w:tcPr>
          <w:p w14:paraId="04BD1684">
            <w:pPr>
              <w:keepNext w:val="0"/>
              <w:keepLines w:val="0"/>
              <w:pageBreakBefore w:val="0"/>
              <w:widowControl w:val="0"/>
              <w:kinsoku/>
              <w:wordWrap/>
              <w:overflowPunct/>
              <w:topLinePunct w:val="0"/>
              <w:autoSpaceDE/>
              <w:autoSpaceDN/>
              <w:bidi w:val="0"/>
              <w:adjustRightInd w:val="0"/>
              <w:spacing w:line="360" w:lineRule="auto"/>
              <w:ind w:left="0" w:firstLine="0" w:firstLine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被服、工作衣清点及时，数量相符</w:t>
            </w:r>
          </w:p>
        </w:tc>
        <w:tc>
          <w:tcPr>
            <w:tcW w:w="800" w:type="dxa"/>
            <w:noWrap/>
            <w:vAlign w:val="center"/>
          </w:tcPr>
          <w:p w14:paraId="12E46927">
            <w:pPr>
              <w:keepNext w:val="0"/>
              <w:keepLines w:val="0"/>
              <w:pageBreakBefore w:val="0"/>
              <w:widowControl w:val="0"/>
              <w:kinsoku/>
              <w:wordWrap/>
              <w:overflowPunct/>
              <w:topLinePunct w:val="0"/>
              <w:autoSpaceDE/>
              <w:autoSpaceDN/>
              <w:bidi w:val="0"/>
              <w:adjustRightInd w:val="0"/>
              <w:spacing w:line="360" w:lineRule="auto"/>
              <w:ind w:left="0"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1545" w:type="dxa"/>
            <w:noWrap/>
          </w:tcPr>
          <w:p w14:paraId="1DE73241">
            <w:pPr>
              <w:keepNext w:val="0"/>
              <w:keepLines w:val="0"/>
              <w:pageBreakBefore w:val="0"/>
              <w:widowControl w:val="0"/>
              <w:kinsoku/>
              <w:wordWrap/>
              <w:overflowPunct/>
              <w:topLinePunct w:val="0"/>
              <w:autoSpaceDE/>
              <w:autoSpaceDN/>
              <w:bidi w:val="0"/>
              <w:adjustRightInd w:val="0"/>
              <w:spacing w:line="360" w:lineRule="auto"/>
              <w:ind w:left="0" w:firstLine="0" w:firstLineChars="0"/>
              <w:textAlignment w:val="auto"/>
              <w:rPr>
                <w:rFonts w:hint="eastAsia" w:ascii="仿宋" w:hAnsi="仿宋" w:eastAsia="仿宋" w:cs="仿宋"/>
                <w:color w:val="000000"/>
                <w:sz w:val="24"/>
                <w:szCs w:val="24"/>
              </w:rPr>
            </w:pPr>
          </w:p>
        </w:tc>
        <w:tc>
          <w:tcPr>
            <w:tcW w:w="870" w:type="dxa"/>
            <w:noWrap/>
          </w:tcPr>
          <w:p w14:paraId="2A01DFEB">
            <w:pPr>
              <w:keepNext w:val="0"/>
              <w:keepLines w:val="0"/>
              <w:pageBreakBefore w:val="0"/>
              <w:widowControl w:val="0"/>
              <w:kinsoku/>
              <w:wordWrap/>
              <w:overflowPunct/>
              <w:topLinePunct w:val="0"/>
              <w:autoSpaceDE/>
              <w:autoSpaceDN/>
              <w:bidi w:val="0"/>
              <w:adjustRightInd w:val="0"/>
              <w:spacing w:line="360" w:lineRule="auto"/>
              <w:ind w:left="0" w:firstLine="0" w:firstLineChars="0"/>
              <w:textAlignment w:val="auto"/>
              <w:rPr>
                <w:rFonts w:hint="eastAsia" w:ascii="仿宋" w:hAnsi="仿宋" w:eastAsia="仿宋" w:cs="仿宋"/>
                <w:color w:val="000000"/>
                <w:sz w:val="24"/>
                <w:szCs w:val="24"/>
              </w:rPr>
            </w:pPr>
          </w:p>
        </w:tc>
        <w:tc>
          <w:tcPr>
            <w:tcW w:w="2561" w:type="dxa"/>
            <w:noWrap/>
          </w:tcPr>
          <w:p w14:paraId="79EEED66">
            <w:pPr>
              <w:keepNext w:val="0"/>
              <w:keepLines w:val="0"/>
              <w:pageBreakBefore w:val="0"/>
              <w:widowControl w:val="0"/>
              <w:kinsoku/>
              <w:wordWrap/>
              <w:overflowPunct/>
              <w:topLinePunct w:val="0"/>
              <w:autoSpaceDE/>
              <w:autoSpaceDN/>
              <w:bidi w:val="0"/>
              <w:adjustRightInd w:val="0"/>
              <w:spacing w:line="360" w:lineRule="auto"/>
              <w:ind w:left="0" w:firstLine="0" w:firstLineChars="0"/>
              <w:textAlignment w:val="auto"/>
              <w:rPr>
                <w:rFonts w:hint="eastAsia" w:ascii="仿宋" w:hAnsi="仿宋" w:eastAsia="仿宋" w:cs="仿宋"/>
                <w:color w:val="000000"/>
                <w:sz w:val="24"/>
                <w:szCs w:val="24"/>
              </w:rPr>
            </w:pPr>
          </w:p>
        </w:tc>
      </w:tr>
      <w:tr w14:paraId="0C6BA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558" w:type="dxa"/>
            <w:noWrap/>
            <w:vAlign w:val="center"/>
          </w:tcPr>
          <w:p w14:paraId="56C4AD7A">
            <w:pPr>
              <w:keepNext w:val="0"/>
              <w:keepLines w:val="0"/>
              <w:pageBreakBefore w:val="0"/>
              <w:widowControl w:val="0"/>
              <w:kinsoku/>
              <w:wordWrap/>
              <w:overflowPunct/>
              <w:topLinePunct w:val="0"/>
              <w:autoSpaceDE/>
              <w:autoSpaceDN/>
              <w:bidi w:val="0"/>
              <w:adjustRightInd w:val="0"/>
              <w:spacing w:line="360" w:lineRule="auto"/>
              <w:ind w:left="0" w:firstLine="0" w:firstLine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被服清点、送、收及时，清洁物品下午5点前送到临床科室</w:t>
            </w:r>
          </w:p>
        </w:tc>
        <w:tc>
          <w:tcPr>
            <w:tcW w:w="800" w:type="dxa"/>
            <w:noWrap/>
            <w:vAlign w:val="center"/>
          </w:tcPr>
          <w:p w14:paraId="35D2454B">
            <w:pPr>
              <w:keepNext w:val="0"/>
              <w:keepLines w:val="0"/>
              <w:pageBreakBefore w:val="0"/>
              <w:widowControl w:val="0"/>
              <w:kinsoku/>
              <w:wordWrap/>
              <w:overflowPunct/>
              <w:topLinePunct w:val="0"/>
              <w:autoSpaceDE/>
              <w:autoSpaceDN/>
              <w:bidi w:val="0"/>
              <w:adjustRightInd w:val="0"/>
              <w:spacing w:line="360" w:lineRule="auto"/>
              <w:ind w:left="0"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1545" w:type="dxa"/>
            <w:noWrap/>
          </w:tcPr>
          <w:p w14:paraId="1B5DAC1C">
            <w:pPr>
              <w:keepNext w:val="0"/>
              <w:keepLines w:val="0"/>
              <w:pageBreakBefore w:val="0"/>
              <w:widowControl w:val="0"/>
              <w:kinsoku/>
              <w:wordWrap/>
              <w:overflowPunct/>
              <w:topLinePunct w:val="0"/>
              <w:autoSpaceDE/>
              <w:autoSpaceDN/>
              <w:bidi w:val="0"/>
              <w:adjustRightInd w:val="0"/>
              <w:spacing w:line="360" w:lineRule="auto"/>
              <w:ind w:left="0" w:firstLine="0" w:firstLineChars="0"/>
              <w:textAlignment w:val="auto"/>
              <w:rPr>
                <w:rFonts w:hint="eastAsia" w:ascii="仿宋" w:hAnsi="仿宋" w:eastAsia="仿宋" w:cs="仿宋"/>
                <w:color w:val="000000"/>
                <w:sz w:val="24"/>
                <w:szCs w:val="24"/>
              </w:rPr>
            </w:pPr>
          </w:p>
        </w:tc>
        <w:tc>
          <w:tcPr>
            <w:tcW w:w="870" w:type="dxa"/>
            <w:noWrap/>
          </w:tcPr>
          <w:p w14:paraId="14183BCC">
            <w:pPr>
              <w:keepNext w:val="0"/>
              <w:keepLines w:val="0"/>
              <w:pageBreakBefore w:val="0"/>
              <w:widowControl w:val="0"/>
              <w:kinsoku/>
              <w:wordWrap/>
              <w:overflowPunct/>
              <w:topLinePunct w:val="0"/>
              <w:autoSpaceDE/>
              <w:autoSpaceDN/>
              <w:bidi w:val="0"/>
              <w:adjustRightInd w:val="0"/>
              <w:spacing w:line="360" w:lineRule="auto"/>
              <w:ind w:left="0" w:firstLine="0" w:firstLineChars="0"/>
              <w:textAlignment w:val="auto"/>
              <w:rPr>
                <w:rFonts w:hint="eastAsia" w:ascii="仿宋" w:hAnsi="仿宋" w:eastAsia="仿宋" w:cs="仿宋"/>
                <w:color w:val="000000"/>
                <w:sz w:val="24"/>
                <w:szCs w:val="24"/>
              </w:rPr>
            </w:pPr>
          </w:p>
        </w:tc>
        <w:tc>
          <w:tcPr>
            <w:tcW w:w="2561" w:type="dxa"/>
            <w:noWrap/>
          </w:tcPr>
          <w:p w14:paraId="7DC8C7DD">
            <w:pPr>
              <w:keepNext w:val="0"/>
              <w:keepLines w:val="0"/>
              <w:pageBreakBefore w:val="0"/>
              <w:widowControl w:val="0"/>
              <w:kinsoku/>
              <w:wordWrap/>
              <w:overflowPunct/>
              <w:topLinePunct w:val="0"/>
              <w:autoSpaceDE/>
              <w:autoSpaceDN/>
              <w:bidi w:val="0"/>
              <w:adjustRightInd w:val="0"/>
              <w:spacing w:line="360" w:lineRule="auto"/>
              <w:ind w:left="0" w:firstLine="0" w:firstLineChars="0"/>
              <w:textAlignment w:val="auto"/>
              <w:rPr>
                <w:rFonts w:hint="eastAsia" w:ascii="仿宋" w:hAnsi="仿宋" w:eastAsia="仿宋" w:cs="仿宋"/>
                <w:color w:val="000000"/>
                <w:sz w:val="24"/>
                <w:szCs w:val="24"/>
              </w:rPr>
            </w:pPr>
          </w:p>
        </w:tc>
      </w:tr>
      <w:tr w14:paraId="07B8C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558" w:type="dxa"/>
            <w:noWrap/>
            <w:vAlign w:val="center"/>
          </w:tcPr>
          <w:p w14:paraId="1E3F28C5">
            <w:pPr>
              <w:keepNext w:val="0"/>
              <w:keepLines w:val="0"/>
              <w:pageBreakBefore w:val="0"/>
              <w:widowControl w:val="0"/>
              <w:kinsoku/>
              <w:wordWrap/>
              <w:overflowPunct/>
              <w:topLinePunct w:val="0"/>
              <w:autoSpaceDE/>
              <w:autoSpaceDN/>
              <w:bidi w:val="0"/>
              <w:adjustRightInd w:val="0"/>
              <w:spacing w:line="360" w:lineRule="auto"/>
              <w:ind w:left="0" w:firstLine="0" w:firstLine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不拖欠科室物品，特殊情况需填写欠条，并在1周内归还</w:t>
            </w:r>
          </w:p>
        </w:tc>
        <w:tc>
          <w:tcPr>
            <w:tcW w:w="800" w:type="dxa"/>
            <w:noWrap/>
            <w:vAlign w:val="center"/>
          </w:tcPr>
          <w:p w14:paraId="61ACB421">
            <w:pPr>
              <w:keepNext w:val="0"/>
              <w:keepLines w:val="0"/>
              <w:pageBreakBefore w:val="0"/>
              <w:widowControl w:val="0"/>
              <w:kinsoku/>
              <w:wordWrap/>
              <w:overflowPunct/>
              <w:topLinePunct w:val="0"/>
              <w:autoSpaceDE/>
              <w:autoSpaceDN/>
              <w:bidi w:val="0"/>
              <w:adjustRightInd w:val="0"/>
              <w:spacing w:line="360" w:lineRule="auto"/>
              <w:ind w:left="0"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1545" w:type="dxa"/>
            <w:noWrap/>
          </w:tcPr>
          <w:p w14:paraId="1F64A407">
            <w:pPr>
              <w:keepNext w:val="0"/>
              <w:keepLines w:val="0"/>
              <w:pageBreakBefore w:val="0"/>
              <w:widowControl w:val="0"/>
              <w:kinsoku/>
              <w:wordWrap/>
              <w:overflowPunct/>
              <w:topLinePunct w:val="0"/>
              <w:autoSpaceDE/>
              <w:autoSpaceDN/>
              <w:bidi w:val="0"/>
              <w:adjustRightInd w:val="0"/>
              <w:spacing w:line="360" w:lineRule="auto"/>
              <w:ind w:left="0" w:firstLine="0" w:firstLineChars="0"/>
              <w:textAlignment w:val="auto"/>
              <w:rPr>
                <w:rFonts w:hint="eastAsia" w:ascii="仿宋" w:hAnsi="仿宋" w:eastAsia="仿宋" w:cs="仿宋"/>
                <w:color w:val="000000"/>
                <w:sz w:val="24"/>
                <w:szCs w:val="24"/>
              </w:rPr>
            </w:pPr>
          </w:p>
        </w:tc>
        <w:tc>
          <w:tcPr>
            <w:tcW w:w="870" w:type="dxa"/>
            <w:noWrap/>
          </w:tcPr>
          <w:p w14:paraId="1D3132A5">
            <w:pPr>
              <w:keepNext w:val="0"/>
              <w:keepLines w:val="0"/>
              <w:pageBreakBefore w:val="0"/>
              <w:widowControl w:val="0"/>
              <w:kinsoku/>
              <w:wordWrap/>
              <w:overflowPunct/>
              <w:topLinePunct w:val="0"/>
              <w:autoSpaceDE/>
              <w:autoSpaceDN/>
              <w:bidi w:val="0"/>
              <w:adjustRightInd w:val="0"/>
              <w:spacing w:line="360" w:lineRule="auto"/>
              <w:ind w:left="0" w:firstLine="0" w:firstLineChars="0"/>
              <w:textAlignment w:val="auto"/>
              <w:rPr>
                <w:rFonts w:hint="eastAsia" w:ascii="仿宋" w:hAnsi="仿宋" w:eastAsia="仿宋" w:cs="仿宋"/>
                <w:color w:val="000000"/>
                <w:sz w:val="24"/>
                <w:szCs w:val="24"/>
              </w:rPr>
            </w:pPr>
          </w:p>
        </w:tc>
        <w:tc>
          <w:tcPr>
            <w:tcW w:w="2561" w:type="dxa"/>
            <w:noWrap/>
          </w:tcPr>
          <w:p w14:paraId="702A75B8">
            <w:pPr>
              <w:keepNext w:val="0"/>
              <w:keepLines w:val="0"/>
              <w:pageBreakBefore w:val="0"/>
              <w:widowControl w:val="0"/>
              <w:kinsoku/>
              <w:wordWrap/>
              <w:overflowPunct/>
              <w:topLinePunct w:val="0"/>
              <w:autoSpaceDE/>
              <w:autoSpaceDN/>
              <w:bidi w:val="0"/>
              <w:adjustRightInd w:val="0"/>
              <w:spacing w:line="360" w:lineRule="auto"/>
              <w:ind w:left="0" w:firstLine="0" w:firstLineChars="0"/>
              <w:textAlignment w:val="auto"/>
              <w:rPr>
                <w:rFonts w:hint="eastAsia" w:ascii="仿宋" w:hAnsi="仿宋" w:eastAsia="仿宋" w:cs="仿宋"/>
                <w:color w:val="000000"/>
                <w:sz w:val="24"/>
                <w:szCs w:val="24"/>
              </w:rPr>
            </w:pPr>
          </w:p>
        </w:tc>
      </w:tr>
      <w:tr w14:paraId="2CE57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558" w:type="dxa"/>
            <w:noWrap/>
            <w:vAlign w:val="center"/>
          </w:tcPr>
          <w:p w14:paraId="1A827498">
            <w:pPr>
              <w:keepNext w:val="0"/>
              <w:keepLines w:val="0"/>
              <w:pageBreakBefore w:val="0"/>
              <w:widowControl w:val="0"/>
              <w:kinsoku/>
              <w:wordWrap/>
              <w:overflowPunct/>
              <w:topLinePunct w:val="0"/>
              <w:autoSpaceDE/>
              <w:autoSpaceDN/>
              <w:bidi w:val="0"/>
              <w:adjustRightInd w:val="0"/>
              <w:spacing w:line="360" w:lineRule="auto"/>
              <w:ind w:left="0" w:firstLine="0" w:firstLine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被服洗涤后无明显血渍、便渍、黄渍、油渍、污渍，不擅自在被服、工作衣上做标记</w:t>
            </w:r>
          </w:p>
        </w:tc>
        <w:tc>
          <w:tcPr>
            <w:tcW w:w="800" w:type="dxa"/>
            <w:noWrap/>
            <w:vAlign w:val="center"/>
          </w:tcPr>
          <w:p w14:paraId="1339E78E">
            <w:pPr>
              <w:keepNext w:val="0"/>
              <w:keepLines w:val="0"/>
              <w:pageBreakBefore w:val="0"/>
              <w:widowControl w:val="0"/>
              <w:kinsoku/>
              <w:wordWrap/>
              <w:overflowPunct/>
              <w:topLinePunct w:val="0"/>
              <w:autoSpaceDE/>
              <w:autoSpaceDN/>
              <w:bidi w:val="0"/>
              <w:adjustRightInd w:val="0"/>
              <w:spacing w:line="360" w:lineRule="auto"/>
              <w:ind w:left="0"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20</w:t>
            </w:r>
          </w:p>
        </w:tc>
        <w:tc>
          <w:tcPr>
            <w:tcW w:w="1545" w:type="dxa"/>
            <w:noWrap/>
          </w:tcPr>
          <w:p w14:paraId="3C3C97D3">
            <w:pPr>
              <w:keepNext w:val="0"/>
              <w:keepLines w:val="0"/>
              <w:pageBreakBefore w:val="0"/>
              <w:widowControl w:val="0"/>
              <w:kinsoku/>
              <w:wordWrap/>
              <w:overflowPunct/>
              <w:topLinePunct w:val="0"/>
              <w:autoSpaceDE/>
              <w:autoSpaceDN/>
              <w:bidi w:val="0"/>
              <w:adjustRightInd w:val="0"/>
              <w:spacing w:line="360" w:lineRule="auto"/>
              <w:ind w:left="0" w:firstLine="0" w:firstLineChars="0"/>
              <w:textAlignment w:val="auto"/>
              <w:rPr>
                <w:rFonts w:hint="eastAsia" w:ascii="仿宋" w:hAnsi="仿宋" w:eastAsia="仿宋" w:cs="仿宋"/>
                <w:color w:val="000000"/>
                <w:sz w:val="24"/>
                <w:szCs w:val="24"/>
              </w:rPr>
            </w:pPr>
          </w:p>
          <w:p w14:paraId="227C0595">
            <w:pPr>
              <w:keepNext w:val="0"/>
              <w:keepLines w:val="0"/>
              <w:pageBreakBefore w:val="0"/>
              <w:widowControl w:val="0"/>
              <w:kinsoku/>
              <w:wordWrap/>
              <w:overflowPunct/>
              <w:topLinePunct w:val="0"/>
              <w:autoSpaceDE/>
              <w:autoSpaceDN/>
              <w:bidi w:val="0"/>
              <w:adjustRightInd w:val="0"/>
              <w:spacing w:line="360" w:lineRule="auto"/>
              <w:ind w:left="0" w:firstLine="0" w:firstLineChars="0"/>
              <w:textAlignment w:val="auto"/>
              <w:rPr>
                <w:rFonts w:hint="eastAsia" w:ascii="仿宋" w:hAnsi="仿宋" w:eastAsia="仿宋" w:cs="仿宋"/>
                <w:color w:val="000000"/>
                <w:sz w:val="24"/>
                <w:szCs w:val="24"/>
              </w:rPr>
            </w:pPr>
          </w:p>
        </w:tc>
        <w:tc>
          <w:tcPr>
            <w:tcW w:w="870" w:type="dxa"/>
            <w:noWrap/>
          </w:tcPr>
          <w:p w14:paraId="2B58413F">
            <w:pPr>
              <w:keepNext w:val="0"/>
              <w:keepLines w:val="0"/>
              <w:pageBreakBefore w:val="0"/>
              <w:widowControl w:val="0"/>
              <w:kinsoku/>
              <w:wordWrap/>
              <w:overflowPunct/>
              <w:topLinePunct w:val="0"/>
              <w:autoSpaceDE/>
              <w:autoSpaceDN/>
              <w:bidi w:val="0"/>
              <w:adjustRightInd w:val="0"/>
              <w:spacing w:line="360" w:lineRule="auto"/>
              <w:ind w:left="0" w:firstLine="0" w:firstLineChars="0"/>
              <w:textAlignment w:val="auto"/>
              <w:rPr>
                <w:rFonts w:hint="eastAsia" w:ascii="仿宋" w:hAnsi="仿宋" w:eastAsia="仿宋" w:cs="仿宋"/>
                <w:color w:val="000000"/>
                <w:sz w:val="24"/>
                <w:szCs w:val="24"/>
              </w:rPr>
            </w:pPr>
          </w:p>
        </w:tc>
        <w:tc>
          <w:tcPr>
            <w:tcW w:w="2561" w:type="dxa"/>
            <w:noWrap/>
          </w:tcPr>
          <w:p w14:paraId="5DB42A41">
            <w:pPr>
              <w:keepNext w:val="0"/>
              <w:keepLines w:val="0"/>
              <w:pageBreakBefore w:val="0"/>
              <w:widowControl w:val="0"/>
              <w:kinsoku/>
              <w:wordWrap/>
              <w:overflowPunct/>
              <w:topLinePunct w:val="0"/>
              <w:autoSpaceDE/>
              <w:autoSpaceDN/>
              <w:bidi w:val="0"/>
              <w:adjustRightInd w:val="0"/>
              <w:spacing w:line="360" w:lineRule="auto"/>
              <w:ind w:left="0" w:firstLine="0" w:firstLineChars="0"/>
              <w:textAlignment w:val="auto"/>
              <w:rPr>
                <w:rFonts w:hint="eastAsia" w:ascii="仿宋" w:hAnsi="仿宋" w:eastAsia="仿宋" w:cs="仿宋"/>
                <w:color w:val="000000"/>
                <w:sz w:val="24"/>
                <w:szCs w:val="24"/>
              </w:rPr>
            </w:pPr>
          </w:p>
          <w:p w14:paraId="63E0AAD8">
            <w:pPr>
              <w:keepNext w:val="0"/>
              <w:keepLines w:val="0"/>
              <w:pageBreakBefore w:val="0"/>
              <w:widowControl w:val="0"/>
              <w:kinsoku/>
              <w:wordWrap/>
              <w:overflowPunct/>
              <w:topLinePunct w:val="0"/>
              <w:autoSpaceDE/>
              <w:autoSpaceDN/>
              <w:bidi w:val="0"/>
              <w:adjustRightInd w:val="0"/>
              <w:spacing w:line="360" w:lineRule="auto"/>
              <w:ind w:left="0" w:firstLine="0" w:firstLineChars="0"/>
              <w:textAlignment w:val="auto"/>
              <w:rPr>
                <w:rFonts w:hint="eastAsia" w:ascii="仿宋" w:hAnsi="仿宋" w:eastAsia="仿宋" w:cs="仿宋"/>
                <w:color w:val="000000"/>
                <w:sz w:val="24"/>
                <w:szCs w:val="24"/>
              </w:rPr>
            </w:pPr>
          </w:p>
        </w:tc>
      </w:tr>
      <w:tr w14:paraId="1E43F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558" w:type="dxa"/>
            <w:noWrap/>
            <w:vAlign w:val="center"/>
          </w:tcPr>
          <w:p w14:paraId="5897AC59">
            <w:pPr>
              <w:keepNext w:val="0"/>
              <w:keepLines w:val="0"/>
              <w:pageBreakBefore w:val="0"/>
              <w:widowControl w:val="0"/>
              <w:kinsoku/>
              <w:wordWrap/>
              <w:overflowPunct/>
              <w:topLinePunct w:val="0"/>
              <w:autoSpaceDE/>
              <w:autoSpaceDN/>
              <w:bidi w:val="0"/>
              <w:adjustRightInd w:val="0"/>
              <w:spacing w:line="360" w:lineRule="auto"/>
              <w:ind w:left="0" w:firstLine="0" w:firstLine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被服无破洞，无脱线，缝补外观妥帖，纽扣完好，口袋无破洞，袖口、裤腰松紧适宜、裤带无短缺</w:t>
            </w:r>
          </w:p>
        </w:tc>
        <w:tc>
          <w:tcPr>
            <w:tcW w:w="800" w:type="dxa"/>
            <w:noWrap/>
            <w:vAlign w:val="center"/>
          </w:tcPr>
          <w:p w14:paraId="6DABD8FB">
            <w:pPr>
              <w:keepNext w:val="0"/>
              <w:keepLines w:val="0"/>
              <w:pageBreakBefore w:val="0"/>
              <w:widowControl w:val="0"/>
              <w:kinsoku/>
              <w:wordWrap/>
              <w:overflowPunct/>
              <w:topLinePunct w:val="0"/>
              <w:autoSpaceDE/>
              <w:autoSpaceDN/>
              <w:bidi w:val="0"/>
              <w:adjustRightInd w:val="0"/>
              <w:spacing w:line="360" w:lineRule="auto"/>
              <w:ind w:left="0"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20</w:t>
            </w:r>
          </w:p>
        </w:tc>
        <w:tc>
          <w:tcPr>
            <w:tcW w:w="1545" w:type="dxa"/>
            <w:noWrap/>
          </w:tcPr>
          <w:p w14:paraId="4B5AB83D">
            <w:pPr>
              <w:keepNext w:val="0"/>
              <w:keepLines w:val="0"/>
              <w:pageBreakBefore w:val="0"/>
              <w:widowControl w:val="0"/>
              <w:kinsoku/>
              <w:wordWrap/>
              <w:overflowPunct/>
              <w:topLinePunct w:val="0"/>
              <w:autoSpaceDE/>
              <w:autoSpaceDN/>
              <w:bidi w:val="0"/>
              <w:adjustRightInd w:val="0"/>
              <w:spacing w:line="360" w:lineRule="auto"/>
              <w:ind w:left="0" w:firstLine="0" w:firstLineChars="0"/>
              <w:textAlignment w:val="auto"/>
              <w:rPr>
                <w:rFonts w:hint="eastAsia" w:ascii="仿宋" w:hAnsi="仿宋" w:eastAsia="仿宋" w:cs="仿宋"/>
                <w:color w:val="000000"/>
                <w:sz w:val="24"/>
                <w:szCs w:val="24"/>
              </w:rPr>
            </w:pPr>
          </w:p>
          <w:p w14:paraId="6D17CC34">
            <w:pPr>
              <w:keepNext w:val="0"/>
              <w:keepLines w:val="0"/>
              <w:pageBreakBefore w:val="0"/>
              <w:widowControl w:val="0"/>
              <w:kinsoku/>
              <w:wordWrap/>
              <w:overflowPunct/>
              <w:topLinePunct w:val="0"/>
              <w:autoSpaceDE/>
              <w:autoSpaceDN/>
              <w:bidi w:val="0"/>
              <w:adjustRightInd w:val="0"/>
              <w:spacing w:line="360" w:lineRule="auto"/>
              <w:ind w:left="0" w:firstLine="0" w:firstLineChars="0"/>
              <w:textAlignment w:val="auto"/>
              <w:rPr>
                <w:rFonts w:hint="eastAsia" w:ascii="仿宋" w:hAnsi="仿宋" w:eastAsia="仿宋" w:cs="仿宋"/>
                <w:color w:val="000000"/>
                <w:sz w:val="24"/>
                <w:szCs w:val="24"/>
              </w:rPr>
            </w:pPr>
          </w:p>
          <w:p w14:paraId="4DE61B81">
            <w:pPr>
              <w:keepNext w:val="0"/>
              <w:keepLines w:val="0"/>
              <w:pageBreakBefore w:val="0"/>
              <w:widowControl w:val="0"/>
              <w:tabs>
                <w:tab w:val="left" w:pos="855"/>
              </w:tabs>
              <w:kinsoku/>
              <w:wordWrap/>
              <w:overflowPunct/>
              <w:topLinePunct w:val="0"/>
              <w:autoSpaceDE/>
              <w:autoSpaceDN/>
              <w:bidi w:val="0"/>
              <w:adjustRightInd w:val="0"/>
              <w:spacing w:line="360" w:lineRule="auto"/>
              <w:ind w:left="0" w:firstLine="0" w:firstLineChars="0"/>
              <w:textAlignment w:val="auto"/>
              <w:rPr>
                <w:rFonts w:hint="eastAsia" w:ascii="仿宋" w:hAnsi="仿宋" w:eastAsia="仿宋" w:cs="仿宋"/>
                <w:color w:val="000000"/>
                <w:sz w:val="24"/>
                <w:szCs w:val="24"/>
              </w:rPr>
            </w:pPr>
          </w:p>
        </w:tc>
        <w:tc>
          <w:tcPr>
            <w:tcW w:w="870" w:type="dxa"/>
            <w:noWrap/>
          </w:tcPr>
          <w:p w14:paraId="44543244">
            <w:pPr>
              <w:keepNext w:val="0"/>
              <w:keepLines w:val="0"/>
              <w:pageBreakBefore w:val="0"/>
              <w:widowControl w:val="0"/>
              <w:kinsoku/>
              <w:wordWrap/>
              <w:overflowPunct/>
              <w:topLinePunct w:val="0"/>
              <w:autoSpaceDE/>
              <w:autoSpaceDN/>
              <w:bidi w:val="0"/>
              <w:adjustRightInd w:val="0"/>
              <w:spacing w:line="360" w:lineRule="auto"/>
              <w:ind w:left="0" w:firstLine="0" w:firstLineChars="0"/>
              <w:textAlignment w:val="auto"/>
              <w:rPr>
                <w:rFonts w:hint="eastAsia" w:ascii="仿宋" w:hAnsi="仿宋" w:eastAsia="仿宋" w:cs="仿宋"/>
                <w:color w:val="000000"/>
                <w:sz w:val="24"/>
                <w:szCs w:val="24"/>
              </w:rPr>
            </w:pPr>
          </w:p>
        </w:tc>
        <w:tc>
          <w:tcPr>
            <w:tcW w:w="2561" w:type="dxa"/>
            <w:noWrap/>
          </w:tcPr>
          <w:p w14:paraId="025C8FD8">
            <w:pPr>
              <w:keepNext w:val="0"/>
              <w:keepLines w:val="0"/>
              <w:pageBreakBefore w:val="0"/>
              <w:widowControl w:val="0"/>
              <w:kinsoku/>
              <w:wordWrap/>
              <w:overflowPunct/>
              <w:topLinePunct w:val="0"/>
              <w:autoSpaceDE/>
              <w:autoSpaceDN/>
              <w:bidi w:val="0"/>
              <w:adjustRightInd w:val="0"/>
              <w:spacing w:line="360" w:lineRule="auto"/>
              <w:ind w:left="0" w:firstLine="0" w:firstLineChars="0"/>
              <w:textAlignment w:val="auto"/>
              <w:rPr>
                <w:rFonts w:hint="eastAsia" w:ascii="仿宋" w:hAnsi="仿宋" w:eastAsia="仿宋" w:cs="仿宋"/>
                <w:color w:val="000000"/>
                <w:sz w:val="24"/>
                <w:szCs w:val="24"/>
              </w:rPr>
            </w:pPr>
          </w:p>
          <w:p w14:paraId="2172F0FF">
            <w:pPr>
              <w:keepNext w:val="0"/>
              <w:keepLines w:val="0"/>
              <w:pageBreakBefore w:val="0"/>
              <w:widowControl w:val="0"/>
              <w:kinsoku/>
              <w:wordWrap/>
              <w:overflowPunct/>
              <w:topLinePunct w:val="0"/>
              <w:autoSpaceDE/>
              <w:autoSpaceDN/>
              <w:bidi w:val="0"/>
              <w:adjustRightInd w:val="0"/>
              <w:spacing w:line="360" w:lineRule="auto"/>
              <w:ind w:left="0" w:firstLine="0" w:firstLineChars="0"/>
              <w:textAlignment w:val="auto"/>
              <w:rPr>
                <w:rFonts w:hint="eastAsia" w:ascii="仿宋" w:hAnsi="仿宋" w:eastAsia="仿宋" w:cs="仿宋"/>
                <w:color w:val="000000"/>
                <w:sz w:val="24"/>
                <w:szCs w:val="24"/>
              </w:rPr>
            </w:pPr>
          </w:p>
        </w:tc>
      </w:tr>
      <w:tr w14:paraId="6AB2A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558" w:type="dxa"/>
            <w:noWrap/>
            <w:vAlign w:val="center"/>
          </w:tcPr>
          <w:p w14:paraId="446AFD94">
            <w:pPr>
              <w:keepNext w:val="0"/>
              <w:keepLines w:val="0"/>
              <w:pageBreakBefore w:val="0"/>
              <w:widowControl w:val="0"/>
              <w:kinsoku/>
              <w:wordWrap/>
              <w:overflowPunct/>
              <w:topLinePunct w:val="0"/>
              <w:autoSpaceDE/>
              <w:autoSpaceDN/>
              <w:bidi w:val="0"/>
              <w:adjustRightInd w:val="0"/>
              <w:spacing w:line="360" w:lineRule="auto"/>
              <w:ind w:left="0" w:firstLine="0" w:firstLine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折叠符合各科规范，熨烫平整、被服干燥，护士帽挺括、扣子完好</w:t>
            </w:r>
          </w:p>
        </w:tc>
        <w:tc>
          <w:tcPr>
            <w:tcW w:w="800" w:type="dxa"/>
            <w:noWrap/>
            <w:vAlign w:val="center"/>
          </w:tcPr>
          <w:p w14:paraId="34C7B722">
            <w:pPr>
              <w:keepNext w:val="0"/>
              <w:keepLines w:val="0"/>
              <w:pageBreakBefore w:val="0"/>
              <w:widowControl w:val="0"/>
              <w:kinsoku/>
              <w:wordWrap/>
              <w:overflowPunct/>
              <w:topLinePunct w:val="0"/>
              <w:autoSpaceDE/>
              <w:autoSpaceDN/>
              <w:bidi w:val="0"/>
              <w:adjustRightInd w:val="0"/>
              <w:spacing w:line="360" w:lineRule="auto"/>
              <w:ind w:left="0"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1545" w:type="dxa"/>
            <w:noWrap/>
          </w:tcPr>
          <w:p w14:paraId="3522517D">
            <w:pPr>
              <w:keepNext w:val="0"/>
              <w:keepLines w:val="0"/>
              <w:pageBreakBefore w:val="0"/>
              <w:widowControl w:val="0"/>
              <w:kinsoku/>
              <w:wordWrap/>
              <w:overflowPunct/>
              <w:topLinePunct w:val="0"/>
              <w:autoSpaceDE/>
              <w:autoSpaceDN/>
              <w:bidi w:val="0"/>
              <w:adjustRightInd w:val="0"/>
              <w:spacing w:line="360" w:lineRule="auto"/>
              <w:ind w:left="0" w:firstLine="0" w:firstLineChars="0"/>
              <w:textAlignment w:val="auto"/>
              <w:rPr>
                <w:rFonts w:hint="eastAsia" w:ascii="仿宋" w:hAnsi="仿宋" w:eastAsia="仿宋" w:cs="仿宋"/>
                <w:color w:val="000000"/>
                <w:sz w:val="24"/>
                <w:szCs w:val="24"/>
              </w:rPr>
            </w:pPr>
          </w:p>
          <w:p w14:paraId="4993CBC0">
            <w:pPr>
              <w:keepNext w:val="0"/>
              <w:keepLines w:val="0"/>
              <w:pageBreakBefore w:val="0"/>
              <w:widowControl w:val="0"/>
              <w:kinsoku/>
              <w:wordWrap/>
              <w:overflowPunct/>
              <w:topLinePunct w:val="0"/>
              <w:autoSpaceDE/>
              <w:autoSpaceDN/>
              <w:bidi w:val="0"/>
              <w:adjustRightInd w:val="0"/>
              <w:spacing w:line="360" w:lineRule="auto"/>
              <w:ind w:left="0" w:firstLine="0" w:firstLineChars="0"/>
              <w:textAlignment w:val="auto"/>
              <w:rPr>
                <w:rFonts w:hint="eastAsia" w:ascii="仿宋" w:hAnsi="仿宋" w:eastAsia="仿宋" w:cs="仿宋"/>
                <w:color w:val="000000"/>
                <w:sz w:val="24"/>
                <w:szCs w:val="24"/>
              </w:rPr>
            </w:pPr>
          </w:p>
        </w:tc>
        <w:tc>
          <w:tcPr>
            <w:tcW w:w="870" w:type="dxa"/>
            <w:noWrap/>
          </w:tcPr>
          <w:p w14:paraId="3FE1AFE2">
            <w:pPr>
              <w:keepNext w:val="0"/>
              <w:keepLines w:val="0"/>
              <w:pageBreakBefore w:val="0"/>
              <w:widowControl w:val="0"/>
              <w:kinsoku/>
              <w:wordWrap/>
              <w:overflowPunct/>
              <w:topLinePunct w:val="0"/>
              <w:autoSpaceDE/>
              <w:autoSpaceDN/>
              <w:bidi w:val="0"/>
              <w:adjustRightInd w:val="0"/>
              <w:spacing w:line="360" w:lineRule="auto"/>
              <w:ind w:left="0" w:firstLine="0" w:firstLineChars="0"/>
              <w:textAlignment w:val="auto"/>
              <w:rPr>
                <w:rFonts w:hint="eastAsia" w:ascii="仿宋" w:hAnsi="仿宋" w:eastAsia="仿宋" w:cs="仿宋"/>
                <w:color w:val="000000"/>
                <w:sz w:val="24"/>
                <w:szCs w:val="24"/>
              </w:rPr>
            </w:pPr>
          </w:p>
        </w:tc>
        <w:tc>
          <w:tcPr>
            <w:tcW w:w="2561" w:type="dxa"/>
            <w:noWrap/>
          </w:tcPr>
          <w:p w14:paraId="3C3F00A0">
            <w:pPr>
              <w:keepNext w:val="0"/>
              <w:keepLines w:val="0"/>
              <w:pageBreakBefore w:val="0"/>
              <w:widowControl w:val="0"/>
              <w:kinsoku/>
              <w:wordWrap/>
              <w:overflowPunct/>
              <w:topLinePunct w:val="0"/>
              <w:autoSpaceDE/>
              <w:autoSpaceDN/>
              <w:bidi w:val="0"/>
              <w:adjustRightInd w:val="0"/>
              <w:spacing w:line="360" w:lineRule="auto"/>
              <w:ind w:left="0" w:firstLine="0" w:firstLineChars="0"/>
              <w:textAlignment w:val="auto"/>
              <w:rPr>
                <w:rFonts w:hint="eastAsia" w:ascii="仿宋" w:hAnsi="仿宋" w:eastAsia="仿宋" w:cs="仿宋"/>
                <w:color w:val="000000"/>
                <w:sz w:val="24"/>
                <w:szCs w:val="24"/>
              </w:rPr>
            </w:pPr>
          </w:p>
        </w:tc>
      </w:tr>
      <w:tr w14:paraId="5AECF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558" w:type="dxa"/>
            <w:noWrap/>
            <w:vAlign w:val="center"/>
          </w:tcPr>
          <w:p w14:paraId="6E37220E">
            <w:pPr>
              <w:keepNext w:val="0"/>
              <w:keepLines w:val="0"/>
              <w:pageBreakBefore w:val="0"/>
              <w:widowControl w:val="0"/>
              <w:kinsoku/>
              <w:wordWrap/>
              <w:overflowPunct/>
              <w:topLinePunct w:val="0"/>
              <w:autoSpaceDE/>
              <w:autoSpaceDN/>
              <w:bidi w:val="0"/>
              <w:adjustRightInd w:val="0"/>
              <w:spacing w:line="360" w:lineRule="auto"/>
              <w:ind w:left="0" w:firstLine="0" w:firstLine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被服、工作衣无遗失、调错，不影响临床使用</w:t>
            </w:r>
          </w:p>
        </w:tc>
        <w:tc>
          <w:tcPr>
            <w:tcW w:w="800" w:type="dxa"/>
            <w:noWrap/>
            <w:vAlign w:val="center"/>
          </w:tcPr>
          <w:p w14:paraId="72DDF777">
            <w:pPr>
              <w:keepNext w:val="0"/>
              <w:keepLines w:val="0"/>
              <w:pageBreakBefore w:val="0"/>
              <w:widowControl w:val="0"/>
              <w:kinsoku/>
              <w:wordWrap/>
              <w:overflowPunct/>
              <w:topLinePunct w:val="0"/>
              <w:autoSpaceDE/>
              <w:autoSpaceDN/>
              <w:bidi w:val="0"/>
              <w:adjustRightInd w:val="0"/>
              <w:spacing w:line="360" w:lineRule="auto"/>
              <w:ind w:left="0"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1545" w:type="dxa"/>
            <w:noWrap/>
          </w:tcPr>
          <w:p w14:paraId="1070727A">
            <w:pPr>
              <w:keepNext w:val="0"/>
              <w:keepLines w:val="0"/>
              <w:pageBreakBefore w:val="0"/>
              <w:widowControl w:val="0"/>
              <w:kinsoku/>
              <w:wordWrap/>
              <w:overflowPunct/>
              <w:topLinePunct w:val="0"/>
              <w:autoSpaceDE/>
              <w:autoSpaceDN/>
              <w:bidi w:val="0"/>
              <w:adjustRightInd w:val="0"/>
              <w:spacing w:line="360" w:lineRule="auto"/>
              <w:ind w:left="0" w:firstLine="0" w:firstLineChars="0"/>
              <w:textAlignment w:val="auto"/>
              <w:rPr>
                <w:rFonts w:hint="eastAsia" w:ascii="仿宋" w:hAnsi="仿宋" w:eastAsia="仿宋" w:cs="仿宋"/>
                <w:color w:val="000000"/>
                <w:sz w:val="24"/>
                <w:szCs w:val="24"/>
              </w:rPr>
            </w:pPr>
          </w:p>
        </w:tc>
        <w:tc>
          <w:tcPr>
            <w:tcW w:w="870" w:type="dxa"/>
            <w:noWrap/>
          </w:tcPr>
          <w:p w14:paraId="0EDD3B5F">
            <w:pPr>
              <w:keepNext w:val="0"/>
              <w:keepLines w:val="0"/>
              <w:pageBreakBefore w:val="0"/>
              <w:widowControl w:val="0"/>
              <w:kinsoku/>
              <w:wordWrap/>
              <w:overflowPunct/>
              <w:topLinePunct w:val="0"/>
              <w:autoSpaceDE/>
              <w:autoSpaceDN/>
              <w:bidi w:val="0"/>
              <w:adjustRightInd w:val="0"/>
              <w:spacing w:line="360" w:lineRule="auto"/>
              <w:ind w:left="0" w:firstLine="0" w:firstLineChars="0"/>
              <w:textAlignment w:val="auto"/>
              <w:rPr>
                <w:rFonts w:hint="eastAsia" w:ascii="仿宋" w:hAnsi="仿宋" w:eastAsia="仿宋" w:cs="仿宋"/>
                <w:color w:val="000000"/>
                <w:sz w:val="24"/>
                <w:szCs w:val="24"/>
              </w:rPr>
            </w:pPr>
          </w:p>
        </w:tc>
        <w:tc>
          <w:tcPr>
            <w:tcW w:w="2561" w:type="dxa"/>
            <w:noWrap/>
          </w:tcPr>
          <w:p w14:paraId="1BE4CC21">
            <w:pPr>
              <w:keepNext w:val="0"/>
              <w:keepLines w:val="0"/>
              <w:pageBreakBefore w:val="0"/>
              <w:widowControl w:val="0"/>
              <w:kinsoku/>
              <w:wordWrap/>
              <w:overflowPunct/>
              <w:topLinePunct w:val="0"/>
              <w:autoSpaceDE/>
              <w:autoSpaceDN/>
              <w:bidi w:val="0"/>
              <w:adjustRightInd w:val="0"/>
              <w:spacing w:line="360" w:lineRule="auto"/>
              <w:ind w:left="0" w:firstLine="0" w:firstLineChars="0"/>
              <w:textAlignment w:val="auto"/>
              <w:rPr>
                <w:rFonts w:hint="eastAsia" w:ascii="仿宋" w:hAnsi="仿宋" w:eastAsia="仿宋" w:cs="仿宋"/>
                <w:color w:val="000000"/>
                <w:sz w:val="24"/>
                <w:szCs w:val="24"/>
              </w:rPr>
            </w:pPr>
          </w:p>
        </w:tc>
      </w:tr>
      <w:tr w14:paraId="2FD4A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558" w:type="dxa"/>
            <w:noWrap/>
            <w:vAlign w:val="center"/>
          </w:tcPr>
          <w:p w14:paraId="587DED81">
            <w:pPr>
              <w:keepNext w:val="0"/>
              <w:keepLines w:val="0"/>
              <w:pageBreakBefore w:val="0"/>
              <w:widowControl w:val="0"/>
              <w:kinsoku/>
              <w:wordWrap/>
              <w:overflowPunct/>
              <w:topLinePunct w:val="0"/>
              <w:autoSpaceDE/>
              <w:autoSpaceDN/>
              <w:bidi w:val="0"/>
              <w:adjustRightInd w:val="0"/>
              <w:spacing w:line="360" w:lineRule="auto"/>
              <w:ind w:left="0" w:firstLine="0" w:firstLine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洗涤公司有定期征求护士长意见，对提出的意见及时采取措施</w:t>
            </w:r>
          </w:p>
        </w:tc>
        <w:tc>
          <w:tcPr>
            <w:tcW w:w="800" w:type="dxa"/>
            <w:noWrap/>
            <w:vAlign w:val="center"/>
          </w:tcPr>
          <w:p w14:paraId="5378CE1A">
            <w:pPr>
              <w:keepNext w:val="0"/>
              <w:keepLines w:val="0"/>
              <w:pageBreakBefore w:val="0"/>
              <w:widowControl w:val="0"/>
              <w:kinsoku/>
              <w:wordWrap/>
              <w:overflowPunct/>
              <w:topLinePunct w:val="0"/>
              <w:autoSpaceDE/>
              <w:autoSpaceDN/>
              <w:bidi w:val="0"/>
              <w:adjustRightInd w:val="0"/>
              <w:spacing w:line="360" w:lineRule="auto"/>
              <w:ind w:left="0"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1545" w:type="dxa"/>
            <w:noWrap/>
          </w:tcPr>
          <w:p w14:paraId="74D86DC3">
            <w:pPr>
              <w:keepNext w:val="0"/>
              <w:keepLines w:val="0"/>
              <w:pageBreakBefore w:val="0"/>
              <w:widowControl w:val="0"/>
              <w:kinsoku/>
              <w:wordWrap/>
              <w:overflowPunct/>
              <w:topLinePunct w:val="0"/>
              <w:autoSpaceDE/>
              <w:autoSpaceDN/>
              <w:bidi w:val="0"/>
              <w:adjustRightInd w:val="0"/>
              <w:spacing w:line="360" w:lineRule="auto"/>
              <w:ind w:left="0" w:firstLine="0" w:firstLineChars="0"/>
              <w:textAlignment w:val="auto"/>
              <w:rPr>
                <w:rFonts w:hint="eastAsia" w:ascii="仿宋" w:hAnsi="仿宋" w:eastAsia="仿宋" w:cs="仿宋"/>
                <w:color w:val="000000"/>
                <w:sz w:val="24"/>
                <w:szCs w:val="24"/>
              </w:rPr>
            </w:pPr>
          </w:p>
        </w:tc>
        <w:tc>
          <w:tcPr>
            <w:tcW w:w="870" w:type="dxa"/>
            <w:noWrap/>
          </w:tcPr>
          <w:p w14:paraId="01C42F17">
            <w:pPr>
              <w:keepNext w:val="0"/>
              <w:keepLines w:val="0"/>
              <w:pageBreakBefore w:val="0"/>
              <w:widowControl w:val="0"/>
              <w:kinsoku/>
              <w:wordWrap/>
              <w:overflowPunct/>
              <w:topLinePunct w:val="0"/>
              <w:autoSpaceDE/>
              <w:autoSpaceDN/>
              <w:bidi w:val="0"/>
              <w:adjustRightInd w:val="0"/>
              <w:spacing w:line="360" w:lineRule="auto"/>
              <w:ind w:left="0" w:firstLine="0" w:firstLineChars="0"/>
              <w:textAlignment w:val="auto"/>
              <w:rPr>
                <w:rFonts w:hint="eastAsia" w:ascii="仿宋" w:hAnsi="仿宋" w:eastAsia="仿宋" w:cs="仿宋"/>
                <w:color w:val="000000"/>
                <w:sz w:val="24"/>
                <w:szCs w:val="24"/>
              </w:rPr>
            </w:pPr>
          </w:p>
        </w:tc>
        <w:tc>
          <w:tcPr>
            <w:tcW w:w="2561" w:type="dxa"/>
            <w:noWrap/>
          </w:tcPr>
          <w:p w14:paraId="20041FDA">
            <w:pPr>
              <w:keepNext w:val="0"/>
              <w:keepLines w:val="0"/>
              <w:pageBreakBefore w:val="0"/>
              <w:widowControl w:val="0"/>
              <w:kinsoku/>
              <w:wordWrap/>
              <w:overflowPunct/>
              <w:topLinePunct w:val="0"/>
              <w:autoSpaceDE/>
              <w:autoSpaceDN/>
              <w:bidi w:val="0"/>
              <w:adjustRightInd w:val="0"/>
              <w:spacing w:line="360" w:lineRule="auto"/>
              <w:ind w:left="0" w:firstLine="0" w:firstLineChars="0"/>
              <w:textAlignment w:val="auto"/>
              <w:rPr>
                <w:rFonts w:hint="eastAsia" w:ascii="仿宋" w:hAnsi="仿宋" w:eastAsia="仿宋" w:cs="仿宋"/>
                <w:color w:val="000000"/>
                <w:sz w:val="24"/>
                <w:szCs w:val="24"/>
              </w:rPr>
            </w:pPr>
          </w:p>
        </w:tc>
      </w:tr>
      <w:tr w14:paraId="1AE90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558" w:type="dxa"/>
            <w:noWrap/>
            <w:vAlign w:val="center"/>
          </w:tcPr>
          <w:p w14:paraId="1F765AD6">
            <w:pPr>
              <w:keepNext w:val="0"/>
              <w:keepLines w:val="0"/>
              <w:pageBreakBefore w:val="0"/>
              <w:widowControl w:val="0"/>
              <w:kinsoku/>
              <w:wordWrap/>
              <w:overflowPunct/>
              <w:topLinePunct w:val="0"/>
              <w:autoSpaceDE/>
              <w:autoSpaceDN/>
              <w:bidi w:val="0"/>
              <w:adjustRightInd w:val="0"/>
              <w:spacing w:line="360" w:lineRule="auto"/>
              <w:ind w:left="0" w:firstLine="0" w:firstLine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其他</w:t>
            </w:r>
          </w:p>
        </w:tc>
        <w:tc>
          <w:tcPr>
            <w:tcW w:w="800" w:type="dxa"/>
            <w:noWrap/>
            <w:vAlign w:val="center"/>
          </w:tcPr>
          <w:p w14:paraId="2BCF28FD">
            <w:pPr>
              <w:keepNext w:val="0"/>
              <w:keepLines w:val="0"/>
              <w:pageBreakBefore w:val="0"/>
              <w:widowControl w:val="0"/>
              <w:kinsoku/>
              <w:wordWrap/>
              <w:overflowPunct/>
              <w:topLinePunct w:val="0"/>
              <w:autoSpaceDE/>
              <w:autoSpaceDN/>
              <w:bidi w:val="0"/>
              <w:adjustRightInd w:val="0"/>
              <w:spacing w:line="360" w:lineRule="auto"/>
              <w:ind w:left="0"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1545" w:type="dxa"/>
            <w:noWrap/>
          </w:tcPr>
          <w:p w14:paraId="6B255359">
            <w:pPr>
              <w:keepNext w:val="0"/>
              <w:keepLines w:val="0"/>
              <w:pageBreakBefore w:val="0"/>
              <w:widowControl w:val="0"/>
              <w:kinsoku/>
              <w:wordWrap/>
              <w:overflowPunct/>
              <w:topLinePunct w:val="0"/>
              <w:autoSpaceDE/>
              <w:autoSpaceDN/>
              <w:bidi w:val="0"/>
              <w:adjustRightInd w:val="0"/>
              <w:spacing w:line="360" w:lineRule="auto"/>
              <w:ind w:left="0" w:firstLine="0" w:firstLineChars="0"/>
              <w:textAlignment w:val="auto"/>
              <w:rPr>
                <w:rFonts w:hint="eastAsia" w:ascii="仿宋" w:hAnsi="仿宋" w:eastAsia="仿宋" w:cs="仿宋"/>
                <w:color w:val="000000"/>
                <w:sz w:val="24"/>
                <w:szCs w:val="24"/>
              </w:rPr>
            </w:pPr>
          </w:p>
        </w:tc>
        <w:tc>
          <w:tcPr>
            <w:tcW w:w="870" w:type="dxa"/>
            <w:noWrap/>
          </w:tcPr>
          <w:p w14:paraId="63F01C86">
            <w:pPr>
              <w:keepNext w:val="0"/>
              <w:keepLines w:val="0"/>
              <w:pageBreakBefore w:val="0"/>
              <w:widowControl w:val="0"/>
              <w:kinsoku/>
              <w:wordWrap/>
              <w:overflowPunct/>
              <w:topLinePunct w:val="0"/>
              <w:autoSpaceDE/>
              <w:autoSpaceDN/>
              <w:bidi w:val="0"/>
              <w:adjustRightInd w:val="0"/>
              <w:spacing w:line="360" w:lineRule="auto"/>
              <w:ind w:left="0" w:firstLine="0" w:firstLineChars="0"/>
              <w:textAlignment w:val="auto"/>
              <w:rPr>
                <w:rFonts w:hint="eastAsia" w:ascii="仿宋" w:hAnsi="仿宋" w:eastAsia="仿宋" w:cs="仿宋"/>
                <w:color w:val="000000"/>
                <w:sz w:val="24"/>
                <w:szCs w:val="24"/>
              </w:rPr>
            </w:pPr>
          </w:p>
        </w:tc>
        <w:tc>
          <w:tcPr>
            <w:tcW w:w="2561" w:type="dxa"/>
            <w:noWrap/>
          </w:tcPr>
          <w:p w14:paraId="569C74C8">
            <w:pPr>
              <w:keepNext w:val="0"/>
              <w:keepLines w:val="0"/>
              <w:pageBreakBefore w:val="0"/>
              <w:widowControl w:val="0"/>
              <w:kinsoku/>
              <w:wordWrap/>
              <w:overflowPunct/>
              <w:topLinePunct w:val="0"/>
              <w:autoSpaceDE/>
              <w:autoSpaceDN/>
              <w:bidi w:val="0"/>
              <w:adjustRightInd w:val="0"/>
              <w:spacing w:line="360" w:lineRule="auto"/>
              <w:ind w:left="0" w:firstLine="0" w:firstLineChars="0"/>
              <w:textAlignment w:val="auto"/>
              <w:rPr>
                <w:rFonts w:hint="eastAsia" w:ascii="仿宋" w:hAnsi="仿宋" w:eastAsia="仿宋" w:cs="仿宋"/>
                <w:color w:val="000000"/>
                <w:sz w:val="24"/>
                <w:szCs w:val="24"/>
              </w:rPr>
            </w:pPr>
          </w:p>
        </w:tc>
      </w:tr>
    </w:tbl>
    <w:p w14:paraId="7BFEAA2C">
      <w:pPr>
        <w:pStyle w:val="234"/>
        <w:pageBreakBefore w:val="0"/>
        <w:kinsoku/>
        <w:wordWrap/>
        <w:overflowPunct/>
        <w:topLinePunct w:val="0"/>
        <w:bidi w:val="0"/>
        <w:spacing w:line="360" w:lineRule="auto"/>
        <w:ind w:left="0" w:firstLine="480" w:firstLineChars="200"/>
        <w:textAlignment w:val="auto"/>
        <w:rPr>
          <w:rFonts w:hint="eastAsia" w:ascii="仿宋" w:hAnsi="仿宋" w:eastAsia="仿宋" w:cs="仿宋"/>
          <w:sz w:val="24"/>
          <w:szCs w:val="24"/>
        </w:rPr>
      </w:pPr>
    </w:p>
    <w:p w14:paraId="489AEDD9">
      <w:pPr>
        <w:pageBreakBefore w:val="0"/>
        <w:kinsoku/>
        <w:wordWrap/>
        <w:overflowPunct/>
        <w:topLinePunct w:val="0"/>
        <w:bidi w:val="0"/>
        <w:spacing w:line="360" w:lineRule="auto"/>
        <w:ind w:lef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sz w:val="24"/>
          <w:szCs w:val="24"/>
        </w:rPr>
        <w:t>注：</w:t>
      </w:r>
      <w:r>
        <w:rPr>
          <w:rFonts w:hint="eastAsia" w:ascii="仿宋" w:hAnsi="仿宋" w:eastAsia="仿宋" w:cs="仿宋"/>
          <w:b/>
          <w:kern w:val="0"/>
          <w:sz w:val="24"/>
          <w:szCs w:val="24"/>
        </w:rPr>
        <w:t>1.交易文件中打</w:t>
      </w:r>
      <w:r>
        <w:rPr>
          <w:rFonts w:hint="eastAsia" w:ascii="仿宋" w:hAnsi="仿宋" w:eastAsia="仿宋" w:cs="仿宋"/>
          <w:color w:val="000000"/>
          <w:sz w:val="24"/>
          <w:szCs w:val="24"/>
        </w:rPr>
        <w:t>▲</w:t>
      </w:r>
      <w:r>
        <w:rPr>
          <w:rFonts w:hint="eastAsia" w:ascii="仿宋" w:hAnsi="仿宋" w:eastAsia="仿宋" w:cs="仿宋"/>
          <w:b/>
          <w:kern w:val="0"/>
          <w:sz w:val="24"/>
          <w:szCs w:val="24"/>
        </w:rPr>
        <w:t>内容为实质性要求，不允许有负偏离，否则将以涉及无效响应条款作无效响应。</w:t>
      </w:r>
    </w:p>
    <w:p w14:paraId="30A7A3C8">
      <w:pPr>
        <w:pageBreakBefore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2.如有附图，仅作参考</w:t>
      </w:r>
    </w:p>
    <w:p w14:paraId="66D02052">
      <w:pPr>
        <w:pStyle w:val="3"/>
        <w:pageBreakBefore w:val="0"/>
        <w:shd w:val="clear" w:color="auto" w:fill="auto"/>
        <w:kinsoku/>
        <w:wordWrap/>
        <w:overflowPunct/>
        <w:topLinePunct w:val="0"/>
        <w:bidi w:val="0"/>
        <w:spacing w:line="360" w:lineRule="auto"/>
        <w:ind w:left="0" w:leftChars="0" w:firstLine="482" w:firstLineChars="200"/>
        <w:textAlignment w:val="auto"/>
        <w:rPr>
          <w:rFonts w:hint="eastAsia" w:ascii="仿宋" w:hAnsi="仿宋" w:eastAsia="仿宋" w:cs="仿宋"/>
          <w:color w:val="auto"/>
          <w:sz w:val="24"/>
          <w:szCs w:val="24"/>
          <w:highlight w:val="none"/>
          <w:lang w:val="en-US"/>
        </w:rPr>
      </w:pPr>
    </w:p>
    <w:p w14:paraId="22439F26">
      <w:pPr>
        <w:pageBreakBefore w:val="0"/>
        <w:shd w:val="clear" w:color="auto" w:fill="auto"/>
        <w:kinsoku/>
        <w:wordWrap/>
        <w:overflowPunct/>
        <w:topLinePunct w:val="0"/>
        <w:bidi w:val="0"/>
        <w:spacing w:line="360" w:lineRule="auto"/>
        <w:ind w:left="0" w:leftChars="0"/>
        <w:jc w:val="center"/>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36"/>
          <w:szCs w:val="36"/>
          <w:highlight w:val="none"/>
        </w:rPr>
        <w:t xml:space="preserve">第四部分 </w:t>
      </w:r>
      <w:bookmarkStart w:id="28" w:name="_Toc184312137"/>
      <w:bookmarkEnd w:id="28"/>
      <w:bookmarkStart w:id="29" w:name="_Toc184310327"/>
      <w:bookmarkEnd w:id="29"/>
      <w:bookmarkStart w:id="30" w:name="_Toc184313240"/>
      <w:bookmarkEnd w:id="30"/>
      <w:bookmarkStart w:id="31" w:name="_Toc184313308"/>
      <w:bookmarkEnd w:id="31"/>
      <w:bookmarkStart w:id="32" w:name="_Toc184312132"/>
      <w:bookmarkEnd w:id="32"/>
      <w:bookmarkStart w:id="33" w:name="_Toc184312117"/>
      <w:bookmarkEnd w:id="33"/>
      <w:bookmarkStart w:id="34" w:name="_Toc184313298"/>
      <w:bookmarkEnd w:id="34"/>
      <w:bookmarkStart w:id="35" w:name="_Toc184308045"/>
      <w:bookmarkEnd w:id="35"/>
      <w:bookmarkStart w:id="36" w:name="_Toc184313253"/>
      <w:bookmarkEnd w:id="36"/>
      <w:bookmarkStart w:id="37" w:name="_Toc184314417"/>
      <w:bookmarkEnd w:id="37"/>
      <w:bookmarkStart w:id="38" w:name="_Toc184312067"/>
      <w:bookmarkEnd w:id="38"/>
      <w:bookmarkStart w:id="39" w:name="_Toc184314470"/>
      <w:bookmarkEnd w:id="39"/>
      <w:bookmarkStart w:id="40" w:name="_Toc184314481"/>
      <w:bookmarkEnd w:id="40"/>
      <w:bookmarkStart w:id="41" w:name="_Toc184313289"/>
      <w:bookmarkEnd w:id="41"/>
      <w:bookmarkStart w:id="42" w:name="_Toc184310326"/>
      <w:bookmarkEnd w:id="42"/>
      <w:bookmarkStart w:id="43" w:name="_Toc184308093"/>
      <w:bookmarkEnd w:id="43"/>
      <w:bookmarkStart w:id="44" w:name="_Toc184308080"/>
      <w:bookmarkEnd w:id="44"/>
      <w:bookmarkStart w:id="45" w:name="_Toc184314424"/>
      <w:bookmarkEnd w:id="45"/>
      <w:bookmarkStart w:id="46" w:name="_Toc184313266"/>
      <w:bookmarkEnd w:id="46"/>
      <w:bookmarkStart w:id="47" w:name="_Toc184313247"/>
      <w:bookmarkEnd w:id="47"/>
      <w:bookmarkStart w:id="48" w:name="_Toc184314476"/>
      <w:bookmarkEnd w:id="48"/>
      <w:bookmarkStart w:id="49" w:name="_Toc184313274"/>
      <w:bookmarkEnd w:id="49"/>
      <w:bookmarkStart w:id="50" w:name="_Toc184308076"/>
      <w:bookmarkEnd w:id="50"/>
      <w:bookmarkStart w:id="51" w:name="_Toc184310304"/>
      <w:bookmarkEnd w:id="51"/>
      <w:bookmarkStart w:id="52" w:name="_Toc184308092"/>
      <w:bookmarkEnd w:id="52"/>
      <w:bookmarkStart w:id="53" w:name="_Toc184313310"/>
      <w:bookmarkEnd w:id="53"/>
      <w:bookmarkStart w:id="54" w:name="_Toc184308059"/>
      <w:bookmarkEnd w:id="54"/>
      <w:bookmarkStart w:id="55" w:name="_Toc184313269"/>
      <w:bookmarkEnd w:id="55"/>
      <w:bookmarkStart w:id="56" w:name="_Toc184308090"/>
      <w:bookmarkEnd w:id="56"/>
      <w:bookmarkStart w:id="57" w:name="_Toc184308039"/>
      <w:bookmarkEnd w:id="57"/>
      <w:bookmarkStart w:id="58" w:name="_Toc184314451"/>
      <w:bookmarkEnd w:id="58"/>
      <w:bookmarkStart w:id="59" w:name="_Toc184310325"/>
      <w:bookmarkEnd w:id="59"/>
      <w:bookmarkStart w:id="60" w:name="_Toc184310317"/>
      <w:bookmarkEnd w:id="60"/>
      <w:bookmarkStart w:id="61" w:name="_Toc184312084"/>
      <w:bookmarkEnd w:id="61"/>
      <w:bookmarkStart w:id="62" w:name="_Toc184308071"/>
      <w:bookmarkEnd w:id="62"/>
      <w:bookmarkStart w:id="63" w:name="_Toc184313258"/>
      <w:bookmarkEnd w:id="63"/>
      <w:bookmarkStart w:id="64" w:name="_Toc184312127"/>
      <w:bookmarkEnd w:id="64"/>
      <w:bookmarkStart w:id="65" w:name="_Toc184310338"/>
      <w:bookmarkEnd w:id="65"/>
      <w:bookmarkStart w:id="66" w:name="_Toc184308068"/>
      <w:bookmarkEnd w:id="66"/>
      <w:bookmarkStart w:id="67" w:name="_Toc184313264"/>
      <w:bookmarkEnd w:id="67"/>
      <w:bookmarkStart w:id="68" w:name="_Toc184308108"/>
      <w:bookmarkEnd w:id="68"/>
      <w:bookmarkStart w:id="69" w:name="_Toc184314421"/>
      <w:bookmarkEnd w:id="69"/>
      <w:bookmarkStart w:id="70" w:name="_Toc184310319"/>
      <w:bookmarkEnd w:id="70"/>
      <w:bookmarkStart w:id="71" w:name="_Toc184310287"/>
      <w:bookmarkEnd w:id="71"/>
      <w:bookmarkStart w:id="72" w:name="_Toc184313301"/>
      <w:bookmarkEnd w:id="72"/>
      <w:bookmarkStart w:id="73" w:name="_Toc184312113"/>
      <w:bookmarkEnd w:id="73"/>
      <w:bookmarkStart w:id="74" w:name="_Toc184314436"/>
      <w:bookmarkEnd w:id="74"/>
      <w:bookmarkStart w:id="75" w:name="_Toc184312110"/>
      <w:bookmarkEnd w:id="75"/>
      <w:bookmarkStart w:id="76" w:name="_Toc184312094"/>
      <w:bookmarkEnd w:id="76"/>
      <w:bookmarkStart w:id="77" w:name="_Toc184312087"/>
      <w:bookmarkEnd w:id="77"/>
      <w:bookmarkStart w:id="78" w:name="_Toc184314434"/>
      <w:bookmarkEnd w:id="78"/>
      <w:bookmarkStart w:id="79" w:name="_Toc184313290"/>
      <w:bookmarkEnd w:id="79"/>
      <w:bookmarkStart w:id="80" w:name="_Toc184310318"/>
      <w:bookmarkEnd w:id="80"/>
      <w:bookmarkStart w:id="81" w:name="_Toc184313250"/>
      <w:bookmarkEnd w:id="81"/>
      <w:bookmarkStart w:id="82" w:name="_Toc184308084"/>
      <w:bookmarkEnd w:id="82"/>
      <w:bookmarkStart w:id="83" w:name="_Toc184314412"/>
      <w:bookmarkEnd w:id="83"/>
      <w:bookmarkStart w:id="84" w:name="_Toc184312091"/>
      <w:bookmarkEnd w:id="84"/>
      <w:bookmarkStart w:id="85" w:name="_Toc184312096"/>
      <w:bookmarkEnd w:id="85"/>
      <w:bookmarkStart w:id="86" w:name="_Toc184312071"/>
      <w:bookmarkEnd w:id="86"/>
      <w:bookmarkStart w:id="87" w:name="_Toc184313309"/>
      <w:bookmarkEnd w:id="87"/>
      <w:bookmarkStart w:id="88" w:name="_Toc184312107"/>
      <w:bookmarkEnd w:id="88"/>
      <w:bookmarkStart w:id="89" w:name="_Toc184310314"/>
      <w:bookmarkEnd w:id="89"/>
      <w:bookmarkStart w:id="90" w:name="_Toc184313248"/>
      <w:bookmarkEnd w:id="90"/>
      <w:bookmarkStart w:id="91" w:name="_Toc184310301"/>
      <w:bookmarkEnd w:id="91"/>
      <w:bookmarkStart w:id="92" w:name="_Toc184314430"/>
      <w:bookmarkEnd w:id="92"/>
      <w:bookmarkStart w:id="93" w:name="_Toc184314457"/>
      <w:bookmarkEnd w:id="93"/>
      <w:bookmarkStart w:id="94" w:name="_Toc184310332"/>
      <w:bookmarkEnd w:id="94"/>
      <w:bookmarkStart w:id="95" w:name="_Toc184313306"/>
      <w:bookmarkEnd w:id="95"/>
      <w:bookmarkStart w:id="96" w:name="_Toc184308041"/>
      <w:bookmarkEnd w:id="96"/>
      <w:bookmarkStart w:id="97" w:name="_Toc184308058"/>
      <w:bookmarkEnd w:id="97"/>
      <w:bookmarkStart w:id="98" w:name="_Toc184310296"/>
      <w:bookmarkEnd w:id="98"/>
      <w:bookmarkStart w:id="99" w:name="_Toc184314455"/>
      <w:bookmarkEnd w:id="99"/>
      <w:bookmarkStart w:id="100" w:name="_Toc184308087"/>
      <w:bookmarkEnd w:id="100"/>
      <w:bookmarkStart w:id="101" w:name="_Toc184314474"/>
      <w:bookmarkEnd w:id="101"/>
      <w:bookmarkStart w:id="102" w:name="_Toc184310315"/>
      <w:bookmarkEnd w:id="102"/>
      <w:bookmarkStart w:id="103" w:name="_Toc184313281"/>
      <w:bookmarkEnd w:id="103"/>
      <w:bookmarkStart w:id="104" w:name="_Toc184312111"/>
      <w:bookmarkEnd w:id="104"/>
      <w:bookmarkStart w:id="105" w:name="_Toc184312138"/>
      <w:bookmarkEnd w:id="105"/>
      <w:bookmarkStart w:id="106" w:name="_Toc184314441"/>
      <w:bookmarkEnd w:id="106"/>
      <w:bookmarkStart w:id="107" w:name="_Toc184313267"/>
      <w:bookmarkEnd w:id="107"/>
      <w:bookmarkStart w:id="108" w:name="_Toc184313270"/>
      <w:bookmarkEnd w:id="108"/>
      <w:bookmarkStart w:id="109" w:name="_Toc184314444"/>
      <w:bookmarkEnd w:id="109"/>
      <w:bookmarkStart w:id="110" w:name="_Toc184313276"/>
      <w:bookmarkEnd w:id="110"/>
      <w:bookmarkStart w:id="111" w:name="_Toc184313271"/>
      <w:bookmarkEnd w:id="111"/>
      <w:bookmarkStart w:id="112" w:name="_Toc184314456"/>
      <w:bookmarkEnd w:id="112"/>
      <w:bookmarkStart w:id="113" w:name="_Toc184310340"/>
      <w:bookmarkEnd w:id="113"/>
      <w:bookmarkStart w:id="114" w:name="_Toc184313292"/>
      <w:bookmarkEnd w:id="114"/>
      <w:bookmarkStart w:id="115" w:name="_Toc184312083"/>
      <w:bookmarkEnd w:id="115"/>
      <w:bookmarkStart w:id="116" w:name="_Toc184310307"/>
      <w:bookmarkEnd w:id="116"/>
      <w:bookmarkStart w:id="117" w:name="_Toc184308052"/>
      <w:bookmarkEnd w:id="117"/>
      <w:bookmarkStart w:id="118" w:name="_Toc184313242"/>
      <w:bookmarkEnd w:id="118"/>
      <w:bookmarkStart w:id="119" w:name="_Toc184312069"/>
      <w:bookmarkEnd w:id="119"/>
      <w:bookmarkStart w:id="120" w:name="_Toc184308091"/>
      <w:bookmarkEnd w:id="120"/>
      <w:bookmarkStart w:id="121" w:name="_Toc184312125"/>
      <w:bookmarkEnd w:id="121"/>
      <w:bookmarkStart w:id="122" w:name="_Toc184314468"/>
      <w:bookmarkEnd w:id="122"/>
      <w:bookmarkStart w:id="123" w:name="_Toc184310306"/>
      <w:bookmarkEnd w:id="123"/>
      <w:bookmarkStart w:id="124" w:name="_Toc184312134"/>
      <w:bookmarkEnd w:id="124"/>
      <w:bookmarkStart w:id="125" w:name="_Toc184314472"/>
      <w:bookmarkEnd w:id="125"/>
      <w:bookmarkStart w:id="126" w:name="_Toc184312136"/>
      <w:bookmarkEnd w:id="126"/>
      <w:bookmarkStart w:id="127" w:name="_Toc184312126"/>
      <w:bookmarkEnd w:id="127"/>
      <w:bookmarkStart w:id="128" w:name="_Toc184313304"/>
      <w:bookmarkEnd w:id="128"/>
      <w:bookmarkStart w:id="129" w:name="_Toc184314463"/>
      <w:bookmarkEnd w:id="129"/>
      <w:bookmarkStart w:id="130" w:name="_Toc184313287"/>
      <w:bookmarkEnd w:id="130"/>
      <w:bookmarkStart w:id="131" w:name="_Toc184312123"/>
      <w:bookmarkEnd w:id="131"/>
      <w:bookmarkStart w:id="132" w:name="_Toc184310280"/>
      <w:bookmarkEnd w:id="132"/>
      <w:bookmarkStart w:id="133" w:name="_Toc184308064"/>
      <w:bookmarkEnd w:id="133"/>
      <w:bookmarkStart w:id="134" w:name="_Toc184308098"/>
      <w:bookmarkEnd w:id="134"/>
      <w:bookmarkStart w:id="135" w:name="_Toc184314418"/>
      <w:bookmarkEnd w:id="135"/>
      <w:bookmarkStart w:id="136" w:name="_Toc184312131"/>
      <w:bookmarkEnd w:id="136"/>
      <w:bookmarkStart w:id="137" w:name="_Toc184312073"/>
      <w:bookmarkEnd w:id="137"/>
      <w:bookmarkStart w:id="138" w:name="_Toc184314410"/>
      <w:bookmarkEnd w:id="138"/>
      <w:bookmarkStart w:id="139" w:name="_Toc184314461"/>
      <w:bookmarkEnd w:id="139"/>
      <w:bookmarkStart w:id="140" w:name="_Toc184312075"/>
      <w:bookmarkEnd w:id="140"/>
      <w:bookmarkStart w:id="141" w:name="_Toc184314429"/>
      <w:bookmarkEnd w:id="141"/>
      <w:bookmarkStart w:id="142" w:name="_Toc184312112"/>
      <w:bookmarkEnd w:id="142"/>
      <w:bookmarkStart w:id="143" w:name="_Toc184314443"/>
      <w:bookmarkEnd w:id="143"/>
      <w:bookmarkStart w:id="144" w:name="_Toc184314477"/>
      <w:bookmarkEnd w:id="144"/>
      <w:bookmarkStart w:id="145" w:name="_Toc184312108"/>
      <w:bookmarkEnd w:id="145"/>
      <w:bookmarkStart w:id="146" w:name="_Toc184314414"/>
      <w:bookmarkEnd w:id="146"/>
      <w:bookmarkStart w:id="147" w:name="_Toc184310278"/>
      <w:bookmarkEnd w:id="147"/>
      <w:bookmarkStart w:id="148" w:name="_Toc184313263"/>
      <w:bookmarkEnd w:id="148"/>
      <w:bookmarkStart w:id="149" w:name="_Toc184314479"/>
      <w:bookmarkEnd w:id="149"/>
      <w:bookmarkStart w:id="150" w:name="_Toc184314433"/>
      <w:bookmarkEnd w:id="150"/>
      <w:bookmarkStart w:id="151" w:name="_Toc184313303"/>
      <w:bookmarkEnd w:id="151"/>
      <w:bookmarkStart w:id="152" w:name="_Toc184308074"/>
      <w:bookmarkEnd w:id="152"/>
      <w:bookmarkStart w:id="153" w:name="_Toc184310284"/>
      <w:bookmarkEnd w:id="153"/>
      <w:bookmarkStart w:id="154" w:name="_Toc184308042"/>
      <w:bookmarkEnd w:id="154"/>
      <w:bookmarkStart w:id="155" w:name="_Toc184312135"/>
      <w:bookmarkEnd w:id="155"/>
      <w:bookmarkStart w:id="156" w:name="_Toc184313257"/>
      <w:bookmarkEnd w:id="156"/>
      <w:bookmarkStart w:id="157" w:name="_Toc184313275"/>
      <w:bookmarkEnd w:id="157"/>
      <w:bookmarkStart w:id="158" w:name="_Toc184314438"/>
      <w:bookmarkEnd w:id="158"/>
      <w:bookmarkStart w:id="159" w:name="_Toc184314442"/>
      <w:bookmarkEnd w:id="159"/>
      <w:bookmarkStart w:id="160" w:name="_Toc184312129"/>
      <w:bookmarkEnd w:id="160"/>
      <w:bookmarkStart w:id="161" w:name="_Toc184310320"/>
      <w:bookmarkEnd w:id="161"/>
      <w:bookmarkStart w:id="162" w:name="_Toc184312100"/>
      <w:bookmarkEnd w:id="162"/>
      <w:bookmarkStart w:id="163" w:name="_Toc184308044"/>
      <w:bookmarkEnd w:id="163"/>
      <w:bookmarkStart w:id="164" w:name="_Toc184314432"/>
      <w:bookmarkEnd w:id="164"/>
      <w:bookmarkStart w:id="165" w:name="_Toc184313277"/>
      <w:bookmarkEnd w:id="165"/>
      <w:bookmarkStart w:id="166" w:name="_Toc184314464"/>
      <w:bookmarkEnd w:id="166"/>
      <w:bookmarkStart w:id="167" w:name="_Toc184313305"/>
      <w:bookmarkEnd w:id="167"/>
      <w:bookmarkStart w:id="168" w:name="_Toc184310288"/>
      <w:bookmarkEnd w:id="168"/>
      <w:bookmarkStart w:id="169" w:name="_Toc184313302"/>
      <w:bookmarkEnd w:id="169"/>
      <w:bookmarkStart w:id="170" w:name="_Toc184312124"/>
      <w:bookmarkEnd w:id="170"/>
      <w:bookmarkStart w:id="171" w:name="_Toc184308078"/>
      <w:bookmarkEnd w:id="171"/>
      <w:bookmarkStart w:id="172" w:name="_Toc184314411"/>
      <w:bookmarkEnd w:id="172"/>
      <w:bookmarkStart w:id="173" w:name="_Toc184310286"/>
      <w:bookmarkEnd w:id="173"/>
      <w:bookmarkStart w:id="174" w:name="_Toc184308040"/>
      <w:bookmarkEnd w:id="174"/>
      <w:bookmarkStart w:id="175" w:name="_Toc184313286"/>
      <w:bookmarkEnd w:id="175"/>
      <w:bookmarkStart w:id="176" w:name="_Toc184312097"/>
      <w:bookmarkEnd w:id="176"/>
      <w:bookmarkStart w:id="177" w:name="_Toc184312098"/>
      <w:bookmarkEnd w:id="177"/>
      <w:bookmarkStart w:id="178" w:name="_Toc184313238"/>
      <w:bookmarkEnd w:id="178"/>
      <w:bookmarkStart w:id="179" w:name="_Toc184310341"/>
      <w:bookmarkEnd w:id="179"/>
      <w:bookmarkStart w:id="180" w:name="_Toc184314416"/>
      <w:bookmarkEnd w:id="180"/>
      <w:bookmarkStart w:id="181" w:name="_Toc184310323"/>
      <w:bookmarkEnd w:id="181"/>
      <w:bookmarkStart w:id="182" w:name="_Toc184308083"/>
      <w:bookmarkEnd w:id="182"/>
      <w:bookmarkStart w:id="183" w:name="_Toc184308086"/>
      <w:bookmarkEnd w:id="183"/>
      <w:bookmarkStart w:id="184" w:name="_Toc184308048"/>
      <w:bookmarkEnd w:id="184"/>
      <w:bookmarkStart w:id="185" w:name="_Toc184312120"/>
      <w:bookmarkEnd w:id="185"/>
      <w:bookmarkStart w:id="186" w:name="_Toc184308085"/>
      <w:bookmarkEnd w:id="186"/>
      <w:bookmarkStart w:id="187" w:name="_Toc184314478"/>
      <w:bookmarkEnd w:id="187"/>
      <w:bookmarkStart w:id="188" w:name="_Toc184310297"/>
      <w:bookmarkEnd w:id="188"/>
      <w:bookmarkStart w:id="189" w:name="_Toc184308100"/>
      <w:bookmarkEnd w:id="189"/>
      <w:bookmarkStart w:id="190" w:name="_Toc184310279"/>
      <w:bookmarkEnd w:id="190"/>
      <w:bookmarkStart w:id="191" w:name="_Toc184308063"/>
      <w:bookmarkEnd w:id="191"/>
      <w:bookmarkStart w:id="192" w:name="_Toc184314471"/>
      <w:bookmarkEnd w:id="192"/>
      <w:bookmarkStart w:id="193" w:name="_Toc184308043"/>
      <w:bookmarkEnd w:id="193"/>
      <w:bookmarkStart w:id="194" w:name="_Toc184308075"/>
      <w:bookmarkEnd w:id="194"/>
      <w:bookmarkStart w:id="195" w:name="_Toc184310293"/>
      <w:bookmarkEnd w:id="195"/>
      <w:bookmarkStart w:id="196" w:name="_Toc184314454"/>
      <w:bookmarkEnd w:id="196"/>
      <w:bookmarkStart w:id="197" w:name="_Toc184310331"/>
      <w:bookmarkEnd w:id="197"/>
      <w:bookmarkStart w:id="198" w:name="_Toc184314440"/>
      <w:bookmarkEnd w:id="198"/>
      <w:bookmarkStart w:id="199" w:name="_Toc184312115"/>
      <w:bookmarkEnd w:id="199"/>
      <w:bookmarkStart w:id="200" w:name="_Toc184310334"/>
      <w:bookmarkEnd w:id="200"/>
      <w:bookmarkStart w:id="201" w:name="_Toc184313256"/>
      <w:bookmarkEnd w:id="201"/>
      <w:bookmarkStart w:id="202" w:name="_Toc184312085"/>
      <w:bookmarkEnd w:id="202"/>
      <w:bookmarkStart w:id="203" w:name="_Toc184312068"/>
      <w:bookmarkEnd w:id="203"/>
      <w:bookmarkStart w:id="204" w:name="_Toc184310291"/>
      <w:bookmarkEnd w:id="204"/>
      <w:bookmarkStart w:id="205" w:name="_Toc184308036"/>
      <w:bookmarkEnd w:id="205"/>
      <w:bookmarkStart w:id="206" w:name="_Toc184308107"/>
      <w:bookmarkEnd w:id="206"/>
      <w:bookmarkStart w:id="207" w:name="_Toc184308099"/>
      <w:bookmarkEnd w:id="207"/>
      <w:bookmarkStart w:id="208" w:name="_Toc184314458"/>
      <w:bookmarkEnd w:id="208"/>
      <w:bookmarkStart w:id="209" w:name="_Toc184313261"/>
      <w:bookmarkEnd w:id="209"/>
      <w:bookmarkStart w:id="210" w:name="_Toc184314462"/>
      <w:bookmarkEnd w:id="210"/>
      <w:bookmarkStart w:id="211" w:name="_Toc184308104"/>
      <w:bookmarkEnd w:id="211"/>
      <w:bookmarkStart w:id="212" w:name="_Toc184313255"/>
      <w:bookmarkEnd w:id="212"/>
      <w:bookmarkStart w:id="213" w:name="_Toc184314420"/>
      <w:bookmarkEnd w:id="213"/>
      <w:bookmarkStart w:id="214" w:name="_Toc184312104"/>
      <w:bookmarkEnd w:id="214"/>
      <w:bookmarkStart w:id="215" w:name="_Toc184312081"/>
      <w:bookmarkEnd w:id="215"/>
      <w:bookmarkStart w:id="216" w:name="_Toc184313284"/>
      <w:bookmarkEnd w:id="216"/>
      <w:bookmarkStart w:id="217" w:name="_Toc184313239"/>
      <w:bookmarkEnd w:id="217"/>
      <w:bookmarkStart w:id="218" w:name="_Toc184312079"/>
      <w:bookmarkEnd w:id="218"/>
      <w:bookmarkStart w:id="219" w:name="_Toc184313283"/>
      <w:bookmarkEnd w:id="219"/>
      <w:bookmarkStart w:id="220" w:name="_Toc184312072"/>
      <w:bookmarkEnd w:id="220"/>
      <w:bookmarkStart w:id="221" w:name="_Toc184312093"/>
      <w:bookmarkEnd w:id="221"/>
      <w:bookmarkStart w:id="222" w:name="_Toc184308050"/>
      <w:bookmarkEnd w:id="222"/>
      <w:bookmarkStart w:id="223" w:name="_Toc184312070"/>
      <w:bookmarkEnd w:id="223"/>
      <w:bookmarkStart w:id="224" w:name="_Toc184308051"/>
      <w:bookmarkEnd w:id="224"/>
      <w:bookmarkStart w:id="225" w:name="_Toc184313262"/>
      <w:bookmarkEnd w:id="225"/>
      <w:bookmarkStart w:id="226" w:name="_Toc184312130"/>
      <w:bookmarkEnd w:id="226"/>
      <w:bookmarkStart w:id="227" w:name="_Toc184308070"/>
      <w:bookmarkEnd w:id="227"/>
      <w:bookmarkStart w:id="228" w:name="_Toc184308101"/>
      <w:bookmarkEnd w:id="228"/>
      <w:bookmarkStart w:id="229" w:name="_Toc184308066"/>
      <w:bookmarkEnd w:id="229"/>
      <w:bookmarkStart w:id="230" w:name="_Toc184310339"/>
      <w:bookmarkEnd w:id="230"/>
      <w:bookmarkStart w:id="231" w:name="_Toc184313294"/>
      <w:bookmarkEnd w:id="231"/>
      <w:bookmarkStart w:id="232" w:name="_Toc184312090"/>
      <w:bookmarkEnd w:id="232"/>
      <w:bookmarkStart w:id="233" w:name="_Toc184310322"/>
      <w:bookmarkEnd w:id="233"/>
      <w:bookmarkStart w:id="234" w:name="_Toc184314428"/>
      <w:bookmarkEnd w:id="234"/>
      <w:bookmarkStart w:id="235" w:name="_Toc184310281"/>
      <w:bookmarkEnd w:id="235"/>
      <w:bookmarkStart w:id="236" w:name="_Toc184310335"/>
      <w:bookmarkEnd w:id="236"/>
      <w:bookmarkStart w:id="237" w:name="_Toc184313241"/>
      <w:bookmarkEnd w:id="237"/>
      <w:bookmarkStart w:id="238" w:name="_Toc184310276"/>
      <w:bookmarkEnd w:id="238"/>
      <w:bookmarkStart w:id="239" w:name="_Toc184312086"/>
      <w:bookmarkEnd w:id="239"/>
      <w:bookmarkStart w:id="240" w:name="_Toc184308088"/>
      <w:bookmarkEnd w:id="240"/>
      <w:bookmarkStart w:id="241" w:name="_Toc184310328"/>
      <w:bookmarkEnd w:id="241"/>
      <w:bookmarkStart w:id="242" w:name="_Toc184313297"/>
      <w:bookmarkEnd w:id="242"/>
      <w:bookmarkStart w:id="243" w:name="_Toc184310290"/>
      <w:bookmarkEnd w:id="243"/>
      <w:bookmarkStart w:id="244" w:name="_Toc184312109"/>
      <w:bookmarkEnd w:id="244"/>
      <w:bookmarkStart w:id="245" w:name="_Toc184314425"/>
      <w:bookmarkEnd w:id="245"/>
      <w:bookmarkStart w:id="246" w:name="_Toc184308067"/>
      <w:bookmarkEnd w:id="246"/>
      <w:bookmarkStart w:id="247" w:name="_Toc184314446"/>
      <w:bookmarkEnd w:id="247"/>
      <w:bookmarkStart w:id="248" w:name="_Toc184313300"/>
      <w:bookmarkEnd w:id="248"/>
      <w:bookmarkStart w:id="249" w:name="_Toc184308062"/>
      <w:bookmarkEnd w:id="249"/>
      <w:bookmarkStart w:id="250" w:name="_Toc184313288"/>
      <w:bookmarkEnd w:id="250"/>
      <w:bookmarkStart w:id="251" w:name="_Toc184314450"/>
      <w:bookmarkEnd w:id="251"/>
      <w:bookmarkStart w:id="252" w:name="_Toc184313254"/>
      <w:bookmarkEnd w:id="252"/>
      <w:bookmarkStart w:id="253" w:name="_Toc184310308"/>
      <w:bookmarkEnd w:id="253"/>
      <w:bookmarkStart w:id="254" w:name="_Toc184308106"/>
      <w:bookmarkEnd w:id="254"/>
      <w:bookmarkStart w:id="255" w:name="_Toc184312102"/>
      <w:bookmarkEnd w:id="255"/>
      <w:bookmarkStart w:id="256" w:name="_Toc184308046"/>
      <w:bookmarkEnd w:id="256"/>
      <w:bookmarkStart w:id="257" w:name="_Toc184310330"/>
      <w:bookmarkEnd w:id="257"/>
      <w:bookmarkStart w:id="258" w:name="_Toc184314423"/>
      <w:bookmarkEnd w:id="258"/>
      <w:bookmarkStart w:id="259" w:name="_Toc184308096"/>
      <w:bookmarkEnd w:id="259"/>
      <w:bookmarkStart w:id="260" w:name="_Toc184310302"/>
      <w:bookmarkEnd w:id="260"/>
      <w:bookmarkStart w:id="261" w:name="_Toc184314445"/>
      <w:bookmarkEnd w:id="261"/>
      <w:bookmarkStart w:id="262" w:name="_Toc184310292"/>
      <w:bookmarkEnd w:id="262"/>
      <w:bookmarkStart w:id="263" w:name="_Toc184310303"/>
      <w:bookmarkEnd w:id="263"/>
      <w:bookmarkStart w:id="264" w:name="_Toc184310324"/>
      <w:bookmarkEnd w:id="264"/>
      <w:bookmarkStart w:id="265" w:name="_Toc184308061"/>
      <w:bookmarkEnd w:id="265"/>
      <w:bookmarkStart w:id="266" w:name="_Toc184308094"/>
      <w:bookmarkEnd w:id="266"/>
      <w:bookmarkStart w:id="267" w:name="_Toc184314435"/>
      <w:bookmarkEnd w:id="267"/>
      <w:bookmarkStart w:id="268" w:name="_Toc184314447"/>
      <w:bookmarkEnd w:id="268"/>
      <w:bookmarkStart w:id="269" w:name="_Toc184310312"/>
      <w:bookmarkEnd w:id="269"/>
      <w:bookmarkStart w:id="270" w:name="_Toc184312114"/>
      <w:bookmarkEnd w:id="270"/>
      <w:bookmarkStart w:id="271" w:name="_Toc184308049"/>
      <w:bookmarkEnd w:id="271"/>
      <w:bookmarkStart w:id="272" w:name="_Toc184314415"/>
      <w:bookmarkEnd w:id="272"/>
      <w:bookmarkStart w:id="273" w:name="_Toc184313268"/>
      <w:bookmarkEnd w:id="273"/>
      <w:bookmarkStart w:id="274" w:name="_Toc184313280"/>
      <w:bookmarkEnd w:id="274"/>
      <w:bookmarkStart w:id="275" w:name="_Toc184308057"/>
      <w:bookmarkEnd w:id="275"/>
      <w:bookmarkStart w:id="276" w:name="_Toc184314459"/>
      <w:bookmarkEnd w:id="276"/>
      <w:bookmarkStart w:id="277" w:name="_Toc184314453"/>
      <w:bookmarkEnd w:id="277"/>
      <w:bookmarkStart w:id="278" w:name="_Toc184310299"/>
      <w:bookmarkEnd w:id="278"/>
      <w:bookmarkStart w:id="279" w:name="_Toc184313278"/>
      <w:bookmarkEnd w:id="279"/>
      <w:bookmarkStart w:id="280" w:name="_Toc184310294"/>
      <w:bookmarkEnd w:id="280"/>
      <w:bookmarkStart w:id="281" w:name="_Toc184308037"/>
      <w:bookmarkEnd w:id="281"/>
      <w:bookmarkStart w:id="282" w:name="_Toc184312076"/>
      <w:bookmarkEnd w:id="282"/>
      <w:bookmarkStart w:id="283" w:name="_Toc184313296"/>
      <w:bookmarkEnd w:id="283"/>
      <w:bookmarkStart w:id="284" w:name="_Toc184312074"/>
      <w:bookmarkEnd w:id="284"/>
      <w:bookmarkStart w:id="285" w:name="_Toc184313273"/>
      <w:bookmarkEnd w:id="285"/>
      <w:bookmarkStart w:id="286" w:name="_Toc184312078"/>
      <w:bookmarkEnd w:id="286"/>
      <w:bookmarkStart w:id="287" w:name="_Toc184312122"/>
      <w:bookmarkEnd w:id="287"/>
      <w:bookmarkStart w:id="288" w:name="_Toc184308081"/>
      <w:bookmarkEnd w:id="288"/>
      <w:bookmarkStart w:id="289" w:name="_Toc184314452"/>
      <w:bookmarkEnd w:id="289"/>
      <w:bookmarkStart w:id="290" w:name="_Toc184308054"/>
      <w:bookmarkEnd w:id="290"/>
      <w:bookmarkStart w:id="291" w:name="_Toc184314466"/>
      <w:bookmarkEnd w:id="291"/>
      <w:bookmarkStart w:id="292" w:name="_Toc184312080"/>
      <w:bookmarkEnd w:id="292"/>
      <w:bookmarkStart w:id="293" w:name="_Toc184313249"/>
      <w:bookmarkEnd w:id="293"/>
      <w:bookmarkStart w:id="294" w:name="_Toc184310309"/>
      <w:bookmarkEnd w:id="294"/>
      <w:bookmarkStart w:id="295" w:name="_Toc184313245"/>
      <w:bookmarkEnd w:id="295"/>
      <w:bookmarkStart w:id="296" w:name="_Toc184308053"/>
      <w:bookmarkEnd w:id="296"/>
      <w:bookmarkStart w:id="297" w:name="_Toc184308056"/>
      <w:bookmarkEnd w:id="297"/>
      <w:bookmarkStart w:id="298" w:name="_Toc184313285"/>
      <w:bookmarkEnd w:id="298"/>
      <w:bookmarkStart w:id="299" w:name="_Toc184314460"/>
      <w:bookmarkEnd w:id="299"/>
      <w:bookmarkStart w:id="300" w:name="_Toc184310329"/>
      <w:bookmarkEnd w:id="300"/>
      <w:bookmarkStart w:id="301" w:name="_Toc184310310"/>
      <w:bookmarkEnd w:id="301"/>
      <w:bookmarkStart w:id="302" w:name="_Toc184314448"/>
      <w:bookmarkEnd w:id="302"/>
      <w:bookmarkStart w:id="303" w:name="_Toc184308073"/>
      <w:bookmarkEnd w:id="303"/>
      <w:bookmarkStart w:id="304" w:name="_Toc184313299"/>
      <w:bookmarkEnd w:id="304"/>
      <w:bookmarkStart w:id="305" w:name="_Toc184312099"/>
      <w:bookmarkEnd w:id="305"/>
      <w:bookmarkStart w:id="306" w:name="_Toc184312128"/>
      <w:bookmarkEnd w:id="306"/>
      <w:bookmarkStart w:id="307" w:name="_Toc184313282"/>
      <w:bookmarkEnd w:id="307"/>
      <w:bookmarkStart w:id="308" w:name="_Toc184310283"/>
      <w:bookmarkEnd w:id="308"/>
      <w:bookmarkStart w:id="309" w:name="_Toc184312088"/>
      <w:bookmarkEnd w:id="309"/>
      <w:bookmarkStart w:id="310" w:name="_Toc184312133"/>
      <w:bookmarkEnd w:id="310"/>
      <w:bookmarkStart w:id="311" w:name="_Toc184313279"/>
      <w:bookmarkEnd w:id="311"/>
      <w:bookmarkStart w:id="312" w:name="_Toc184312105"/>
      <w:bookmarkEnd w:id="312"/>
      <w:bookmarkStart w:id="313" w:name="_Toc184308079"/>
      <w:bookmarkEnd w:id="313"/>
      <w:bookmarkStart w:id="314" w:name="_Toc184313293"/>
      <w:bookmarkEnd w:id="314"/>
      <w:bookmarkStart w:id="315" w:name="_Toc184314427"/>
      <w:bookmarkEnd w:id="315"/>
      <w:bookmarkStart w:id="316" w:name="_Toc184310277"/>
      <w:bookmarkEnd w:id="316"/>
      <w:bookmarkStart w:id="317" w:name="_Toc184310275"/>
      <w:bookmarkEnd w:id="317"/>
      <w:bookmarkStart w:id="318" w:name="_Toc184308077"/>
      <w:bookmarkEnd w:id="318"/>
      <w:bookmarkStart w:id="319" w:name="_Toc184308089"/>
      <w:bookmarkEnd w:id="319"/>
      <w:bookmarkStart w:id="320" w:name="_Toc184314449"/>
      <w:bookmarkEnd w:id="320"/>
      <w:bookmarkStart w:id="321" w:name="_Toc184308069"/>
      <w:bookmarkEnd w:id="321"/>
      <w:bookmarkStart w:id="322" w:name="_Toc184310272"/>
      <w:bookmarkEnd w:id="322"/>
      <w:bookmarkStart w:id="323" w:name="_Toc184314467"/>
      <w:bookmarkEnd w:id="323"/>
      <w:bookmarkStart w:id="324" w:name="_Toc184314426"/>
      <w:bookmarkEnd w:id="324"/>
      <w:bookmarkStart w:id="325" w:name="_Toc184313307"/>
      <w:bookmarkEnd w:id="325"/>
      <w:bookmarkStart w:id="326" w:name="_Toc184313291"/>
      <w:bookmarkEnd w:id="326"/>
      <w:bookmarkStart w:id="327" w:name="_Toc184312092"/>
      <w:bookmarkEnd w:id="327"/>
      <w:bookmarkStart w:id="328" w:name="_Toc184314469"/>
      <w:bookmarkEnd w:id="328"/>
      <w:bookmarkStart w:id="329" w:name="_Toc184310311"/>
      <w:bookmarkEnd w:id="329"/>
      <w:bookmarkStart w:id="330" w:name="_Toc184312089"/>
      <w:bookmarkEnd w:id="330"/>
      <w:bookmarkStart w:id="331" w:name="_Toc184308103"/>
      <w:bookmarkEnd w:id="331"/>
      <w:bookmarkStart w:id="332" w:name="_Toc184310316"/>
      <w:bookmarkEnd w:id="332"/>
      <w:bookmarkStart w:id="333" w:name="_Toc184314465"/>
      <w:bookmarkEnd w:id="333"/>
      <w:bookmarkStart w:id="334" w:name="_Toc184314431"/>
      <w:bookmarkEnd w:id="334"/>
      <w:bookmarkStart w:id="335" w:name="_Toc184313295"/>
      <w:bookmarkEnd w:id="335"/>
      <w:bookmarkStart w:id="336" w:name="_Toc184312101"/>
      <w:bookmarkEnd w:id="336"/>
      <w:bookmarkStart w:id="337" w:name="_Toc184310273"/>
      <w:bookmarkEnd w:id="337"/>
      <w:bookmarkStart w:id="338" w:name="_Toc184308102"/>
      <w:bookmarkEnd w:id="338"/>
      <w:bookmarkStart w:id="339" w:name="_Toc184312119"/>
      <w:bookmarkEnd w:id="339"/>
      <w:bookmarkStart w:id="340" w:name="_Toc184310300"/>
      <w:bookmarkEnd w:id="340"/>
      <w:bookmarkStart w:id="341" w:name="_Toc184308038"/>
      <w:bookmarkEnd w:id="341"/>
      <w:bookmarkStart w:id="342" w:name="_Toc184314419"/>
      <w:bookmarkEnd w:id="342"/>
      <w:bookmarkStart w:id="343" w:name="_Toc184312121"/>
      <w:bookmarkEnd w:id="343"/>
      <w:bookmarkStart w:id="344" w:name="_Toc184312106"/>
      <w:bookmarkEnd w:id="344"/>
      <w:bookmarkStart w:id="345" w:name="_Toc184310313"/>
      <w:bookmarkEnd w:id="345"/>
      <w:bookmarkStart w:id="346" w:name="_Toc184312139"/>
      <w:bookmarkEnd w:id="346"/>
      <w:bookmarkStart w:id="347" w:name="_Toc184310289"/>
      <w:bookmarkEnd w:id="347"/>
      <w:bookmarkStart w:id="348" w:name="_Toc184312082"/>
      <w:bookmarkEnd w:id="348"/>
      <w:bookmarkStart w:id="349" w:name="_Toc184313243"/>
      <w:bookmarkEnd w:id="349"/>
      <w:bookmarkStart w:id="350" w:name="_Toc184310282"/>
      <w:bookmarkEnd w:id="350"/>
      <w:bookmarkStart w:id="351" w:name="_Toc184314437"/>
      <w:bookmarkEnd w:id="351"/>
      <w:bookmarkStart w:id="352" w:name="_Toc184312116"/>
      <w:bookmarkEnd w:id="352"/>
      <w:bookmarkStart w:id="353" w:name="_Toc184308105"/>
      <w:bookmarkEnd w:id="353"/>
      <w:bookmarkStart w:id="354" w:name="_Toc184313252"/>
      <w:bookmarkEnd w:id="354"/>
      <w:bookmarkStart w:id="355" w:name="_Toc184308047"/>
      <w:bookmarkEnd w:id="355"/>
      <w:bookmarkStart w:id="356" w:name="_Toc184310285"/>
      <w:bookmarkEnd w:id="356"/>
      <w:bookmarkStart w:id="357" w:name="_Toc184314473"/>
      <w:bookmarkEnd w:id="357"/>
      <w:bookmarkStart w:id="358" w:name="_Toc184313272"/>
      <w:bookmarkEnd w:id="358"/>
      <w:bookmarkStart w:id="359" w:name="_Toc184310343"/>
      <w:bookmarkEnd w:id="359"/>
      <w:bookmarkStart w:id="360" w:name="_Toc184314422"/>
      <w:bookmarkEnd w:id="360"/>
      <w:bookmarkStart w:id="361" w:name="_Toc184314475"/>
      <w:bookmarkEnd w:id="361"/>
      <w:bookmarkStart w:id="362" w:name="_Toc184312095"/>
      <w:bookmarkEnd w:id="362"/>
      <w:bookmarkStart w:id="363" w:name="_Toc184308060"/>
      <w:bookmarkEnd w:id="363"/>
      <w:bookmarkStart w:id="364" w:name="_Toc184310295"/>
      <w:bookmarkEnd w:id="364"/>
      <w:bookmarkStart w:id="365" w:name="_Toc184312077"/>
      <w:bookmarkEnd w:id="365"/>
      <w:bookmarkStart w:id="366" w:name="_Toc184310336"/>
      <w:bookmarkEnd w:id="366"/>
      <w:bookmarkStart w:id="367" w:name="_Toc184314439"/>
      <w:bookmarkEnd w:id="367"/>
      <w:bookmarkStart w:id="368" w:name="_Toc184313260"/>
      <w:bookmarkEnd w:id="368"/>
      <w:bookmarkStart w:id="369" w:name="_Toc184308055"/>
      <w:bookmarkEnd w:id="369"/>
      <w:bookmarkStart w:id="370" w:name="_Toc184310321"/>
      <w:bookmarkEnd w:id="370"/>
      <w:bookmarkStart w:id="371" w:name="_Toc184314482"/>
      <w:bookmarkEnd w:id="371"/>
      <w:bookmarkStart w:id="372" w:name="_Toc184314413"/>
      <w:bookmarkEnd w:id="372"/>
      <w:bookmarkStart w:id="373" w:name="_Toc184313265"/>
      <w:bookmarkEnd w:id="373"/>
      <w:bookmarkStart w:id="374" w:name="_Toc184312103"/>
      <w:bookmarkEnd w:id="374"/>
      <w:bookmarkStart w:id="375" w:name="_Toc184310342"/>
      <w:bookmarkEnd w:id="375"/>
      <w:bookmarkStart w:id="376" w:name="_Toc184313246"/>
      <w:bookmarkEnd w:id="376"/>
      <w:bookmarkStart w:id="377" w:name="_Toc184308082"/>
      <w:bookmarkEnd w:id="377"/>
      <w:bookmarkStart w:id="378" w:name="_Toc184308097"/>
      <w:bookmarkEnd w:id="378"/>
      <w:bookmarkStart w:id="379" w:name="_Toc184310344"/>
      <w:bookmarkEnd w:id="379"/>
      <w:bookmarkStart w:id="380" w:name="_Toc184312118"/>
      <w:bookmarkEnd w:id="380"/>
      <w:bookmarkStart w:id="381" w:name="_Toc184310337"/>
      <w:bookmarkEnd w:id="381"/>
      <w:bookmarkStart w:id="382" w:name="_Toc184308065"/>
      <w:bookmarkEnd w:id="382"/>
      <w:bookmarkStart w:id="383" w:name="_Toc184313259"/>
      <w:bookmarkEnd w:id="383"/>
      <w:bookmarkStart w:id="384" w:name="_Toc184314480"/>
      <w:bookmarkEnd w:id="384"/>
      <w:bookmarkStart w:id="385" w:name="_Toc184308072"/>
      <w:bookmarkEnd w:id="385"/>
      <w:bookmarkStart w:id="386" w:name="_Toc184310298"/>
      <w:bookmarkEnd w:id="386"/>
      <w:bookmarkStart w:id="387" w:name="_Toc184313244"/>
      <w:bookmarkEnd w:id="387"/>
      <w:bookmarkStart w:id="388" w:name="_Toc184310274"/>
      <w:bookmarkEnd w:id="388"/>
      <w:bookmarkStart w:id="389" w:name="_Toc184313251"/>
      <w:bookmarkEnd w:id="389"/>
      <w:bookmarkStart w:id="390" w:name="_Toc184308095"/>
      <w:bookmarkEnd w:id="390"/>
      <w:bookmarkStart w:id="391" w:name="_Toc184310305"/>
      <w:bookmarkEnd w:id="391"/>
      <w:bookmarkStart w:id="392" w:name="_Toc184310333"/>
      <w:bookmarkEnd w:id="392"/>
      <w:r>
        <w:rPr>
          <w:rFonts w:hint="eastAsia" w:ascii="仿宋" w:hAnsi="仿宋" w:eastAsia="仿宋" w:cs="仿宋"/>
          <w:b/>
          <w:color w:val="auto"/>
          <w:sz w:val="36"/>
          <w:szCs w:val="36"/>
          <w:highlight w:val="none"/>
        </w:rPr>
        <w:t>评审办法</w:t>
      </w:r>
    </w:p>
    <w:p w14:paraId="0F2214B2">
      <w:pPr>
        <w:pageBreakBefore w:val="0"/>
        <w:shd w:val="clear" w:color="auto" w:fill="auto"/>
        <w:kinsoku/>
        <w:wordWrap/>
        <w:overflowPunct/>
        <w:topLinePunct w:val="0"/>
        <w:bidi w:val="0"/>
        <w:snapToGrid w:val="0"/>
        <w:spacing w:line="360" w:lineRule="auto"/>
        <w:ind w:left="0" w:leftChars="0"/>
        <w:jc w:val="center"/>
        <w:textAlignment w:val="auto"/>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评审办法前附表</w:t>
      </w:r>
    </w:p>
    <w:tbl>
      <w:tblPr>
        <w:tblStyle w:val="63"/>
        <w:tblW w:w="9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7"/>
      </w:tblGrid>
      <w:tr w14:paraId="2ECF3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5" w:hRule="atLeast"/>
          <w:jc w:val="center"/>
        </w:trPr>
        <w:tc>
          <w:tcPr>
            <w:tcW w:w="9267" w:type="dxa"/>
            <w:noWrap w:val="0"/>
            <w:vAlign w:val="center"/>
          </w:tcPr>
          <w:p w14:paraId="7150EF2A">
            <w:pPr>
              <w:pageBreakBefore w:val="0"/>
              <w:shd w:val="clear" w:color="auto" w:fill="auto"/>
              <w:kinsoku/>
              <w:wordWrap/>
              <w:overflowPunct/>
              <w:topLinePunct w:val="0"/>
              <w:autoSpaceDE w:val="0"/>
              <w:autoSpaceDN w:val="0"/>
              <w:bidi w:val="0"/>
              <w:spacing w:line="360" w:lineRule="auto"/>
              <w:ind w:left="0" w:lef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本项目采用综合评分法</w:t>
            </w:r>
            <w:r>
              <w:rPr>
                <w:rFonts w:hint="eastAsia" w:ascii="仿宋" w:hAnsi="仿宋" w:eastAsia="仿宋" w:cs="仿宋"/>
                <w:color w:val="auto"/>
                <w:sz w:val="24"/>
                <w:highlight w:val="none"/>
              </w:rPr>
              <w:t>：</w:t>
            </w:r>
          </w:p>
          <w:p w14:paraId="463EFF2B">
            <w:pPr>
              <w:pageBreakBefore w:val="0"/>
              <w:shd w:val="clear" w:color="auto" w:fill="auto"/>
              <w:kinsoku/>
              <w:wordWrap/>
              <w:overflowPunct/>
              <w:topLinePunct w:val="0"/>
              <w:autoSpaceDE w:val="0"/>
              <w:autoSpaceDN w:val="0"/>
              <w:bidi w:val="0"/>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将对各响应人的交易报价、响应人提供的资信与商务部分、技术部分等方面进行综合评审，评标委员会各成员应当独立对每个有效响应人的响应文件进行评价、打分。经统计，得出各响应人的最终评审分,按最终评审分由高到低顺序排列。得分相同的，按交易报价由低到高顺序排列，</w:t>
            </w:r>
            <w:r>
              <w:rPr>
                <w:rFonts w:hint="eastAsia" w:ascii="仿宋" w:hAnsi="仿宋" w:eastAsia="仿宋" w:cs="仿宋"/>
                <w:color w:val="auto"/>
                <w:sz w:val="24"/>
                <w:szCs w:val="21"/>
                <w:highlight w:val="none"/>
              </w:rPr>
              <w:t>得分且交易报价相同的并列</w:t>
            </w:r>
            <w:r>
              <w:rPr>
                <w:rFonts w:hint="eastAsia" w:ascii="仿宋" w:hAnsi="仿宋" w:eastAsia="仿宋" w:cs="仿宋"/>
                <w:color w:val="auto"/>
                <w:sz w:val="24"/>
                <w:highlight w:val="none"/>
              </w:rPr>
              <w:t xml:space="preserve">，并形成评标意见。 </w:t>
            </w:r>
          </w:p>
          <w:p w14:paraId="68EEB220">
            <w:pPr>
              <w:pageBreakBefore w:val="0"/>
              <w:shd w:val="clear" w:color="auto" w:fill="auto"/>
              <w:kinsoku/>
              <w:wordWrap/>
              <w:overflowPunct/>
              <w:topLinePunct w:val="0"/>
              <w:bidi w:val="0"/>
              <w:spacing w:line="360" w:lineRule="auto"/>
              <w:ind w:left="0" w:leftChars="0" w:firstLine="427" w:firstLineChars="17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各响应人的综合得分为：交易价格得分+</w:t>
            </w:r>
            <w:r>
              <w:rPr>
                <w:rFonts w:hint="eastAsia" w:ascii="仿宋" w:hAnsi="仿宋" w:eastAsia="仿宋" w:cs="仿宋"/>
                <w:bCs/>
                <w:color w:val="auto"/>
                <w:sz w:val="24"/>
                <w:highlight w:val="none"/>
              </w:rPr>
              <w:t>技术部分</w:t>
            </w:r>
            <w:r>
              <w:rPr>
                <w:rFonts w:hint="eastAsia" w:ascii="仿宋" w:hAnsi="仿宋" w:eastAsia="仿宋" w:cs="仿宋"/>
                <w:color w:val="auto"/>
                <w:sz w:val="24"/>
                <w:highlight w:val="none"/>
              </w:rPr>
              <w:t>得分+资信与商务部分得分之和，总和为</w:t>
            </w:r>
            <w:r>
              <w:rPr>
                <w:rFonts w:hint="eastAsia" w:ascii="仿宋" w:hAnsi="仿宋" w:eastAsia="仿宋" w:cs="仿宋"/>
                <w:color w:val="auto"/>
                <w:sz w:val="24"/>
                <w:highlight w:val="none"/>
                <w:u w:val="single"/>
              </w:rPr>
              <w:t>100</w:t>
            </w:r>
            <w:r>
              <w:rPr>
                <w:rFonts w:hint="eastAsia" w:ascii="仿宋" w:hAnsi="仿宋" w:eastAsia="仿宋" w:cs="仿宋"/>
                <w:color w:val="auto"/>
                <w:sz w:val="24"/>
                <w:highlight w:val="none"/>
              </w:rPr>
              <w:t>分</w:t>
            </w:r>
          </w:p>
          <w:p w14:paraId="3947B483">
            <w:pPr>
              <w:pageBreakBefore w:val="0"/>
              <w:shd w:val="clear" w:color="auto" w:fill="auto"/>
              <w:kinsoku/>
              <w:wordWrap/>
              <w:overflowPunct/>
              <w:topLinePunct w:val="0"/>
              <w:autoSpaceDE w:val="0"/>
              <w:autoSpaceDN w:val="0"/>
              <w:bidi w:val="0"/>
              <w:spacing w:line="360" w:lineRule="auto"/>
              <w:ind w:left="0" w:leftChars="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各响应人的技术和服务方案、响应人资信与商务部分得分为：评标委员会各成员评分的算术平均值。各响应人的交易价格得分按交易价格评分公式由代理机构计算，评标委员会审核。</w:t>
            </w:r>
            <w:r>
              <w:rPr>
                <w:rFonts w:hint="eastAsia" w:ascii="仿宋" w:hAnsi="仿宋" w:eastAsia="仿宋" w:cs="仿宋"/>
                <w:color w:val="auto"/>
                <w:sz w:val="24"/>
                <w:highlight w:val="none"/>
              </w:rPr>
              <w:t>根据上述评标原则，分值安排如下：</w:t>
            </w:r>
          </w:p>
        </w:tc>
      </w:tr>
    </w:tbl>
    <w:p w14:paraId="2C5CDECA">
      <w:pPr>
        <w:pageBreakBefore w:val="0"/>
        <w:widowControl/>
        <w:shd w:val="clear" w:color="auto" w:fill="auto"/>
        <w:kinsoku/>
        <w:wordWrap/>
        <w:overflowPunct/>
        <w:topLinePunct w:val="0"/>
        <w:bidi w:val="0"/>
        <w:spacing w:line="360" w:lineRule="auto"/>
        <w:ind w:left="0" w:leftChars="0" w:firstLine="482" w:firstLineChars="200"/>
        <w:textAlignment w:val="auto"/>
        <w:rPr>
          <w:rFonts w:hint="eastAsia" w:ascii="仿宋" w:hAnsi="仿宋" w:eastAsia="仿宋" w:cs="仿宋"/>
          <w:b/>
          <w:bCs/>
          <w:color w:val="auto"/>
          <w:sz w:val="24"/>
          <w:highlight w:val="none"/>
        </w:rPr>
      </w:pPr>
    </w:p>
    <w:tbl>
      <w:tblPr>
        <w:tblStyle w:val="64"/>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752"/>
        <w:gridCol w:w="904"/>
        <w:gridCol w:w="5235"/>
        <w:gridCol w:w="765"/>
        <w:gridCol w:w="977"/>
      </w:tblGrid>
      <w:tr w14:paraId="7B451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Pr>
          <w:p w14:paraId="12B9CD77">
            <w:pPr>
              <w:spacing w:line="360" w:lineRule="auto"/>
              <w:jc w:val="center"/>
              <w:rPr>
                <w:rFonts w:hint="eastAsia" w:ascii="仿宋" w:hAnsi="仿宋" w:eastAsia="仿宋" w:cs="仿宋"/>
                <w:color w:val="000000" w:themeColor="text1"/>
                <w:kern w:val="0"/>
                <w:sz w:val="24"/>
                <w:szCs w:val="24"/>
                <w14:textFill>
                  <w14:solidFill>
                    <w14:schemeClr w14:val="tx1"/>
                  </w14:solidFill>
                </w14:textFill>
              </w:rPr>
            </w:pPr>
          </w:p>
        </w:tc>
        <w:tc>
          <w:tcPr>
            <w:tcW w:w="752" w:type="dxa"/>
            <w:vAlign w:val="center"/>
          </w:tcPr>
          <w:p w14:paraId="6EA2EC5A">
            <w:pPr>
              <w:spacing w:line="360" w:lineRule="auto"/>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序号</w:t>
            </w:r>
          </w:p>
        </w:tc>
        <w:tc>
          <w:tcPr>
            <w:tcW w:w="6139" w:type="dxa"/>
            <w:gridSpan w:val="2"/>
            <w:vAlign w:val="center"/>
          </w:tcPr>
          <w:p w14:paraId="5B2AC2DE">
            <w:pPr>
              <w:spacing w:line="360" w:lineRule="auto"/>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评分内容和标准</w:t>
            </w:r>
          </w:p>
        </w:tc>
        <w:tc>
          <w:tcPr>
            <w:tcW w:w="765" w:type="dxa"/>
            <w:vAlign w:val="center"/>
          </w:tcPr>
          <w:p w14:paraId="5B8255F0">
            <w:pPr>
              <w:spacing w:line="360" w:lineRule="auto"/>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权重</w:t>
            </w:r>
          </w:p>
        </w:tc>
        <w:tc>
          <w:tcPr>
            <w:tcW w:w="977" w:type="dxa"/>
            <w:vAlign w:val="center"/>
          </w:tcPr>
          <w:p w14:paraId="31021285">
            <w:pPr>
              <w:spacing w:line="360" w:lineRule="auto"/>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主客观分</w:t>
            </w:r>
          </w:p>
        </w:tc>
      </w:tr>
      <w:tr w14:paraId="252E9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restart"/>
            <w:vAlign w:val="center"/>
          </w:tcPr>
          <w:p w14:paraId="046F51CF">
            <w:pPr>
              <w:spacing w:line="360" w:lineRule="auto"/>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商务资信分</w:t>
            </w:r>
          </w:p>
        </w:tc>
        <w:tc>
          <w:tcPr>
            <w:tcW w:w="752" w:type="dxa"/>
            <w:vAlign w:val="center"/>
          </w:tcPr>
          <w:p w14:paraId="2B827C45">
            <w:pPr>
              <w:pStyle w:val="258"/>
              <w:ind w:firstLine="0" w:firstLineChars="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904" w:type="dxa"/>
            <w:vAlign w:val="center"/>
          </w:tcPr>
          <w:p w14:paraId="4322C680">
            <w:pPr>
              <w:spacing w:line="360" w:lineRule="auto"/>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类似业绩</w:t>
            </w:r>
          </w:p>
        </w:tc>
        <w:tc>
          <w:tcPr>
            <w:tcW w:w="5235" w:type="dxa"/>
          </w:tcPr>
          <w:p w14:paraId="59C77D26">
            <w:pPr>
              <w:spacing w:line="360" w:lineRule="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投标人提供自202</w:t>
            </w:r>
            <w:r>
              <w:rPr>
                <w:rFonts w:hint="eastAsia" w:ascii="仿宋" w:hAnsi="仿宋" w:eastAsia="仿宋" w:cs="仿宋"/>
                <w:color w:val="000000" w:themeColor="text1"/>
                <w:kern w:val="0"/>
                <w:sz w:val="24"/>
                <w:szCs w:val="24"/>
                <w:lang w:val="en-US" w:eastAsia="zh-CN"/>
                <w14:textFill>
                  <w14:solidFill>
                    <w14:schemeClr w14:val="tx1"/>
                  </w14:solidFill>
                </w14:textFill>
              </w:rPr>
              <w:t>2</w:t>
            </w:r>
            <w:r>
              <w:rPr>
                <w:rFonts w:hint="eastAsia" w:ascii="仿宋" w:hAnsi="仿宋" w:eastAsia="仿宋" w:cs="仿宋"/>
                <w:color w:val="000000" w:themeColor="text1"/>
                <w:kern w:val="0"/>
                <w:sz w:val="24"/>
                <w:szCs w:val="24"/>
                <w14:textFill>
                  <w14:solidFill>
                    <w14:schemeClr w14:val="tx1"/>
                  </w14:solidFill>
                </w14:textFill>
              </w:rPr>
              <w:t>年1月1日之后的类似项目业绩，每提供一个合同案例得1分，最多2分，以合同签订时间为准。（提供中标通知书和业绩合同扫描件加盖公章，缺一不得分）</w:t>
            </w:r>
          </w:p>
        </w:tc>
        <w:tc>
          <w:tcPr>
            <w:tcW w:w="765" w:type="dxa"/>
            <w:vAlign w:val="center"/>
          </w:tcPr>
          <w:p w14:paraId="13E2338A">
            <w:pPr>
              <w:spacing w:line="360" w:lineRule="auto"/>
              <w:ind w:left="194" w:hanging="194" w:hangingChars="81"/>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977" w:type="dxa"/>
            <w:vAlign w:val="center"/>
          </w:tcPr>
          <w:p w14:paraId="7D11A828">
            <w:pPr>
              <w:spacing w:line="360" w:lineRule="auto"/>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客观分</w:t>
            </w:r>
          </w:p>
        </w:tc>
      </w:tr>
      <w:tr w14:paraId="74C1A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vAlign w:val="center"/>
          </w:tcPr>
          <w:p w14:paraId="35C35778">
            <w:pPr>
              <w:spacing w:line="360" w:lineRule="auto"/>
              <w:jc w:val="center"/>
              <w:rPr>
                <w:rFonts w:hint="eastAsia" w:ascii="仿宋" w:hAnsi="仿宋" w:eastAsia="仿宋" w:cs="仿宋"/>
                <w:color w:val="000000" w:themeColor="text1"/>
                <w:kern w:val="0"/>
                <w:sz w:val="24"/>
                <w:szCs w:val="24"/>
                <w14:textFill>
                  <w14:solidFill>
                    <w14:schemeClr w14:val="tx1"/>
                  </w14:solidFill>
                </w14:textFill>
              </w:rPr>
            </w:pPr>
          </w:p>
        </w:tc>
        <w:tc>
          <w:tcPr>
            <w:tcW w:w="752" w:type="dxa"/>
            <w:vAlign w:val="center"/>
          </w:tcPr>
          <w:p w14:paraId="35D0EC6F">
            <w:pPr>
              <w:pStyle w:val="258"/>
              <w:ind w:firstLine="0" w:firstLineChars="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904" w:type="dxa"/>
            <w:vAlign w:val="center"/>
          </w:tcPr>
          <w:p w14:paraId="571C9024">
            <w:pPr>
              <w:spacing w:line="360" w:lineRule="auto"/>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培训证明</w:t>
            </w:r>
          </w:p>
        </w:tc>
        <w:tc>
          <w:tcPr>
            <w:tcW w:w="5235" w:type="dxa"/>
          </w:tcPr>
          <w:p w14:paraId="4EEA092B">
            <w:pPr>
              <w:spacing w:line="360" w:lineRule="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投标人接受过医院院感控制相关专业培训证明，得1分，提供相关佐证材料，未提供不得分。</w:t>
            </w:r>
          </w:p>
        </w:tc>
        <w:tc>
          <w:tcPr>
            <w:tcW w:w="765" w:type="dxa"/>
            <w:vAlign w:val="center"/>
          </w:tcPr>
          <w:p w14:paraId="44307DF2">
            <w:pPr>
              <w:spacing w:line="360" w:lineRule="auto"/>
              <w:ind w:left="194" w:hanging="194" w:hangingChars="81"/>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977" w:type="dxa"/>
            <w:vAlign w:val="center"/>
          </w:tcPr>
          <w:p w14:paraId="5C6F0C23">
            <w:pPr>
              <w:spacing w:line="360" w:lineRule="auto"/>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客观分</w:t>
            </w:r>
          </w:p>
        </w:tc>
      </w:tr>
      <w:tr w14:paraId="2443F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vAlign w:val="center"/>
          </w:tcPr>
          <w:p w14:paraId="791E2D57">
            <w:pPr>
              <w:spacing w:line="360" w:lineRule="auto"/>
              <w:jc w:val="center"/>
              <w:rPr>
                <w:rFonts w:hint="eastAsia" w:ascii="仿宋" w:hAnsi="仿宋" w:eastAsia="仿宋" w:cs="仿宋"/>
                <w:color w:val="000000" w:themeColor="text1"/>
                <w:kern w:val="0"/>
                <w:sz w:val="24"/>
                <w:szCs w:val="24"/>
                <w14:textFill>
                  <w14:solidFill>
                    <w14:schemeClr w14:val="tx1"/>
                  </w14:solidFill>
                </w14:textFill>
              </w:rPr>
            </w:pPr>
          </w:p>
        </w:tc>
        <w:tc>
          <w:tcPr>
            <w:tcW w:w="752" w:type="dxa"/>
            <w:vAlign w:val="center"/>
          </w:tcPr>
          <w:p w14:paraId="1471958C">
            <w:pPr>
              <w:pStyle w:val="258"/>
              <w:ind w:firstLine="0" w:firstLineChars="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904" w:type="dxa"/>
            <w:vAlign w:val="center"/>
          </w:tcPr>
          <w:p w14:paraId="4C33BAAE">
            <w:pPr>
              <w:spacing w:line="360" w:lineRule="auto"/>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管理体系认证</w:t>
            </w:r>
          </w:p>
        </w:tc>
        <w:tc>
          <w:tcPr>
            <w:tcW w:w="5235" w:type="dxa"/>
          </w:tcPr>
          <w:p w14:paraId="476A67DD">
            <w:pPr>
              <w:spacing w:line="360" w:lineRule="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投标人管理体系认证情况：具有质量管理体系认证证书、环境管理体系认证证书、职业健康安全管理体系认证证书且证书在有效期内的，每提供一个证书的，得1分，本项最高得3分。</w:t>
            </w:r>
          </w:p>
        </w:tc>
        <w:tc>
          <w:tcPr>
            <w:tcW w:w="765" w:type="dxa"/>
            <w:vAlign w:val="center"/>
          </w:tcPr>
          <w:p w14:paraId="6EA871A6">
            <w:pPr>
              <w:spacing w:line="360" w:lineRule="auto"/>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977" w:type="dxa"/>
            <w:vAlign w:val="center"/>
          </w:tcPr>
          <w:p w14:paraId="338E5D47">
            <w:pPr>
              <w:spacing w:line="360" w:lineRule="auto"/>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客观分</w:t>
            </w:r>
          </w:p>
        </w:tc>
      </w:tr>
      <w:tr w14:paraId="371F6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restart"/>
            <w:vAlign w:val="center"/>
          </w:tcPr>
          <w:p w14:paraId="55EA4938">
            <w:pPr>
              <w:spacing w:line="360" w:lineRule="auto"/>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技术服务分</w:t>
            </w:r>
          </w:p>
        </w:tc>
        <w:tc>
          <w:tcPr>
            <w:tcW w:w="752" w:type="dxa"/>
            <w:vAlign w:val="center"/>
          </w:tcPr>
          <w:p w14:paraId="16E249C9">
            <w:pPr>
              <w:pStyle w:val="258"/>
              <w:ind w:firstLine="0" w:firstLineChars="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904" w:type="dxa"/>
            <w:vAlign w:val="center"/>
          </w:tcPr>
          <w:p w14:paraId="4DA6E15E">
            <w:pPr>
              <w:spacing w:line="360" w:lineRule="auto"/>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全院织物</w:t>
            </w:r>
            <w:r>
              <w:rPr>
                <w:rFonts w:hint="eastAsia" w:ascii="仿宋" w:hAnsi="仿宋" w:eastAsia="仿宋" w:cs="仿宋"/>
                <w:bCs/>
                <w:color w:val="000000" w:themeColor="text1"/>
                <w:kern w:val="0"/>
                <w:sz w:val="24"/>
                <w:szCs w:val="24"/>
                <w14:textFill>
                  <w14:solidFill>
                    <w14:schemeClr w14:val="tx1"/>
                  </w14:solidFill>
                </w14:textFill>
              </w:rPr>
              <w:t>收发计划</w:t>
            </w:r>
          </w:p>
        </w:tc>
        <w:tc>
          <w:tcPr>
            <w:tcW w:w="5235" w:type="dxa"/>
          </w:tcPr>
          <w:p w14:paraId="0A478734">
            <w:pPr>
              <w:spacing w:line="360" w:lineRule="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全院织物现场收集及发放等服务计划安排。科学、合理、</w:t>
            </w:r>
            <w:r>
              <w:rPr>
                <w:rFonts w:hint="eastAsia" w:ascii="仿宋" w:hAnsi="仿宋" w:eastAsia="仿宋" w:cs="仿宋"/>
                <w:color w:val="000000"/>
                <w:kern w:val="0"/>
                <w:sz w:val="24"/>
                <w:szCs w:val="24"/>
              </w:rPr>
              <w:t>区分明确、</w:t>
            </w:r>
            <w:r>
              <w:rPr>
                <w:rFonts w:hint="eastAsia" w:ascii="仿宋" w:hAnsi="仿宋" w:eastAsia="仿宋" w:cs="仿宋"/>
                <w:color w:val="000000" w:themeColor="text1"/>
                <w:kern w:val="0"/>
                <w:sz w:val="24"/>
                <w:szCs w:val="24"/>
                <w14:textFill>
                  <w14:solidFill>
                    <w14:schemeClr w14:val="tx1"/>
                  </w14:solidFill>
                </w14:textFill>
              </w:rPr>
              <w:t>收集及发放</w:t>
            </w:r>
            <w:r>
              <w:rPr>
                <w:rFonts w:hint="eastAsia" w:ascii="仿宋" w:hAnsi="仿宋" w:eastAsia="仿宋" w:cs="仿宋"/>
                <w:color w:val="000000"/>
                <w:kern w:val="0"/>
                <w:sz w:val="24"/>
                <w:szCs w:val="24"/>
              </w:rPr>
              <w:t>均能保证不错乱得5分；区分较明确，</w:t>
            </w:r>
            <w:r>
              <w:rPr>
                <w:rFonts w:hint="eastAsia" w:ascii="仿宋" w:hAnsi="仿宋" w:eastAsia="仿宋" w:cs="仿宋"/>
                <w:color w:val="000000" w:themeColor="text1"/>
                <w:kern w:val="0"/>
                <w:sz w:val="24"/>
                <w:szCs w:val="24"/>
                <w14:textFill>
                  <w14:solidFill>
                    <w14:schemeClr w14:val="tx1"/>
                  </w14:solidFill>
                </w14:textFill>
              </w:rPr>
              <w:t>收集及发放</w:t>
            </w:r>
            <w:r>
              <w:rPr>
                <w:rFonts w:hint="eastAsia" w:ascii="仿宋" w:hAnsi="仿宋" w:eastAsia="仿宋" w:cs="仿宋"/>
                <w:color w:val="000000"/>
                <w:kern w:val="0"/>
                <w:sz w:val="24"/>
                <w:szCs w:val="24"/>
              </w:rPr>
              <w:t>均能不错乱得4分；区分一般，基本满足</w:t>
            </w:r>
            <w:r>
              <w:rPr>
                <w:rFonts w:hint="eastAsia" w:ascii="仿宋" w:hAnsi="仿宋" w:eastAsia="仿宋" w:cs="仿宋"/>
                <w:color w:val="000000" w:themeColor="text1"/>
                <w:kern w:val="0"/>
                <w:sz w:val="24"/>
                <w:szCs w:val="24"/>
                <w14:textFill>
                  <w14:solidFill>
                    <w14:schemeClr w14:val="tx1"/>
                  </w14:solidFill>
                </w14:textFill>
              </w:rPr>
              <w:t>收集及发放</w:t>
            </w:r>
            <w:r>
              <w:rPr>
                <w:rFonts w:hint="eastAsia" w:ascii="仿宋" w:hAnsi="仿宋" w:eastAsia="仿宋" w:cs="仿宋"/>
                <w:color w:val="000000"/>
                <w:kern w:val="0"/>
                <w:sz w:val="24"/>
                <w:szCs w:val="24"/>
              </w:rPr>
              <w:t>要求得3分；区分有瑕疵，</w:t>
            </w:r>
            <w:r>
              <w:rPr>
                <w:rFonts w:hint="eastAsia" w:ascii="仿宋" w:hAnsi="仿宋" w:eastAsia="仿宋" w:cs="仿宋"/>
                <w:color w:val="000000" w:themeColor="text1"/>
                <w:kern w:val="0"/>
                <w:sz w:val="24"/>
                <w:szCs w:val="24"/>
                <w14:textFill>
                  <w14:solidFill>
                    <w14:schemeClr w14:val="tx1"/>
                  </w14:solidFill>
                </w14:textFill>
              </w:rPr>
              <w:t>收集及发放</w:t>
            </w:r>
            <w:r>
              <w:rPr>
                <w:rFonts w:hint="eastAsia" w:ascii="仿宋" w:hAnsi="仿宋" w:eastAsia="仿宋" w:cs="仿宋"/>
                <w:color w:val="000000"/>
                <w:kern w:val="0"/>
                <w:sz w:val="24"/>
                <w:szCs w:val="24"/>
              </w:rPr>
              <w:t>略混乱得2分；区分混乱，分配欠规范得1分；不按标准区分，不满足要求或未提供说明不得分。</w:t>
            </w:r>
          </w:p>
        </w:tc>
        <w:tc>
          <w:tcPr>
            <w:tcW w:w="765" w:type="dxa"/>
            <w:vAlign w:val="center"/>
          </w:tcPr>
          <w:p w14:paraId="55AA1FDE">
            <w:pPr>
              <w:spacing w:line="360" w:lineRule="auto"/>
              <w:contextualSpacing/>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2"/>
                <w:sz w:val="24"/>
                <w:szCs w:val="24"/>
                <w14:textFill>
                  <w14:solidFill>
                    <w14:schemeClr w14:val="tx1"/>
                  </w14:solidFill>
                </w14:textFill>
              </w:rPr>
              <w:t>5</w:t>
            </w:r>
          </w:p>
        </w:tc>
        <w:tc>
          <w:tcPr>
            <w:tcW w:w="977" w:type="dxa"/>
            <w:vAlign w:val="center"/>
          </w:tcPr>
          <w:p w14:paraId="3899A8E0">
            <w:pPr>
              <w:spacing w:line="360" w:lineRule="auto"/>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主观分</w:t>
            </w:r>
          </w:p>
        </w:tc>
      </w:tr>
      <w:tr w14:paraId="0C4E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tcPr>
          <w:p w14:paraId="1F655ED5">
            <w:pPr>
              <w:spacing w:line="360" w:lineRule="auto"/>
              <w:rPr>
                <w:rFonts w:hint="eastAsia" w:ascii="仿宋" w:hAnsi="仿宋" w:eastAsia="仿宋" w:cs="仿宋"/>
                <w:color w:val="000000" w:themeColor="text1"/>
                <w:kern w:val="0"/>
                <w:sz w:val="24"/>
                <w:szCs w:val="24"/>
                <w14:textFill>
                  <w14:solidFill>
                    <w14:schemeClr w14:val="tx1"/>
                  </w14:solidFill>
                </w14:textFill>
              </w:rPr>
            </w:pPr>
          </w:p>
        </w:tc>
        <w:tc>
          <w:tcPr>
            <w:tcW w:w="752" w:type="dxa"/>
            <w:vAlign w:val="center"/>
          </w:tcPr>
          <w:p w14:paraId="27EC1641">
            <w:pPr>
              <w:pStyle w:val="258"/>
              <w:ind w:firstLine="0" w:firstLineChars="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w:t>
            </w:r>
          </w:p>
        </w:tc>
        <w:tc>
          <w:tcPr>
            <w:tcW w:w="904" w:type="dxa"/>
            <w:vAlign w:val="center"/>
          </w:tcPr>
          <w:p w14:paraId="5CE97581">
            <w:pPr>
              <w:spacing w:line="360" w:lineRule="auto"/>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运输、包装方案</w:t>
            </w:r>
          </w:p>
        </w:tc>
        <w:tc>
          <w:tcPr>
            <w:tcW w:w="5235" w:type="dxa"/>
            <w:vAlign w:val="center"/>
          </w:tcPr>
          <w:p w14:paraId="14FDDF42">
            <w:pPr>
              <w:spacing w:line="360" w:lineRule="auto"/>
              <w:contextualSpacing/>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根据投标人描述的运输、包装的规范性、</w:t>
            </w:r>
            <w:r>
              <w:rPr>
                <w:rFonts w:hint="eastAsia" w:ascii="仿宋" w:hAnsi="仿宋" w:eastAsia="仿宋" w:cs="仿宋"/>
                <w:color w:val="000000" w:themeColor="text1"/>
                <w:kern w:val="0"/>
                <w:sz w:val="24"/>
                <w:szCs w:val="24"/>
                <w14:textFill>
                  <w14:solidFill>
                    <w14:schemeClr w14:val="tx1"/>
                  </w14:solidFill>
                </w14:textFill>
              </w:rPr>
              <w:t>卫生保障以及防止污染</w:t>
            </w:r>
            <w:r>
              <w:rPr>
                <w:rFonts w:hint="eastAsia" w:ascii="仿宋" w:hAnsi="仿宋" w:eastAsia="仿宋" w:cs="仿宋"/>
                <w:bCs/>
                <w:color w:val="000000" w:themeColor="text1"/>
                <w:kern w:val="0"/>
                <w:sz w:val="24"/>
                <w:szCs w:val="24"/>
                <w14:textFill>
                  <w14:solidFill>
                    <w14:schemeClr w14:val="tx1"/>
                  </w14:solidFill>
                </w14:textFill>
              </w:rPr>
              <w:t>等保障措施情况进行综合评定。</w:t>
            </w:r>
            <w:r>
              <w:rPr>
                <w:rFonts w:hint="eastAsia" w:ascii="仿宋" w:hAnsi="仿宋" w:eastAsia="仿宋" w:cs="仿宋"/>
                <w:color w:val="000000" w:themeColor="text1"/>
                <w:kern w:val="0"/>
                <w:sz w:val="24"/>
                <w:szCs w:val="24"/>
                <w14:textFill>
                  <w14:solidFill>
                    <w14:schemeClr w14:val="tx1"/>
                  </w14:solidFill>
                </w14:textFill>
              </w:rPr>
              <w:t>保障措施安排可行、科学合理、完善的得5分；保障措施较可行、科学合理、较完善的得4分；基本能保障的得3分；存在瑕疵、不足的得2分；较差的得1分；无方案无措施的不得分。</w:t>
            </w:r>
          </w:p>
        </w:tc>
        <w:tc>
          <w:tcPr>
            <w:tcW w:w="765" w:type="dxa"/>
            <w:vAlign w:val="center"/>
          </w:tcPr>
          <w:p w14:paraId="3A91AACF">
            <w:pPr>
              <w:spacing w:line="360" w:lineRule="auto"/>
              <w:contextualSpacing/>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5</w:t>
            </w:r>
          </w:p>
        </w:tc>
        <w:tc>
          <w:tcPr>
            <w:tcW w:w="977" w:type="dxa"/>
            <w:vAlign w:val="center"/>
          </w:tcPr>
          <w:p w14:paraId="66358E80">
            <w:pPr>
              <w:spacing w:line="360" w:lineRule="auto"/>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主观分</w:t>
            </w:r>
          </w:p>
        </w:tc>
      </w:tr>
      <w:tr w14:paraId="6E00C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3" w:hRule="atLeast"/>
          <w:jc w:val="center"/>
        </w:trPr>
        <w:tc>
          <w:tcPr>
            <w:tcW w:w="708" w:type="dxa"/>
            <w:vMerge w:val="continue"/>
          </w:tcPr>
          <w:p w14:paraId="2D7B670B">
            <w:pPr>
              <w:spacing w:line="360" w:lineRule="auto"/>
              <w:rPr>
                <w:rFonts w:hint="eastAsia" w:ascii="仿宋" w:hAnsi="仿宋" w:eastAsia="仿宋" w:cs="仿宋"/>
                <w:color w:val="000000" w:themeColor="text1"/>
                <w:kern w:val="0"/>
                <w:sz w:val="24"/>
                <w:szCs w:val="24"/>
                <w14:textFill>
                  <w14:solidFill>
                    <w14:schemeClr w14:val="tx1"/>
                  </w14:solidFill>
                </w14:textFill>
              </w:rPr>
            </w:pPr>
          </w:p>
        </w:tc>
        <w:tc>
          <w:tcPr>
            <w:tcW w:w="752" w:type="dxa"/>
            <w:vAlign w:val="center"/>
          </w:tcPr>
          <w:p w14:paraId="1F63AA9C">
            <w:pPr>
              <w:pStyle w:val="258"/>
              <w:ind w:firstLine="0" w:firstLineChars="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p>
        </w:tc>
        <w:tc>
          <w:tcPr>
            <w:tcW w:w="904" w:type="dxa"/>
            <w:vAlign w:val="center"/>
          </w:tcPr>
          <w:p w14:paraId="5B756F1D">
            <w:pPr>
              <w:spacing w:line="360" w:lineRule="auto"/>
              <w:contextualSpacing/>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投标人洗涤场所</w:t>
            </w:r>
          </w:p>
        </w:tc>
        <w:tc>
          <w:tcPr>
            <w:tcW w:w="5235" w:type="dxa"/>
            <w:vAlign w:val="center"/>
          </w:tcPr>
          <w:p w14:paraId="0C4D6253">
            <w:pPr>
              <w:spacing w:line="360" w:lineRule="auto"/>
              <w:contextualSpacing/>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根据投标人提供的洗涤场所环境、厂房布置和布局、</w:t>
            </w:r>
            <w:r>
              <w:rPr>
                <w:rFonts w:hint="eastAsia" w:ascii="仿宋" w:hAnsi="仿宋" w:eastAsia="仿宋" w:cs="仿宋"/>
                <w:color w:val="000000" w:themeColor="text1"/>
                <w:kern w:val="0"/>
                <w:sz w:val="24"/>
                <w:szCs w:val="24"/>
                <w14:textFill>
                  <w14:solidFill>
                    <w14:schemeClr w14:val="tx1"/>
                  </w14:solidFill>
                </w14:textFill>
              </w:rPr>
              <w:t>分段式隔离布局（污衣分拣区、洗涤烘干区、后整理洁净区）</w:t>
            </w:r>
            <w:r>
              <w:rPr>
                <w:rFonts w:hint="eastAsia" w:ascii="仿宋" w:hAnsi="仿宋" w:eastAsia="仿宋" w:cs="仿宋"/>
                <w:bCs/>
                <w:color w:val="000000" w:themeColor="text1"/>
                <w:kern w:val="0"/>
                <w:sz w:val="24"/>
                <w:szCs w:val="24"/>
                <w14:textFill>
                  <w14:solidFill>
                    <w14:schemeClr w14:val="tx1"/>
                  </w14:solidFill>
                </w14:textFill>
              </w:rPr>
              <w:t>等证明材料</w:t>
            </w:r>
            <w:r>
              <w:rPr>
                <w:rFonts w:hint="eastAsia" w:ascii="仿宋" w:hAnsi="仿宋" w:eastAsia="仿宋" w:cs="仿宋"/>
                <w:color w:val="000000" w:themeColor="text1"/>
                <w:kern w:val="0"/>
                <w:sz w:val="24"/>
                <w:szCs w:val="24"/>
                <w14:textFill>
                  <w14:solidFill>
                    <w14:schemeClr w14:val="tx1"/>
                  </w14:solidFill>
                </w14:textFill>
              </w:rPr>
              <w:t>进行评审</w:t>
            </w:r>
            <w:r>
              <w:rPr>
                <w:rFonts w:hint="eastAsia" w:ascii="仿宋" w:hAnsi="仿宋" w:eastAsia="仿宋" w:cs="仿宋"/>
                <w:bCs/>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提供租赁合同（租赁时间要在本项目服务期内）或房产证复印件</w:t>
            </w:r>
            <w:r>
              <w:rPr>
                <w:rFonts w:hint="eastAsia" w:ascii="仿宋" w:hAnsi="仿宋" w:eastAsia="仿宋" w:cs="仿宋"/>
                <w:bCs/>
                <w:color w:val="000000" w:themeColor="text1"/>
                <w:kern w:val="0"/>
                <w:sz w:val="24"/>
                <w:szCs w:val="24"/>
                <w14:textFill>
                  <w14:solidFill>
                    <w14:schemeClr w14:val="tx1"/>
                  </w14:solidFill>
                </w14:textFill>
              </w:rPr>
              <w:t>，得2分；提供厂房布置和布局的平面图，得1分；提供的平面图中含</w:t>
            </w:r>
            <w:r>
              <w:rPr>
                <w:rFonts w:hint="eastAsia" w:ascii="仿宋" w:hAnsi="仿宋" w:eastAsia="仿宋" w:cs="仿宋"/>
                <w:color w:val="000000" w:themeColor="text1"/>
                <w:kern w:val="0"/>
                <w:sz w:val="24"/>
                <w:szCs w:val="24"/>
                <w14:textFill>
                  <w14:solidFill>
                    <w14:schemeClr w14:val="tx1"/>
                  </w14:solidFill>
                </w14:textFill>
              </w:rPr>
              <w:t>污衣分拣区、洗涤烘干区、后整理洁净区的，得1分。）</w:t>
            </w:r>
          </w:p>
        </w:tc>
        <w:tc>
          <w:tcPr>
            <w:tcW w:w="765" w:type="dxa"/>
            <w:vAlign w:val="center"/>
          </w:tcPr>
          <w:p w14:paraId="200555E3">
            <w:pPr>
              <w:spacing w:line="360" w:lineRule="auto"/>
              <w:contextualSpacing/>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4</w:t>
            </w:r>
          </w:p>
        </w:tc>
        <w:tc>
          <w:tcPr>
            <w:tcW w:w="977" w:type="dxa"/>
            <w:vAlign w:val="center"/>
          </w:tcPr>
          <w:p w14:paraId="54DC5C70">
            <w:pPr>
              <w:spacing w:line="360" w:lineRule="auto"/>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客观分</w:t>
            </w:r>
          </w:p>
        </w:tc>
      </w:tr>
      <w:tr w14:paraId="5CFB8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Pr>
          <w:p w14:paraId="2E7B1025">
            <w:pPr>
              <w:spacing w:line="360" w:lineRule="auto"/>
              <w:rPr>
                <w:rFonts w:hint="eastAsia" w:ascii="仿宋" w:hAnsi="仿宋" w:eastAsia="仿宋" w:cs="仿宋"/>
                <w:color w:val="000000" w:themeColor="text1"/>
                <w:kern w:val="0"/>
                <w:sz w:val="24"/>
                <w:szCs w:val="24"/>
                <w14:textFill>
                  <w14:solidFill>
                    <w14:schemeClr w14:val="tx1"/>
                  </w14:solidFill>
                </w14:textFill>
              </w:rPr>
            </w:pPr>
          </w:p>
        </w:tc>
        <w:tc>
          <w:tcPr>
            <w:tcW w:w="752" w:type="dxa"/>
            <w:vAlign w:val="center"/>
          </w:tcPr>
          <w:p w14:paraId="5B81FE39">
            <w:pPr>
              <w:pStyle w:val="258"/>
              <w:ind w:firstLine="0" w:firstLineChars="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w:t>
            </w:r>
          </w:p>
        </w:tc>
        <w:tc>
          <w:tcPr>
            <w:tcW w:w="904" w:type="dxa"/>
            <w:vAlign w:val="center"/>
          </w:tcPr>
          <w:p w14:paraId="4A2DC4EF">
            <w:pPr>
              <w:spacing w:line="360" w:lineRule="auto"/>
              <w:contextualSpacing/>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洗涤设备</w:t>
            </w:r>
          </w:p>
        </w:tc>
        <w:tc>
          <w:tcPr>
            <w:tcW w:w="5235" w:type="dxa"/>
            <w:vAlign w:val="center"/>
          </w:tcPr>
          <w:p w14:paraId="0995A54E">
            <w:pPr>
              <w:spacing w:line="360" w:lineRule="auto"/>
              <w:contextualSpacing/>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投标人提供洗涤方案中涉及设备的清单和主要性能情况，根据洗涤专业设备的合理、先进性情况进行综合评定。</w:t>
            </w:r>
            <w:r>
              <w:rPr>
                <w:rFonts w:hint="eastAsia" w:ascii="仿宋" w:hAnsi="仿宋" w:eastAsia="仿宋" w:cs="仿宋"/>
                <w:color w:val="000000"/>
                <w:kern w:val="0"/>
                <w:sz w:val="24"/>
                <w:szCs w:val="24"/>
              </w:rPr>
              <w:t>设备丰富先进，性能可靠稳定得5分；设备较丰富先进，性能较可靠得4分；设备一般，性能一般得3分；设备较少，性能偏低得2分；设备陈旧，简陋得1分；未提供说明不得分。</w:t>
            </w:r>
          </w:p>
        </w:tc>
        <w:tc>
          <w:tcPr>
            <w:tcW w:w="765" w:type="dxa"/>
            <w:vAlign w:val="center"/>
          </w:tcPr>
          <w:p w14:paraId="2BE4AE88">
            <w:pPr>
              <w:spacing w:line="360" w:lineRule="auto"/>
              <w:contextualSpacing/>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5</w:t>
            </w:r>
          </w:p>
        </w:tc>
        <w:tc>
          <w:tcPr>
            <w:tcW w:w="977" w:type="dxa"/>
            <w:vAlign w:val="center"/>
          </w:tcPr>
          <w:p w14:paraId="1760FCDC">
            <w:pPr>
              <w:spacing w:line="360" w:lineRule="auto"/>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主观分</w:t>
            </w:r>
          </w:p>
        </w:tc>
      </w:tr>
      <w:tr w14:paraId="6C198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tcPr>
          <w:p w14:paraId="26F048FF">
            <w:pPr>
              <w:spacing w:line="360" w:lineRule="auto"/>
              <w:rPr>
                <w:rFonts w:hint="eastAsia" w:ascii="仿宋" w:hAnsi="仿宋" w:eastAsia="仿宋" w:cs="仿宋"/>
                <w:color w:val="000000" w:themeColor="text1"/>
                <w:kern w:val="0"/>
                <w:sz w:val="24"/>
                <w:szCs w:val="24"/>
                <w14:textFill>
                  <w14:solidFill>
                    <w14:schemeClr w14:val="tx1"/>
                  </w14:solidFill>
                </w14:textFill>
              </w:rPr>
            </w:pPr>
          </w:p>
        </w:tc>
        <w:tc>
          <w:tcPr>
            <w:tcW w:w="752" w:type="dxa"/>
            <w:vAlign w:val="center"/>
          </w:tcPr>
          <w:p w14:paraId="31491163">
            <w:pPr>
              <w:pStyle w:val="258"/>
              <w:ind w:firstLine="0" w:firstLineChars="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w:t>
            </w:r>
          </w:p>
        </w:tc>
        <w:tc>
          <w:tcPr>
            <w:tcW w:w="904" w:type="dxa"/>
            <w:vAlign w:val="center"/>
          </w:tcPr>
          <w:p w14:paraId="40FF108A">
            <w:pPr>
              <w:spacing w:line="360" w:lineRule="auto"/>
              <w:contextualSpacing/>
              <w:jc w:val="center"/>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防止交叉感染的保障措施</w:t>
            </w:r>
          </w:p>
        </w:tc>
        <w:tc>
          <w:tcPr>
            <w:tcW w:w="5235" w:type="dxa"/>
            <w:vAlign w:val="center"/>
          </w:tcPr>
          <w:p w14:paraId="228D2613">
            <w:pPr>
              <w:pStyle w:val="19"/>
              <w:spacing w:line="360" w:lineRule="auto"/>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根据投标人针对防止交叉感染的保障措施的全面性、可行性等进行综合评定。</w:t>
            </w:r>
            <w:r>
              <w:rPr>
                <w:rFonts w:hint="eastAsia" w:ascii="仿宋" w:hAnsi="仿宋" w:eastAsia="仿宋" w:cs="仿宋"/>
                <w:color w:val="000000" w:themeColor="text1"/>
                <w:kern w:val="0"/>
                <w:sz w:val="24"/>
                <w:szCs w:val="24"/>
                <w14:textFill>
                  <w14:solidFill>
                    <w14:schemeClr w14:val="tx1"/>
                  </w14:solidFill>
                </w14:textFill>
              </w:rPr>
              <w:t>保障措施安排可行、科学合理、完善的得3分；保障措施基本可行、科学合理、较完善的得2分；保障措施存在缺陷的得1分；无方案无措施的不得分。</w:t>
            </w:r>
          </w:p>
        </w:tc>
        <w:tc>
          <w:tcPr>
            <w:tcW w:w="765" w:type="dxa"/>
            <w:vAlign w:val="center"/>
          </w:tcPr>
          <w:p w14:paraId="351D99F6">
            <w:pPr>
              <w:spacing w:line="360" w:lineRule="auto"/>
              <w:contextualSpacing/>
              <w:jc w:val="center"/>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3</w:t>
            </w:r>
          </w:p>
        </w:tc>
        <w:tc>
          <w:tcPr>
            <w:tcW w:w="977" w:type="dxa"/>
            <w:vAlign w:val="center"/>
          </w:tcPr>
          <w:p w14:paraId="0F0B2923">
            <w:pPr>
              <w:spacing w:line="360" w:lineRule="auto"/>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主观分</w:t>
            </w:r>
          </w:p>
        </w:tc>
      </w:tr>
      <w:tr w14:paraId="416AC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tcPr>
          <w:p w14:paraId="20BF7524">
            <w:pPr>
              <w:spacing w:line="360" w:lineRule="auto"/>
              <w:rPr>
                <w:rFonts w:hint="eastAsia" w:ascii="仿宋" w:hAnsi="仿宋" w:eastAsia="仿宋" w:cs="仿宋"/>
                <w:color w:val="000000" w:themeColor="text1"/>
                <w:kern w:val="0"/>
                <w:sz w:val="24"/>
                <w:szCs w:val="24"/>
                <w14:textFill>
                  <w14:solidFill>
                    <w14:schemeClr w14:val="tx1"/>
                  </w14:solidFill>
                </w14:textFill>
              </w:rPr>
            </w:pPr>
          </w:p>
        </w:tc>
        <w:tc>
          <w:tcPr>
            <w:tcW w:w="752" w:type="dxa"/>
            <w:vMerge w:val="restart"/>
            <w:vAlign w:val="center"/>
          </w:tcPr>
          <w:p w14:paraId="3C4E293E">
            <w:pPr>
              <w:pStyle w:val="258"/>
              <w:ind w:firstLine="0" w:firstLineChars="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w:t>
            </w:r>
          </w:p>
        </w:tc>
        <w:tc>
          <w:tcPr>
            <w:tcW w:w="904" w:type="dxa"/>
            <w:vMerge w:val="restart"/>
            <w:vAlign w:val="center"/>
          </w:tcPr>
          <w:p w14:paraId="26BB97F0">
            <w:pPr>
              <w:spacing w:line="360" w:lineRule="auto"/>
              <w:contextualSpacing/>
              <w:jc w:val="center"/>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洗涤工艺、工作流程</w:t>
            </w:r>
          </w:p>
        </w:tc>
        <w:tc>
          <w:tcPr>
            <w:tcW w:w="5235" w:type="dxa"/>
            <w:vAlign w:val="center"/>
          </w:tcPr>
          <w:p w14:paraId="1470E127">
            <w:pPr>
              <w:spacing w:line="360" w:lineRule="auto"/>
              <w:contextualSpacing/>
              <w:jc w:val="left"/>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根据投标人提供定的被服洗涤工艺先进性及技术水平保障措施综合评定。</w:t>
            </w:r>
            <w:r>
              <w:rPr>
                <w:rFonts w:hint="eastAsia" w:ascii="仿宋" w:hAnsi="仿宋" w:eastAsia="仿宋" w:cs="仿宋"/>
                <w:color w:val="000000" w:themeColor="text1"/>
                <w:kern w:val="0"/>
                <w:sz w:val="24"/>
                <w:szCs w:val="24"/>
                <w14:textFill>
                  <w14:solidFill>
                    <w14:schemeClr w14:val="tx1"/>
                  </w14:solidFill>
                </w14:textFill>
              </w:rPr>
              <w:t>保障措施安排可行、科学合理、完善的得3分；保障措施基本可行、科学合理、较完善的得2分；保障措施存在缺陷的得1分；无方案无措施的不得分。</w:t>
            </w:r>
          </w:p>
        </w:tc>
        <w:tc>
          <w:tcPr>
            <w:tcW w:w="765" w:type="dxa"/>
            <w:vAlign w:val="center"/>
          </w:tcPr>
          <w:p w14:paraId="589D9570">
            <w:pPr>
              <w:spacing w:line="360" w:lineRule="auto"/>
              <w:contextualSpacing/>
              <w:jc w:val="center"/>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3</w:t>
            </w:r>
          </w:p>
        </w:tc>
        <w:tc>
          <w:tcPr>
            <w:tcW w:w="977" w:type="dxa"/>
            <w:vAlign w:val="center"/>
          </w:tcPr>
          <w:p w14:paraId="09A875C0">
            <w:pPr>
              <w:spacing w:line="360" w:lineRule="auto"/>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主观分</w:t>
            </w:r>
          </w:p>
        </w:tc>
      </w:tr>
      <w:tr w14:paraId="4A32C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tcPr>
          <w:p w14:paraId="071CDFD2">
            <w:pPr>
              <w:spacing w:line="360" w:lineRule="auto"/>
              <w:rPr>
                <w:rFonts w:hint="eastAsia" w:ascii="仿宋" w:hAnsi="仿宋" w:eastAsia="仿宋" w:cs="仿宋"/>
                <w:color w:val="000000" w:themeColor="text1"/>
                <w:kern w:val="0"/>
                <w:sz w:val="24"/>
                <w:szCs w:val="24"/>
                <w14:textFill>
                  <w14:solidFill>
                    <w14:schemeClr w14:val="tx1"/>
                  </w14:solidFill>
                </w14:textFill>
              </w:rPr>
            </w:pPr>
          </w:p>
        </w:tc>
        <w:tc>
          <w:tcPr>
            <w:tcW w:w="752" w:type="dxa"/>
            <w:vMerge w:val="continue"/>
            <w:vAlign w:val="center"/>
          </w:tcPr>
          <w:p w14:paraId="537378CF">
            <w:pPr>
              <w:pStyle w:val="258"/>
              <w:ind w:firstLine="480"/>
              <w:jc w:val="center"/>
              <w:rPr>
                <w:rFonts w:hint="eastAsia" w:ascii="仿宋" w:hAnsi="仿宋" w:eastAsia="仿宋" w:cs="仿宋"/>
                <w:color w:val="000000" w:themeColor="text1"/>
                <w:kern w:val="0"/>
                <w:sz w:val="24"/>
                <w:szCs w:val="24"/>
                <w14:textFill>
                  <w14:solidFill>
                    <w14:schemeClr w14:val="tx1"/>
                  </w14:solidFill>
                </w14:textFill>
              </w:rPr>
            </w:pPr>
          </w:p>
        </w:tc>
        <w:tc>
          <w:tcPr>
            <w:tcW w:w="904" w:type="dxa"/>
            <w:vMerge w:val="continue"/>
            <w:vAlign w:val="center"/>
          </w:tcPr>
          <w:p w14:paraId="5389EE41">
            <w:pPr>
              <w:spacing w:line="360" w:lineRule="auto"/>
              <w:contextualSpacing/>
              <w:jc w:val="center"/>
              <w:rPr>
                <w:rFonts w:hint="eastAsia" w:ascii="仿宋" w:hAnsi="仿宋" w:eastAsia="仿宋" w:cs="仿宋"/>
                <w:bCs/>
                <w:color w:val="000000" w:themeColor="text1"/>
                <w:kern w:val="0"/>
                <w:sz w:val="24"/>
                <w:szCs w:val="24"/>
                <w14:textFill>
                  <w14:solidFill>
                    <w14:schemeClr w14:val="tx1"/>
                  </w14:solidFill>
                </w14:textFill>
              </w:rPr>
            </w:pPr>
          </w:p>
        </w:tc>
        <w:tc>
          <w:tcPr>
            <w:tcW w:w="5235" w:type="dxa"/>
            <w:vAlign w:val="center"/>
          </w:tcPr>
          <w:p w14:paraId="78397C27">
            <w:pPr>
              <w:spacing w:line="360" w:lineRule="auto"/>
              <w:contextualSpacing/>
              <w:jc w:val="left"/>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根据投标人具有健全的洗涤流水线以及自检体系，确保洗涤过程中的质量控制，提供洗涤质量保障措施综合评定。</w:t>
            </w:r>
            <w:r>
              <w:rPr>
                <w:rFonts w:hint="eastAsia" w:ascii="仿宋" w:hAnsi="仿宋" w:eastAsia="仿宋" w:cs="仿宋"/>
                <w:color w:val="000000" w:themeColor="text1"/>
                <w:kern w:val="0"/>
                <w:sz w:val="24"/>
                <w:szCs w:val="24"/>
                <w14:textFill>
                  <w14:solidFill>
                    <w14:schemeClr w14:val="tx1"/>
                  </w14:solidFill>
                </w14:textFill>
              </w:rPr>
              <w:t>保障措施安排可行、科学合理、完善的得4分；保障措施基本可行、科学合理、较完善的得2-3分；保障措施存在缺陷的得1分；无方案无措施的不得分。</w:t>
            </w:r>
          </w:p>
        </w:tc>
        <w:tc>
          <w:tcPr>
            <w:tcW w:w="765" w:type="dxa"/>
            <w:vAlign w:val="center"/>
          </w:tcPr>
          <w:p w14:paraId="4FA8EB33">
            <w:pPr>
              <w:spacing w:line="360" w:lineRule="auto"/>
              <w:contextualSpacing/>
              <w:jc w:val="center"/>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4</w:t>
            </w:r>
          </w:p>
        </w:tc>
        <w:tc>
          <w:tcPr>
            <w:tcW w:w="977" w:type="dxa"/>
            <w:vAlign w:val="center"/>
          </w:tcPr>
          <w:p w14:paraId="44B836F3">
            <w:pPr>
              <w:spacing w:line="360" w:lineRule="auto"/>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主观分</w:t>
            </w:r>
          </w:p>
        </w:tc>
      </w:tr>
      <w:tr w14:paraId="285ED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tcPr>
          <w:p w14:paraId="049FC3DB">
            <w:pPr>
              <w:spacing w:line="360" w:lineRule="auto"/>
              <w:rPr>
                <w:rFonts w:hint="eastAsia" w:ascii="仿宋" w:hAnsi="仿宋" w:eastAsia="仿宋" w:cs="仿宋"/>
                <w:color w:val="000000" w:themeColor="text1"/>
                <w:kern w:val="0"/>
                <w:sz w:val="24"/>
                <w:szCs w:val="24"/>
                <w14:textFill>
                  <w14:solidFill>
                    <w14:schemeClr w14:val="tx1"/>
                  </w14:solidFill>
                </w14:textFill>
              </w:rPr>
            </w:pPr>
          </w:p>
        </w:tc>
        <w:tc>
          <w:tcPr>
            <w:tcW w:w="752" w:type="dxa"/>
            <w:vAlign w:val="center"/>
          </w:tcPr>
          <w:p w14:paraId="61954844">
            <w:pPr>
              <w:pStyle w:val="258"/>
              <w:ind w:firstLine="0" w:firstLineChars="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w:t>
            </w:r>
          </w:p>
        </w:tc>
        <w:tc>
          <w:tcPr>
            <w:tcW w:w="904" w:type="dxa"/>
            <w:vAlign w:val="center"/>
          </w:tcPr>
          <w:p w14:paraId="3845EFB0">
            <w:pPr>
              <w:spacing w:line="360" w:lineRule="auto"/>
              <w:contextualSpacing/>
              <w:jc w:val="center"/>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洗涤材料选择情况</w:t>
            </w:r>
          </w:p>
        </w:tc>
        <w:tc>
          <w:tcPr>
            <w:tcW w:w="5235" w:type="dxa"/>
            <w:vAlign w:val="center"/>
          </w:tcPr>
          <w:p w14:paraId="3D2C5C06">
            <w:pPr>
              <w:spacing w:line="360" w:lineRule="auto"/>
              <w:contextualSpacing/>
              <w:jc w:val="left"/>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洗涤材料主要有:乳化剂、碱性助洗剂、全能洗剂、中和剂、氧漂剂等；所用产品具备产品合格证及机构检测合格报告，每提供一类洗涤剂的产品合格证及机构检测合格报告得1分，最高得5分。</w:t>
            </w:r>
          </w:p>
        </w:tc>
        <w:tc>
          <w:tcPr>
            <w:tcW w:w="765" w:type="dxa"/>
            <w:vAlign w:val="center"/>
          </w:tcPr>
          <w:p w14:paraId="42970178">
            <w:pPr>
              <w:spacing w:line="360" w:lineRule="auto"/>
              <w:contextualSpacing/>
              <w:jc w:val="center"/>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5</w:t>
            </w:r>
          </w:p>
        </w:tc>
        <w:tc>
          <w:tcPr>
            <w:tcW w:w="977" w:type="dxa"/>
            <w:vAlign w:val="center"/>
          </w:tcPr>
          <w:p w14:paraId="346E6493">
            <w:pPr>
              <w:spacing w:line="360" w:lineRule="auto"/>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客观分</w:t>
            </w:r>
          </w:p>
        </w:tc>
      </w:tr>
      <w:tr w14:paraId="03885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jc w:val="center"/>
        </w:trPr>
        <w:tc>
          <w:tcPr>
            <w:tcW w:w="708" w:type="dxa"/>
            <w:vMerge w:val="continue"/>
          </w:tcPr>
          <w:p w14:paraId="211722D4">
            <w:pPr>
              <w:spacing w:line="360" w:lineRule="auto"/>
              <w:rPr>
                <w:rFonts w:hint="eastAsia" w:ascii="仿宋" w:hAnsi="仿宋" w:eastAsia="仿宋" w:cs="仿宋"/>
                <w:color w:val="000000" w:themeColor="text1"/>
                <w:kern w:val="0"/>
                <w:sz w:val="24"/>
                <w:szCs w:val="24"/>
                <w14:textFill>
                  <w14:solidFill>
                    <w14:schemeClr w14:val="tx1"/>
                  </w14:solidFill>
                </w14:textFill>
              </w:rPr>
            </w:pPr>
          </w:p>
        </w:tc>
        <w:tc>
          <w:tcPr>
            <w:tcW w:w="752" w:type="dxa"/>
            <w:vAlign w:val="center"/>
          </w:tcPr>
          <w:p w14:paraId="3DF109D4">
            <w:pPr>
              <w:pStyle w:val="258"/>
              <w:ind w:firstLine="0" w:firstLineChars="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w:t>
            </w:r>
          </w:p>
        </w:tc>
        <w:tc>
          <w:tcPr>
            <w:tcW w:w="904" w:type="dxa"/>
            <w:vAlign w:val="center"/>
          </w:tcPr>
          <w:p w14:paraId="3DA155DB">
            <w:pPr>
              <w:spacing w:line="360" w:lineRule="auto"/>
              <w:contextualSpacing/>
              <w:jc w:val="center"/>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洗涤服务承诺</w:t>
            </w:r>
          </w:p>
        </w:tc>
        <w:tc>
          <w:tcPr>
            <w:tcW w:w="5235" w:type="dxa"/>
            <w:vAlign w:val="center"/>
          </w:tcPr>
          <w:p w14:paraId="6B6D8039">
            <w:pPr>
              <w:spacing w:line="360" w:lineRule="auto"/>
              <w:contextualSpacing/>
              <w:jc w:val="left"/>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衣服洗涤、收集运送工作、整烫平整、轻微磨损、补丁处修补完好、缺纽扣及时缝补服务标准等服务各项质量指标的标准和承诺等</w:t>
            </w:r>
            <w:r>
              <w:rPr>
                <w:rFonts w:hint="eastAsia" w:ascii="仿宋" w:hAnsi="仿宋" w:eastAsia="仿宋" w:cs="仿宋"/>
                <w:bCs/>
                <w:color w:val="000000" w:themeColor="text1"/>
                <w:kern w:val="0"/>
                <w:sz w:val="24"/>
                <w:szCs w:val="24"/>
                <w14:textFill>
                  <w14:solidFill>
                    <w14:schemeClr w14:val="tx1"/>
                  </w14:solidFill>
                </w14:textFill>
              </w:rPr>
              <w:t>进行综合评定。</w:t>
            </w:r>
            <w:r>
              <w:rPr>
                <w:rFonts w:hint="eastAsia" w:ascii="仿宋" w:hAnsi="仿宋" w:eastAsia="仿宋" w:cs="仿宋"/>
                <w:color w:val="000000"/>
                <w:kern w:val="0"/>
                <w:sz w:val="24"/>
                <w:szCs w:val="24"/>
              </w:rPr>
              <w:t>标准清晰，要求高得3分；标准和要求一般得2分；标准落后混乱，要求低得1分；未提供说明不得分。</w:t>
            </w:r>
          </w:p>
        </w:tc>
        <w:tc>
          <w:tcPr>
            <w:tcW w:w="765" w:type="dxa"/>
            <w:vAlign w:val="center"/>
          </w:tcPr>
          <w:p w14:paraId="2A38DF9F">
            <w:pPr>
              <w:spacing w:line="360" w:lineRule="auto"/>
              <w:contextualSpacing/>
              <w:jc w:val="center"/>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3</w:t>
            </w:r>
          </w:p>
        </w:tc>
        <w:tc>
          <w:tcPr>
            <w:tcW w:w="977" w:type="dxa"/>
            <w:vAlign w:val="center"/>
          </w:tcPr>
          <w:p w14:paraId="1D873D8A">
            <w:pPr>
              <w:spacing w:line="360" w:lineRule="auto"/>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主观分</w:t>
            </w:r>
          </w:p>
        </w:tc>
      </w:tr>
      <w:tr w14:paraId="1F577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tcPr>
          <w:p w14:paraId="2BAE6647">
            <w:pPr>
              <w:spacing w:line="360" w:lineRule="auto"/>
              <w:rPr>
                <w:rFonts w:hint="eastAsia" w:ascii="仿宋" w:hAnsi="仿宋" w:eastAsia="仿宋" w:cs="仿宋"/>
                <w:color w:val="000000" w:themeColor="text1"/>
                <w:kern w:val="0"/>
                <w:sz w:val="24"/>
                <w:szCs w:val="24"/>
                <w14:textFill>
                  <w14:solidFill>
                    <w14:schemeClr w14:val="tx1"/>
                  </w14:solidFill>
                </w14:textFill>
              </w:rPr>
            </w:pPr>
          </w:p>
        </w:tc>
        <w:tc>
          <w:tcPr>
            <w:tcW w:w="752" w:type="dxa"/>
            <w:vMerge w:val="restart"/>
            <w:vAlign w:val="center"/>
          </w:tcPr>
          <w:p w14:paraId="62E29CD0">
            <w:pPr>
              <w:pStyle w:val="258"/>
              <w:ind w:firstLine="0" w:firstLineChars="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12</w:t>
            </w:r>
          </w:p>
        </w:tc>
        <w:tc>
          <w:tcPr>
            <w:tcW w:w="904" w:type="dxa"/>
            <w:vMerge w:val="restart"/>
            <w:vAlign w:val="center"/>
          </w:tcPr>
          <w:p w14:paraId="093A8B0B">
            <w:pPr>
              <w:spacing w:line="360" w:lineRule="auto"/>
              <w:contextualSpacing/>
              <w:jc w:val="center"/>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人员配置</w:t>
            </w:r>
          </w:p>
        </w:tc>
        <w:tc>
          <w:tcPr>
            <w:tcW w:w="5235" w:type="dxa"/>
            <w:vAlign w:val="center"/>
          </w:tcPr>
          <w:p w14:paraId="1A6FE93A">
            <w:pPr>
              <w:spacing w:line="360" w:lineRule="auto"/>
              <w:contextualSpacing/>
              <w:jc w:val="left"/>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根据拟投入本项目负责人的工作经历等打分。</w:t>
            </w:r>
          </w:p>
          <w:p w14:paraId="09AE249F">
            <w:pPr>
              <w:spacing w:line="360" w:lineRule="auto"/>
              <w:contextualSpacing/>
              <w:jc w:val="left"/>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工作经验：具有1年及以上项目负责人工作经验的得1分，具有3年及以上项目工作经验的得2分，具有5年及以上项目工作经验的得3分，需提供该人员与投标单位签订的劳动合同或在投标单位及社保证明材料为准，不提供不得分</w:t>
            </w:r>
          </w:p>
        </w:tc>
        <w:tc>
          <w:tcPr>
            <w:tcW w:w="765" w:type="dxa"/>
            <w:vAlign w:val="center"/>
          </w:tcPr>
          <w:p w14:paraId="321C9109">
            <w:pPr>
              <w:spacing w:line="360" w:lineRule="auto"/>
              <w:contextualSpacing/>
              <w:jc w:val="center"/>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3</w:t>
            </w:r>
          </w:p>
        </w:tc>
        <w:tc>
          <w:tcPr>
            <w:tcW w:w="977" w:type="dxa"/>
            <w:vAlign w:val="center"/>
          </w:tcPr>
          <w:p w14:paraId="69D375E7">
            <w:pPr>
              <w:spacing w:line="360" w:lineRule="auto"/>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主观分</w:t>
            </w:r>
          </w:p>
        </w:tc>
      </w:tr>
      <w:tr w14:paraId="52391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tcPr>
          <w:p w14:paraId="13183B1B">
            <w:pPr>
              <w:spacing w:line="360" w:lineRule="auto"/>
              <w:rPr>
                <w:rFonts w:hint="eastAsia" w:ascii="仿宋" w:hAnsi="仿宋" w:eastAsia="仿宋" w:cs="仿宋"/>
                <w:color w:val="000000" w:themeColor="text1"/>
                <w:kern w:val="0"/>
                <w:sz w:val="24"/>
                <w:szCs w:val="24"/>
                <w14:textFill>
                  <w14:solidFill>
                    <w14:schemeClr w14:val="tx1"/>
                  </w14:solidFill>
                </w14:textFill>
              </w:rPr>
            </w:pPr>
          </w:p>
        </w:tc>
        <w:tc>
          <w:tcPr>
            <w:tcW w:w="752" w:type="dxa"/>
            <w:vMerge w:val="continue"/>
            <w:vAlign w:val="center"/>
          </w:tcPr>
          <w:p w14:paraId="67FD0DC4">
            <w:pPr>
              <w:pStyle w:val="258"/>
              <w:ind w:firstLine="480"/>
              <w:jc w:val="center"/>
              <w:rPr>
                <w:rFonts w:hint="eastAsia" w:ascii="仿宋" w:hAnsi="仿宋" w:eastAsia="仿宋" w:cs="仿宋"/>
                <w:color w:val="000000" w:themeColor="text1"/>
                <w:kern w:val="0"/>
                <w:sz w:val="24"/>
                <w:szCs w:val="24"/>
                <w14:textFill>
                  <w14:solidFill>
                    <w14:schemeClr w14:val="tx1"/>
                  </w14:solidFill>
                </w14:textFill>
              </w:rPr>
            </w:pPr>
          </w:p>
        </w:tc>
        <w:tc>
          <w:tcPr>
            <w:tcW w:w="904" w:type="dxa"/>
            <w:vMerge w:val="continue"/>
            <w:vAlign w:val="center"/>
          </w:tcPr>
          <w:p w14:paraId="7C1235AF">
            <w:pPr>
              <w:spacing w:line="360" w:lineRule="auto"/>
              <w:contextualSpacing/>
              <w:jc w:val="center"/>
              <w:rPr>
                <w:rFonts w:hint="eastAsia" w:ascii="仿宋" w:hAnsi="仿宋" w:eastAsia="仿宋" w:cs="仿宋"/>
                <w:color w:val="000000" w:themeColor="text1"/>
                <w:kern w:val="0"/>
                <w:sz w:val="24"/>
                <w:szCs w:val="24"/>
                <w14:textFill>
                  <w14:solidFill>
                    <w14:schemeClr w14:val="tx1"/>
                  </w14:solidFill>
                </w14:textFill>
              </w:rPr>
            </w:pPr>
          </w:p>
        </w:tc>
        <w:tc>
          <w:tcPr>
            <w:tcW w:w="5235" w:type="dxa"/>
            <w:vAlign w:val="center"/>
          </w:tcPr>
          <w:p w14:paraId="03FBA431">
            <w:pPr>
              <w:spacing w:line="360" w:lineRule="auto"/>
              <w:contextualSpacing/>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人员配置的科学性和合理性，含收集人员、洗涤员、配送人员配置人员的数量、年龄、文化程度等综合评定。</w:t>
            </w:r>
            <w:r>
              <w:rPr>
                <w:rFonts w:hint="eastAsia" w:ascii="仿宋" w:hAnsi="仿宋" w:eastAsia="仿宋" w:cs="仿宋"/>
                <w:color w:val="000000"/>
                <w:kern w:val="0"/>
                <w:sz w:val="24"/>
                <w:szCs w:val="24"/>
              </w:rPr>
              <w:t>人员数量充足，经验丰富、安排合理得5分；人员数量基本满足需求，经验一般、安排较合理得3分；人员数量不足，无相关经验、安排不恰当得1分；未提供说明不得分。</w:t>
            </w:r>
          </w:p>
        </w:tc>
        <w:tc>
          <w:tcPr>
            <w:tcW w:w="765" w:type="dxa"/>
            <w:vAlign w:val="center"/>
          </w:tcPr>
          <w:p w14:paraId="1926D718">
            <w:pPr>
              <w:spacing w:line="360" w:lineRule="auto"/>
              <w:contextualSpacing/>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5</w:t>
            </w:r>
          </w:p>
        </w:tc>
        <w:tc>
          <w:tcPr>
            <w:tcW w:w="977" w:type="dxa"/>
            <w:vAlign w:val="center"/>
          </w:tcPr>
          <w:p w14:paraId="64E5E21B">
            <w:pPr>
              <w:spacing w:line="360" w:lineRule="auto"/>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主观分</w:t>
            </w:r>
          </w:p>
        </w:tc>
      </w:tr>
      <w:tr w14:paraId="59261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tcPr>
          <w:p w14:paraId="4E82CF92">
            <w:pPr>
              <w:spacing w:line="360" w:lineRule="auto"/>
              <w:rPr>
                <w:rFonts w:hint="eastAsia" w:ascii="仿宋" w:hAnsi="仿宋" w:eastAsia="仿宋" w:cs="仿宋"/>
                <w:color w:val="000000" w:themeColor="text1"/>
                <w:kern w:val="0"/>
                <w:sz w:val="24"/>
                <w:szCs w:val="24"/>
                <w14:textFill>
                  <w14:solidFill>
                    <w14:schemeClr w14:val="tx1"/>
                  </w14:solidFill>
                </w14:textFill>
              </w:rPr>
            </w:pPr>
          </w:p>
        </w:tc>
        <w:tc>
          <w:tcPr>
            <w:tcW w:w="752" w:type="dxa"/>
            <w:vAlign w:val="center"/>
          </w:tcPr>
          <w:p w14:paraId="604B9061">
            <w:pPr>
              <w:pStyle w:val="258"/>
              <w:ind w:firstLine="0" w:firstLineChars="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13</w:t>
            </w:r>
          </w:p>
        </w:tc>
        <w:tc>
          <w:tcPr>
            <w:tcW w:w="904" w:type="dxa"/>
            <w:vAlign w:val="center"/>
          </w:tcPr>
          <w:p w14:paraId="7CCA79D5">
            <w:pPr>
              <w:spacing w:line="360" w:lineRule="auto"/>
              <w:contextualSpacing/>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对洗涤员工的培训情况</w:t>
            </w:r>
          </w:p>
        </w:tc>
        <w:tc>
          <w:tcPr>
            <w:tcW w:w="5235" w:type="dxa"/>
            <w:vAlign w:val="center"/>
          </w:tcPr>
          <w:p w14:paraId="2DDE87B0">
            <w:pPr>
              <w:spacing w:line="360" w:lineRule="auto"/>
              <w:contextualSpacing/>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根据投标人描述的对洗涤员工培训情况进行综合评定。</w:t>
            </w:r>
            <w:r>
              <w:rPr>
                <w:rFonts w:hint="eastAsia" w:ascii="仿宋" w:hAnsi="仿宋" w:eastAsia="仿宋" w:cs="仿宋"/>
                <w:color w:val="000000" w:themeColor="text1"/>
                <w:kern w:val="0"/>
                <w:sz w:val="24"/>
                <w:szCs w:val="24"/>
                <w14:textFill>
                  <w14:solidFill>
                    <w14:schemeClr w14:val="tx1"/>
                  </w14:solidFill>
                </w14:textFill>
              </w:rPr>
              <w:t>培训情况安排可行、科学合理、完善的得3分；培训情况基本可行、科学合理的得2分；培训情况较差的得1分；无方案无措施的不得分。</w:t>
            </w:r>
          </w:p>
        </w:tc>
        <w:tc>
          <w:tcPr>
            <w:tcW w:w="765" w:type="dxa"/>
            <w:vAlign w:val="center"/>
          </w:tcPr>
          <w:p w14:paraId="623EE7F1">
            <w:pPr>
              <w:spacing w:line="360" w:lineRule="auto"/>
              <w:contextualSpacing/>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3</w:t>
            </w:r>
          </w:p>
        </w:tc>
        <w:tc>
          <w:tcPr>
            <w:tcW w:w="977" w:type="dxa"/>
            <w:vAlign w:val="center"/>
          </w:tcPr>
          <w:p w14:paraId="27E0EFC8">
            <w:pPr>
              <w:spacing w:line="360" w:lineRule="auto"/>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主观分</w:t>
            </w:r>
          </w:p>
        </w:tc>
      </w:tr>
      <w:tr w14:paraId="14AB6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tcPr>
          <w:p w14:paraId="450C1CCA">
            <w:pPr>
              <w:spacing w:line="360" w:lineRule="auto"/>
              <w:rPr>
                <w:rFonts w:hint="eastAsia" w:ascii="仿宋" w:hAnsi="仿宋" w:eastAsia="仿宋" w:cs="仿宋"/>
                <w:color w:val="000000" w:themeColor="text1"/>
                <w:kern w:val="0"/>
                <w:sz w:val="24"/>
                <w:szCs w:val="24"/>
                <w14:textFill>
                  <w14:solidFill>
                    <w14:schemeClr w14:val="tx1"/>
                  </w14:solidFill>
                </w14:textFill>
              </w:rPr>
            </w:pPr>
          </w:p>
        </w:tc>
        <w:tc>
          <w:tcPr>
            <w:tcW w:w="752" w:type="dxa"/>
            <w:vAlign w:val="center"/>
          </w:tcPr>
          <w:p w14:paraId="7D6A1929">
            <w:pPr>
              <w:pStyle w:val="258"/>
              <w:ind w:firstLine="0" w:firstLineChars="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14</w:t>
            </w:r>
          </w:p>
        </w:tc>
        <w:tc>
          <w:tcPr>
            <w:tcW w:w="904" w:type="dxa"/>
            <w:vAlign w:val="center"/>
          </w:tcPr>
          <w:p w14:paraId="0960B309">
            <w:pPr>
              <w:spacing w:line="360" w:lineRule="auto"/>
              <w:contextualSpacing/>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管理规章制度</w:t>
            </w:r>
          </w:p>
        </w:tc>
        <w:tc>
          <w:tcPr>
            <w:tcW w:w="5235" w:type="dxa"/>
            <w:vAlign w:val="center"/>
          </w:tcPr>
          <w:p w14:paraId="449A08C1">
            <w:pPr>
              <w:spacing w:line="360" w:lineRule="auto"/>
              <w:contextualSpacing/>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设立的各项管理规章制度及档案资料的建立与管理情况进行综合评定。</w:t>
            </w:r>
            <w:r>
              <w:rPr>
                <w:rFonts w:hint="eastAsia" w:ascii="仿宋" w:hAnsi="仿宋" w:eastAsia="仿宋" w:cs="仿宋"/>
                <w:color w:val="000000" w:themeColor="text1"/>
                <w:kern w:val="0"/>
                <w:sz w:val="24"/>
                <w:szCs w:val="24"/>
                <w14:textFill>
                  <w14:solidFill>
                    <w14:schemeClr w14:val="tx1"/>
                  </w14:solidFill>
                </w14:textFill>
              </w:rPr>
              <w:t>管理规章制度完善的得3分；管理规章制度基本完善的得2分；管理规章制度较差的得1分；无管理规章制度的不得分。</w:t>
            </w:r>
          </w:p>
        </w:tc>
        <w:tc>
          <w:tcPr>
            <w:tcW w:w="765" w:type="dxa"/>
            <w:vAlign w:val="center"/>
          </w:tcPr>
          <w:p w14:paraId="0A35B079">
            <w:pPr>
              <w:spacing w:line="360" w:lineRule="auto"/>
              <w:contextualSpacing/>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3</w:t>
            </w:r>
          </w:p>
        </w:tc>
        <w:tc>
          <w:tcPr>
            <w:tcW w:w="977" w:type="dxa"/>
            <w:vAlign w:val="center"/>
          </w:tcPr>
          <w:p w14:paraId="2A150F42">
            <w:pPr>
              <w:spacing w:line="360" w:lineRule="auto"/>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主观分</w:t>
            </w:r>
          </w:p>
        </w:tc>
      </w:tr>
      <w:tr w14:paraId="7F606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tcPr>
          <w:p w14:paraId="3B395552">
            <w:pPr>
              <w:spacing w:line="360" w:lineRule="auto"/>
              <w:rPr>
                <w:rFonts w:hint="eastAsia" w:ascii="仿宋" w:hAnsi="仿宋" w:eastAsia="仿宋" w:cs="仿宋"/>
                <w:color w:val="000000" w:themeColor="text1"/>
                <w:kern w:val="0"/>
                <w:sz w:val="24"/>
                <w:szCs w:val="24"/>
                <w14:textFill>
                  <w14:solidFill>
                    <w14:schemeClr w14:val="tx1"/>
                  </w14:solidFill>
                </w14:textFill>
              </w:rPr>
            </w:pPr>
          </w:p>
        </w:tc>
        <w:tc>
          <w:tcPr>
            <w:tcW w:w="752" w:type="dxa"/>
            <w:vAlign w:val="center"/>
          </w:tcPr>
          <w:p w14:paraId="11BDEFA4">
            <w:pPr>
              <w:pStyle w:val="258"/>
              <w:ind w:firstLine="0" w:firstLineChars="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15</w:t>
            </w:r>
          </w:p>
        </w:tc>
        <w:tc>
          <w:tcPr>
            <w:tcW w:w="904" w:type="dxa"/>
            <w:vAlign w:val="center"/>
          </w:tcPr>
          <w:p w14:paraId="5C30C6C9">
            <w:pPr>
              <w:spacing w:line="360" w:lineRule="auto"/>
              <w:contextualSpacing/>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应急保障措施</w:t>
            </w:r>
          </w:p>
        </w:tc>
        <w:tc>
          <w:tcPr>
            <w:tcW w:w="5235" w:type="dxa"/>
            <w:vAlign w:val="center"/>
          </w:tcPr>
          <w:p w14:paraId="5FA0A959">
            <w:pPr>
              <w:spacing w:line="360" w:lineRule="auto"/>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针对本项目在实施过程中遇雨雪天气、车辆故障、清洗设备故障等应急保障措施情况进行综合评定。</w:t>
            </w:r>
            <w:r>
              <w:rPr>
                <w:rFonts w:hint="eastAsia" w:ascii="仿宋" w:hAnsi="仿宋" w:eastAsia="仿宋" w:cs="仿宋"/>
                <w:color w:val="000000"/>
                <w:kern w:val="0"/>
                <w:sz w:val="24"/>
                <w:szCs w:val="24"/>
              </w:rPr>
              <w:t>方案措施详细实用得5分；方案措施较详细实用得4分；方案措施一般得3分；方案措施有欠缺得2分；方案措施较多不满足需求得1分；未提供不得分。</w:t>
            </w:r>
          </w:p>
        </w:tc>
        <w:tc>
          <w:tcPr>
            <w:tcW w:w="765" w:type="dxa"/>
            <w:vAlign w:val="center"/>
          </w:tcPr>
          <w:p w14:paraId="300A59A0">
            <w:pPr>
              <w:spacing w:line="360" w:lineRule="auto"/>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5</w:t>
            </w:r>
          </w:p>
        </w:tc>
        <w:tc>
          <w:tcPr>
            <w:tcW w:w="977" w:type="dxa"/>
            <w:vAlign w:val="center"/>
          </w:tcPr>
          <w:p w14:paraId="4099C00E">
            <w:pPr>
              <w:spacing w:line="360" w:lineRule="auto"/>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主观分</w:t>
            </w:r>
          </w:p>
        </w:tc>
      </w:tr>
      <w:tr w14:paraId="54317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708" w:type="dxa"/>
            <w:vMerge w:val="continue"/>
          </w:tcPr>
          <w:p w14:paraId="0FE14D47">
            <w:pPr>
              <w:pStyle w:val="258"/>
              <w:ind w:firstLine="480"/>
              <w:rPr>
                <w:rFonts w:hint="eastAsia" w:ascii="仿宋" w:hAnsi="仿宋" w:eastAsia="仿宋" w:cs="仿宋"/>
                <w:color w:val="000000" w:themeColor="text1"/>
                <w:kern w:val="0"/>
                <w:sz w:val="24"/>
                <w:szCs w:val="24"/>
                <w14:textFill>
                  <w14:solidFill>
                    <w14:schemeClr w14:val="tx1"/>
                  </w14:solidFill>
                </w14:textFill>
              </w:rPr>
            </w:pPr>
          </w:p>
        </w:tc>
        <w:tc>
          <w:tcPr>
            <w:tcW w:w="752" w:type="dxa"/>
            <w:vAlign w:val="center"/>
          </w:tcPr>
          <w:p w14:paraId="487C7BFE">
            <w:pPr>
              <w:pStyle w:val="258"/>
              <w:ind w:firstLine="0" w:firstLineChars="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16</w:t>
            </w:r>
          </w:p>
        </w:tc>
        <w:tc>
          <w:tcPr>
            <w:tcW w:w="904" w:type="dxa"/>
            <w:vAlign w:val="center"/>
          </w:tcPr>
          <w:p w14:paraId="51BBA87B">
            <w:pPr>
              <w:spacing w:line="360" w:lineRule="auto"/>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合理化建议</w:t>
            </w:r>
          </w:p>
        </w:tc>
        <w:tc>
          <w:tcPr>
            <w:tcW w:w="5235" w:type="dxa"/>
          </w:tcPr>
          <w:p w14:paraId="39597D59">
            <w:pPr>
              <w:spacing w:line="360" w:lineRule="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根据投标人对本项目的合理化建议或意见等综合评定。科学、合理的得3分；基本科学、合理的得2分；存在缺陷的得1分；不提供不得分。</w:t>
            </w:r>
          </w:p>
        </w:tc>
        <w:tc>
          <w:tcPr>
            <w:tcW w:w="765" w:type="dxa"/>
            <w:vAlign w:val="center"/>
          </w:tcPr>
          <w:p w14:paraId="7ECA91BF">
            <w:pPr>
              <w:spacing w:line="360" w:lineRule="auto"/>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977" w:type="dxa"/>
            <w:vAlign w:val="center"/>
          </w:tcPr>
          <w:p w14:paraId="21FE2CD9">
            <w:pPr>
              <w:spacing w:line="360" w:lineRule="auto"/>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主观分</w:t>
            </w:r>
          </w:p>
        </w:tc>
      </w:tr>
      <w:tr w14:paraId="7691C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08" w:type="dxa"/>
            <w:vMerge w:val="continue"/>
          </w:tcPr>
          <w:p w14:paraId="12951F24">
            <w:pPr>
              <w:pStyle w:val="258"/>
              <w:ind w:firstLine="480"/>
              <w:rPr>
                <w:rFonts w:hint="eastAsia" w:ascii="仿宋" w:hAnsi="仿宋" w:eastAsia="仿宋" w:cs="仿宋"/>
                <w:color w:val="000000" w:themeColor="text1"/>
                <w:kern w:val="0"/>
                <w:sz w:val="24"/>
                <w:szCs w:val="24"/>
                <w14:textFill>
                  <w14:solidFill>
                    <w14:schemeClr w14:val="tx1"/>
                  </w14:solidFill>
                </w14:textFill>
              </w:rPr>
            </w:pPr>
          </w:p>
        </w:tc>
        <w:tc>
          <w:tcPr>
            <w:tcW w:w="752" w:type="dxa"/>
            <w:vAlign w:val="center"/>
          </w:tcPr>
          <w:p w14:paraId="3C90EB08">
            <w:pPr>
              <w:pStyle w:val="258"/>
              <w:ind w:firstLine="0" w:firstLineChars="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17</w:t>
            </w:r>
          </w:p>
        </w:tc>
        <w:tc>
          <w:tcPr>
            <w:tcW w:w="904" w:type="dxa"/>
            <w:vAlign w:val="center"/>
          </w:tcPr>
          <w:p w14:paraId="226A5BD3">
            <w:pPr>
              <w:spacing w:line="360" w:lineRule="auto"/>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增值服务</w:t>
            </w:r>
          </w:p>
        </w:tc>
        <w:tc>
          <w:tcPr>
            <w:tcW w:w="5235" w:type="dxa"/>
          </w:tcPr>
          <w:p w14:paraId="11891BDA">
            <w:pPr>
              <w:spacing w:line="360" w:lineRule="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根据投标人对本项目提供的增值服务综合评定。科学、合理的得5分；基本科学、合理的得3分；存在缺陷的得1分；不提供不得分。</w:t>
            </w:r>
          </w:p>
        </w:tc>
        <w:tc>
          <w:tcPr>
            <w:tcW w:w="765" w:type="dxa"/>
            <w:vAlign w:val="center"/>
          </w:tcPr>
          <w:p w14:paraId="0E09AA64">
            <w:pPr>
              <w:spacing w:line="360" w:lineRule="auto"/>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w:t>
            </w:r>
          </w:p>
        </w:tc>
        <w:tc>
          <w:tcPr>
            <w:tcW w:w="977" w:type="dxa"/>
            <w:vAlign w:val="center"/>
          </w:tcPr>
          <w:p w14:paraId="3C94DEFF">
            <w:pPr>
              <w:spacing w:line="360" w:lineRule="auto"/>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主观分</w:t>
            </w:r>
          </w:p>
        </w:tc>
      </w:tr>
      <w:tr w14:paraId="09571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08" w:type="dxa"/>
            <w:vAlign w:val="center"/>
          </w:tcPr>
          <w:p w14:paraId="2935EECC">
            <w:pPr>
              <w:spacing w:line="360" w:lineRule="auto"/>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kern w:val="0"/>
                <w:sz w:val="24"/>
                <w:szCs w:val="24"/>
              </w:rPr>
              <w:t>价格分</w:t>
            </w:r>
          </w:p>
        </w:tc>
        <w:tc>
          <w:tcPr>
            <w:tcW w:w="752" w:type="dxa"/>
            <w:vAlign w:val="center"/>
          </w:tcPr>
          <w:p w14:paraId="5F570214">
            <w:pPr>
              <w:spacing w:line="360" w:lineRule="auto"/>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18</w:t>
            </w:r>
          </w:p>
        </w:tc>
        <w:tc>
          <w:tcPr>
            <w:tcW w:w="6139" w:type="dxa"/>
            <w:gridSpan w:val="2"/>
            <w:vAlign w:val="center"/>
          </w:tcPr>
          <w:p w14:paraId="50841A45">
            <w:pPr>
              <w:pStyle w:val="24"/>
              <w:spacing w:line="360" w:lineRule="auto"/>
              <w:ind w:firstLine="0" w:firstLineChars="0"/>
              <w:rPr>
                <w:rFonts w:hint="eastAsia" w:ascii="仿宋" w:hAnsi="仿宋" w:eastAsia="仿宋" w:cs="仿宋"/>
                <w:kern w:val="0"/>
                <w:sz w:val="24"/>
                <w:szCs w:val="24"/>
              </w:rPr>
            </w:pPr>
            <w:r>
              <w:rPr>
                <w:rFonts w:hint="eastAsia" w:ascii="仿宋" w:hAnsi="仿宋" w:eastAsia="仿宋" w:cs="仿宋"/>
                <w:kern w:val="2"/>
                <w:sz w:val="24"/>
                <w:szCs w:val="24"/>
              </w:rPr>
              <w:t>最低有效投标价格为评标基准价</w:t>
            </w:r>
          </w:p>
          <w:p w14:paraId="1E22A38E">
            <w:pPr>
              <w:pStyle w:val="24"/>
              <w:spacing w:line="360" w:lineRule="auto"/>
              <w:ind w:firstLine="0" w:firstLineChars="0"/>
              <w:rPr>
                <w:rFonts w:hint="eastAsia" w:ascii="仿宋" w:hAnsi="仿宋" w:eastAsia="仿宋" w:cs="仿宋"/>
                <w:kern w:val="0"/>
                <w:sz w:val="24"/>
                <w:szCs w:val="24"/>
              </w:rPr>
            </w:pPr>
            <w:r>
              <w:rPr>
                <w:rFonts w:hint="eastAsia" w:ascii="仿宋" w:hAnsi="仿宋" w:eastAsia="仿宋" w:cs="仿宋"/>
                <w:kern w:val="2"/>
                <w:sz w:val="24"/>
                <w:szCs w:val="24"/>
              </w:rPr>
              <w:t>投标报价得分=(评标基准价／投标报价)×价格权值×100</w:t>
            </w:r>
          </w:p>
          <w:p w14:paraId="3C9B7F0E">
            <w:pPr>
              <w:pStyle w:val="24"/>
              <w:spacing w:line="360" w:lineRule="auto"/>
              <w:ind w:firstLine="0" w:firstLineChars="0"/>
              <w:rPr>
                <w:rFonts w:hint="eastAsia" w:ascii="仿宋" w:hAnsi="仿宋" w:eastAsia="仿宋" w:cs="仿宋"/>
                <w:kern w:val="0"/>
                <w:sz w:val="24"/>
                <w:szCs w:val="24"/>
              </w:rPr>
            </w:pPr>
            <w:r>
              <w:rPr>
                <w:rFonts w:hint="eastAsia" w:ascii="仿宋" w:hAnsi="仿宋" w:eastAsia="仿宋" w:cs="仿宋"/>
                <w:kern w:val="2"/>
                <w:sz w:val="24"/>
                <w:szCs w:val="24"/>
              </w:rPr>
              <w:t>（计算得分保留小数点后2位）</w:t>
            </w:r>
          </w:p>
          <w:p w14:paraId="44254D4D">
            <w:pPr>
              <w:pStyle w:val="24"/>
              <w:spacing w:line="360" w:lineRule="auto"/>
              <w:ind w:firstLine="0" w:firstLineChars="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kern w:val="0"/>
                <w:sz w:val="24"/>
                <w:szCs w:val="24"/>
              </w:rPr>
              <w:t>评标过程中，不得去掉报价中的最高报价和最低报价。</w:t>
            </w:r>
          </w:p>
        </w:tc>
        <w:tc>
          <w:tcPr>
            <w:tcW w:w="765" w:type="dxa"/>
            <w:vAlign w:val="center"/>
          </w:tcPr>
          <w:p w14:paraId="32E4A892">
            <w:pPr>
              <w:spacing w:line="360" w:lineRule="auto"/>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Cs/>
                <w:kern w:val="0"/>
                <w:sz w:val="24"/>
                <w:szCs w:val="24"/>
              </w:rPr>
              <w:t>30</w:t>
            </w:r>
          </w:p>
        </w:tc>
        <w:tc>
          <w:tcPr>
            <w:tcW w:w="977" w:type="dxa"/>
            <w:vAlign w:val="center"/>
          </w:tcPr>
          <w:p w14:paraId="1287528E">
            <w:pPr>
              <w:spacing w:line="360" w:lineRule="auto"/>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Cs/>
                <w:kern w:val="0"/>
                <w:sz w:val="24"/>
                <w:szCs w:val="24"/>
              </w:rPr>
              <w:t>/</w:t>
            </w:r>
          </w:p>
        </w:tc>
      </w:tr>
    </w:tbl>
    <w:p w14:paraId="7D2908F6">
      <w:pPr>
        <w:pageBreakBefore w:val="0"/>
        <w:shd w:val="clear" w:color="auto" w:fill="auto"/>
        <w:kinsoku/>
        <w:wordWrap/>
        <w:overflowPunct/>
        <w:topLinePunct w:val="0"/>
        <w:bidi w:val="0"/>
        <w:spacing w:line="360" w:lineRule="auto"/>
        <w:ind w:left="0" w:leftChars="0" w:firstLine="360" w:firstLineChars="150"/>
        <w:textAlignment w:val="auto"/>
        <w:rPr>
          <w:rFonts w:ascii="仿宋" w:hAnsi="仿宋" w:eastAsia="仿宋"/>
          <w:color w:val="auto"/>
          <w:sz w:val="24"/>
          <w:highlight w:val="none"/>
        </w:rPr>
      </w:pPr>
    </w:p>
    <w:p w14:paraId="07010367">
      <w:pPr>
        <w:pageBreakBefore w:val="0"/>
        <w:shd w:val="clear" w:color="auto" w:fill="auto"/>
        <w:kinsoku/>
        <w:wordWrap/>
        <w:overflowPunct/>
        <w:topLinePunct w:val="0"/>
        <w:bidi w:val="0"/>
        <w:adjustRightIn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1、凡涉及到评分条款中各类证明材料的，如交易文件中要求提供原件的，则提供原件，若不明确要求可提供复印件，但需要原件备查。因响应人提供的相关证明材料的复印件清晰度、真实性等原因造成评标委员会无法辨认或判定，而响应人又不能提供原件进行备查的，可能被扣分或不得分，由此造成的后果，由响应人自行承担。一旦发现弄虚作假的做无效标处理或取消中标资格。</w:t>
      </w:r>
    </w:p>
    <w:p w14:paraId="222A8AAB">
      <w:pPr>
        <w:pageBreakBefore w:val="0"/>
        <w:shd w:val="clear" w:color="auto" w:fill="auto"/>
        <w:kinsoku/>
        <w:wordWrap/>
        <w:overflowPunct/>
        <w:topLinePunct w:val="0"/>
        <w:bidi w:val="0"/>
        <w:adjustRightIn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2、编制响应文件时，必须编制打分索引，便于评委在交易评审过程中能准确查找到相关评审内容资料。</w:t>
      </w:r>
    </w:p>
    <w:p w14:paraId="756B76CA">
      <w:pPr>
        <w:spacing w:line="360" w:lineRule="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14:paraId="3389E900">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1B039BCF">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全部实质性要求，且按照评审因素的量化指标评审得分最高的</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为</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候选人的评标方法。</w:t>
      </w:r>
    </w:p>
    <w:p w14:paraId="22E54A73">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42DE8B9D">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24138FBE">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3FB7D31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进行符合性审查，以确定其是否满足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的实质性要求。不满足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的实质性要求的，</w:t>
      </w:r>
      <w:r>
        <w:rPr>
          <w:rFonts w:hint="eastAsia" w:ascii="仿宋" w:hAnsi="仿宋" w:eastAsia="仿宋" w:cs="仿宋"/>
          <w:color w:val="auto"/>
          <w:kern w:val="0"/>
          <w:sz w:val="24"/>
          <w:highlight w:val="none"/>
          <w:lang w:eastAsia="zh-CN"/>
        </w:rPr>
        <w:t>响应无效</w:t>
      </w:r>
      <w:r>
        <w:rPr>
          <w:rFonts w:hint="eastAsia" w:ascii="仿宋" w:hAnsi="仿宋" w:eastAsia="仿宋" w:cs="仿宋"/>
          <w:color w:val="auto"/>
          <w:kern w:val="0"/>
          <w:sz w:val="24"/>
          <w:highlight w:val="none"/>
        </w:rPr>
        <w:t>。</w:t>
      </w:r>
    </w:p>
    <w:p w14:paraId="04588958">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中规定的评标方法和标准，对符合性审查合格的</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进行商务和技术评估，综合比较与评价。</w:t>
      </w:r>
    </w:p>
    <w:p w14:paraId="04536EAC">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的商务和技术文件进行评价，并汇总商务技术得分情况。</w:t>
      </w:r>
    </w:p>
    <w:p w14:paraId="4DCDC1F3">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55B2000C">
      <w:pPr>
        <w:pStyle w:val="130"/>
        <w:keepNext w:val="0"/>
        <w:keepLines w:val="0"/>
        <w:pageBreakBefore w:val="0"/>
        <w:widowControl w:val="0"/>
        <w:kinsoku/>
        <w:wordWrap/>
        <w:overflowPunct/>
        <w:topLinePunct w:val="0"/>
        <w:autoSpaceDE/>
        <w:autoSpaceDN/>
        <w:bidi w:val="0"/>
        <w:adjustRightInd w:val="0"/>
        <w:snapToGrid/>
        <w:spacing w:before="0"/>
        <w:ind w:left="0" w:leftChars="0" w:firstLine="480" w:firstLineChars="200"/>
        <w:textAlignment w:val="auto"/>
        <w:rPr>
          <w:rFonts w:hint="eastAsia" w:ascii="仿宋" w:hAnsi="仿宋" w:eastAsia="仿宋" w:cs="仿宋"/>
          <w:color w:val="auto"/>
          <w:kern w:val="0"/>
          <w:highlight w:val="none"/>
        </w:rPr>
      </w:pPr>
      <w:r>
        <w:rPr>
          <w:rFonts w:hint="eastAsia" w:ascii="仿宋" w:hAnsi="仿宋" w:eastAsia="仿宋" w:cs="仿宋"/>
          <w:color w:val="auto"/>
          <w:kern w:val="0"/>
          <w:highlight w:val="none"/>
        </w:rPr>
        <w:t>3.4.1</w:t>
      </w:r>
      <w:r>
        <w:rPr>
          <w:rFonts w:hint="eastAsia" w:ascii="仿宋" w:hAnsi="仿宋" w:eastAsia="仿宋" w:cs="仿宋"/>
          <w:color w:val="auto"/>
          <w:kern w:val="0"/>
          <w:highlight w:val="none"/>
          <w:lang w:eastAsia="zh-CN"/>
        </w:rPr>
        <w:t>响应文件</w:t>
      </w:r>
      <w:r>
        <w:rPr>
          <w:rFonts w:hint="eastAsia" w:ascii="仿宋" w:hAnsi="仿宋" w:eastAsia="仿宋" w:cs="仿宋"/>
          <w:color w:val="auto"/>
          <w:kern w:val="0"/>
          <w:highlight w:val="none"/>
        </w:rPr>
        <w:t>报价出现前后不一致的，按照下列规定修正：</w:t>
      </w:r>
    </w:p>
    <w:p w14:paraId="23E9DDB8">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中</w:t>
      </w:r>
      <w:r>
        <w:rPr>
          <w:rFonts w:hint="eastAsia" w:ascii="仿宋" w:hAnsi="仿宋" w:eastAsia="仿宋" w:cs="仿宋"/>
          <w:color w:val="auto"/>
          <w:kern w:val="0"/>
          <w:szCs w:val="24"/>
          <w:highlight w:val="none"/>
          <w:lang w:eastAsia="zh-CN"/>
        </w:rPr>
        <w:t>响应一览表</w:t>
      </w:r>
      <w:r>
        <w:rPr>
          <w:rFonts w:hint="eastAsia" w:ascii="仿宋" w:hAnsi="仿宋" w:eastAsia="仿宋" w:cs="仿宋"/>
          <w:color w:val="auto"/>
          <w:kern w:val="0"/>
          <w:szCs w:val="24"/>
          <w:highlight w:val="none"/>
        </w:rPr>
        <w:t>(报价表)内容与</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中相应内容不一致的，以</w:t>
      </w:r>
      <w:r>
        <w:rPr>
          <w:rFonts w:hint="eastAsia" w:ascii="仿宋" w:hAnsi="仿宋" w:eastAsia="仿宋" w:cs="仿宋"/>
          <w:color w:val="auto"/>
          <w:kern w:val="0"/>
          <w:szCs w:val="24"/>
          <w:highlight w:val="none"/>
          <w:lang w:eastAsia="zh-CN"/>
        </w:rPr>
        <w:t>响应一览表</w:t>
      </w:r>
      <w:r>
        <w:rPr>
          <w:rFonts w:hint="eastAsia" w:ascii="仿宋" w:hAnsi="仿宋" w:eastAsia="仿宋" w:cs="仿宋"/>
          <w:color w:val="auto"/>
          <w:kern w:val="0"/>
          <w:szCs w:val="24"/>
          <w:highlight w:val="none"/>
        </w:rPr>
        <w:t>(报价表)为准;</w:t>
      </w:r>
    </w:p>
    <w:p w14:paraId="7CC5759F">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1114D707">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w:t>
      </w:r>
      <w:r>
        <w:rPr>
          <w:rFonts w:hint="eastAsia" w:ascii="仿宋" w:hAnsi="仿宋" w:eastAsia="仿宋" w:cs="仿宋"/>
          <w:color w:val="auto"/>
          <w:kern w:val="0"/>
          <w:szCs w:val="24"/>
          <w:highlight w:val="none"/>
          <w:lang w:eastAsia="zh-CN"/>
        </w:rPr>
        <w:t>响应一览表</w:t>
      </w:r>
      <w:r>
        <w:rPr>
          <w:rFonts w:hint="eastAsia" w:ascii="仿宋" w:hAnsi="仿宋" w:eastAsia="仿宋" w:cs="仿宋"/>
          <w:color w:val="auto"/>
          <w:kern w:val="0"/>
          <w:szCs w:val="24"/>
          <w:highlight w:val="none"/>
        </w:rPr>
        <w:t>的总价为准，并修改单价;</w:t>
      </w:r>
    </w:p>
    <w:p w14:paraId="1BAC9756">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7BDAF6F0">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确认后产生约束力。</w:t>
      </w:r>
    </w:p>
    <w:p w14:paraId="434A527A">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出现不是唯一的、有选择性</w:t>
      </w:r>
      <w:r>
        <w:rPr>
          <w:rFonts w:hint="eastAsia" w:ascii="仿宋" w:hAnsi="仿宋" w:eastAsia="仿宋" w:cs="仿宋"/>
          <w:color w:val="auto"/>
          <w:kern w:val="0"/>
          <w:sz w:val="24"/>
          <w:highlight w:val="none"/>
          <w:lang w:eastAsia="zh-CN"/>
        </w:rPr>
        <w:t>响应报价</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lang w:eastAsia="zh-CN"/>
        </w:rPr>
        <w:t>响应无效</w:t>
      </w:r>
      <w:r>
        <w:rPr>
          <w:rFonts w:hint="eastAsia" w:ascii="仿宋" w:hAnsi="仿宋" w:eastAsia="仿宋" w:cs="仿宋"/>
          <w:color w:val="auto"/>
          <w:kern w:val="0"/>
          <w:sz w:val="24"/>
          <w:highlight w:val="none"/>
        </w:rPr>
        <w:t>。</w:t>
      </w:r>
    </w:p>
    <w:p w14:paraId="33854733">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w:t>
      </w:r>
      <w:r>
        <w:rPr>
          <w:rFonts w:hint="eastAsia" w:ascii="仿宋" w:hAnsi="仿宋" w:eastAsia="仿宋" w:cs="仿宋"/>
          <w:color w:val="auto"/>
          <w:kern w:val="0"/>
          <w:sz w:val="24"/>
          <w:highlight w:val="none"/>
          <w:lang w:eastAsia="zh-CN"/>
        </w:rPr>
        <w:t>响应报价</w:t>
      </w:r>
      <w:r>
        <w:rPr>
          <w:rFonts w:hint="eastAsia" w:ascii="仿宋" w:hAnsi="仿宋" w:eastAsia="仿宋" w:cs="仿宋"/>
          <w:color w:val="auto"/>
          <w:kern w:val="0"/>
          <w:sz w:val="24"/>
          <w:highlight w:val="none"/>
        </w:rPr>
        <w:t>超过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中规定的预算金额或者最高限价的，</w:t>
      </w:r>
      <w:r>
        <w:rPr>
          <w:rFonts w:hint="eastAsia" w:ascii="仿宋" w:hAnsi="仿宋" w:eastAsia="仿宋" w:cs="仿宋"/>
          <w:color w:val="auto"/>
          <w:kern w:val="0"/>
          <w:sz w:val="24"/>
          <w:highlight w:val="none"/>
          <w:lang w:eastAsia="zh-CN"/>
        </w:rPr>
        <w:t>响应无效</w:t>
      </w:r>
      <w:r>
        <w:rPr>
          <w:rFonts w:hint="eastAsia" w:ascii="仿宋" w:hAnsi="仿宋" w:eastAsia="仿宋" w:cs="仿宋"/>
          <w:color w:val="auto"/>
          <w:kern w:val="0"/>
          <w:sz w:val="24"/>
          <w:highlight w:val="none"/>
        </w:rPr>
        <w:t>。</w:t>
      </w:r>
    </w:p>
    <w:p w14:paraId="05091921">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3.4.4评标委员会认为</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的报价明显低于其他通过符合性审查</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的报价，有可能影响产品质量或者不能诚信履约的，应当要求其在合理的时间内提供书面说明，必要时提交相关证明材料;</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不能证明其报价合理性的，评标委员会应当将其作为无效</w:t>
      </w:r>
      <w:r>
        <w:rPr>
          <w:rFonts w:hint="eastAsia" w:ascii="仿宋" w:hAnsi="仿宋" w:eastAsia="仿宋" w:cs="仿宋"/>
          <w:color w:val="auto"/>
          <w:kern w:val="0"/>
          <w:sz w:val="24"/>
          <w:highlight w:val="none"/>
          <w:lang w:val="en-US" w:eastAsia="zh-CN"/>
        </w:rPr>
        <w:t>响应</w:t>
      </w:r>
      <w:r>
        <w:rPr>
          <w:rFonts w:hint="eastAsia" w:ascii="仿宋" w:hAnsi="仿宋" w:eastAsia="仿宋" w:cs="仿宋"/>
          <w:color w:val="auto"/>
          <w:kern w:val="0"/>
          <w:sz w:val="24"/>
          <w:highlight w:val="none"/>
        </w:rPr>
        <w:t>处理。</w:t>
      </w:r>
    </w:p>
    <w:p w14:paraId="1D4BD7DE">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w:t>
      </w:r>
      <w:r>
        <w:rPr>
          <w:rFonts w:hint="eastAsia" w:ascii="仿宋" w:hAnsi="仿宋" w:eastAsia="仿宋" w:cs="仿宋"/>
          <w:color w:val="auto"/>
          <w:kern w:val="0"/>
          <w:sz w:val="24"/>
          <w:highlight w:val="none"/>
          <w:lang w:eastAsia="zh-CN"/>
        </w:rPr>
        <w:t>响应报价</w:t>
      </w:r>
      <w:r>
        <w:rPr>
          <w:rFonts w:hint="eastAsia" w:ascii="仿宋" w:hAnsi="仿宋" w:eastAsia="仿宋" w:cs="仿宋"/>
          <w:color w:val="auto"/>
          <w:kern w:val="0"/>
          <w:sz w:val="24"/>
          <w:highlight w:val="none"/>
        </w:rPr>
        <w:t>由低到高顺序排列。得分且</w:t>
      </w:r>
      <w:r>
        <w:rPr>
          <w:rFonts w:hint="eastAsia" w:ascii="仿宋" w:hAnsi="仿宋" w:eastAsia="仿宋" w:cs="仿宋"/>
          <w:color w:val="auto"/>
          <w:kern w:val="0"/>
          <w:sz w:val="24"/>
          <w:highlight w:val="none"/>
          <w:lang w:eastAsia="zh-CN"/>
        </w:rPr>
        <w:t>响应报价</w:t>
      </w:r>
      <w:r>
        <w:rPr>
          <w:rFonts w:hint="eastAsia" w:ascii="仿宋" w:hAnsi="仿宋" w:eastAsia="仿宋" w:cs="仿宋"/>
          <w:color w:val="auto"/>
          <w:kern w:val="0"/>
          <w:sz w:val="24"/>
          <w:highlight w:val="none"/>
        </w:rPr>
        <w:t>相同的并列。</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全部实质性要求，且按照评审因素的量化指标评审得分最高的</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为排名第一的</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候选人。</w:t>
      </w:r>
    </w:p>
    <w:p w14:paraId="5DD8D629">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提供相同品牌产品（单一产品采购项目中的该产品或者非单一产品采购项目的核心产品）且通过资格审查、符合性审查的不同</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参加同一合同项下</w:t>
      </w:r>
      <w:r>
        <w:rPr>
          <w:rFonts w:hint="eastAsia" w:ascii="仿宋" w:hAnsi="仿宋" w:eastAsia="仿宋" w:cs="仿宋"/>
          <w:color w:val="auto"/>
          <w:kern w:val="0"/>
          <w:sz w:val="24"/>
          <w:highlight w:val="none"/>
          <w:lang w:val="en-US" w:eastAsia="zh-CN"/>
        </w:rPr>
        <w:t>响应</w:t>
      </w:r>
      <w:r>
        <w:rPr>
          <w:rFonts w:hint="eastAsia" w:ascii="仿宋" w:hAnsi="仿宋" w:eastAsia="仿宋" w:cs="仿宋"/>
          <w:color w:val="auto"/>
          <w:kern w:val="0"/>
          <w:sz w:val="24"/>
          <w:highlight w:val="none"/>
        </w:rPr>
        <w:t>的，按一家</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计算，评审后得分最高的同品牌</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获得</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人推荐资格；评审得分相同的，采取随机抽取方式确定，其他同品牌</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不作为</w:t>
      </w:r>
      <w:r>
        <w:rPr>
          <w:rFonts w:hint="eastAsia" w:ascii="仿宋" w:hAnsi="仿宋" w:eastAsia="仿宋" w:cs="仿宋"/>
          <w:color w:val="auto"/>
          <w:kern w:val="0"/>
          <w:sz w:val="24"/>
          <w:highlight w:val="none"/>
          <w:lang w:eastAsia="zh-CN"/>
        </w:rPr>
        <w:t>成交</w:t>
      </w:r>
      <w:r>
        <w:rPr>
          <w:rFonts w:hint="eastAsia" w:ascii="仿宋" w:hAnsi="仿宋" w:eastAsia="仿宋" w:cs="仿宋"/>
          <w:color w:val="auto"/>
          <w:kern w:val="0"/>
          <w:sz w:val="24"/>
          <w:highlight w:val="none"/>
        </w:rPr>
        <w:t>候选人。</w:t>
      </w:r>
    </w:p>
    <w:p w14:paraId="78DAD2EF">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53BC589">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43D6A5D4">
      <w:pPr>
        <w:pStyle w:val="130"/>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w:t>
      </w:r>
      <w:r>
        <w:rPr>
          <w:rFonts w:hint="eastAsia" w:ascii="仿宋" w:hAnsi="仿宋" w:eastAsia="仿宋" w:cs="仿宋"/>
          <w:b/>
          <w:color w:val="auto"/>
          <w:kern w:val="0"/>
          <w:szCs w:val="24"/>
          <w:highlight w:val="none"/>
          <w:lang w:eastAsia="zh-CN"/>
        </w:rPr>
        <w:t>供应商</w:t>
      </w:r>
      <w:r>
        <w:rPr>
          <w:rFonts w:hint="eastAsia" w:ascii="仿宋" w:hAnsi="仿宋" w:eastAsia="仿宋" w:cs="仿宋"/>
          <w:b/>
          <w:color w:val="auto"/>
          <w:kern w:val="0"/>
          <w:szCs w:val="24"/>
          <w:highlight w:val="none"/>
        </w:rPr>
        <w:t>澄清、说明或者补正。</w:t>
      </w:r>
      <w:r>
        <w:rPr>
          <w:rFonts w:hint="eastAsia" w:ascii="仿宋" w:hAnsi="仿宋" w:eastAsia="仿宋" w:cs="仿宋"/>
          <w:color w:val="auto"/>
          <w:kern w:val="0"/>
          <w:szCs w:val="24"/>
          <w:highlight w:val="none"/>
        </w:rPr>
        <w:t>对于</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中含义不明确、同类问题表述不一致或者有明显文字和计算错误的内容需要</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作出必要的澄清、说明或者补正的，评标委员会和</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通过电子交易平台交换数据电文，</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提交使用电子签名的相关数据电文或通过平台上传加盖公章的扫描件。给予</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提交澄清、说明或补正的时间不得少于半小时，</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已经明确表示澄清说明或补正完毕的除外。</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的澄清、说明或者补正不得超出</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的范围或者改变</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的实质性内容。</w:t>
      </w:r>
    </w:p>
    <w:p w14:paraId="6FF86460">
      <w:pPr>
        <w:pStyle w:val="24"/>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w:t>
      </w:r>
      <w:r>
        <w:rPr>
          <w:rFonts w:hint="eastAsia" w:ascii="仿宋" w:hAnsi="仿宋" w:eastAsia="仿宋" w:cs="仿宋"/>
          <w:b/>
          <w:color w:val="auto"/>
          <w:kern w:val="0"/>
          <w:highlight w:val="none"/>
          <w:lang w:eastAsia="zh-CN"/>
        </w:rPr>
        <w:t>响应无效</w:t>
      </w:r>
      <w:r>
        <w:rPr>
          <w:rFonts w:hint="eastAsia" w:ascii="仿宋" w:hAnsi="仿宋" w:eastAsia="仿宋" w:cs="仿宋"/>
          <w:b/>
          <w:color w:val="auto"/>
          <w:kern w:val="0"/>
          <w:highlight w:val="none"/>
        </w:rPr>
        <w:t>。</w:t>
      </w:r>
      <w:r>
        <w:rPr>
          <w:rFonts w:hint="eastAsia" w:ascii="仿宋" w:hAnsi="仿宋" w:eastAsia="仿宋" w:cs="仿宋"/>
          <w:color w:val="auto"/>
          <w:szCs w:val="21"/>
          <w:highlight w:val="none"/>
        </w:rPr>
        <w:t>有下列情形之一的，</w:t>
      </w:r>
      <w:r>
        <w:rPr>
          <w:rFonts w:hint="eastAsia" w:ascii="仿宋" w:hAnsi="仿宋" w:eastAsia="仿宋" w:cs="仿宋"/>
          <w:color w:val="auto"/>
          <w:szCs w:val="21"/>
          <w:highlight w:val="none"/>
          <w:lang w:eastAsia="zh-CN"/>
        </w:rPr>
        <w:t>响应无效</w:t>
      </w:r>
      <w:r>
        <w:rPr>
          <w:rFonts w:hint="eastAsia" w:ascii="仿宋" w:hAnsi="仿宋" w:eastAsia="仿宋" w:cs="仿宋"/>
          <w:color w:val="auto"/>
          <w:szCs w:val="21"/>
          <w:highlight w:val="none"/>
        </w:rPr>
        <w:t>：</w:t>
      </w:r>
    </w:p>
    <w:p w14:paraId="28080C5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不具备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中规定的资格要求的（</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未提供有效的资格文件的，视为</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不具备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中规定的资格要求）；</w:t>
      </w:r>
    </w:p>
    <w:p w14:paraId="25BBA77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未按照</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要求签署、盖章的；</w:t>
      </w:r>
    </w:p>
    <w:p w14:paraId="216B7B0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含有采购人不能接受的附加条件的；</w:t>
      </w:r>
    </w:p>
    <w:p w14:paraId="17C5DEF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中承诺的</w:t>
      </w:r>
      <w:r>
        <w:rPr>
          <w:rFonts w:hint="eastAsia" w:ascii="仿宋" w:hAnsi="仿宋" w:eastAsia="仿宋" w:cs="仿宋"/>
          <w:color w:val="auto"/>
          <w:kern w:val="0"/>
          <w:sz w:val="24"/>
          <w:highlight w:val="none"/>
          <w:lang w:eastAsia="zh-CN"/>
        </w:rPr>
        <w:t>响应有效期</w:t>
      </w:r>
      <w:r>
        <w:rPr>
          <w:rFonts w:hint="eastAsia" w:ascii="仿宋" w:hAnsi="仿宋" w:eastAsia="仿宋" w:cs="仿宋"/>
          <w:color w:val="auto"/>
          <w:kern w:val="0"/>
          <w:sz w:val="24"/>
          <w:highlight w:val="none"/>
        </w:rPr>
        <w:t>少于</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中载明的</w:t>
      </w:r>
      <w:r>
        <w:rPr>
          <w:rFonts w:hint="eastAsia" w:ascii="仿宋" w:hAnsi="仿宋" w:eastAsia="仿宋" w:cs="仿宋"/>
          <w:color w:val="auto"/>
          <w:kern w:val="0"/>
          <w:sz w:val="24"/>
          <w:highlight w:val="none"/>
          <w:lang w:eastAsia="zh-CN"/>
        </w:rPr>
        <w:t>响应有效期</w:t>
      </w:r>
      <w:r>
        <w:rPr>
          <w:rFonts w:hint="eastAsia" w:ascii="仿宋" w:hAnsi="仿宋" w:eastAsia="仿宋" w:cs="仿宋"/>
          <w:color w:val="auto"/>
          <w:kern w:val="0"/>
          <w:sz w:val="24"/>
          <w:highlight w:val="none"/>
        </w:rPr>
        <w:t>的；</w:t>
      </w:r>
    </w:p>
    <w:p w14:paraId="01D7A707">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出现不是唯一的、有选择性</w:t>
      </w:r>
      <w:r>
        <w:rPr>
          <w:rFonts w:hint="eastAsia" w:ascii="仿宋" w:hAnsi="仿宋" w:eastAsia="仿宋" w:cs="仿宋"/>
          <w:color w:val="auto"/>
          <w:kern w:val="0"/>
          <w:sz w:val="24"/>
          <w:highlight w:val="none"/>
          <w:lang w:eastAsia="zh-CN"/>
        </w:rPr>
        <w:t>响应报价</w:t>
      </w:r>
      <w:r>
        <w:rPr>
          <w:rFonts w:hint="eastAsia" w:ascii="仿宋" w:hAnsi="仿宋" w:eastAsia="仿宋" w:cs="仿宋"/>
          <w:color w:val="auto"/>
          <w:kern w:val="0"/>
          <w:sz w:val="24"/>
          <w:highlight w:val="none"/>
        </w:rPr>
        <w:t>的;</w:t>
      </w:r>
    </w:p>
    <w:p w14:paraId="38EFD2F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lang w:eastAsia="zh-CN"/>
        </w:rPr>
        <w:t>响应报价</w:t>
      </w:r>
      <w:r>
        <w:rPr>
          <w:rFonts w:hint="eastAsia" w:ascii="仿宋" w:hAnsi="仿宋" w:eastAsia="仿宋" w:cs="仿宋"/>
          <w:color w:val="auto"/>
          <w:kern w:val="0"/>
          <w:sz w:val="24"/>
          <w:highlight w:val="none"/>
        </w:rPr>
        <w:t>超过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中规定的预算金额或者最高限价的;</w:t>
      </w:r>
    </w:p>
    <w:p w14:paraId="678139A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报价明显低于其他通过符合性审查</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的报价，有可能影响产品质量或者不能诚信履约的，未能按要求提供书面说明或者提交相关证明材料，不能证明其报价合理性的;</w:t>
      </w:r>
    </w:p>
    <w:p w14:paraId="068A633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对根据修正原则修正后的报价不确认的；</w:t>
      </w:r>
    </w:p>
    <w:p w14:paraId="4F1F0C2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提供虚假材料</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的；</w:t>
      </w:r>
    </w:p>
    <w:p w14:paraId="33A6DEEC">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w:t>
      </w:r>
      <w:r>
        <w:rPr>
          <w:rFonts w:hint="eastAsia" w:ascii="仿宋" w:hAnsi="仿宋" w:eastAsia="仿宋" w:cs="仿宋"/>
          <w:color w:val="auto"/>
          <w:kern w:val="0"/>
          <w:sz w:val="24"/>
          <w:highlight w:val="none"/>
          <w:lang w:val="en-US" w:eastAsia="zh-CN"/>
        </w:rPr>
        <w:t>0</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有恶意串通、妨碍其他</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的竞争行为、损害采购人或者其他</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的合法权益情形的；</w:t>
      </w:r>
    </w:p>
    <w:p w14:paraId="6E78830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仅提交备份</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，未在电子交易平台传输递交</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lang w:eastAsia="zh-CN"/>
        </w:rPr>
        <w:t>响应无效</w:t>
      </w:r>
      <w:r>
        <w:rPr>
          <w:rFonts w:hint="eastAsia" w:ascii="仿宋" w:hAnsi="仿宋" w:eastAsia="仿宋" w:cs="仿宋"/>
          <w:color w:val="auto"/>
          <w:kern w:val="0"/>
          <w:sz w:val="24"/>
          <w:highlight w:val="none"/>
        </w:rPr>
        <w:t>；</w:t>
      </w:r>
    </w:p>
    <w:p w14:paraId="351670D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rPr>
        <w:t>4.2.1</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val="en-US"/>
        </w:rPr>
        <w:t xml:space="preserve"> </w:t>
      </w:r>
      <w:r>
        <w:rPr>
          <w:rFonts w:hint="eastAsia" w:ascii="仿宋" w:hAnsi="仿宋" w:eastAsia="仿宋" w:cs="仿宋"/>
          <w:color w:val="auto"/>
          <w:kern w:val="0"/>
          <w:sz w:val="24"/>
          <w:highlight w:val="none"/>
          <w:lang w:val="en-US" w:eastAsia="zh-CN"/>
        </w:rPr>
        <w:t>响应文件</w:t>
      </w:r>
      <w:r>
        <w:rPr>
          <w:rFonts w:hint="eastAsia" w:ascii="仿宋" w:hAnsi="仿宋" w:eastAsia="仿宋" w:cs="仿宋"/>
          <w:color w:val="auto"/>
          <w:kern w:val="0"/>
          <w:sz w:val="24"/>
          <w:highlight w:val="none"/>
          <w:lang w:val="en-US"/>
        </w:rPr>
        <w:t>不满足</w:t>
      </w:r>
      <w:r>
        <w:rPr>
          <w:rFonts w:hint="eastAsia" w:ascii="仿宋" w:hAnsi="仿宋" w:eastAsia="仿宋" w:cs="仿宋"/>
          <w:color w:val="auto"/>
          <w:kern w:val="0"/>
          <w:sz w:val="24"/>
          <w:highlight w:val="none"/>
          <w:lang w:val="en-US" w:eastAsia="zh-CN"/>
        </w:rPr>
        <w:t>交易文件</w:t>
      </w:r>
      <w:r>
        <w:rPr>
          <w:rFonts w:hint="eastAsia" w:ascii="仿宋" w:hAnsi="仿宋" w:eastAsia="仿宋" w:cs="仿宋"/>
          <w:color w:val="auto"/>
          <w:kern w:val="0"/>
          <w:sz w:val="24"/>
          <w:highlight w:val="none"/>
          <w:lang w:val="en-US"/>
        </w:rPr>
        <w:t>的实质性要求的；</w:t>
      </w:r>
    </w:p>
    <w:p w14:paraId="00487C2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7E173529">
      <w:pPr>
        <w:pStyle w:val="24"/>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061E94FF">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作实质响应的供应商不足3家的；</w:t>
      </w:r>
    </w:p>
    <w:p w14:paraId="1B2B2B2A">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5DB996C0">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的报价均超过了采购预算，采购人不能支付的；</w:t>
      </w:r>
    </w:p>
    <w:p w14:paraId="58243989">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77DC1813">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w:t>
      </w:r>
    </w:p>
    <w:p w14:paraId="6D95ED6C">
      <w:pPr>
        <w:pStyle w:val="24"/>
        <w:snapToGrid w:val="0"/>
        <w:spacing w:line="360" w:lineRule="auto"/>
        <w:rPr>
          <w:rFonts w:hint="eastAsia" w:ascii="仿宋" w:hAnsi="仿宋" w:eastAsia="仿宋" w:cs="仿宋"/>
          <w:color w:val="auto"/>
          <w:highlight w:val="none"/>
        </w:rPr>
      </w:pPr>
      <w:r>
        <w:rPr>
          <w:rFonts w:hint="eastAsia" w:ascii="仿宋" w:hAnsi="仿宋" w:eastAsia="仿宋" w:cs="仿宋"/>
          <w:b/>
          <w:color w:val="auto"/>
          <w:highlight w:val="none"/>
        </w:rPr>
        <w:t>6.修改</w:t>
      </w:r>
      <w:r>
        <w:rPr>
          <w:rFonts w:hint="eastAsia" w:ascii="仿宋" w:hAnsi="仿宋" w:eastAsia="仿宋" w:cs="仿宋"/>
          <w:b/>
          <w:color w:val="auto"/>
          <w:highlight w:val="none"/>
          <w:lang w:eastAsia="zh-CN"/>
        </w:rPr>
        <w:t>交易文件</w:t>
      </w:r>
      <w:r>
        <w:rPr>
          <w:rFonts w:hint="eastAsia" w:ascii="仿宋" w:hAnsi="仿宋" w:eastAsia="仿宋" w:cs="仿宋"/>
          <w:b/>
          <w:color w:val="auto"/>
          <w:highlight w:val="none"/>
        </w:rPr>
        <w:t>，重新组织采购活动。</w:t>
      </w:r>
      <w:r>
        <w:rPr>
          <w:rFonts w:hint="eastAsia" w:ascii="仿宋" w:hAnsi="仿宋" w:eastAsia="仿宋" w:cs="仿宋"/>
          <w:color w:val="auto"/>
          <w:highlight w:val="none"/>
        </w:rPr>
        <w:t>评标委员会发现</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存在歧义、重大缺陷导致评标工作无法进行，或者</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，重新组织采购活动。</w:t>
      </w:r>
    </w:p>
    <w:p w14:paraId="207923B2">
      <w:pPr>
        <w:pStyle w:val="24"/>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结果的，依照下列规定处理：</w:t>
      </w:r>
    </w:p>
    <w:p w14:paraId="14210B8A">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供应商的，终止本次采购活动，重新开展采购活动。</w:t>
      </w:r>
    </w:p>
    <w:p w14:paraId="39075799">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供应商但尚未签订采购合同的，</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结果无效，从合格的</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候选人中另行确定</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供应商；没有合格的</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候选人的，重新开展采购活动。</w:t>
      </w:r>
    </w:p>
    <w:p w14:paraId="67457603">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7.3采购合同已签订但尚未履行的，撤销合同，从合格的</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候选人中另行确定</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供应商；没有合格的</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候选人的，重新开展采购活动。</w:t>
      </w:r>
    </w:p>
    <w:p w14:paraId="2E79D172">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7.4采购合同已经履行，给采购人、供应商造成损失的，由责任人承担赔偿责任。</w:t>
      </w:r>
    </w:p>
    <w:p w14:paraId="3EB0DE18">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7.5采购当事人有其他违反政府采购法或者政府采购法实施条例等法律法规规定的行为，经改正后仍然影响或者可能影响</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结果或者依法被认定为</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无效的，依照7.1-7.4规定处理。</w:t>
      </w:r>
    </w:p>
    <w:p w14:paraId="7A58A651">
      <w:pPr>
        <w:pStyle w:val="24"/>
        <w:snapToGrid w:val="0"/>
        <w:spacing w:line="360" w:lineRule="auto"/>
        <w:ind w:firstLine="0" w:firstLineChars="0"/>
        <w:rPr>
          <w:rFonts w:hint="eastAsia" w:ascii="仿宋" w:hAnsi="仿宋" w:eastAsia="仿宋" w:cs="仿宋"/>
          <w:color w:val="auto"/>
          <w:highlight w:val="none"/>
        </w:rPr>
      </w:pPr>
    </w:p>
    <w:bookmarkEnd w:id="27"/>
    <w:p w14:paraId="1A0E85FD">
      <w:pPr>
        <w:spacing w:line="360" w:lineRule="auto"/>
        <w:ind w:left="720" w:leftChars="343" w:firstLine="1084" w:firstLineChars="300"/>
        <w:outlineLvl w:val="0"/>
        <w:rPr>
          <w:rFonts w:hint="eastAsia" w:ascii="仿宋" w:hAnsi="仿宋" w:eastAsia="仿宋" w:cs="仿宋"/>
          <w:b/>
          <w:color w:val="auto"/>
          <w:sz w:val="36"/>
          <w:szCs w:val="36"/>
          <w:highlight w:val="none"/>
        </w:rPr>
      </w:pPr>
      <w:bookmarkStart w:id="393" w:name="第五部分"/>
      <w:bookmarkStart w:id="394" w:name="_Toc86217003"/>
    </w:p>
    <w:p w14:paraId="611D07A6">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14:paraId="049CC45D">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76BD0A21">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6A0C2470">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712FB9AB">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2547B01B">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165510CE">
      <w:pPr>
        <w:widowControl/>
        <w:adjustRightInd/>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2CAB1233">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225D57D3">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合同范本供参考，以实际签订合同为准</w:t>
      </w:r>
      <w:r>
        <w:rPr>
          <w:rFonts w:hint="eastAsia" w:ascii="仿宋" w:hAnsi="仿宋" w:eastAsia="仿宋" w:cs="仿宋"/>
          <w:color w:val="auto"/>
          <w:sz w:val="24"/>
          <w:highlight w:val="none"/>
          <w:lang w:eastAsia="zh-CN"/>
        </w:rPr>
        <w:t>）</w:t>
      </w:r>
    </w:p>
    <w:p w14:paraId="682A86C1">
      <w:pPr>
        <w:rPr>
          <w:rFonts w:hint="eastAsia" w:ascii="仿宋" w:hAnsi="仿宋" w:eastAsia="仿宋" w:cs="仿宋"/>
          <w:color w:val="auto"/>
          <w:sz w:val="24"/>
          <w:highlight w:val="none"/>
        </w:rPr>
      </w:pPr>
    </w:p>
    <w:p w14:paraId="33E74060">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17E9C30A">
      <w:pPr>
        <w:spacing w:line="480" w:lineRule="auto"/>
        <w:jc w:val="center"/>
        <w:rPr>
          <w:rFonts w:hint="eastAsia" w:ascii="仿宋" w:hAnsi="仿宋" w:eastAsia="仿宋" w:cs="仿宋"/>
          <w:b/>
          <w:color w:val="auto"/>
          <w:sz w:val="28"/>
          <w:szCs w:val="28"/>
          <w:highlight w:val="none"/>
        </w:rPr>
      </w:pPr>
    </w:p>
    <w:p w14:paraId="0435CF0C">
      <w:pPr>
        <w:spacing w:line="480" w:lineRule="auto"/>
        <w:jc w:val="center"/>
        <w:rPr>
          <w:rFonts w:hint="eastAsia" w:ascii="仿宋" w:hAnsi="仿宋" w:eastAsia="仿宋" w:cs="仿宋"/>
          <w:b/>
          <w:color w:val="auto"/>
          <w:sz w:val="24"/>
          <w:highlight w:val="none"/>
        </w:rPr>
      </w:pPr>
    </w:p>
    <w:p w14:paraId="65DC0A32">
      <w:pPr>
        <w:spacing w:line="480" w:lineRule="auto"/>
        <w:jc w:val="center"/>
        <w:rPr>
          <w:rFonts w:hint="eastAsia" w:ascii="仿宋" w:hAnsi="仿宋" w:eastAsia="仿宋" w:cs="仿宋"/>
          <w:b/>
          <w:color w:val="auto"/>
          <w:sz w:val="24"/>
          <w:highlight w:val="none"/>
        </w:rPr>
      </w:pPr>
    </w:p>
    <w:p w14:paraId="68FF4F4A">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40A1F567">
      <w:pPr>
        <w:pStyle w:val="62"/>
        <w:rPr>
          <w:rFonts w:hint="eastAsia"/>
        </w:rPr>
      </w:pPr>
    </w:p>
    <w:p w14:paraId="2388EE01">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3"/>
      <w:r>
        <w:rPr>
          <w:rFonts w:hint="eastAsia" w:ascii="仿宋" w:hAnsi="仿宋" w:eastAsia="仿宋" w:cs="仿宋"/>
          <w:b/>
          <w:color w:val="auto"/>
          <w:sz w:val="36"/>
          <w:szCs w:val="20"/>
          <w:highlight w:val="none"/>
        </w:rPr>
        <w:t xml:space="preserve"> </w:t>
      </w:r>
      <w:bookmarkEnd w:id="394"/>
      <w:r>
        <w:rPr>
          <w:rFonts w:hint="eastAsia" w:ascii="仿宋" w:hAnsi="仿宋" w:eastAsia="仿宋" w:cs="仿宋"/>
          <w:b/>
          <w:color w:val="auto"/>
          <w:sz w:val="36"/>
          <w:szCs w:val="20"/>
          <w:highlight w:val="none"/>
        </w:rPr>
        <w:t>应提交的有关格式范例</w:t>
      </w:r>
    </w:p>
    <w:p w14:paraId="5FE42232">
      <w:pPr>
        <w:spacing w:line="360" w:lineRule="auto"/>
        <w:jc w:val="center"/>
        <w:outlineLvl w:val="0"/>
        <w:rPr>
          <w:rFonts w:hint="eastAsia" w:ascii="仿宋" w:hAnsi="仿宋" w:eastAsia="仿宋" w:cs="仿宋"/>
          <w:b/>
          <w:color w:val="auto"/>
          <w:kern w:val="0"/>
          <w:sz w:val="36"/>
          <w:szCs w:val="36"/>
          <w:highlight w:val="none"/>
        </w:rPr>
      </w:pPr>
    </w:p>
    <w:p w14:paraId="2C71CD5B">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4FD117C5">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B0F425A">
      <w:pPr>
        <w:spacing w:line="360" w:lineRule="auto"/>
        <w:jc w:val="center"/>
        <w:outlineLvl w:val="0"/>
        <w:rPr>
          <w:rFonts w:hint="eastAsia" w:ascii="仿宋" w:hAnsi="仿宋" w:eastAsia="仿宋" w:cs="仿宋"/>
          <w:b/>
          <w:color w:val="auto"/>
          <w:kern w:val="0"/>
          <w:sz w:val="36"/>
          <w:szCs w:val="36"/>
          <w:highlight w:val="none"/>
        </w:rPr>
      </w:pPr>
    </w:p>
    <w:p w14:paraId="40A40CD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（1）符合参加采购活动应当具备的一般条件的承诺函……………（页码）</w:t>
      </w:r>
    </w:p>
    <w:p w14:paraId="2D5FB764">
      <w:pPr>
        <w:snapToGrid w:val="0"/>
        <w:spacing w:line="360" w:lineRule="auto"/>
        <w:ind w:firstLine="480" w:firstLineChars="200"/>
        <w:rPr>
          <w:rFonts w:hint="eastAsia" w:ascii="仿宋" w:hAnsi="仿宋" w:eastAsia="仿宋" w:cs="仿宋"/>
          <w:color w:val="auto"/>
          <w:sz w:val="24"/>
          <w:highlight w:val="none"/>
        </w:rPr>
      </w:pPr>
    </w:p>
    <w:p w14:paraId="752404DB">
      <w:pPr>
        <w:spacing w:line="360" w:lineRule="auto"/>
        <w:ind w:firstLine="480" w:firstLineChars="200"/>
        <w:rPr>
          <w:rFonts w:hint="eastAsia" w:ascii="仿宋" w:hAnsi="仿宋" w:eastAsia="仿宋" w:cs="仿宋"/>
          <w:color w:val="auto"/>
          <w:sz w:val="24"/>
          <w:highlight w:val="none"/>
        </w:rPr>
      </w:pPr>
    </w:p>
    <w:p w14:paraId="6FF3D0A1">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符合参加采购活动应当具备的一般条件的承诺函</w:t>
      </w:r>
    </w:p>
    <w:p w14:paraId="442CD89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60A500A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】采购活动，郑重承诺：</w:t>
      </w:r>
    </w:p>
    <w:p w14:paraId="79E366EA">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275D96C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77E226E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0DA240F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017C367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440C877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3403A06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248C036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19131F3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5F042CE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1、单位负责人为同一人或者存在直接控股、管理关系的不同供应商参加同一合同项下的采购活动的；</w:t>
      </w:r>
    </w:p>
    <w:p w14:paraId="3AC5CBA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642D464E">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7B492683">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7D804FA0">
      <w:pPr>
        <w:snapToGrid w:val="0"/>
        <w:spacing w:line="360" w:lineRule="auto"/>
        <w:ind w:right="480" w:firstLine="559" w:firstLineChars="233"/>
        <w:jc w:val="left"/>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采购活动，由单位负责人签署相关文件材料。</w:t>
      </w:r>
    </w:p>
    <w:p w14:paraId="375F6227">
      <w:pPr>
        <w:rPr>
          <w:rFonts w:hint="eastAsia" w:ascii="仿宋" w:hAnsi="仿宋" w:eastAsia="仿宋" w:cs="仿宋"/>
          <w:color w:val="auto"/>
          <w:highlight w:val="none"/>
        </w:rPr>
      </w:pPr>
    </w:p>
    <w:p w14:paraId="37CCFEA4">
      <w:pPr>
        <w:snapToGrid w:val="0"/>
        <w:spacing w:line="360" w:lineRule="auto"/>
        <w:ind w:right="480"/>
        <w:jc w:val="center"/>
        <w:rPr>
          <w:rFonts w:hint="eastAsia" w:ascii="仿宋" w:hAnsi="仿宋" w:eastAsia="仿宋" w:cs="仿宋"/>
          <w:b/>
          <w:color w:val="auto"/>
          <w:kern w:val="0"/>
          <w:sz w:val="32"/>
          <w:szCs w:val="32"/>
          <w:highlight w:val="none"/>
        </w:rPr>
      </w:pPr>
    </w:p>
    <w:p w14:paraId="29EAE3A5">
      <w:pPr>
        <w:widowControl/>
        <w:adjustRightInd/>
        <w:jc w:val="left"/>
        <w:rPr>
          <w:rFonts w:hint="eastAsia" w:ascii="仿宋" w:hAnsi="仿宋" w:eastAsia="仿宋" w:cs="仿宋"/>
          <w:b/>
          <w:color w:val="auto"/>
          <w:kern w:val="0"/>
          <w:sz w:val="32"/>
          <w:szCs w:val="32"/>
          <w:highlight w:val="none"/>
        </w:rPr>
      </w:pPr>
    </w:p>
    <w:p w14:paraId="3A3554E9">
      <w:pPr>
        <w:widowControl/>
        <w:adjustRightInd/>
        <w:jc w:val="left"/>
        <w:rPr>
          <w:rFonts w:hint="eastAsia" w:ascii="仿宋" w:hAnsi="仿宋" w:eastAsia="仿宋" w:cs="仿宋"/>
          <w:b/>
          <w:color w:val="auto"/>
          <w:kern w:val="0"/>
          <w:sz w:val="36"/>
          <w:szCs w:val="36"/>
          <w:highlight w:val="none"/>
        </w:rPr>
      </w:pPr>
    </w:p>
    <w:p w14:paraId="59F7E631">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14A9DD8A">
      <w:pPr>
        <w:spacing w:line="360" w:lineRule="auto"/>
        <w:jc w:val="center"/>
        <w:outlineLvl w:val="0"/>
        <w:rPr>
          <w:rFonts w:hint="eastAsia" w:ascii="仿宋" w:hAnsi="仿宋" w:eastAsia="仿宋" w:cs="仿宋"/>
          <w:b/>
          <w:color w:val="auto"/>
          <w:kern w:val="0"/>
          <w:sz w:val="24"/>
          <w:highlight w:val="none"/>
        </w:rPr>
      </w:pPr>
    </w:p>
    <w:p w14:paraId="097D83C8">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227FE5DC">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响应函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5E6B0F0C">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）符合性审查资料</w:t>
      </w:r>
      <w:r>
        <w:rPr>
          <w:rFonts w:hint="eastAsia" w:ascii="仿宋" w:hAnsi="仿宋" w:eastAsia="仿宋" w:cs="仿宋"/>
          <w:color w:val="auto"/>
          <w:highlight w:val="none"/>
        </w:rPr>
        <w:t>………………………………………………………………………（页码）</w:t>
      </w:r>
    </w:p>
    <w:p w14:paraId="708A5174">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）商务技术偏离表</w:t>
      </w:r>
      <w:r>
        <w:rPr>
          <w:rFonts w:hint="eastAsia" w:ascii="仿宋" w:hAnsi="仿宋" w:eastAsia="仿宋" w:cs="仿宋"/>
          <w:color w:val="auto"/>
          <w:highlight w:val="none"/>
        </w:rPr>
        <w:t>………………………………………………………………………（页码）</w:t>
      </w:r>
    </w:p>
    <w:p w14:paraId="43813740">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val="zh-CN"/>
        </w:rPr>
        <w:t>）供应商廉洁自律承诺书</w:t>
      </w:r>
      <w:r>
        <w:rPr>
          <w:rFonts w:hint="eastAsia" w:ascii="仿宋" w:hAnsi="仿宋" w:eastAsia="仿宋" w:cs="仿宋"/>
          <w:color w:val="auto"/>
          <w:highlight w:val="none"/>
        </w:rPr>
        <w:t>………………………………………………………（页码）</w:t>
      </w:r>
    </w:p>
    <w:p w14:paraId="6DE98164">
      <w:pPr>
        <w:snapToGrid w:val="0"/>
        <w:spacing w:line="360" w:lineRule="auto"/>
        <w:jc w:val="center"/>
        <w:rPr>
          <w:rFonts w:hint="eastAsia" w:ascii="仿宋" w:hAnsi="仿宋" w:eastAsia="仿宋" w:cs="仿宋"/>
          <w:b/>
          <w:color w:val="auto"/>
          <w:kern w:val="0"/>
          <w:sz w:val="32"/>
          <w:szCs w:val="32"/>
          <w:highlight w:val="none"/>
          <w:lang w:val="zh-CN"/>
        </w:rPr>
      </w:pPr>
    </w:p>
    <w:p w14:paraId="44A2D898">
      <w:pPr>
        <w:snapToGrid w:val="0"/>
        <w:spacing w:line="360" w:lineRule="auto"/>
        <w:jc w:val="center"/>
        <w:rPr>
          <w:rFonts w:hint="eastAsia" w:ascii="仿宋" w:hAnsi="仿宋" w:eastAsia="仿宋" w:cs="仿宋"/>
          <w:b/>
          <w:color w:val="auto"/>
          <w:kern w:val="0"/>
          <w:sz w:val="32"/>
          <w:szCs w:val="32"/>
          <w:highlight w:val="none"/>
          <w:lang w:val="zh-CN"/>
        </w:rPr>
      </w:pPr>
    </w:p>
    <w:p w14:paraId="3A9756B7">
      <w:pPr>
        <w:snapToGrid w:val="0"/>
        <w:spacing w:line="360" w:lineRule="auto"/>
        <w:jc w:val="center"/>
        <w:rPr>
          <w:rFonts w:hint="eastAsia" w:ascii="仿宋" w:hAnsi="仿宋" w:eastAsia="仿宋" w:cs="仿宋"/>
          <w:b/>
          <w:color w:val="auto"/>
          <w:kern w:val="0"/>
          <w:sz w:val="32"/>
          <w:szCs w:val="32"/>
          <w:highlight w:val="none"/>
          <w:lang w:val="zh-CN"/>
        </w:rPr>
      </w:pPr>
    </w:p>
    <w:p w14:paraId="68EE5091">
      <w:pPr>
        <w:snapToGrid w:val="0"/>
        <w:spacing w:line="360" w:lineRule="auto"/>
        <w:jc w:val="center"/>
        <w:rPr>
          <w:rFonts w:hint="eastAsia" w:ascii="仿宋" w:hAnsi="仿宋" w:eastAsia="仿宋" w:cs="仿宋"/>
          <w:b/>
          <w:color w:val="auto"/>
          <w:kern w:val="0"/>
          <w:sz w:val="32"/>
          <w:szCs w:val="32"/>
          <w:highlight w:val="none"/>
          <w:lang w:val="zh-CN"/>
        </w:rPr>
      </w:pPr>
    </w:p>
    <w:p w14:paraId="12345959">
      <w:pPr>
        <w:snapToGrid w:val="0"/>
        <w:spacing w:line="360" w:lineRule="auto"/>
        <w:jc w:val="center"/>
        <w:rPr>
          <w:rFonts w:hint="eastAsia" w:ascii="仿宋" w:hAnsi="仿宋" w:eastAsia="仿宋" w:cs="仿宋"/>
          <w:b/>
          <w:color w:val="auto"/>
          <w:kern w:val="0"/>
          <w:sz w:val="32"/>
          <w:szCs w:val="32"/>
          <w:highlight w:val="none"/>
          <w:lang w:val="zh-CN"/>
        </w:rPr>
      </w:pPr>
    </w:p>
    <w:p w14:paraId="7B0C6B3D">
      <w:pPr>
        <w:snapToGrid w:val="0"/>
        <w:spacing w:line="360" w:lineRule="auto"/>
        <w:jc w:val="center"/>
        <w:rPr>
          <w:rFonts w:hint="eastAsia" w:ascii="仿宋" w:hAnsi="仿宋" w:eastAsia="仿宋" w:cs="仿宋"/>
          <w:b/>
          <w:color w:val="auto"/>
          <w:kern w:val="0"/>
          <w:sz w:val="32"/>
          <w:szCs w:val="32"/>
          <w:highlight w:val="none"/>
          <w:lang w:val="zh-CN"/>
        </w:rPr>
      </w:pPr>
    </w:p>
    <w:p w14:paraId="544D1289">
      <w:pPr>
        <w:snapToGrid w:val="0"/>
        <w:spacing w:line="360" w:lineRule="auto"/>
        <w:jc w:val="center"/>
        <w:rPr>
          <w:rFonts w:hint="eastAsia" w:ascii="仿宋" w:hAnsi="仿宋" w:eastAsia="仿宋" w:cs="仿宋"/>
          <w:b/>
          <w:color w:val="auto"/>
          <w:kern w:val="0"/>
          <w:sz w:val="32"/>
          <w:szCs w:val="32"/>
          <w:highlight w:val="none"/>
          <w:lang w:val="zh-CN"/>
        </w:rPr>
      </w:pPr>
    </w:p>
    <w:p w14:paraId="0D395C1A">
      <w:pPr>
        <w:snapToGrid w:val="0"/>
        <w:spacing w:line="360" w:lineRule="auto"/>
        <w:jc w:val="center"/>
        <w:rPr>
          <w:rFonts w:hint="eastAsia" w:ascii="仿宋" w:hAnsi="仿宋" w:eastAsia="仿宋" w:cs="仿宋"/>
          <w:b/>
          <w:color w:val="auto"/>
          <w:kern w:val="0"/>
          <w:sz w:val="32"/>
          <w:szCs w:val="32"/>
          <w:highlight w:val="none"/>
          <w:lang w:val="zh-CN"/>
        </w:rPr>
      </w:pPr>
    </w:p>
    <w:p w14:paraId="6CA4691C">
      <w:pPr>
        <w:snapToGrid w:val="0"/>
        <w:spacing w:line="360" w:lineRule="auto"/>
        <w:jc w:val="center"/>
        <w:rPr>
          <w:rFonts w:hint="eastAsia" w:ascii="仿宋" w:hAnsi="仿宋" w:eastAsia="仿宋" w:cs="仿宋"/>
          <w:b/>
          <w:color w:val="auto"/>
          <w:kern w:val="0"/>
          <w:sz w:val="32"/>
          <w:szCs w:val="32"/>
          <w:highlight w:val="none"/>
          <w:lang w:val="zh-CN"/>
        </w:rPr>
      </w:pPr>
    </w:p>
    <w:p w14:paraId="190E3A76">
      <w:pPr>
        <w:snapToGrid w:val="0"/>
        <w:spacing w:line="360" w:lineRule="auto"/>
        <w:jc w:val="center"/>
        <w:rPr>
          <w:rFonts w:hint="eastAsia" w:ascii="仿宋" w:hAnsi="仿宋" w:eastAsia="仿宋" w:cs="仿宋"/>
          <w:b/>
          <w:color w:val="auto"/>
          <w:kern w:val="0"/>
          <w:sz w:val="32"/>
          <w:szCs w:val="32"/>
          <w:highlight w:val="none"/>
          <w:lang w:val="zh-CN"/>
        </w:rPr>
      </w:pPr>
    </w:p>
    <w:p w14:paraId="36BD6781">
      <w:pPr>
        <w:snapToGrid w:val="0"/>
        <w:spacing w:line="360" w:lineRule="auto"/>
        <w:jc w:val="center"/>
        <w:rPr>
          <w:rFonts w:hint="eastAsia" w:ascii="仿宋" w:hAnsi="仿宋" w:eastAsia="仿宋" w:cs="仿宋"/>
          <w:b/>
          <w:color w:val="auto"/>
          <w:kern w:val="0"/>
          <w:sz w:val="32"/>
          <w:szCs w:val="32"/>
          <w:highlight w:val="none"/>
          <w:lang w:val="zh-CN"/>
        </w:rPr>
      </w:pPr>
    </w:p>
    <w:p w14:paraId="7B29DD5F">
      <w:pPr>
        <w:snapToGrid w:val="0"/>
        <w:spacing w:line="360" w:lineRule="auto"/>
        <w:jc w:val="center"/>
        <w:rPr>
          <w:rFonts w:hint="eastAsia" w:ascii="仿宋" w:hAnsi="仿宋" w:eastAsia="仿宋" w:cs="仿宋"/>
          <w:b/>
          <w:color w:val="auto"/>
          <w:kern w:val="0"/>
          <w:sz w:val="32"/>
          <w:szCs w:val="32"/>
          <w:highlight w:val="none"/>
          <w:lang w:val="zh-CN"/>
        </w:rPr>
      </w:pPr>
    </w:p>
    <w:p w14:paraId="6FA984EA">
      <w:pPr>
        <w:rPr>
          <w:rFonts w:hint="eastAsia" w:ascii="仿宋" w:hAnsi="仿宋" w:eastAsia="仿宋" w:cs="仿宋"/>
          <w:b/>
          <w:color w:val="auto"/>
          <w:kern w:val="0"/>
          <w:sz w:val="32"/>
          <w:szCs w:val="32"/>
          <w:highlight w:val="none"/>
          <w:lang w:val="zh-CN"/>
        </w:rPr>
      </w:pPr>
    </w:p>
    <w:p w14:paraId="5CE75F0B">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0665DDB">
      <w:pPr>
        <w:snapToGrid w:val="0"/>
        <w:spacing w:line="360" w:lineRule="auto"/>
        <w:jc w:val="center"/>
        <w:outlineLvl w:val="0"/>
        <w:rPr>
          <w:rFonts w:hint="eastAsia" w:ascii="仿宋" w:hAnsi="仿宋" w:eastAsia="仿宋" w:cs="仿宋"/>
          <w:b/>
          <w:color w:val="auto"/>
          <w:sz w:val="32"/>
          <w:szCs w:val="32"/>
          <w:highlight w:val="none"/>
          <w:lang w:eastAsia="zh-CN"/>
        </w:rPr>
      </w:pPr>
      <w:r>
        <w:rPr>
          <w:rFonts w:hint="eastAsia" w:ascii="仿宋" w:hAnsi="仿宋" w:eastAsia="仿宋" w:cs="仿宋"/>
          <w:b/>
          <w:color w:val="auto"/>
          <w:kern w:val="0"/>
          <w:sz w:val="32"/>
          <w:szCs w:val="32"/>
          <w:highlight w:val="none"/>
        </w:rPr>
        <w:t>一、</w:t>
      </w:r>
      <w:r>
        <w:rPr>
          <w:rFonts w:hint="eastAsia" w:ascii="仿宋" w:hAnsi="仿宋" w:eastAsia="仿宋" w:cs="仿宋"/>
          <w:b/>
          <w:color w:val="auto"/>
          <w:kern w:val="0"/>
          <w:sz w:val="32"/>
          <w:szCs w:val="32"/>
          <w:highlight w:val="none"/>
          <w:lang w:eastAsia="zh-CN"/>
        </w:rPr>
        <w:t>响应函</w:t>
      </w:r>
    </w:p>
    <w:p w14:paraId="7759CA2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1516970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的有关活动，并对此项目进行</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。为此：</w:t>
      </w:r>
    </w:p>
    <w:p w14:paraId="3B2204B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w:t>
      </w:r>
      <w:r>
        <w:rPr>
          <w:rFonts w:hint="eastAsia" w:ascii="仿宋" w:hAnsi="仿宋" w:eastAsia="仿宋" w:cs="仿宋"/>
          <w:color w:val="auto"/>
          <w:sz w:val="24"/>
          <w:highlight w:val="none"/>
          <w:lang w:eastAsia="zh-CN"/>
        </w:rPr>
        <w:t>响应有效期</w:t>
      </w:r>
      <w:r>
        <w:rPr>
          <w:rFonts w:hint="eastAsia" w:ascii="仿宋" w:hAnsi="仿宋" w:eastAsia="仿宋" w:cs="仿宋"/>
          <w:color w:val="auto"/>
          <w:sz w:val="24"/>
          <w:highlight w:val="none"/>
        </w:rPr>
        <w:t>从提交</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eastAsia="zh-CN"/>
        </w:rPr>
        <w:t>响应有效期</w:t>
      </w:r>
      <w:r>
        <w:rPr>
          <w:rFonts w:hint="eastAsia" w:ascii="仿宋" w:hAnsi="仿宋" w:eastAsia="仿宋" w:cs="仿宋"/>
          <w:color w:val="auto"/>
          <w:sz w:val="24"/>
          <w:highlight w:val="none"/>
        </w:rPr>
        <w:t>满之前均具有约束力。</w:t>
      </w:r>
    </w:p>
    <w:p w14:paraId="09DF3FE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包括以下内容：</w:t>
      </w:r>
    </w:p>
    <w:p w14:paraId="3910265E">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2806FC34">
      <w:pPr>
        <w:snapToGrid w:val="0"/>
        <w:spacing w:line="360" w:lineRule="auto"/>
        <w:ind w:left="420" w:leftChars="20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2.1.1承诺函</w:t>
      </w:r>
      <w:r>
        <w:rPr>
          <w:rFonts w:hint="eastAsia" w:ascii="仿宋" w:hAnsi="仿宋" w:eastAsia="仿宋" w:cs="仿宋"/>
          <w:color w:val="auto"/>
          <w:sz w:val="24"/>
          <w:highlight w:val="none"/>
          <w:lang w:eastAsia="zh-CN"/>
        </w:rPr>
        <w:t>。</w:t>
      </w:r>
    </w:p>
    <w:p w14:paraId="571B6EAB">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466368A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w:t>
      </w:r>
      <w:r>
        <w:rPr>
          <w:rFonts w:hint="eastAsia" w:ascii="仿宋" w:hAnsi="仿宋" w:eastAsia="仿宋" w:cs="仿宋"/>
          <w:color w:val="auto"/>
          <w:sz w:val="24"/>
          <w:highlight w:val="none"/>
          <w:lang w:eastAsia="zh-CN"/>
        </w:rPr>
        <w:t>响应函</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 xml:space="preserve"> </w:t>
      </w:r>
    </w:p>
    <w:p w14:paraId="6B6E843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3B41336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符合性审查资料；</w:t>
      </w:r>
    </w:p>
    <w:p w14:paraId="3A9215D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评标标准相应的商务技术资料；</w:t>
      </w:r>
    </w:p>
    <w:p w14:paraId="67A58F6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商务技术偏离表；</w:t>
      </w:r>
    </w:p>
    <w:p w14:paraId="604B1B13">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val="zh-CN"/>
        </w:rPr>
        <w:t>供应商廉洁自律承诺书；</w:t>
      </w:r>
    </w:p>
    <w:p w14:paraId="0B47F53C">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11E767D1">
      <w:pPr>
        <w:snapToGrid w:val="0"/>
        <w:spacing w:line="360" w:lineRule="auto"/>
        <w:ind w:left="420" w:leftChars="20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2.3.1</w:t>
      </w:r>
      <w:r>
        <w:rPr>
          <w:rFonts w:hint="eastAsia" w:ascii="仿宋" w:hAnsi="仿宋" w:eastAsia="仿宋" w:cs="仿宋"/>
          <w:color w:val="auto"/>
          <w:sz w:val="24"/>
          <w:highlight w:val="none"/>
          <w:lang w:eastAsia="zh-CN"/>
        </w:rPr>
        <w:t>响应一览表（报价表）。</w:t>
      </w:r>
    </w:p>
    <w:p w14:paraId="7F33DC5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的全部要求。</w:t>
      </w:r>
    </w:p>
    <w:p w14:paraId="4145751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，我方承诺：</w:t>
      </w:r>
    </w:p>
    <w:p w14:paraId="0AF6C79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4.1在收到</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通知书后，在</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 xml:space="preserve">通知书规定的期限内与你方签订合同； </w:t>
      </w:r>
    </w:p>
    <w:p w14:paraId="3C643FA4">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550CFCA6">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4.3按照</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 xml:space="preserve">要求提交履约保证金； </w:t>
      </w:r>
    </w:p>
    <w:p w14:paraId="18146208">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5D7AC11E">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8DFEB7D">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 xml:space="preserve">名称（电子签名）：                          </w:t>
      </w:r>
    </w:p>
    <w:p w14:paraId="5EFB8CC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500EB5A">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66167DAB">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6C5C768">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2F22EAC6">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注：▲供应商委派不在本单位缴纳社保的人员作为授权代表（代理人）的，应当在响应文件中，说明具体原因、授权代表缴纳社保的单位，并附列该授权代表缴纳社保清单。</w:t>
      </w:r>
    </w:p>
    <w:p w14:paraId="797DD395">
      <w:pPr>
        <w:snapToGrid w:val="0"/>
        <w:spacing w:line="360" w:lineRule="auto"/>
        <w:rPr>
          <w:rFonts w:hint="eastAsia" w:ascii="仿宋" w:hAnsi="仿宋" w:eastAsia="仿宋" w:cs="仿宋"/>
          <w:color w:val="auto"/>
          <w:sz w:val="24"/>
          <w:highlight w:val="none"/>
        </w:rPr>
      </w:pPr>
    </w:p>
    <w:p w14:paraId="575BBB84">
      <w:pPr>
        <w:snapToGrid w:val="0"/>
        <w:spacing w:line="360" w:lineRule="auto"/>
        <w:ind w:firstLine="2872" w:firstLineChars="894"/>
        <w:rPr>
          <w:rFonts w:hint="eastAsia" w:ascii="仿宋" w:hAnsi="仿宋" w:eastAsia="仿宋" w:cs="仿宋"/>
          <w:b/>
          <w:color w:val="auto"/>
          <w:kern w:val="0"/>
          <w:sz w:val="32"/>
          <w:szCs w:val="32"/>
          <w:highlight w:val="none"/>
          <w:lang w:val="zh-CN"/>
        </w:rPr>
      </w:pPr>
    </w:p>
    <w:p w14:paraId="7F854568">
      <w:pPr>
        <w:snapToGrid w:val="0"/>
        <w:spacing w:line="360" w:lineRule="auto"/>
        <w:ind w:firstLine="2872" w:firstLineChars="894"/>
        <w:rPr>
          <w:rFonts w:hint="eastAsia" w:ascii="仿宋" w:hAnsi="仿宋" w:eastAsia="仿宋" w:cs="仿宋"/>
          <w:b/>
          <w:color w:val="auto"/>
          <w:kern w:val="0"/>
          <w:sz w:val="32"/>
          <w:szCs w:val="32"/>
          <w:highlight w:val="none"/>
          <w:lang w:val="zh-CN"/>
        </w:rPr>
      </w:pPr>
    </w:p>
    <w:p w14:paraId="74707E00">
      <w:pPr>
        <w:snapToGrid w:val="0"/>
        <w:spacing w:line="360" w:lineRule="auto"/>
        <w:ind w:firstLine="2872" w:firstLineChars="894"/>
        <w:rPr>
          <w:rFonts w:hint="eastAsia" w:ascii="仿宋" w:hAnsi="仿宋" w:eastAsia="仿宋" w:cs="仿宋"/>
          <w:b/>
          <w:color w:val="auto"/>
          <w:kern w:val="0"/>
          <w:sz w:val="32"/>
          <w:szCs w:val="32"/>
          <w:highlight w:val="none"/>
          <w:lang w:val="zh-CN"/>
        </w:rPr>
      </w:pPr>
    </w:p>
    <w:p w14:paraId="25A95BBC">
      <w:pPr>
        <w:snapToGrid w:val="0"/>
        <w:spacing w:line="360" w:lineRule="auto"/>
        <w:ind w:firstLine="2872" w:firstLineChars="894"/>
        <w:rPr>
          <w:rFonts w:hint="eastAsia" w:ascii="仿宋" w:hAnsi="仿宋" w:eastAsia="仿宋" w:cs="仿宋"/>
          <w:b/>
          <w:color w:val="auto"/>
          <w:kern w:val="0"/>
          <w:sz w:val="32"/>
          <w:szCs w:val="32"/>
          <w:highlight w:val="none"/>
          <w:lang w:val="zh-CN"/>
        </w:rPr>
      </w:pPr>
    </w:p>
    <w:p w14:paraId="78696814">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w:t>
      </w:r>
      <w:r>
        <w:rPr>
          <w:rFonts w:hint="eastAsia" w:ascii="仿宋" w:hAnsi="仿宋" w:eastAsia="仿宋" w:cs="仿宋"/>
          <w:b/>
          <w:color w:val="auto"/>
          <w:kern w:val="0"/>
          <w:sz w:val="32"/>
          <w:szCs w:val="32"/>
          <w:highlight w:val="none"/>
          <w:lang w:val="en-US" w:eastAsia="zh-CN"/>
        </w:rPr>
        <w:t>响应</w:t>
      </w:r>
      <w:r>
        <w:rPr>
          <w:rFonts w:hint="eastAsia" w:ascii="仿宋" w:hAnsi="仿宋" w:eastAsia="仿宋" w:cs="仿宋"/>
          <w:b/>
          <w:color w:val="auto"/>
          <w:kern w:val="0"/>
          <w:sz w:val="32"/>
          <w:szCs w:val="32"/>
          <w:highlight w:val="none"/>
          <w:lang w:val="zh-CN"/>
        </w:rPr>
        <w:t>）</w:t>
      </w:r>
      <w:r>
        <w:rPr>
          <w:rFonts w:hint="eastAsia" w:ascii="仿宋" w:hAnsi="仿宋" w:eastAsia="仿宋" w:cs="仿宋"/>
          <w:color w:val="auto"/>
          <w:highlight w:val="none"/>
        </w:rPr>
        <w:t xml:space="preserve">                               </w:t>
      </w:r>
    </w:p>
    <w:p w14:paraId="32B0478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E31D986">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采购</w:t>
      </w:r>
      <w:r>
        <w:rPr>
          <w:rFonts w:hint="eastAsia" w:ascii="仿宋" w:hAnsi="仿宋" w:eastAsia="仿宋" w:cs="仿宋"/>
          <w:color w:val="auto"/>
          <w:kern w:val="0"/>
          <w:sz w:val="24"/>
          <w:highlight w:val="none"/>
          <w:lang w:val="en-US" w:eastAsia="zh-CN"/>
        </w:rPr>
        <w:t>响应</w:t>
      </w:r>
      <w:r>
        <w:rPr>
          <w:rFonts w:hint="eastAsia" w:ascii="仿宋" w:hAnsi="仿宋" w:eastAsia="仿宋" w:cs="仿宋"/>
          <w:color w:val="auto"/>
          <w:kern w:val="0"/>
          <w:sz w:val="24"/>
          <w:highlight w:val="none"/>
          <w:lang w:val="zh-CN"/>
        </w:rPr>
        <w:t>的一切事项，其法律后果由我方承担。</w:t>
      </w:r>
    </w:p>
    <w:p w14:paraId="5A7C4F0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3761801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159F713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供应商名称(电子签名)：</w:t>
      </w:r>
    </w:p>
    <w:p w14:paraId="54CDE5D2">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039A0267">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2B0BD63A">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31605D9E">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2B712C41">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w:t>
      </w:r>
      <w:r>
        <w:rPr>
          <w:rFonts w:hint="eastAsia" w:ascii="仿宋" w:hAnsi="仿宋" w:eastAsia="仿宋" w:cs="仿宋"/>
          <w:b/>
          <w:color w:val="auto"/>
          <w:sz w:val="30"/>
          <w:szCs w:val="30"/>
          <w:highlight w:val="none"/>
          <w:lang w:eastAsia="zh-CN"/>
        </w:rPr>
        <w:t>供应商</w:t>
      </w:r>
      <w:r>
        <w:rPr>
          <w:rFonts w:hint="eastAsia" w:ascii="仿宋" w:hAnsi="仿宋" w:eastAsia="仿宋" w:cs="仿宋"/>
          <w:b/>
          <w:color w:val="auto"/>
          <w:sz w:val="30"/>
          <w:szCs w:val="30"/>
          <w:highlight w:val="none"/>
        </w:rPr>
        <w:t>参加</w:t>
      </w:r>
      <w:r>
        <w:rPr>
          <w:rFonts w:hint="eastAsia" w:ascii="仿宋" w:hAnsi="仿宋" w:eastAsia="仿宋" w:cs="仿宋"/>
          <w:b/>
          <w:color w:val="auto"/>
          <w:sz w:val="30"/>
          <w:szCs w:val="30"/>
          <w:highlight w:val="none"/>
          <w:lang w:val="en-US" w:eastAsia="zh-CN"/>
        </w:rPr>
        <w:t>响应</w:t>
      </w:r>
      <w:r>
        <w:rPr>
          <w:rFonts w:hint="eastAsia" w:ascii="仿宋" w:hAnsi="仿宋" w:eastAsia="仿宋" w:cs="仿宋"/>
          <w:b/>
          <w:color w:val="auto"/>
          <w:sz w:val="30"/>
          <w:szCs w:val="30"/>
          <w:highlight w:val="none"/>
        </w:rPr>
        <w:t>）</w:t>
      </w:r>
    </w:p>
    <w:p w14:paraId="691AA082">
      <w:pPr>
        <w:pStyle w:val="148"/>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873F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FA27A33">
            <w:pPr>
              <w:pStyle w:val="148"/>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6EBC46A8">
            <w:pPr>
              <w:pStyle w:val="148"/>
              <w:adjustRightInd w:val="0"/>
              <w:spacing w:line="360" w:lineRule="auto"/>
              <w:rPr>
                <w:rFonts w:hint="eastAsia" w:ascii="仿宋" w:hAnsi="仿宋" w:eastAsia="仿宋" w:cs="仿宋"/>
                <w:bCs/>
                <w:color w:val="auto"/>
                <w:sz w:val="24"/>
                <w:highlight w:val="none"/>
              </w:rPr>
            </w:pPr>
          </w:p>
        </w:tc>
      </w:tr>
    </w:tbl>
    <w:p w14:paraId="62A77427">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08372DD6">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                              </w:t>
      </w:r>
    </w:p>
    <w:p w14:paraId="0ABB3F35">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F68168F">
      <w:pPr>
        <w:jc w:val="center"/>
        <w:rPr>
          <w:rFonts w:hint="eastAsia" w:ascii="仿宋" w:hAnsi="仿宋" w:eastAsia="仿宋" w:cs="仿宋"/>
          <w:b/>
          <w:color w:val="auto"/>
          <w:kern w:val="0"/>
          <w:sz w:val="32"/>
          <w:szCs w:val="32"/>
          <w:highlight w:val="none"/>
        </w:rPr>
      </w:pPr>
    </w:p>
    <w:p w14:paraId="740D6B19">
      <w:pPr>
        <w:jc w:val="center"/>
        <w:rPr>
          <w:rFonts w:hint="eastAsia" w:ascii="仿宋" w:hAnsi="仿宋" w:eastAsia="仿宋" w:cs="仿宋"/>
          <w:b/>
          <w:color w:val="auto"/>
          <w:kern w:val="0"/>
          <w:sz w:val="32"/>
          <w:szCs w:val="32"/>
          <w:highlight w:val="none"/>
        </w:rPr>
      </w:pPr>
    </w:p>
    <w:p w14:paraId="50C51F3A">
      <w:pPr>
        <w:jc w:val="center"/>
        <w:rPr>
          <w:rFonts w:hint="eastAsia" w:ascii="仿宋" w:hAnsi="仿宋" w:eastAsia="仿宋" w:cs="仿宋"/>
          <w:b/>
          <w:color w:val="auto"/>
          <w:kern w:val="0"/>
          <w:sz w:val="32"/>
          <w:szCs w:val="32"/>
          <w:highlight w:val="none"/>
        </w:rPr>
      </w:pPr>
    </w:p>
    <w:p w14:paraId="12CB25AA">
      <w:pPr>
        <w:jc w:val="center"/>
        <w:rPr>
          <w:rFonts w:hint="eastAsia" w:ascii="仿宋" w:hAnsi="仿宋" w:eastAsia="仿宋" w:cs="仿宋"/>
          <w:b/>
          <w:color w:val="auto"/>
          <w:kern w:val="0"/>
          <w:sz w:val="32"/>
          <w:szCs w:val="32"/>
          <w:highlight w:val="none"/>
        </w:rPr>
      </w:pPr>
    </w:p>
    <w:p w14:paraId="6CB60EA7">
      <w:pPr>
        <w:jc w:val="center"/>
        <w:rPr>
          <w:rFonts w:hint="eastAsia" w:ascii="仿宋" w:hAnsi="仿宋" w:eastAsia="仿宋" w:cs="仿宋"/>
          <w:b/>
          <w:color w:val="auto"/>
          <w:kern w:val="0"/>
          <w:sz w:val="32"/>
          <w:szCs w:val="32"/>
          <w:highlight w:val="none"/>
        </w:rPr>
      </w:pPr>
    </w:p>
    <w:p w14:paraId="4118582B">
      <w:pPr>
        <w:jc w:val="center"/>
        <w:rPr>
          <w:rFonts w:hint="eastAsia" w:ascii="仿宋" w:hAnsi="仿宋" w:eastAsia="仿宋" w:cs="仿宋"/>
          <w:b/>
          <w:color w:val="auto"/>
          <w:kern w:val="0"/>
          <w:sz w:val="32"/>
          <w:szCs w:val="32"/>
          <w:highlight w:val="none"/>
        </w:rPr>
      </w:pPr>
    </w:p>
    <w:p w14:paraId="5C9DD50D">
      <w:pPr>
        <w:jc w:val="center"/>
        <w:rPr>
          <w:rFonts w:hint="eastAsia" w:ascii="仿宋" w:hAnsi="仿宋" w:eastAsia="仿宋" w:cs="仿宋"/>
          <w:b/>
          <w:color w:val="auto"/>
          <w:kern w:val="0"/>
          <w:sz w:val="32"/>
          <w:szCs w:val="32"/>
          <w:highlight w:val="none"/>
        </w:rPr>
      </w:pPr>
    </w:p>
    <w:p w14:paraId="1CC0BFB3">
      <w:pPr>
        <w:jc w:val="center"/>
        <w:rPr>
          <w:rFonts w:hint="eastAsia" w:ascii="仿宋" w:hAnsi="仿宋" w:eastAsia="仿宋" w:cs="仿宋"/>
          <w:b/>
          <w:color w:val="auto"/>
          <w:kern w:val="0"/>
          <w:sz w:val="32"/>
          <w:szCs w:val="32"/>
          <w:highlight w:val="none"/>
        </w:rPr>
      </w:pPr>
    </w:p>
    <w:p w14:paraId="1EB1A994">
      <w:pPr>
        <w:jc w:val="center"/>
        <w:rPr>
          <w:rFonts w:hint="eastAsia" w:ascii="仿宋" w:hAnsi="仿宋" w:eastAsia="仿宋" w:cs="仿宋"/>
          <w:b/>
          <w:color w:val="auto"/>
          <w:kern w:val="0"/>
          <w:sz w:val="32"/>
          <w:szCs w:val="32"/>
          <w:highlight w:val="none"/>
        </w:rPr>
      </w:pPr>
    </w:p>
    <w:p w14:paraId="5DD57E05">
      <w:pPr>
        <w:jc w:val="center"/>
        <w:rPr>
          <w:rFonts w:hint="eastAsia" w:ascii="仿宋" w:hAnsi="仿宋" w:eastAsia="仿宋" w:cs="仿宋"/>
          <w:b/>
          <w:color w:val="auto"/>
          <w:kern w:val="0"/>
          <w:sz w:val="32"/>
          <w:szCs w:val="32"/>
          <w:highlight w:val="none"/>
        </w:rPr>
      </w:pPr>
    </w:p>
    <w:p w14:paraId="51D48875">
      <w:pPr>
        <w:snapToGrid w:val="0"/>
        <w:spacing w:line="360" w:lineRule="auto"/>
        <w:ind w:right="480"/>
        <w:rPr>
          <w:rFonts w:hint="eastAsia"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1F3FABF">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、符合性审查资料</w:t>
      </w:r>
    </w:p>
    <w:p w14:paraId="5B1F3B42">
      <w:pPr>
        <w:jc w:val="center"/>
        <w:rPr>
          <w:rFonts w:hint="eastAsia" w:ascii="仿宋" w:hAnsi="仿宋" w:eastAsia="仿宋" w:cs="仿宋"/>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128D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0337DC1">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1DA836EE">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28B56E12">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3BB41AF1">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中的</w:t>
            </w:r>
          </w:p>
          <w:p w14:paraId="48D2E3B6">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6FE02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3BCE0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18AFBA4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按照</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要求签署、盖章。</w:t>
            </w:r>
          </w:p>
        </w:tc>
        <w:tc>
          <w:tcPr>
            <w:tcW w:w="2551" w:type="dxa"/>
            <w:vAlign w:val="center"/>
          </w:tcPr>
          <w:p w14:paraId="0822F004">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的组成部分</w:t>
            </w:r>
          </w:p>
        </w:tc>
        <w:tc>
          <w:tcPr>
            <w:tcW w:w="1418" w:type="dxa"/>
          </w:tcPr>
          <w:p w14:paraId="68DC04BC">
            <w:pPr>
              <w:rPr>
                <w:rFonts w:hint="eastAsia" w:ascii="仿宋" w:hAnsi="仿宋" w:eastAsia="仿宋" w:cs="仿宋"/>
                <w:color w:val="auto"/>
                <w:sz w:val="24"/>
                <w:highlight w:val="none"/>
              </w:rPr>
            </w:pPr>
          </w:p>
          <w:p w14:paraId="49D1DD91">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响应文件</w:t>
            </w:r>
          </w:p>
          <w:p w14:paraId="4487B576">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55E64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6BEC59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738E191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中承诺的</w:t>
            </w:r>
            <w:r>
              <w:rPr>
                <w:rFonts w:hint="eastAsia" w:ascii="仿宋" w:hAnsi="仿宋" w:eastAsia="仿宋" w:cs="仿宋"/>
                <w:color w:val="auto"/>
                <w:sz w:val="24"/>
                <w:highlight w:val="none"/>
                <w:lang w:eastAsia="zh-CN"/>
              </w:rPr>
              <w:t>响应有效期</w:t>
            </w:r>
            <w:r>
              <w:rPr>
                <w:rFonts w:hint="eastAsia" w:ascii="仿宋" w:hAnsi="仿宋" w:eastAsia="仿宋" w:cs="仿宋"/>
                <w:color w:val="auto"/>
                <w:sz w:val="24"/>
                <w:highlight w:val="none"/>
              </w:rPr>
              <w:t>不少于</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中载明的</w:t>
            </w:r>
            <w:r>
              <w:rPr>
                <w:rFonts w:hint="eastAsia" w:ascii="仿宋" w:hAnsi="仿宋" w:eastAsia="仿宋" w:cs="仿宋"/>
                <w:color w:val="auto"/>
                <w:sz w:val="24"/>
                <w:highlight w:val="none"/>
                <w:lang w:eastAsia="zh-CN"/>
              </w:rPr>
              <w:t>响应有效期</w:t>
            </w:r>
            <w:r>
              <w:rPr>
                <w:rFonts w:hint="eastAsia" w:ascii="仿宋" w:hAnsi="仿宋" w:eastAsia="仿宋" w:cs="仿宋"/>
                <w:color w:val="auto"/>
                <w:sz w:val="24"/>
                <w:highlight w:val="none"/>
              </w:rPr>
              <w:t>。</w:t>
            </w:r>
          </w:p>
        </w:tc>
        <w:tc>
          <w:tcPr>
            <w:tcW w:w="2551" w:type="dxa"/>
            <w:vAlign w:val="center"/>
          </w:tcPr>
          <w:p w14:paraId="7858FD6D">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响应函</w:t>
            </w:r>
          </w:p>
        </w:tc>
        <w:tc>
          <w:tcPr>
            <w:tcW w:w="1418" w:type="dxa"/>
          </w:tcPr>
          <w:p w14:paraId="41F23D3E">
            <w:pPr>
              <w:rPr>
                <w:rFonts w:hint="eastAsia" w:ascii="仿宋" w:hAnsi="仿宋" w:eastAsia="仿宋" w:cs="仿宋"/>
                <w:color w:val="auto"/>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6DEEC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32563F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7E53473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满足</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的其它实质性要求。</w:t>
            </w:r>
          </w:p>
        </w:tc>
        <w:tc>
          <w:tcPr>
            <w:tcW w:w="2551" w:type="dxa"/>
            <w:vAlign w:val="center"/>
          </w:tcPr>
          <w:p w14:paraId="2DA5F6A5">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其它实质性要求相应的材料（“▲” 系指实质性要求条款，</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无其它实质性要求的，无需提供）</w:t>
            </w:r>
          </w:p>
        </w:tc>
        <w:tc>
          <w:tcPr>
            <w:tcW w:w="1418" w:type="dxa"/>
          </w:tcPr>
          <w:p w14:paraId="21B43A9B">
            <w:pPr>
              <w:rPr>
                <w:rFonts w:hint="eastAsia" w:ascii="仿宋" w:hAnsi="仿宋" w:eastAsia="仿宋" w:cs="仿宋"/>
                <w:color w:val="auto"/>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3324B049">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61ED13B">
      <w:pPr>
        <w:jc w:val="center"/>
        <w:rPr>
          <w:rFonts w:hint="eastAsia" w:ascii="仿宋" w:hAnsi="仿宋" w:eastAsia="仿宋" w:cs="仿宋"/>
          <w:b/>
          <w:color w:val="auto"/>
          <w:kern w:val="0"/>
          <w:sz w:val="32"/>
          <w:szCs w:val="32"/>
          <w:highlight w:val="none"/>
        </w:rPr>
      </w:pPr>
    </w:p>
    <w:p w14:paraId="53DA1457">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0A25AF46">
      <w:pPr>
        <w:jc w:val="center"/>
        <w:rPr>
          <w:rFonts w:hint="eastAsia" w:ascii="仿宋" w:hAnsi="仿宋" w:eastAsia="仿宋" w:cs="仿宋"/>
          <w:b/>
          <w:color w:val="auto"/>
          <w:kern w:val="0"/>
          <w:sz w:val="32"/>
          <w:szCs w:val="32"/>
          <w:highlight w:val="none"/>
        </w:rPr>
      </w:pPr>
    </w:p>
    <w:p w14:paraId="3666EE6A">
      <w:pPr>
        <w:jc w:val="center"/>
        <w:rPr>
          <w:rFonts w:hint="eastAsia" w:ascii="仿宋" w:hAnsi="仿宋" w:eastAsia="仿宋" w:cs="仿宋"/>
          <w:b/>
          <w:color w:val="auto"/>
          <w:kern w:val="0"/>
          <w:sz w:val="32"/>
          <w:szCs w:val="32"/>
          <w:highlight w:val="none"/>
        </w:rPr>
      </w:pPr>
    </w:p>
    <w:p w14:paraId="098124A1">
      <w:pPr>
        <w:jc w:val="center"/>
        <w:rPr>
          <w:rFonts w:hint="eastAsia" w:ascii="仿宋" w:hAnsi="仿宋" w:eastAsia="仿宋" w:cs="仿宋"/>
          <w:b/>
          <w:color w:val="auto"/>
          <w:kern w:val="0"/>
          <w:sz w:val="32"/>
          <w:szCs w:val="32"/>
          <w:highlight w:val="none"/>
        </w:rPr>
      </w:pPr>
    </w:p>
    <w:p w14:paraId="68CF9615">
      <w:pPr>
        <w:jc w:val="center"/>
        <w:rPr>
          <w:rFonts w:hint="eastAsia" w:ascii="仿宋" w:hAnsi="仿宋" w:eastAsia="仿宋" w:cs="仿宋"/>
          <w:b/>
          <w:color w:val="auto"/>
          <w:kern w:val="0"/>
          <w:sz w:val="32"/>
          <w:szCs w:val="32"/>
          <w:highlight w:val="none"/>
        </w:rPr>
      </w:pPr>
    </w:p>
    <w:p w14:paraId="341826BD">
      <w:pPr>
        <w:jc w:val="center"/>
        <w:rPr>
          <w:rFonts w:hint="eastAsia" w:ascii="仿宋" w:hAnsi="仿宋" w:eastAsia="仿宋" w:cs="仿宋"/>
          <w:b/>
          <w:color w:val="auto"/>
          <w:kern w:val="0"/>
          <w:sz w:val="32"/>
          <w:szCs w:val="32"/>
          <w:highlight w:val="none"/>
        </w:rPr>
      </w:pPr>
    </w:p>
    <w:p w14:paraId="65651168">
      <w:pPr>
        <w:jc w:val="center"/>
        <w:rPr>
          <w:rFonts w:hint="eastAsia" w:ascii="仿宋" w:hAnsi="仿宋" w:eastAsia="仿宋" w:cs="仿宋"/>
          <w:b/>
          <w:color w:val="auto"/>
          <w:kern w:val="0"/>
          <w:sz w:val="32"/>
          <w:szCs w:val="32"/>
          <w:highlight w:val="none"/>
        </w:rPr>
      </w:pPr>
    </w:p>
    <w:p w14:paraId="6772FA15">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en-US" w:eastAsia="zh-CN"/>
        </w:rPr>
        <w:t>四</w:t>
      </w:r>
      <w:r>
        <w:rPr>
          <w:rFonts w:hint="eastAsia" w:ascii="仿宋" w:hAnsi="仿宋" w:eastAsia="仿宋" w:cs="仿宋"/>
          <w:b/>
          <w:color w:val="auto"/>
          <w:kern w:val="0"/>
          <w:sz w:val="32"/>
          <w:szCs w:val="32"/>
          <w:highlight w:val="none"/>
        </w:rPr>
        <w:t>、评标标准相应的商务技术资料</w:t>
      </w:r>
    </w:p>
    <w:p w14:paraId="5C46F7F5">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w:t>
      </w:r>
      <w:r>
        <w:rPr>
          <w:rFonts w:hint="eastAsia" w:ascii="仿宋" w:hAnsi="仿宋" w:eastAsia="仿宋" w:cs="仿宋"/>
          <w:b/>
          <w:color w:val="auto"/>
          <w:sz w:val="24"/>
          <w:highlight w:val="none"/>
          <w:lang w:eastAsia="zh-CN"/>
        </w:rPr>
        <w:t>交易文件</w:t>
      </w:r>
      <w:r>
        <w:rPr>
          <w:rFonts w:hint="eastAsia" w:ascii="仿宋" w:hAnsi="仿宋" w:eastAsia="仿宋" w:cs="仿宋"/>
          <w:b/>
          <w:color w:val="auto"/>
          <w:sz w:val="24"/>
          <w:highlight w:val="none"/>
        </w:rPr>
        <w:t>第四部分评标办法前附表中“</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中评标标准相应的商务技术资料目录”提供资料。）</w:t>
      </w:r>
    </w:p>
    <w:p w14:paraId="500DB7F2">
      <w:pPr>
        <w:jc w:val="center"/>
        <w:rPr>
          <w:rFonts w:hint="eastAsia" w:ascii="仿宋" w:hAnsi="仿宋" w:eastAsia="仿宋" w:cs="仿宋"/>
          <w:b/>
          <w:color w:val="auto"/>
          <w:kern w:val="0"/>
          <w:sz w:val="32"/>
          <w:szCs w:val="32"/>
          <w:highlight w:val="none"/>
        </w:rPr>
      </w:pPr>
    </w:p>
    <w:p w14:paraId="0C565726">
      <w:pPr>
        <w:jc w:val="center"/>
        <w:rPr>
          <w:rFonts w:hint="eastAsia" w:ascii="仿宋" w:hAnsi="仿宋" w:eastAsia="仿宋" w:cs="仿宋"/>
          <w:b/>
          <w:color w:val="auto"/>
          <w:kern w:val="0"/>
          <w:sz w:val="32"/>
          <w:szCs w:val="32"/>
          <w:highlight w:val="none"/>
        </w:rPr>
      </w:pPr>
    </w:p>
    <w:p w14:paraId="0562AB0C">
      <w:pPr>
        <w:jc w:val="center"/>
        <w:rPr>
          <w:rFonts w:hint="eastAsia" w:ascii="仿宋" w:hAnsi="仿宋" w:eastAsia="仿宋" w:cs="仿宋"/>
          <w:b/>
          <w:color w:val="auto"/>
          <w:kern w:val="0"/>
          <w:sz w:val="32"/>
          <w:szCs w:val="32"/>
          <w:highlight w:val="none"/>
        </w:rPr>
      </w:pPr>
    </w:p>
    <w:p w14:paraId="1883326E">
      <w:pPr>
        <w:jc w:val="center"/>
        <w:rPr>
          <w:rFonts w:hint="eastAsia" w:ascii="仿宋" w:hAnsi="仿宋" w:eastAsia="仿宋" w:cs="仿宋"/>
          <w:b/>
          <w:color w:val="auto"/>
          <w:kern w:val="0"/>
          <w:sz w:val="32"/>
          <w:szCs w:val="32"/>
          <w:highlight w:val="none"/>
        </w:rPr>
      </w:pPr>
    </w:p>
    <w:p w14:paraId="541D2A42">
      <w:pPr>
        <w:jc w:val="center"/>
        <w:rPr>
          <w:rFonts w:hint="eastAsia" w:ascii="仿宋" w:hAnsi="仿宋" w:eastAsia="仿宋" w:cs="仿宋"/>
          <w:b/>
          <w:color w:val="auto"/>
          <w:kern w:val="0"/>
          <w:sz w:val="32"/>
          <w:szCs w:val="32"/>
          <w:highlight w:val="none"/>
        </w:rPr>
      </w:pPr>
    </w:p>
    <w:p w14:paraId="78B34A9E">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F24BDA3">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五</w:t>
      </w:r>
      <w:r>
        <w:rPr>
          <w:rFonts w:hint="eastAsia" w:ascii="仿宋" w:hAnsi="仿宋" w:eastAsia="仿宋" w:cs="仿宋"/>
          <w:b/>
          <w:color w:val="auto"/>
          <w:kern w:val="0"/>
          <w:sz w:val="32"/>
          <w:szCs w:val="32"/>
          <w:highlight w:val="none"/>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76B6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91CFC5D">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08F2DFB5">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交易文件</w:t>
            </w:r>
            <w:r>
              <w:rPr>
                <w:rFonts w:hint="eastAsia" w:ascii="仿宋" w:hAnsi="仿宋" w:eastAsia="仿宋" w:cs="仿宋"/>
                <w:b/>
                <w:bCs/>
                <w:color w:val="auto"/>
                <w:sz w:val="24"/>
                <w:highlight w:val="none"/>
              </w:rPr>
              <w:t>章节及具体内容</w:t>
            </w:r>
          </w:p>
        </w:tc>
        <w:tc>
          <w:tcPr>
            <w:tcW w:w="3546" w:type="dxa"/>
          </w:tcPr>
          <w:p w14:paraId="6079C367">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响应文件</w:t>
            </w:r>
            <w:r>
              <w:rPr>
                <w:rFonts w:hint="eastAsia" w:ascii="仿宋" w:hAnsi="仿宋" w:eastAsia="仿宋" w:cs="仿宋"/>
                <w:b/>
                <w:bCs/>
                <w:color w:val="auto"/>
                <w:sz w:val="24"/>
                <w:highlight w:val="none"/>
              </w:rPr>
              <w:t>章节及具体内容</w:t>
            </w:r>
          </w:p>
        </w:tc>
        <w:tc>
          <w:tcPr>
            <w:tcW w:w="1276" w:type="dxa"/>
          </w:tcPr>
          <w:p w14:paraId="4468A620">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73AE9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054C23">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209C3E3A">
            <w:pPr>
              <w:jc w:val="center"/>
              <w:rPr>
                <w:rFonts w:hint="eastAsia" w:ascii="仿宋" w:hAnsi="仿宋" w:eastAsia="仿宋" w:cs="仿宋"/>
                <w:b/>
                <w:color w:val="auto"/>
                <w:kern w:val="0"/>
                <w:sz w:val="32"/>
                <w:szCs w:val="32"/>
                <w:highlight w:val="none"/>
              </w:rPr>
            </w:pPr>
          </w:p>
        </w:tc>
        <w:tc>
          <w:tcPr>
            <w:tcW w:w="3546" w:type="dxa"/>
          </w:tcPr>
          <w:p w14:paraId="76D17F5A">
            <w:pPr>
              <w:jc w:val="center"/>
              <w:rPr>
                <w:rFonts w:hint="eastAsia" w:ascii="仿宋" w:hAnsi="仿宋" w:eastAsia="仿宋" w:cs="仿宋"/>
                <w:b/>
                <w:color w:val="auto"/>
                <w:kern w:val="0"/>
                <w:sz w:val="32"/>
                <w:szCs w:val="32"/>
                <w:highlight w:val="none"/>
              </w:rPr>
            </w:pPr>
          </w:p>
        </w:tc>
        <w:tc>
          <w:tcPr>
            <w:tcW w:w="1276" w:type="dxa"/>
          </w:tcPr>
          <w:p w14:paraId="781C2701">
            <w:pPr>
              <w:jc w:val="center"/>
              <w:rPr>
                <w:rFonts w:hint="eastAsia" w:ascii="仿宋" w:hAnsi="仿宋" w:eastAsia="仿宋" w:cs="仿宋"/>
                <w:b/>
                <w:color w:val="auto"/>
                <w:kern w:val="0"/>
                <w:sz w:val="32"/>
                <w:szCs w:val="32"/>
                <w:highlight w:val="none"/>
              </w:rPr>
            </w:pPr>
          </w:p>
        </w:tc>
      </w:tr>
      <w:tr w14:paraId="4EF95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8F9496C">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1BCD1689">
            <w:pPr>
              <w:jc w:val="center"/>
              <w:rPr>
                <w:rFonts w:hint="eastAsia" w:ascii="仿宋" w:hAnsi="仿宋" w:eastAsia="仿宋" w:cs="仿宋"/>
                <w:b/>
                <w:color w:val="auto"/>
                <w:kern w:val="0"/>
                <w:sz w:val="32"/>
                <w:szCs w:val="32"/>
                <w:highlight w:val="none"/>
              </w:rPr>
            </w:pPr>
          </w:p>
        </w:tc>
        <w:tc>
          <w:tcPr>
            <w:tcW w:w="3546" w:type="dxa"/>
          </w:tcPr>
          <w:p w14:paraId="7ECECC2F">
            <w:pPr>
              <w:jc w:val="center"/>
              <w:rPr>
                <w:rFonts w:hint="eastAsia" w:ascii="仿宋" w:hAnsi="仿宋" w:eastAsia="仿宋" w:cs="仿宋"/>
                <w:b/>
                <w:color w:val="auto"/>
                <w:kern w:val="0"/>
                <w:sz w:val="32"/>
                <w:szCs w:val="32"/>
                <w:highlight w:val="none"/>
              </w:rPr>
            </w:pPr>
          </w:p>
        </w:tc>
        <w:tc>
          <w:tcPr>
            <w:tcW w:w="1276" w:type="dxa"/>
          </w:tcPr>
          <w:p w14:paraId="6AAF22D0">
            <w:pPr>
              <w:jc w:val="center"/>
              <w:rPr>
                <w:rFonts w:hint="eastAsia" w:ascii="仿宋" w:hAnsi="仿宋" w:eastAsia="仿宋" w:cs="仿宋"/>
                <w:b/>
                <w:color w:val="auto"/>
                <w:kern w:val="0"/>
                <w:sz w:val="32"/>
                <w:szCs w:val="32"/>
                <w:highlight w:val="none"/>
              </w:rPr>
            </w:pPr>
          </w:p>
        </w:tc>
      </w:tr>
      <w:tr w14:paraId="59DDC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048742">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4A246168">
            <w:pPr>
              <w:jc w:val="center"/>
              <w:rPr>
                <w:rFonts w:hint="eastAsia" w:ascii="仿宋" w:hAnsi="仿宋" w:eastAsia="仿宋" w:cs="仿宋"/>
                <w:b/>
                <w:color w:val="auto"/>
                <w:kern w:val="0"/>
                <w:sz w:val="32"/>
                <w:szCs w:val="32"/>
                <w:highlight w:val="none"/>
              </w:rPr>
            </w:pPr>
          </w:p>
        </w:tc>
        <w:tc>
          <w:tcPr>
            <w:tcW w:w="3546" w:type="dxa"/>
          </w:tcPr>
          <w:p w14:paraId="3538690C">
            <w:pPr>
              <w:jc w:val="center"/>
              <w:rPr>
                <w:rFonts w:hint="eastAsia" w:ascii="仿宋" w:hAnsi="仿宋" w:eastAsia="仿宋" w:cs="仿宋"/>
                <w:b/>
                <w:color w:val="auto"/>
                <w:kern w:val="0"/>
                <w:sz w:val="32"/>
                <w:szCs w:val="32"/>
                <w:highlight w:val="none"/>
              </w:rPr>
            </w:pPr>
          </w:p>
        </w:tc>
        <w:tc>
          <w:tcPr>
            <w:tcW w:w="1276" w:type="dxa"/>
          </w:tcPr>
          <w:p w14:paraId="1A54D1EF">
            <w:pPr>
              <w:jc w:val="center"/>
              <w:rPr>
                <w:rFonts w:hint="eastAsia" w:ascii="仿宋" w:hAnsi="仿宋" w:eastAsia="仿宋" w:cs="仿宋"/>
                <w:b/>
                <w:color w:val="auto"/>
                <w:kern w:val="0"/>
                <w:sz w:val="32"/>
                <w:szCs w:val="32"/>
                <w:highlight w:val="none"/>
              </w:rPr>
            </w:pPr>
          </w:p>
        </w:tc>
      </w:tr>
    </w:tbl>
    <w:p w14:paraId="3228773A">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保证：除商务技术偏离表列出的偏离外，</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的全部要求</w:t>
      </w:r>
    </w:p>
    <w:p w14:paraId="2521752C">
      <w:pPr>
        <w:jc w:val="center"/>
        <w:rPr>
          <w:rFonts w:hint="eastAsia" w:ascii="仿宋" w:hAnsi="仿宋" w:eastAsia="仿宋" w:cs="仿宋"/>
          <w:b/>
          <w:color w:val="auto"/>
          <w:kern w:val="0"/>
          <w:sz w:val="32"/>
          <w:szCs w:val="32"/>
          <w:highlight w:val="none"/>
        </w:rPr>
      </w:pPr>
    </w:p>
    <w:p w14:paraId="63853558">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2A29928">
      <w:pPr>
        <w:ind w:firstLine="1911" w:firstLineChars="595"/>
        <w:rPr>
          <w:rFonts w:hint="eastAsia" w:ascii="仿宋" w:hAnsi="仿宋" w:eastAsia="仿宋" w:cs="仿宋"/>
          <w:b/>
          <w:bCs/>
          <w:color w:val="auto"/>
          <w:sz w:val="32"/>
          <w:szCs w:val="32"/>
          <w:highlight w:val="none"/>
        </w:rPr>
      </w:pPr>
    </w:p>
    <w:p w14:paraId="1CEBF7F4">
      <w:pPr>
        <w:ind w:firstLine="1911" w:firstLineChars="595"/>
        <w:rPr>
          <w:rFonts w:hint="eastAsia" w:ascii="仿宋" w:hAnsi="仿宋" w:eastAsia="仿宋" w:cs="仿宋"/>
          <w:b/>
          <w:bCs/>
          <w:color w:val="auto"/>
          <w:sz w:val="32"/>
          <w:szCs w:val="32"/>
          <w:highlight w:val="none"/>
        </w:rPr>
      </w:pPr>
    </w:p>
    <w:p w14:paraId="045A4F61">
      <w:pPr>
        <w:ind w:firstLine="1911" w:firstLineChars="595"/>
        <w:rPr>
          <w:rFonts w:hint="eastAsia" w:ascii="仿宋" w:hAnsi="仿宋" w:eastAsia="仿宋" w:cs="仿宋"/>
          <w:b/>
          <w:bCs/>
          <w:color w:val="auto"/>
          <w:sz w:val="32"/>
          <w:szCs w:val="32"/>
          <w:highlight w:val="none"/>
        </w:rPr>
      </w:pPr>
    </w:p>
    <w:p w14:paraId="23C55464">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46B33CE5">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lang w:val="en-US" w:eastAsia="zh-CN"/>
        </w:rPr>
        <w:t>六</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供应商廉洁自律承诺书</w:t>
      </w:r>
    </w:p>
    <w:p w14:paraId="0CF7DCC4">
      <w:pPr>
        <w:snapToGrid w:val="0"/>
        <w:spacing w:line="360" w:lineRule="auto"/>
        <w:rPr>
          <w:rFonts w:hint="eastAsia" w:ascii="仿宋" w:hAnsi="仿宋" w:eastAsia="仿宋" w:cs="仿宋"/>
          <w:color w:val="auto"/>
          <w:sz w:val="24"/>
          <w:highlight w:val="none"/>
        </w:rPr>
      </w:pPr>
    </w:p>
    <w:p w14:paraId="07162F5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0A65130">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w:t>
      </w:r>
      <w:r>
        <w:rPr>
          <w:rFonts w:hint="eastAsia" w:ascii="仿宋" w:hAnsi="仿宋" w:eastAsia="仿宋" w:cs="仿宋"/>
          <w:color w:val="auto"/>
          <w:kern w:val="0"/>
          <w:sz w:val="24"/>
          <w:highlight w:val="none"/>
          <w:lang w:val="en-US" w:eastAsia="zh-CN"/>
        </w:rPr>
        <w:t>交易</w:t>
      </w:r>
      <w:r>
        <w:rPr>
          <w:rFonts w:hint="eastAsia" w:ascii="仿宋" w:hAnsi="仿宋" w:eastAsia="仿宋" w:cs="仿宋"/>
          <w:color w:val="auto"/>
          <w:kern w:val="0"/>
          <w:sz w:val="24"/>
          <w:highlight w:val="none"/>
          <w:lang w:val="zh-CN"/>
        </w:rPr>
        <w:t>要求参加</w:t>
      </w:r>
      <w:r>
        <w:rPr>
          <w:rFonts w:hint="eastAsia" w:ascii="仿宋" w:hAnsi="仿宋" w:eastAsia="仿宋" w:cs="仿宋"/>
          <w:color w:val="auto"/>
          <w:kern w:val="0"/>
          <w:sz w:val="24"/>
          <w:highlight w:val="none"/>
          <w:lang w:val="en-US" w:eastAsia="zh-CN"/>
        </w:rPr>
        <w:t>响应</w:t>
      </w:r>
      <w:r>
        <w:rPr>
          <w:rFonts w:hint="eastAsia" w:ascii="仿宋" w:hAnsi="仿宋" w:eastAsia="仿宋" w:cs="仿宋"/>
          <w:color w:val="auto"/>
          <w:kern w:val="0"/>
          <w:sz w:val="24"/>
          <w:highlight w:val="none"/>
          <w:lang w:val="zh-CN"/>
        </w:rPr>
        <w:t>。在这次</w:t>
      </w:r>
      <w:r>
        <w:rPr>
          <w:rFonts w:hint="eastAsia" w:ascii="仿宋" w:hAnsi="仿宋" w:eastAsia="仿宋" w:cs="仿宋"/>
          <w:color w:val="auto"/>
          <w:kern w:val="0"/>
          <w:sz w:val="24"/>
          <w:highlight w:val="none"/>
          <w:lang w:val="en-US" w:eastAsia="zh-CN"/>
        </w:rPr>
        <w:t>响应</w:t>
      </w:r>
      <w:r>
        <w:rPr>
          <w:rFonts w:hint="eastAsia" w:ascii="仿宋" w:hAnsi="仿宋" w:eastAsia="仿宋" w:cs="仿宋"/>
          <w:color w:val="auto"/>
          <w:kern w:val="0"/>
          <w:sz w:val="24"/>
          <w:highlight w:val="none"/>
          <w:lang w:val="zh-CN"/>
        </w:rPr>
        <w:t>过程中</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lang w:val="zh-CN"/>
        </w:rPr>
        <w:t>后，我们将严格遵守国家法律法规要求，并郑重承诺：</w:t>
      </w:r>
    </w:p>
    <w:p w14:paraId="7A8A3C47">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2DA3CB2F">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6A5A3B5A">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2000C7F9">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56987CE5">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49080B39">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71A09CF5">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628DA264">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w:t>
      </w:r>
      <w:r>
        <w:rPr>
          <w:rFonts w:hint="eastAsia" w:ascii="仿宋" w:hAnsi="仿宋" w:eastAsia="仿宋" w:cs="仿宋"/>
          <w:color w:val="auto"/>
          <w:kern w:val="0"/>
          <w:sz w:val="24"/>
          <w:highlight w:val="none"/>
          <w:lang w:val="en-US" w:eastAsia="zh-CN"/>
        </w:rPr>
        <w:t>响应</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lang w:val="zh-CN"/>
        </w:rPr>
        <w:t>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1468DD83">
      <w:pPr>
        <w:autoSpaceDE w:val="0"/>
        <w:autoSpaceDN w:val="0"/>
        <w:spacing w:line="360" w:lineRule="auto"/>
        <w:ind w:left="2"/>
        <w:jc w:val="left"/>
        <w:rPr>
          <w:rFonts w:hint="eastAsia" w:ascii="仿宋" w:hAnsi="仿宋" w:eastAsia="仿宋" w:cs="仿宋"/>
          <w:color w:val="auto"/>
          <w:kern w:val="0"/>
          <w:sz w:val="24"/>
          <w:highlight w:val="none"/>
          <w:lang w:val="zh-CN"/>
        </w:rPr>
      </w:pPr>
    </w:p>
    <w:p w14:paraId="58DA379C">
      <w:pPr>
        <w:autoSpaceDE w:val="0"/>
        <w:autoSpaceDN w:val="0"/>
        <w:spacing w:line="360" w:lineRule="auto"/>
        <w:ind w:left="2"/>
        <w:jc w:val="left"/>
        <w:rPr>
          <w:rFonts w:hint="eastAsia" w:ascii="仿宋" w:hAnsi="仿宋" w:eastAsia="仿宋" w:cs="仿宋"/>
          <w:color w:val="auto"/>
          <w:kern w:val="0"/>
          <w:sz w:val="24"/>
          <w:highlight w:val="none"/>
          <w:lang w:val="zh-CN"/>
        </w:rPr>
      </w:pPr>
    </w:p>
    <w:p w14:paraId="24EC9963">
      <w:pPr>
        <w:autoSpaceDE w:val="0"/>
        <w:autoSpaceDN w:val="0"/>
        <w:spacing w:line="360" w:lineRule="auto"/>
        <w:ind w:left="2"/>
        <w:jc w:val="left"/>
        <w:rPr>
          <w:rFonts w:hint="eastAsia" w:ascii="仿宋" w:hAnsi="仿宋" w:eastAsia="仿宋" w:cs="仿宋"/>
          <w:color w:val="auto"/>
          <w:kern w:val="0"/>
          <w:sz w:val="24"/>
          <w:highlight w:val="none"/>
          <w:lang w:val="zh-CN"/>
        </w:rPr>
      </w:pPr>
    </w:p>
    <w:p w14:paraId="3E0169CA">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5DB27BAE">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5D9FF99E">
      <w:pPr>
        <w:spacing w:line="360" w:lineRule="auto"/>
        <w:jc w:val="center"/>
        <w:rPr>
          <w:rFonts w:hint="eastAsia" w:ascii="仿宋" w:hAnsi="仿宋" w:eastAsia="仿宋" w:cs="仿宋"/>
          <w:b/>
          <w:bCs/>
          <w:color w:val="auto"/>
          <w:sz w:val="24"/>
          <w:highlight w:val="none"/>
        </w:rPr>
      </w:pPr>
    </w:p>
    <w:p w14:paraId="7F41D551">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2250A72">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A21A54C">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27AB8689">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566A920F">
      <w:pPr>
        <w:spacing w:line="360" w:lineRule="auto"/>
        <w:jc w:val="center"/>
        <w:outlineLvl w:val="0"/>
        <w:rPr>
          <w:rFonts w:hint="eastAsia" w:ascii="仿宋" w:hAnsi="仿宋" w:eastAsia="仿宋" w:cs="仿宋"/>
          <w:b/>
          <w:color w:val="auto"/>
          <w:kern w:val="0"/>
          <w:sz w:val="36"/>
          <w:szCs w:val="36"/>
          <w:highlight w:val="none"/>
        </w:rPr>
      </w:pPr>
    </w:p>
    <w:p w14:paraId="3082A54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响应一览表（报价表）</w:t>
      </w:r>
      <w:r>
        <w:rPr>
          <w:rFonts w:hint="eastAsia" w:ascii="仿宋" w:hAnsi="仿宋" w:eastAsia="仿宋" w:cs="仿宋"/>
          <w:color w:val="auto"/>
          <w:sz w:val="24"/>
          <w:highlight w:val="none"/>
        </w:rPr>
        <w:t>………………………………………………………（页码）</w:t>
      </w:r>
    </w:p>
    <w:p w14:paraId="5E0BE7A1">
      <w:pPr>
        <w:snapToGrid w:val="0"/>
        <w:spacing w:line="360" w:lineRule="auto"/>
        <w:ind w:right="480"/>
        <w:jc w:val="center"/>
        <w:rPr>
          <w:rFonts w:hint="eastAsia" w:ascii="仿宋" w:hAnsi="仿宋" w:eastAsia="仿宋" w:cs="仿宋"/>
          <w:b/>
          <w:color w:val="auto"/>
          <w:kern w:val="0"/>
          <w:sz w:val="32"/>
          <w:szCs w:val="32"/>
          <w:highlight w:val="none"/>
        </w:rPr>
      </w:pPr>
    </w:p>
    <w:p w14:paraId="00CD79F0">
      <w:pPr>
        <w:snapToGrid w:val="0"/>
        <w:spacing w:line="360" w:lineRule="auto"/>
        <w:ind w:right="480"/>
        <w:jc w:val="center"/>
        <w:rPr>
          <w:rFonts w:hint="eastAsia" w:ascii="仿宋" w:hAnsi="仿宋" w:eastAsia="仿宋" w:cs="仿宋"/>
          <w:b/>
          <w:color w:val="auto"/>
          <w:kern w:val="0"/>
          <w:sz w:val="32"/>
          <w:szCs w:val="32"/>
          <w:highlight w:val="none"/>
        </w:rPr>
      </w:pPr>
    </w:p>
    <w:p w14:paraId="55022C74">
      <w:pPr>
        <w:snapToGrid w:val="0"/>
        <w:spacing w:line="360" w:lineRule="auto"/>
        <w:ind w:right="480"/>
        <w:jc w:val="center"/>
        <w:rPr>
          <w:rFonts w:hint="eastAsia" w:ascii="仿宋" w:hAnsi="仿宋" w:eastAsia="仿宋" w:cs="仿宋"/>
          <w:b/>
          <w:color w:val="auto"/>
          <w:kern w:val="0"/>
          <w:sz w:val="32"/>
          <w:szCs w:val="32"/>
          <w:highlight w:val="none"/>
        </w:rPr>
      </w:pPr>
    </w:p>
    <w:p w14:paraId="2E0CD2E3">
      <w:pPr>
        <w:snapToGrid w:val="0"/>
        <w:spacing w:line="360" w:lineRule="auto"/>
        <w:ind w:right="480"/>
        <w:jc w:val="center"/>
        <w:rPr>
          <w:rFonts w:hint="eastAsia" w:ascii="仿宋" w:hAnsi="仿宋" w:eastAsia="仿宋" w:cs="仿宋"/>
          <w:b/>
          <w:color w:val="auto"/>
          <w:kern w:val="0"/>
          <w:sz w:val="32"/>
          <w:szCs w:val="32"/>
          <w:highlight w:val="none"/>
        </w:rPr>
      </w:pPr>
    </w:p>
    <w:p w14:paraId="2D1A85E8">
      <w:pPr>
        <w:snapToGrid w:val="0"/>
        <w:spacing w:line="360" w:lineRule="auto"/>
        <w:ind w:right="480"/>
        <w:jc w:val="center"/>
        <w:rPr>
          <w:rFonts w:hint="eastAsia" w:ascii="仿宋" w:hAnsi="仿宋" w:eastAsia="仿宋" w:cs="仿宋"/>
          <w:b/>
          <w:color w:val="auto"/>
          <w:kern w:val="0"/>
          <w:sz w:val="32"/>
          <w:szCs w:val="32"/>
          <w:highlight w:val="none"/>
        </w:rPr>
      </w:pPr>
    </w:p>
    <w:p w14:paraId="13E15542">
      <w:pPr>
        <w:snapToGrid w:val="0"/>
        <w:spacing w:line="360" w:lineRule="auto"/>
        <w:ind w:right="480"/>
        <w:jc w:val="center"/>
        <w:rPr>
          <w:rFonts w:hint="eastAsia" w:ascii="仿宋" w:hAnsi="仿宋" w:eastAsia="仿宋" w:cs="仿宋"/>
          <w:b/>
          <w:color w:val="auto"/>
          <w:kern w:val="0"/>
          <w:sz w:val="32"/>
          <w:szCs w:val="32"/>
          <w:highlight w:val="none"/>
        </w:rPr>
      </w:pPr>
    </w:p>
    <w:p w14:paraId="655E2C7D">
      <w:pPr>
        <w:snapToGrid w:val="0"/>
        <w:spacing w:line="360" w:lineRule="auto"/>
        <w:ind w:right="480"/>
        <w:jc w:val="center"/>
        <w:rPr>
          <w:rFonts w:hint="eastAsia" w:ascii="仿宋" w:hAnsi="仿宋" w:eastAsia="仿宋" w:cs="仿宋"/>
          <w:b/>
          <w:color w:val="auto"/>
          <w:kern w:val="0"/>
          <w:sz w:val="32"/>
          <w:szCs w:val="32"/>
          <w:highlight w:val="none"/>
        </w:rPr>
      </w:pPr>
    </w:p>
    <w:p w14:paraId="712BED0E">
      <w:pPr>
        <w:snapToGrid w:val="0"/>
        <w:spacing w:line="360" w:lineRule="auto"/>
        <w:ind w:right="480"/>
        <w:jc w:val="center"/>
        <w:rPr>
          <w:rFonts w:hint="eastAsia" w:ascii="仿宋" w:hAnsi="仿宋" w:eastAsia="仿宋" w:cs="仿宋"/>
          <w:b/>
          <w:color w:val="auto"/>
          <w:kern w:val="0"/>
          <w:sz w:val="32"/>
          <w:szCs w:val="32"/>
          <w:highlight w:val="none"/>
        </w:rPr>
      </w:pPr>
    </w:p>
    <w:p w14:paraId="4D50B327">
      <w:pPr>
        <w:snapToGrid w:val="0"/>
        <w:spacing w:line="360" w:lineRule="auto"/>
        <w:ind w:right="480"/>
        <w:jc w:val="center"/>
        <w:rPr>
          <w:rFonts w:hint="eastAsia" w:ascii="仿宋" w:hAnsi="仿宋" w:eastAsia="仿宋" w:cs="仿宋"/>
          <w:b/>
          <w:color w:val="auto"/>
          <w:kern w:val="0"/>
          <w:sz w:val="32"/>
          <w:szCs w:val="32"/>
          <w:highlight w:val="none"/>
        </w:rPr>
      </w:pPr>
    </w:p>
    <w:p w14:paraId="5406897C">
      <w:pPr>
        <w:snapToGrid w:val="0"/>
        <w:spacing w:line="360" w:lineRule="auto"/>
        <w:ind w:right="480"/>
        <w:jc w:val="center"/>
        <w:rPr>
          <w:rFonts w:hint="eastAsia" w:ascii="仿宋" w:hAnsi="仿宋" w:eastAsia="仿宋" w:cs="仿宋"/>
          <w:b/>
          <w:color w:val="auto"/>
          <w:kern w:val="0"/>
          <w:sz w:val="32"/>
          <w:szCs w:val="32"/>
          <w:highlight w:val="none"/>
        </w:rPr>
      </w:pPr>
    </w:p>
    <w:p w14:paraId="6C65BCAD">
      <w:pPr>
        <w:snapToGrid w:val="0"/>
        <w:spacing w:line="360" w:lineRule="auto"/>
        <w:ind w:right="480"/>
        <w:jc w:val="center"/>
        <w:rPr>
          <w:rFonts w:hint="eastAsia" w:ascii="仿宋" w:hAnsi="仿宋" w:eastAsia="仿宋" w:cs="仿宋"/>
          <w:b/>
          <w:color w:val="auto"/>
          <w:kern w:val="0"/>
          <w:sz w:val="32"/>
          <w:szCs w:val="32"/>
          <w:highlight w:val="none"/>
        </w:rPr>
      </w:pPr>
    </w:p>
    <w:p w14:paraId="73755DB9">
      <w:pPr>
        <w:snapToGrid w:val="0"/>
        <w:spacing w:line="360" w:lineRule="auto"/>
        <w:ind w:right="480"/>
        <w:jc w:val="center"/>
        <w:rPr>
          <w:rFonts w:hint="eastAsia" w:ascii="仿宋" w:hAnsi="仿宋" w:eastAsia="仿宋" w:cs="仿宋"/>
          <w:b/>
          <w:color w:val="auto"/>
          <w:kern w:val="0"/>
          <w:sz w:val="32"/>
          <w:szCs w:val="32"/>
          <w:highlight w:val="none"/>
        </w:rPr>
      </w:pPr>
    </w:p>
    <w:p w14:paraId="0AEA4E46">
      <w:pPr>
        <w:snapToGrid w:val="0"/>
        <w:spacing w:line="360" w:lineRule="auto"/>
        <w:ind w:right="480"/>
        <w:jc w:val="center"/>
        <w:rPr>
          <w:rFonts w:hint="eastAsia" w:ascii="仿宋" w:hAnsi="仿宋" w:eastAsia="仿宋" w:cs="仿宋"/>
          <w:b/>
          <w:color w:val="auto"/>
          <w:kern w:val="0"/>
          <w:sz w:val="32"/>
          <w:szCs w:val="32"/>
          <w:highlight w:val="none"/>
        </w:rPr>
      </w:pPr>
    </w:p>
    <w:p w14:paraId="56856A9E">
      <w:pPr>
        <w:snapToGrid w:val="0"/>
        <w:spacing w:line="360" w:lineRule="auto"/>
        <w:ind w:right="480"/>
        <w:jc w:val="center"/>
        <w:rPr>
          <w:rFonts w:hint="eastAsia" w:ascii="仿宋" w:hAnsi="仿宋" w:eastAsia="仿宋" w:cs="仿宋"/>
          <w:b/>
          <w:color w:val="auto"/>
          <w:kern w:val="0"/>
          <w:sz w:val="32"/>
          <w:szCs w:val="32"/>
          <w:highlight w:val="none"/>
        </w:rPr>
      </w:pPr>
    </w:p>
    <w:p w14:paraId="66728E92">
      <w:pPr>
        <w:snapToGrid w:val="0"/>
        <w:spacing w:line="360" w:lineRule="auto"/>
        <w:ind w:right="480"/>
        <w:jc w:val="center"/>
        <w:rPr>
          <w:rFonts w:hint="eastAsia" w:ascii="仿宋" w:hAnsi="仿宋" w:eastAsia="仿宋" w:cs="仿宋"/>
          <w:b/>
          <w:color w:val="auto"/>
          <w:kern w:val="0"/>
          <w:sz w:val="32"/>
          <w:szCs w:val="32"/>
          <w:highlight w:val="none"/>
        </w:rPr>
      </w:pPr>
    </w:p>
    <w:p w14:paraId="62C8EFB7">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0B546457">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lang w:eastAsia="zh-CN"/>
        </w:rPr>
      </w:pPr>
      <w:r>
        <w:rPr>
          <w:rFonts w:hint="eastAsia" w:ascii="仿宋" w:hAnsi="仿宋" w:eastAsia="仿宋" w:cs="仿宋"/>
          <w:color w:val="auto"/>
          <w:kern w:val="2"/>
          <w:sz w:val="32"/>
          <w:szCs w:val="32"/>
          <w:highlight w:val="none"/>
        </w:rPr>
        <w:t>一、</w:t>
      </w:r>
      <w:r>
        <w:rPr>
          <w:rFonts w:hint="eastAsia" w:ascii="仿宋" w:hAnsi="仿宋" w:eastAsia="仿宋" w:cs="仿宋"/>
          <w:color w:val="auto"/>
          <w:kern w:val="2"/>
          <w:sz w:val="32"/>
          <w:szCs w:val="32"/>
          <w:highlight w:val="none"/>
          <w:lang w:eastAsia="zh-CN"/>
        </w:rPr>
        <w:t>响应一览表（报价表）</w:t>
      </w:r>
    </w:p>
    <w:p w14:paraId="122EBA7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E5702BE">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按你方交易文件要求，我们，本响应文件签字方，谨此向你方发出要约如下：如你方接受本</w:t>
      </w:r>
      <w:r>
        <w:rPr>
          <w:rFonts w:hint="eastAsia" w:ascii="仿宋" w:hAnsi="仿宋" w:eastAsia="仿宋" w:cs="仿宋"/>
          <w:color w:val="auto"/>
          <w:kern w:val="0"/>
          <w:sz w:val="24"/>
          <w:highlight w:val="none"/>
          <w:lang w:val="en-US" w:eastAsia="zh-CN"/>
        </w:rPr>
        <w:t>响应</w:t>
      </w:r>
      <w:r>
        <w:rPr>
          <w:rFonts w:hint="eastAsia" w:ascii="仿宋" w:hAnsi="仿宋" w:eastAsia="仿宋" w:cs="仿宋"/>
          <w:color w:val="auto"/>
          <w:kern w:val="0"/>
          <w:sz w:val="24"/>
          <w:highlight w:val="none"/>
          <w:lang w:val="zh-CN"/>
        </w:rPr>
        <w:t>，我方承诺按照如下响应一览表（报价表）的价格完成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【项目编号：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65341FAE">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响应一览表（报价表）(单位均为人民币元)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526E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96B50D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14:paraId="09DD114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tcPr>
          <w:p w14:paraId="4F6589B2">
            <w:pPr>
              <w:spacing w:line="360" w:lineRule="auto"/>
              <w:jc w:val="center"/>
              <w:rPr>
                <w:rFonts w:hint="eastAsia" w:ascii="仿宋" w:hAnsi="仿宋" w:eastAsia="仿宋" w:cs="仿宋"/>
                <w:b/>
                <w:color w:val="auto"/>
                <w:sz w:val="24"/>
                <w:highlight w:val="none"/>
              </w:rPr>
            </w:pPr>
          </w:p>
          <w:p w14:paraId="5D1C4C7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14:paraId="0F94CC9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14:paraId="7F04AC5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vAlign w:val="center"/>
          </w:tcPr>
          <w:p w14:paraId="7554E1B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tcPr>
          <w:p w14:paraId="7BAD0E66">
            <w:pPr>
              <w:spacing w:line="360" w:lineRule="auto"/>
              <w:jc w:val="center"/>
              <w:rPr>
                <w:rFonts w:hint="eastAsia" w:ascii="仿宋" w:hAnsi="仿宋" w:eastAsia="仿宋" w:cs="仿宋"/>
                <w:b/>
                <w:color w:val="auto"/>
                <w:sz w:val="24"/>
                <w:highlight w:val="none"/>
              </w:rPr>
            </w:pPr>
          </w:p>
          <w:p w14:paraId="4E7006F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vAlign w:val="center"/>
          </w:tcPr>
          <w:p w14:paraId="568C7C24">
            <w:pPr>
              <w:spacing w:line="360" w:lineRule="auto"/>
              <w:jc w:val="center"/>
              <w:rPr>
                <w:rFonts w:hint="eastAsia" w:ascii="仿宋" w:hAnsi="仿宋" w:eastAsia="仿宋" w:cs="仿宋"/>
                <w:b/>
                <w:color w:val="auto"/>
                <w:sz w:val="24"/>
                <w:highlight w:val="none"/>
              </w:rPr>
            </w:pPr>
          </w:p>
          <w:p w14:paraId="66C8CE9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7DE1D58E">
            <w:pPr>
              <w:spacing w:line="360" w:lineRule="auto"/>
              <w:jc w:val="center"/>
              <w:rPr>
                <w:rFonts w:hint="eastAsia" w:ascii="仿宋" w:hAnsi="仿宋" w:eastAsia="仿宋" w:cs="仿宋"/>
                <w:b/>
                <w:color w:val="auto"/>
                <w:sz w:val="24"/>
                <w:highlight w:val="none"/>
              </w:rPr>
            </w:pPr>
          </w:p>
        </w:tc>
      </w:tr>
      <w:tr w14:paraId="0D722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4FEC26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14:paraId="4E7EE72E">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XX</w:t>
            </w:r>
          </w:p>
        </w:tc>
        <w:tc>
          <w:tcPr>
            <w:tcW w:w="2268" w:type="dxa"/>
            <w:vAlign w:val="center"/>
          </w:tcPr>
          <w:p w14:paraId="0DB6DDBA">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53A7A654">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461E36BC">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353CA51E">
            <w:pPr>
              <w:spacing w:line="360" w:lineRule="auto"/>
              <w:jc w:val="center"/>
              <w:rPr>
                <w:rFonts w:hint="eastAsia" w:ascii="仿宋" w:hAnsi="仿宋" w:eastAsia="仿宋" w:cs="仿宋"/>
                <w:color w:val="auto"/>
                <w:sz w:val="24"/>
                <w:highlight w:val="none"/>
              </w:rPr>
            </w:pPr>
          </w:p>
        </w:tc>
        <w:tc>
          <w:tcPr>
            <w:tcW w:w="2127" w:type="dxa"/>
          </w:tcPr>
          <w:p w14:paraId="4CE9A6E5">
            <w:pPr>
              <w:spacing w:line="360" w:lineRule="auto"/>
              <w:jc w:val="center"/>
              <w:rPr>
                <w:rFonts w:hint="eastAsia" w:ascii="仿宋" w:hAnsi="仿宋" w:eastAsia="仿宋" w:cs="仿宋"/>
                <w:color w:val="auto"/>
                <w:sz w:val="24"/>
                <w:highlight w:val="none"/>
              </w:rPr>
            </w:pPr>
          </w:p>
        </w:tc>
        <w:tc>
          <w:tcPr>
            <w:tcW w:w="2126" w:type="dxa"/>
            <w:vAlign w:val="center"/>
          </w:tcPr>
          <w:p w14:paraId="337872A0">
            <w:pPr>
              <w:spacing w:line="360" w:lineRule="auto"/>
              <w:jc w:val="center"/>
              <w:rPr>
                <w:rFonts w:hint="eastAsia" w:ascii="仿宋" w:hAnsi="仿宋" w:eastAsia="仿宋" w:cs="仿宋"/>
                <w:color w:val="auto"/>
                <w:sz w:val="24"/>
                <w:highlight w:val="none"/>
              </w:rPr>
            </w:pPr>
          </w:p>
        </w:tc>
      </w:tr>
      <w:tr w14:paraId="33B6F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D7765A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14:paraId="7E4769A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5DC9AF54">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5FBD22D6">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74F3E10A">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1D7CF452">
            <w:pPr>
              <w:spacing w:line="360" w:lineRule="auto"/>
              <w:jc w:val="center"/>
              <w:rPr>
                <w:rFonts w:hint="eastAsia" w:ascii="仿宋" w:hAnsi="仿宋" w:eastAsia="仿宋" w:cs="仿宋"/>
                <w:color w:val="auto"/>
                <w:sz w:val="24"/>
                <w:highlight w:val="none"/>
              </w:rPr>
            </w:pPr>
          </w:p>
        </w:tc>
        <w:tc>
          <w:tcPr>
            <w:tcW w:w="2127" w:type="dxa"/>
          </w:tcPr>
          <w:p w14:paraId="749D2ED3">
            <w:pPr>
              <w:spacing w:line="360" w:lineRule="auto"/>
              <w:jc w:val="center"/>
              <w:rPr>
                <w:rFonts w:hint="eastAsia" w:ascii="仿宋" w:hAnsi="仿宋" w:eastAsia="仿宋" w:cs="仿宋"/>
                <w:color w:val="auto"/>
                <w:sz w:val="24"/>
                <w:highlight w:val="none"/>
              </w:rPr>
            </w:pPr>
          </w:p>
        </w:tc>
        <w:tc>
          <w:tcPr>
            <w:tcW w:w="2126" w:type="dxa"/>
            <w:vAlign w:val="center"/>
          </w:tcPr>
          <w:p w14:paraId="23D10452">
            <w:pPr>
              <w:spacing w:line="360" w:lineRule="auto"/>
              <w:jc w:val="center"/>
              <w:rPr>
                <w:rFonts w:hint="eastAsia" w:ascii="仿宋" w:hAnsi="仿宋" w:eastAsia="仿宋" w:cs="仿宋"/>
                <w:color w:val="auto"/>
                <w:sz w:val="24"/>
                <w:highlight w:val="none"/>
              </w:rPr>
            </w:pPr>
          </w:p>
        </w:tc>
      </w:tr>
      <w:tr w14:paraId="361B7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12A87B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14:paraId="28EF0D00">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0142272A">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2B8214A1">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3F48B2B6">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0CA01C36">
            <w:pPr>
              <w:spacing w:line="360" w:lineRule="auto"/>
              <w:jc w:val="center"/>
              <w:rPr>
                <w:rFonts w:hint="eastAsia" w:ascii="仿宋" w:hAnsi="仿宋" w:eastAsia="仿宋" w:cs="仿宋"/>
                <w:color w:val="auto"/>
                <w:sz w:val="24"/>
                <w:highlight w:val="none"/>
              </w:rPr>
            </w:pPr>
          </w:p>
        </w:tc>
        <w:tc>
          <w:tcPr>
            <w:tcW w:w="2127" w:type="dxa"/>
          </w:tcPr>
          <w:p w14:paraId="7CAF7000">
            <w:pPr>
              <w:spacing w:line="360" w:lineRule="auto"/>
              <w:jc w:val="center"/>
              <w:rPr>
                <w:rFonts w:hint="eastAsia" w:ascii="仿宋" w:hAnsi="仿宋" w:eastAsia="仿宋" w:cs="仿宋"/>
                <w:color w:val="auto"/>
                <w:sz w:val="24"/>
                <w:highlight w:val="none"/>
              </w:rPr>
            </w:pPr>
          </w:p>
        </w:tc>
        <w:tc>
          <w:tcPr>
            <w:tcW w:w="2126" w:type="dxa"/>
            <w:vAlign w:val="center"/>
          </w:tcPr>
          <w:p w14:paraId="2AEF39E1">
            <w:pPr>
              <w:spacing w:line="360" w:lineRule="auto"/>
              <w:jc w:val="center"/>
              <w:rPr>
                <w:rFonts w:hint="eastAsia" w:ascii="仿宋" w:hAnsi="仿宋" w:eastAsia="仿宋" w:cs="仿宋"/>
                <w:color w:val="auto"/>
                <w:sz w:val="24"/>
                <w:highlight w:val="none"/>
              </w:rPr>
            </w:pPr>
          </w:p>
        </w:tc>
      </w:tr>
      <w:tr w14:paraId="08803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25BFDAA">
            <w:pPr>
              <w:spacing w:line="360" w:lineRule="auto"/>
              <w:jc w:val="center"/>
              <w:rPr>
                <w:rFonts w:hint="eastAsia" w:ascii="仿宋" w:hAnsi="仿宋" w:eastAsia="仿宋" w:cs="仿宋"/>
                <w:color w:val="auto"/>
                <w:sz w:val="24"/>
                <w:highlight w:val="none"/>
              </w:rPr>
            </w:pPr>
          </w:p>
        </w:tc>
        <w:tc>
          <w:tcPr>
            <w:tcW w:w="992" w:type="dxa"/>
            <w:vAlign w:val="center"/>
          </w:tcPr>
          <w:p w14:paraId="2D6DAAC4">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68B62431">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4B7FDCF3">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5C929208">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6DC57EE4">
            <w:pPr>
              <w:spacing w:line="360" w:lineRule="auto"/>
              <w:jc w:val="center"/>
              <w:rPr>
                <w:rFonts w:hint="eastAsia" w:ascii="仿宋" w:hAnsi="仿宋" w:eastAsia="仿宋" w:cs="仿宋"/>
                <w:color w:val="auto"/>
                <w:sz w:val="24"/>
                <w:highlight w:val="none"/>
              </w:rPr>
            </w:pPr>
          </w:p>
        </w:tc>
        <w:tc>
          <w:tcPr>
            <w:tcW w:w="2127" w:type="dxa"/>
          </w:tcPr>
          <w:p w14:paraId="6FBE4DEF">
            <w:pPr>
              <w:spacing w:line="360" w:lineRule="auto"/>
              <w:jc w:val="center"/>
              <w:rPr>
                <w:rFonts w:hint="eastAsia" w:ascii="仿宋" w:hAnsi="仿宋" w:eastAsia="仿宋" w:cs="仿宋"/>
                <w:color w:val="auto"/>
                <w:sz w:val="24"/>
                <w:highlight w:val="none"/>
              </w:rPr>
            </w:pPr>
          </w:p>
        </w:tc>
        <w:tc>
          <w:tcPr>
            <w:tcW w:w="2126" w:type="dxa"/>
            <w:vAlign w:val="center"/>
          </w:tcPr>
          <w:p w14:paraId="57765E00">
            <w:pPr>
              <w:spacing w:line="360" w:lineRule="auto"/>
              <w:jc w:val="center"/>
              <w:rPr>
                <w:rFonts w:hint="eastAsia" w:ascii="仿宋" w:hAnsi="仿宋" w:eastAsia="仿宋" w:cs="仿宋"/>
                <w:color w:val="auto"/>
                <w:sz w:val="24"/>
                <w:highlight w:val="none"/>
              </w:rPr>
            </w:pPr>
          </w:p>
        </w:tc>
      </w:tr>
      <w:tr w14:paraId="0A03C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58EB556">
            <w:pPr>
              <w:spacing w:line="360" w:lineRule="auto"/>
              <w:jc w:val="center"/>
              <w:rPr>
                <w:rFonts w:hint="eastAsia" w:ascii="仿宋" w:hAnsi="仿宋" w:eastAsia="仿宋" w:cs="仿宋"/>
                <w:color w:val="auto"/>
                <w:sz w:val="24"/>
                <w:highlight w:val="none"/>
              </w:rPr>
            </w:pPr>
          </w:p>
        </w:tc>
        <w:tc>
          <w:tcPr>
            <w:tcW w:w="992" w:type="dxa"/>
            <w:vAlign w:val="center"/>
          </w:tcPr>
          <w:p w14:paraId="1B327096">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4D892EA3">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7D55F16D">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4F3DA031">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483E4780">
            <w:pPr>
              <w:spacing w:line="360" w:lineRule="auto"/>
              <w:jc w:val="center"/>
              <w:rPr>
                <w:rFonts w:hint="eastAsia" w:ascii="仿宋" w:hAnsi="仿宋" w:eastAsia="仿宋" w:cs="仿宋"/>
                <w:color w:val="auto"/>
                <w:sz w:val="24"/>
                <w:highlight w:val="none"/>
              </w:rPr>
            </w:pPr>
          </w:p>
        </w:tc>
        <w:tc>
          <w:tcPr>
            <w:tcW w:w="2127" w:type="dxa"/>
          </w:tcPr>
          <w:p w14:paraId="09F612DA">
            <w:pPr>
              <w:spacing w:line="360" w:lineRule="auto"/>
              <w:jc w:val="center"/>
              <w:rPr>
                <w:rFonts w:hint="eastAsia" w:ascii="仿宋" w:hAnsi="仿宋" w:eastAsia="仿宋" w:cs="仿宋"/>
                <w:color w:val="auto"/>
                <w:sz w:val="24"/>
                <w:highlight w:val="none"/>
              </w:rPr>
            </w:pPr>
          </w:p>
        </w:tc>
        <w:tc>
          <w:tcPr>
            <w:tcW w:w="2126" w:type="dxa"/>
            <w:vAlign w:val="center"/>
          </w:tcPr>
          <w:p w14:paraId="7A10D833">
            <w:pPr>
              <w:spacing w:line="360" w:lineRule="auto"/>
              <w:jc w:val="center"/>
              <w:rPr>
                <w:rFonts w:hint="eastAsia" w:ascii="仿宋" w:hAnsi="仿宋" w:eastAsia="仿宋" w:cs="仿宋"/>
                <w:color w:val="auto"/>
                <w:sz w:val="24"/>
                <w:highlight w:val="none"/>
              </w:rPr>
            </w:pPr>
          </w:p>
        </w:tc>
      </w:tr>
      <w:tr w14:paraId="66ADE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2AFEE7A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响应报价</w:t>
            </w:r>
            <w:r>
              <w:rPr>
                <w:rFonts w:hint="eastAsia" w:ascii="仿宋" w:hAnsi="仿宋" w:eastAsia="仿宋" w:cs="仿宋"/>
                <w:b/>
                <w:color w:val="auto"/>
                <w:sz w:val="24"/>
                <w:highlight w:val="none"/>
              </w:rPr>
              <w:t>（小写）</w:t>
            </w:r>
          </w:p>
        </w:tc>
        <w:tc>
          <w:tcPr>
            <w:tcW w:w="8647" w:type="dxa"/>
            <w:gridSpan w:val="4"/>
          </w:tcPr>
          <w:p w14:paraId="0390B2D9">
            <w:pPr>
              <w:spacing w:line="360" w:lineRule="auto"/>
              <w:jc w:val="center"/>
              <w:rPr>
                <w:rFonts w:hint="eastAsia" w:ascii="仿宋" w:hAnsi="仿宋" w:eastAsia="仿宋" w:cs="仿宋"/>
                <w:color w:val="auto"/>
                <w:sz w:val="24"/>
                <w:highlight w:val="none"/>
              </w:rPr>
            </w:pPr>
          </w:p>
        </w:tc>
      </w:tr>
      <w:tr w14:paraId="09F28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DB10E9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响应报价</w:t>
            </w:r>
            <w:r>
              <w:rPr>
                <w:rFonts w:hint="eastAsia" w:ascii="仿宋" w:hAnsi="仿宋" w:eastAsia="仿宋" w:cs="仿宋"/>
                <w:b/>
                <w:color w:val="auto"/>
                <w:sz w:val="24"/>
                <w:highlight w:val="none"/>
              </w:rPr>
              <w:t>（大写）</w:t>
            </w:r>
          </w:p>
        </w:tc>
        <w:tc>
          <w:tcPr>
            <w:tcW w:w="8647" w:type="dxa"/>
            <w:gridSpan w:val="4"/>
          </w:tcPr>
          <w:p w14:paraId="3782157A">
            <w:pPr>
              <w:spacing w:line="360" w:lineRule="auto"/>
              <w:jc w:val="center"/>
              <w:rPr>
                <w:rFonts w:hint="eastAsia" w:ascii="仿宋" w:hAnsi="仿宋" w:eastAsia="仿宋" w:cs="仿宋"/>
                <w:color w:val="auto"/>
                <w:sz w:val="24"/>
                <w:highlight w:val="none"/>
              </w:rPr>
            </w:pPr>
          </w:p>
        </w:tc>
      </w:tr>
    </w:tbl>
    <w:p w14:paraId="21CB0290">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6A1F7F2E">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1、供应商需按本表格式填写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含有采购人不能接受的附加条件，</w:t>
      </w:r>
      <w:r>
        <w:rPr>
          <w:rFonts w:hint="eastAsia" w:ascii="仿宋" w:hAnsi="仿宋" w:eastAsia="仿宋" w:cs="仿宋"/>
          <w:b/>
          <w:color w:val="auto"/>
          <w:sz w:val="24"/>
          <w:highlight w:val="none"/>
          <w:lang w:eastAsia="zh-CN"/>
        </w:rPr>
        <w:t>响应无效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5EEF962A">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采购人将以合同形式有偿取得货物或服务，不接受供应商给予的赠品、回扣或者与采购无关的其他商品、服务；采购内容未包含在《响应一览表（报价表）》名称栏中，供应商不能作出合理解释的，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含有采购人不能接受的附加条件的，</w:t>
      </w:r>
      <w:r>
        <w:rPr>
          <w:rFonts w:hint="eastAsia" w:ascii="仿宋" w:hAnsi="仿宋" w:eastAsia="仿宋" w:cs="仿宋"/>
          <w:b/>
          <w:color w:val="auto"/>
          <w:sz w:val="24"/>
          <w:highlight w:val="none"/>
          <w:lang w:eastAsia="zh-CN"/>
        </w:rPr>
        <w:t>响应无效</w:t>
      </w:r>
      <w:r>
        <w:rPr>
          <w:rFonts w:hint="eastAsia" w:ascii="仿宋" w:hAnsi="仿宋" w:eastAsia="仿宋" w:cs="仿宋"/>
          <w:b/>
          <w:color w:val="auto"/>
          <w:sz w:val="24"/>
          <w:highlight w:val="none"/>
        </w:rPr>
        <w:t>。</w:t>
      </w:r>
    </w:p>
    <w:p w14:paraId="313218B0">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3、特别提示：采购代理机构将对项目名称和项目编号，成交供应商名称、地址和成交金额，主要成交标的名称、服务范围、服务要求、服务时间、服务标准等予以公示。</w:t>
      </w:r>
    </w:p>
    <w:p w14:paraId="1E975EDC">
      <w:pPr>
        <w:spacing w:line="360" w:lineRule="auto"/>
        <w:ind w:firstLine="482" w:firstLineChars="20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、特别说明：▲供应商报价低于项目预算50%的，应当在报价文件中详细阐述不影响产品质量或者诚信履约的具体原因</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未做阐述说明的，响应无效。</w:t>
      </w:r>
    </w:p>
    <w:p w14:paraId="07BF18B7">
      <w:pPr>
        <w:spacing w:line="360" w:lineRule="auto"/>
        <w:ind w:firstLine="482" w:firstLineChars="200"/>
        <w:rPr>
          <w:rFonts w:hint="eastAsia" w:ascii="仿宋" w:hAnsi="仿宋" w:eastAsia="仿宋" w:cs="仿宋"/>
          <w:b/>
          <w:color w:val="auto"/>
          <w:kern w:val="0"/>
          <w:sz w:val="24"/>
          <w:highlight w:val="none"/>
        </w:rPr>
      </w:pPr>
    </w:p>
    <w:p w14:paraId="34A909AF">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74FC5FC1">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580DA3CC">
      <w:pPr>
        <w:pStyle w:val="2"/>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14:paraId="07FA0C68">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1</w:t>
      </w:r>
      <w:r>
        <w:rPr>
          <w:rFonts w:hint="eastAsia" w:ascii="仿宋" w:hAnsi="仿宋" w:eastAsia="仿宋" w:cs="仿宋"/>
          <w:b/>
          <w:color w:val="auto"/>
          <w:spacing w:val="6"/>
          <w:sz w:val="32"/>
          <w:szCs w:val="32"/>
          <w:highlight w:val="none"/>
        </w:rPr>
        <w:t>：质疑函范本及制作说明</w:t>
      </w:r>
    </w:p>
    <w:p w14:paraId="74625D9F">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2BFE2A50">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69F1417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39F0834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75E59E3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E28B84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685C160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6D3326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5763616">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482E1D6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0A14629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7E4D87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4DB5DA6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440233F0">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07F48CD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4EDFAD0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5A68EC2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360DA9A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62ADB7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DC983E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5DC22D2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669E4CB3">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4ED24EC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4677032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1982438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7E0B751">
      <w:pPr>
        <w:spacing w:line="360" w:lineRule="auto"/>
        <w:jc w:val="center"/>
        <w:rPr>
          <w:rFonts w:hint="eastAsia" w:ascii="仿宋" w:hAnsi="仿宋" w:eastAsia="仿宋" w:cs="仿宋"/>
          <w:b/>
          <w:bCs/>
          <w:color w:val="auto"/>
          <w:sz w:val="24"/>
          <w:highlight w:val="none"/>
        </w:rPr>
      </w:pPr>
    </w:p>
    <w:p w14:paraId="1E8C1115">
      <w:pPr>
        <w:spacing w:line="360" w:lineRule="auto"/>
        <w:rPr>
          <w:rFonts w:hint="eastAsia" w:ascii="仿宋" w:hAnsi="仿宋" w:eastAsia="仿宋" w:cs="仿宋"/>
          <w:b/>
          <w:color w:val="auto"/>
          <w:sz w:val="24"/>
          <w:highlight w:val="none"/>
        </w:rPr>
      </w:pPr>
    </w:p>
    <w:p w14:paraId="56FDCD0D">
      <w:pPr>
        <w:spacing w:line="360" w:lineRule="auto"/>
        <w:rPr>
          <w:rFonts w:hint="eastAsia" w:ascii="仿宋" w:hAnsi="仿宋" w:eastAsia="仿宋" w:cs="仿宋"/>
          <w:b/>
          <w:color w:val="auto"/>
          <w:sz w:val="24"/>
          <w:highlight w:val="none"/>
        </w:rPr>
      </w:pPr>
    </w:p>
    <w:p w14:paraId="55CDC391">
      <w:pPr>
        <w:spacing w:line="360" w:lineRule="auto"/>
        <w:rPr>
          <w:rFonts w:hint="eastAsia" w:ascii="仿宋" w:hAnsi="仿宋" w:eastAsia="仿宋" w:cs="仿宋"/>
          <w:b/>
          <w:color w:val="auto"/>
          <w:sz w:val="24"/>
          <w:highlight w:val="none"/>
        </w:rPr>
      </w:pPr>
    </w:p>
    <w:p w14:paraId="1BB8DA5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17C3A2B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600529E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7065CAD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2AE7F3A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1C523BA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4302228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72459923">
      <w:pPr>
        <w:widowControl/>
        <w:spacing w:line="360" w:lineRule="auto"/>
        <w:ind w:firstLine="600" w:firstLineChars="200"/>
        <w:jc w:val="left"/>
        <w:rPr>
          <w:rFonts w:hint="eastAsia" w:ascii="仿宋" w:hAnsi="仿宋" w:eastAsia="仿宋" w:cs="仿宋"/>
          <w:color w:val="auto"/>
          <w:sz w:val="30"/>
          <w:szCs w:val="30"/>
          <w:highlight w:val="none"/>
        </w:rPr>
      </w:pPr>
    </w:p>
    <w:p w14:paraId="49EDCCD3">
      <w:pPr>
        <w:spacing w:line="360" w:lineRule="auto"/>
        <w:jc w:val="center"/>
        <w:rPr>
          <w:rFonts w:hint="eastAsia" w:ascii="仿宋" w:hAnsi="仿宋" w:eastAsia="仿宋" w:cs="仿宋"/>
          <w:b/>
          <w:color w:val="auto"/>
          <w:spacing w:val="6"/>
          <w:sz w:val="32"/>
          <w:szCs w:val="32"/>
          <w:highlight w:val="none"/>
        </w:rPr>
      </w:pPr>
    </w:p>
    <w:p w14:paraId="7E05C0BA">
      <w:pPr>
        <w:spacing w:line="360" w:lineRule="auto"/>
        <w:jc w:val="center"/>
        <w:rPr>
          <w:rFonts w:hint="eastAsia" w:ascii="仿宋" w:hAnsi="仿宋" w:eastAsia="仿宋" w:cs="仿宋"/>
          <w:b/>
          <w:color w:val="auto"/>
          <w:spacing w:val="6"/>
          <w:sz w:val="32"/>
          <w:szCs w:val="32"/>
          <w:highlight w:val="none"/>
        </w:rPr>
      </w:pPr>
    </w:p>
    <w:p w14:paraId="0F0B1CAC">
      <w:pPr>
        <w:spacing w:line="360" w:lineRule="auto"/>
        <w:jc w:val="center"/>
        <w:rPr>
          <w:rFonts w:hint="eastAsia" w:ascii="仿宋" w:hAnsi="仿宋" w:eastAsia="仿宋" w:cs="仿宋"/>
          <w:b/>
          <w:color w:val="auto"/>
          <w:spacing w:val="6"/>
          <w:sz w:val="32"/>
          <w:szCs w:val="32"/>
          <w:highlight w:val="none"/>
        </w:rPr>
      </w:pPr>
    </w:p>
    <w:p w14:paraId="45B11BC2">
      <w:pPr>
        <w:spacing w:line="360" w:lineRule="auto"/>
        <w:jc w:val="center"/>
        <w:rPr>
          <w:rFonts w:hint="eastAsia" w:ascii="仿宋" w:hAnsi="仿宋" w:eastAsia="仿宋" w:cs="仿宋"/>
          <w:b/>
          <w:color w:val="auto"/>
          <w:spacing w:val="6"/>
          <w:sz w:val="32"/>
          <w:szCs w:val="32"/>
          <w:highlight w:val="none"/>
        </w:rPr>
      </w:pPr>
    </w:p>
    <w:p w14:paraId="38B42135">
      <w:pPr>
        <w:spacing w:line="360" w:lineRule="auto"/>
        <w:jc w:val="center"/>
        <w:rPr>
          <w:rFonts w:hint="eastAsia" w:ascii="仿宋" w:hAnsi="仿宋" w:eastAsia="仿宋" w:cs="仿宋"/>
          <w:b/>
          <w:color w:val="auto"/>
          <w:spacing w:val="6"/>
          <w:sz w:val="32"/>
          <w:szCs w:val="32"/>
          <w:highlight w:val="none"/>
        </w:rPr>
      </w:pPr>
    </w:p>
    <w:p w14:paraId="6DD64DD0">
      <w:pPr>
        <w:spacing w:line="360" w:lineRule="auto"/>
        <w:jc w:val="center"/>
        <w:rPr>
          <w:rFonts w:hint="eastAsia" w:ascii="仿宋" w:hAnsi="仿宋" w:eastAsia="仿宋" w:cs="仿宋"/>
          <w:b/>
          <w:color w:val="auto"/>
          <w:spacing w:val="6"/>
          <w:sz w:val="32"/>
          <w:szCs w:val="32"/>
          <w:highlight w:val="none"/>
        </w:rPr>
      </w:pPr>
    </w:p>
    <w:p w14:paraId="4038AE2D">
      <w:pPr>
        <w:spacing w:line="360" w:lineRule="auto"/>
        <w:jc w:val="center"/>
        <w:rPr>
          <w:rFonts w:hint="eastAsia" w:ascii="仿宋" w:hAnsi="仿宋" w:eastAsia="仿宋" w:cs="仿宋"/>
          <w:b/>
          <w:color w:val="auto"/>
          <w:spacing w:val="6"/>
          <w:sz w:val="32"/>
          <w:szCs w:val="32"/>
          <w:highlight w:val="none"/>
        </w:rPr>
      </w:pPr>
    </w:p>
    <w:p w14:paraId="60D0444F">
      <w:pPr>
        <w:spacing w:line="360" w:lineRule="auto"/>
        <w:jc w:val="center"/>
        <w:rPr>
          <w:rFonts w:hint="eastAsia" w:ascii="仿宋" w:hAnsi="仿宋" w:eastAsia="仿宋" w:cs="仿宋"/>
          <w:b/>
          <w:color w:val="auto"/>
          <w:spacing w:val="6"/>
          <w:sz w:val="32"/>
          <w:szCs w:val="32"/>
          <w:highlight w:val="none"/>
        </w:rPr>
      </w:pPr>
    </w:p>
    <w:p w14:paraId="055F5371">
      <w:pPr>
        <w:spacing w:line="360" w:lineRule="auto"/>
        <w:jc w:val="center"/>
        <w:rPr>
          <w:rFonts w:hint="eastAsia" w:ascii="仿宋" w:hAnsi="仿宋" w:eastAsia="仿宋" w:cs="仿宋"/>
          <w:b/>
          <w:color w:val="auto"/>
          <w:spacing w:val="6"/>
          <w:sz w:val="32"/>
          <w:szCs w:val="32"/>
          <w:highlight w:val="none"/>
        </w:rPr>
      </w:pPr>
    </w:p>
    <w:p w14:paraId="0DDCC0BE">
      <w:pPr>
        <w:spacing w:line="360" w:lineRule="auto"/>
        <w:jc w:val="center"/>
        <w:rPr>
          <w:rFonts w:hint="eastAsia" w:ascii="仿宋" w:hAnsi="仿宋" w:eastAsia="仿宋" w:cs="仿宋"/>
          <w:b/>
          <w:color w:val="auto"/>
          <w:spacing w:val="6"/>
          <w:sz w:val="32"/>
          <w:szCs w:val="32"/>
          <w:highlight w:val="none"/>
        </w:rPr>
      </w:pPr>
    </w:p>
    <w:p w14:paraId="5AABFDEB">
      <w:pPr>
        <w:spacing w:line="360" w:lineRule="auto"/>
        <w:jc w:val="center"/>
        <w:rPr>
          <w:rFonts w:hint="eastAsia" w:ascii="仿宋" w:hAnsi="仿宋" w:eastAsia="仿宋" w:cs="仿宋"/>
          <w:b/>
          <w:color w:val="auto"/>
          <w:spacing w:val="6"/>
          <w:sz w:val="32"/>
          <w:szCs w:val="32"/>
          <w:highlight w:val="none"/>
        </w:rPr>
      </w:pPr>
    </w:p>
    <w:p w14:paraId="05DD9843">
      <w:pPr>
        <w:spacing w:line="360" w:lineRule="auto"/>
        <w:jc w:val="center"/>
        <w:rPr>
          <w:rFonts w:hint="eastAsia" w:ascii="仿宋" w:hAnsi="仿宋" w:eastAsia="仿宋" w:cs="仿宋"/>
          <w:b/>
          <w:color w:val="auto"/>
          <w:spacing w:val="6"/>
          <w:sz w:val="32"/>
          <w:szCs w:val="32"/>
          <w:highlight w:val="none"/>
        </w:rPr>
      </w:pPr>
    </w:p>
    <w:p w14:paraId="453F74A9">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2</w:t>
      </w:r>
      <w:r>
        <w:rPr>
          <w:rFonts w:hint="eastAsia" w:ascii="仿宋" w:hAnsi="仿宋" w:eastAsia="仿宋" w:cs="仿宋"/>
          <w:b/>
          <w:color w:val="auto"/>
          <w:spacing w:val="6"/>
          <w:sz w:val="32"/>
          <w:szCs w:val="32"/>
          <w:highlight w:val="none"/>
        </w:rPr>
        <w:t>：投诉书范本及制作说明</w:t>
      </w:r>
    </w:p>
    <w:p w14:paraId="411BF9FD">
      <w:pPr>
        <w:spacing w:line="360" w:lineRule="auto"/>
        <w:jc w:val="center"/>
        <w:rPr>
          <w:rFonts w:hint="eastAsia" w:ascii="仿宋" w:hAnsi="仿宋" w:eastAsia="仿宋" w:cs="仿宋"/>
          <w:b/>
          <w:color w:val="auto"/>
          <w:sz w:val="24"/>
          <w:highlight w:val="none"/>
        </w:rPr>
      </w:pPr>
    </w:p>
    <w:p w14:paraId="2ABBB489">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109DDA7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4CFF579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75DC402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C0D684E">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8BBAA25">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4A36C6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67BA5F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25C0AAA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EA00A4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F56848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E906D6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1F776AD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5F8D54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1AEFD0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FF0C3E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7EEC9E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355867A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418F20A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7867B5D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268623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1D697A0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94FB84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67FBB9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0C6801F4">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51973AF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C8904F4">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275A208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36E1D90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297843A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D75AD7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567DF7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2C94FCE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355F05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3C242C7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3E2ECA1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40545F8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350868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16729FE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F4E0DE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571552C">
      <w:pPr>
        <w:spacing w:line="360" w:lineRule="auto"/>
        <w:rPr>
          <w:rFonts w:hint="eastAsia" w:ascii="仿宋" w:hAnsi="仿宋" w:eastAsia="仿宋" w:cs="仿宋"/>
          <w:b/>
          <w:color w:val="auto"/>
          <w:sz w:val="24"/>
          <w:highlight w:val="none"/>
        </w:rPr>
      </w:pPr>
    </w:p>
    <w:p w14:paraId="090C067E">
      <w:pPr>
        <w:spacing w:line="360" w:lineRule="auto"/>
        <w:rPr>
          <w:rFonts w:hint="eastAsia" w:ascii="仿宋" w:hAnsi="仿宋" w:eastAsia="仿宋" w:cs="仿宋"/>
          <w:b/>
          <w:color w:val="auto"/>
          <w:sz w:val="24"/>
          <w:highlight w:val="none"/>
        </w:rPr>
      </w:pPr>
    </w:p>
    <w:p w14:paraId="1E791EE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6447CAAE">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27B48A09">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042BFA7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31BB6BA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37A9360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6707163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09A5F49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3109D738">
      <w:pPr>
        <w:spacing w:line="360" w:lineRule="auto"/>
        <w:rPr>
          <w:rFonts w:hint="eastAsia" w:ascii="仿宋" w:hAnsi="仿宋" w:eastAsia="仿宋" w:cs="仿宋"/>
          <w:b/>
          <w:color w:val="auto"/>
          <w:sz w:val="24"/>
          <w:highlight w:val="none"/>
        </w:rPr>
      </w:pPr>
    </w:p>
    <w:p w14:paraId="327AEACD">
      <w:pPr>
        <w:autoSpaceDE w:val="0"/>
        <w:autoSpaceDN w:val="0"/>
        <w:jc w:val="center"/>
        <w:rPr>
          <w:rFonts w:hint="eastAsia" w:ascii="仿宋" w:hAnsi="仿宋" w:eastAsia="仿宋" w:cs="仿宋"/>
          <w:b/>
          <w:color w:val="auto"/>
          <w:spacing w:val="6"/>
          <w:sz w:val="32"/>
          <w:szCs w:val="32"/>
          <w:highlight w:val="none"/>
        </w:rPr>
      </w:pPr>
    </w:p>
    <w:p w14:paraId="39FF4CC3">
      <w:pPr>
        <w:autoSpaceDE w:val="0"/>
        <w:autoSpaceDN w:val="0"/>
        <w:jc w:val="center"/>
        <w:rPr>
          <w:rFonts w:hint="eastAsia" w:ascii="仿宋" w:hAnsi="仿宋" w:eastAsia="仿宋" w:cs="仿宋"/>
          <w:b/>
          <w:color w:val="auto"/>
          <w:spacing w:val="6"/>
          <w:sz w:val="32"/>
          <w:szCs w:val="32"/>
          <w:highlight w:val="none"/>
        </w:rPr>
      </w:pPr>
    </w:p>
    <w:p w14:paraId="09248F3C">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3</w:t>
      </w:r>
      <w:r>
        <w:rPr>
          <w:rFonts w:hint="eastAsia" w:ascii="仿宋" w:hAnsi="仿宋" w:eastAsia="仿宋" w:cs="仿宋"/>
          <w:b/>
          <w:color w:val="auto"/>
          <w:spacing w:val="6"/>
          <w:sz w:val="32"/>
          <w:szCs w:val="32"/>
          <w:highlight w:val="none"/>
        </w:rPr>
        <w:t>：</w:t>
      </w:r>
      <w:r>
        <w:rPr>
          <w:rFonts w:hint="eastAsia" w:ascii="仿宋" w:hAnsi="仿宋" w:eastAsia="仿宋" w:cs="仿宋"/>
          <w:b/>
          <w:bCs/>
          <w:color w:val="auto"/>
          <w:sz w:val="32"/>
          <w:szCs w:val="32"/>
          <w:highlight w:val="none"/>
        </w:rPr>
        <w:t>业务专用章使用说明函</w:t>
      </w:r>
    </w:p>
    <w:p w14:paraId="53140AFF">
      <w:pPr>
        <w:spacing w:line="360" w:lineRule="auto"/>
        <w:rPr>
          <w:rFonts w:hint="eastAsia" w:ascii="仿宋" w:hAnsi="仿宋" w:eastAsia="仿宋" w:cs="仿宋"/>
          <w:color w:val="auto"/>
          <w:sz w:val="24"/>
          <w:highlight w:val="none"/>
          <w:u w:val="single"/>
        </w:rPr>
      </w:pPr>
    </w:p>
    <w:p w14:paraId="5BEDC68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1BAC394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lang w:eastAsia="zh-CN"/>
        </w:rPr>
        <w:t>响应</w:t>
      </w:r>
      <w:r>
        <w:rPr>
          <w:rFonts w:hint="eastAsia" w:ascii="仿宋" w:hAnsi="仿宋" w:eastAsia="仿宋" w:cs="仿宋"/>
          <w:bCs/>
          <w:color w:val="auto"/>
          <w:sz w:val="24"/>
          <w:highlight w:val="none"/>
        </w:rPr>
        <w:t>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377C9B1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592B428A">
      <w:pPr>
        <w:spacing w:line="360" w:lineRule="auto"/>
        <w:ind w:firstLine="494"/>
        <w:rPr>
          <w:rFonts w:hint="eastAsia" w:ascii="仿宋" w:hAnsi="仿宋" w:eastAsia="仿宋" w:cs="仿宋"/>
          <w:color w:val="auto"/>
          <w:sz w:val="24"/>
          <w:highlight w:val="none"/>
        </w:rPr>
      </w:pPr>
    </w:p>
    <w:p w14:paraId="0C37B6DB">
      <w:pPr>
        <w:spacing w:line="360" w:lineRule="auto"/>
        <w:ind w:firstLine="494"/>
        <w:rPr>
          <w:rFonts w:hint="eastAsia" w:ascii="仿宋" w:hAnsi="仿宋" w:eastAsia="仿宋" w:cs="仿宋"/>
          <w:color w:val="auto"/>
          <w:sz w:val="24"/>
          <w:highlight w:val="none"/>
        </w:rPr>
      </w:pPr>
    </w:p>
    <w:p w14:paraId="1DF4ABCA">
      <w:pPr>
        <w:spacing w:line="360" w:lineRule="auto"/>
        <w:ind w:firstLine="494"/>
        <w:rPr>
          <w:rFonts w:hint="eastAsia" w:ascii="仿宋" w:hAnsi="仿宋" w:eastAsia="仿宋" w:cs="仿宋"/>
          <w:color w:val="auto"/>
          <w:sz w:val="24"/>
          <w:highlight w:val="none"/>
        </w:rPr>
      </w:pPr>
    </w:p>
    <w:p w14:paraId="148C5F4A">
      <w:pPr>
        <w:spacing w:line="360" w:lineRule="auto"/>
        <w:ind w:firstLine="494"/>
        <w:rPr>
          <w:rFonts w:hint="eastAsia" w:ascii="仿宋" w:hAnsi="仿宋" w:eastAsia="仿宋" w:cs="仿宋"/>
          <w:color w:val="auto"/>
          <w:sz w:val="24"/>
          <w:highlight w:val="none"/>
        </w:rPr>
      </w:pPr>
    </w:p>
    <w:p w14:paraId="76AAA158">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单位（法定名称章）：</w:t>
      </w:r>
    </w:p>
    <w:p w14:paraId="26BE0A6A">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30A757A">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7576B8AD">
      <w:pPr>
        <w:spacing w:line="360" w:lineRule="auto"/>
        <w:rPr>
          <w:rFonts w:hint="eastAsia" w:ascii="仿宋" w:hAnsi="仿宋" w:eastAsia="仿宋" w:cs="仿宋"/>
          <w:bCs/>
          <w:color w:val="auto"/>
          <w:sz w:val="24"/>
          <w:highlight w:val="none"/>
        </w:rPr>
      </w:pPr>
      <w:r>
        <w:rPr>
          <w:rFonts w:hint="eastAsia" w:ascii="仿宋" w:hAnsi="仿宋" w:eastAsia="仿宋" w:cs="仿宋"/>
          <w:color w:val="auto"/>
          <w:sz w:val="24"/>
          <w:highlight w:val="none"/>
          <w:lang w:val="en-US" w:eastAsia="zh-CN"/>
        </w:rPr>
        <w:t>供应商</w:t>
      </w: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 xml:space="preserve">单位法定名称章（印模）                </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单位“XX专用章”（印模）</w:t>
      </w:r>
    </w:p>
    <w:p w14:paraId="6F0114C1">
      <w:pPr>
        <w:autoSpaceDE w:val="0"/>
        <w:autoSpaceDN w:val="0"/>
        <w:jc w:val="center"/>
        <w:rPr>
          <w:rFonts w:hint="eastAsia" w:ascii="仿宋" w:hAnsi="仿宋" w:eastAsia="仿宋" w:cs="仿宋"/>
          <w:b/>
          <w:color w:val="auto"/>
          <w:spacing w:val="6"/>
          <w:sz w:val="32"/>
          <w:szCs w:val="32"/>
          <w:highlight w:val="none"/>
        </w:rPr>
      </w:pPr>
    </w:p>
    <w:p w14:paraId="203CE4CE">
      <w:pPr>
        <w:autoSpaceDE w:val="0"/>
        <w:autoSpaceDN w:val="0"/>
        <w:jc w:val="center"/>
        <w:rPr>
          <w:rFonts w:hint="eastAsia" w:ascii="仿宋" w:hAnsi="仿宋" w:eastAsia="仿宋" w:cs="仿宋"/>
          <w:b/>
          <w:color w:val="auto"/>
          <w:spacing w:val="6"/>
          <w:sz w:val="32"/>
          <w:szCs w:val="32"/>
          <w:highlight w:val="none"/>
        </w:rPr>
      </w:pPr>
    </w:p>
    <w:p w14:paraId="027EF49F">
      <w:pPr>
        <w:autoSpaceDE w:val="0"/>
        <w:autoSpaceDN w:val="0"/>
        <w:jc w:val="center"/>
        <w:rPr>
          <w:rFonts w:hint="eastAsia" w:ascii="仿宋" w:hAnsi="仿宋" w:eastAsia="仿宋" w:cs="仿宋"/>
          <w:b/>
          <w:color w:val="auto"/>
          <w:spacing w:val="6"/>
          <w:sz w:val="32"/>
          <w:szCs w:val="32"/>
          <w:highlight w:val="none"/>
        </w:rPr>
      </w:pPr>
    </w:p>
    <w:p w14:paraId="5023CCBD">
      <w:pPr>
        <w:autoSpaceDE w:val="0"/>
        <w:autoSpaceDN w:val="0"/>
        <w:jc w:val="center"/>
        <w:rPr>
          <w:rFonts w:hint="eastAsia" w:ascii="仿宋" w:hAnsi="仿宋" w:eastAsia="仿宋" w:cs="仿宋"/>
          <w:b/>
          <w:color w:val="auto"/>
          <w:spacing w:val="6"/>
          <w:sz w:val="32"/>
          <w:szCs w:val="32"/>
          <w:highlight w:val="none"/>
        </w:rPr>
      </w:pPr>
    </w:p>
    <w:p w14:paraId="1D727C4D">
      <w:pPr>
        <w:autoSpaceDE w:val="0"/>
        <w:autoSpaceDN w:val="0"/>
        <w:jc w:val="center"/>
        <w:rPr>
          <w:rFonts w:hint="eastAsia" w:ascii="仿宋" w:hAnsi="仿宋" w:eastAsia="仿宋" w:cs="仿宋"/>
          <w:b/>
          <w:color w:val="auto"/>
          <w:spacing w:val="6"/>
          <w:sz w:val="32"/>
          <w:szCs w:val="32"/>
          <w:highlight w:val="none"/>
        </w:rPr>
      </w:pPr>
    </w:p>
    <w:p w14:paraId="081C74AD">
      <w:pPr>
        <w:autoSpaceDE w:val="0"/>
        <w:autoSpaceDN w:val="0"/>
        <w:jc w:val="center"/>
        <w:rPr>
          <w:rFonts w:hint="eastAsia" w:ascii="仿宋" w:hAnsi="仿宋" w:eastAsia="仿宋" w:cs="仿宋"/>
          <w:b/>
          <w:color w:val="auto"/>
          <w:spacing w:val="6"/>
          <w:sz w:val="32"/>
          <w:szCs w:val="32"/>
          <w:highlight w:val="none"/>
        </w:rPr>
      </w:pPr>
    </w:p>
    <w:p w14:paraId="7D8660B9">
      <w:pPr>
        <w:autoSpaceDE w:val="0"/>
        <w:autoSpaceDN w:val="0"/>
        <w:jc w:val="center"/>
        <w:rPr>
          <w:rFonts w:hint="eastAsia" w:ascii="仿宋" w:hAnsi="仿宋" w:eastAsia="仿宋" w:cs="仿宋"/>
          <w:b/>
          <w:color w:val="auto"/>
          <w:spacing w:val="6"/>
          <w:sz w:val="32"/>
          <w:szCs w:val="32"/>
          <w:highlight w:val="none"/>
        </w:rPr>
      </w:pPr>
    </w:p>
    <w:p w14:paraId="522BB22C">
      <w:pPr>
        <w:autoSpaceDE w:val="0"/>
        <w:autoSpaceDN w:val="0"/>
        <w:jc w:val="center"/>
        <w:rPr>
          <w:rFonts w:hint="eastAsia" w:ascii="仿宋" w:hAnsi="仿宋" w:eastAsia="仿宋" w:cs="仿宋"/>
          <w:b/>
          <w:color w:val="auto"/>
          <w:spacing w:val="6"/>
          <w:sz w:val="32"/>
          <w:szCs w:val="32"/>
          <w:highlight w:val="none"/>
        </w:rPr>
      </w:pPr>
    </w:p>
    <w:p w14:paraId="06AFFE26">
      <w:pPr>
        <w:autoSpaceDE w:val="0"/>
        <w:autoSpaceDN w:val="0"/>
        <w:jc w:val="center"/>
        <w:rPr>
          <w:rFonts w:hint="eastAsia" w:ascii="仿宋" w:hAnsi="仿宋" w:eastAsia="仿宋" w:cs="仿宋"/>
          <w:b/>
          <w:color w:val="auto"/>
          <w:spacing w:val="6"/>
          <w:sz w:val="32"/>
          <w:szCs w:val="32"/>
          <w:highlight w:val="none"/>
        </w:rPr>
      </w:pPr>
    </w:p>
    <w:p w14:paraId="2679248F">
      <w:pPr>
        <w:autoSpaceDE w:val="0"/>
        <w:autoSpaceDN w:val="0"/>
        <w:jc w:val="center"/>
        <w:rPr>
          <w:rFonts w:hint="eastAsia" w:ascii="仿宋" w:hAnsi="仿宋" w:eastAsia="仿宋" w:cs="仿宋"/>
          <w:b/>
          <w:color w:val="auto"/>
          <w:spacing w:val="6"/>
          <w:sz w:val="32"/>
          <w:szCs w:val="32"/>
          <w:highlight w:val="none"/>
        </w:rPr>
      </w:pPr>
    </w:p>
    <w:p w14:paraId="10DC4EC9">
      <w:pPr>
        <w:autoSpaceDE w:val="0"/>
        <w:autoSpaceDN w:val="0"/>
        <w:jc w:val="center"/>
        <w:rPr>
          <w:rFonts w:hint="eastAsia" w:ascii="仿宋" w:hAnsi="仿宋" w:eastAsia="仿宋" w:cs="仿宋"/>
          <w:b/>
          <w:color w:val="auto"/>
          <w:spacing w:val="6"/>
          <w:sz w:val="32"/>
          <w:szCs w:val="32"/>
          <w:highlight w:val="none"/>
        </w:rPr>
      </w:pPr>
    </w:p>
    <w:p w14:paraId="7A710894">
      <w:pPr>
        <w:autoSpaceDE w:val="0"/>
        <w:autoSpaceDN w:val="0"/>
        <w:jc w:val="center"/>
        <w:rPr>
          <w:rFonts w:hint="eastAsia" w:ascii="仿宋" w:hAnsi="仿宋" w:eastAsia="仿宋" w:cs="仿宋"/>
          <w:b/>
          <w:color w:val="auto"/>
          <w:spacing w:val="6"/>
          <w:sz w:val="32"/>
          <w:szCs w:val="32"/>
          <w:highlight w:val="none"/>
        </w:rPr>
      </w:pPr>
    </w:p>
    <w:p w14:paraId="010DB4B9">
      <w:pPr>
        <w:autoSpaceDE w:val="0"/>
        <w:autoSpaceDN w:val="0"/>
        <w:jc w:val="center"/>
        <w:rPr>
          <w:rFonts w:hint="eastAsia" w:ascii="仿宋" w:hAnsi="仿宋" w:eastAsia="仿宋" w:cs="仿宋"/>
          <w:b/>
          <w:color w:val="auto"/>
          <w:spacing w:val="6"/>
          <w:sz w:val="32"/>
          <w:szCs w:val="32"/>
          <w:highlight w:val="none"/>
        </w:rPr>
      </w:pPr>
    </w:p>
    <w:p w14:paraId="04998119">
      <w:pPr>
        <w:autoSpaceDE w:val="0"/>
        <w:autoSpaceDN w:val="0"/>
        <w:jc w:val="center"/>
        <w:rPr>
          <w:rFonts w:hint="eastAsia" w:ascii="仿宋" w:hAnsi="仿宋" w:eastAsia="仿宋" w:cs="仿宋"/>
          <w:b/>
          <w:color w:val="auto"/>
          <w:spacing w:val="6"/>
          <w:sz w:val="32"/>
          <w:szCs w:val="32"/>
          <w:highlight w:val="none"/>
        </w:rPr>
      </w:pPr>
    </w:p>
    <w:p w14:paraId="107D8D39">
      <w:pPr>
        <w:autoSpaceDE w:val="0"/>
        <w:autoSpaceDN w:val="0"/>
        <w:jc w:val="center"/>
        <w:rPr>
          <w:rFonts w:hint="eastAsia" w:ascii="仿宋" w:hAnsi="仿宋" w:eastAsia="仿宋" w:cs="仿宋"/>
          <w:b/>
          <w:color w:val="auto"/>
          <w:spacing w:val="6"/>
          <w:sz w:val="32"/>
          <w:szCs w:val="32"/>
          <w:highlight w:val="none"/>
        </w:rPr>
      </w:pPr>
    </w:p>
    <w:p w14:paraId="776D057E">
      <w:pPr>
        <w:autoSpaceDE w:val="0"/>
        <w:autoSpaceDN w:val="0"/>
        <w:jc w:val="center"/>
        <w:rPr>
          <w:rFonts w:hint="eastAsia" w:ascii="仿宋" w:hAnsi="仿宋" w:eastAsia="仿宋" w:cs="仿宋"/>
          <w:b/>
          <w:color w:val="auto"/>
          <w:spacing w:val="6"/>
          <w:sz w:val="32"/>
          <w:szCs w:val="32"/>
          <w:highlight w:val="none"/>
        </w:rPr>
      </w:pPr>
    </w:p>
    <w:p w14:paraId="0D39803A">
      <w:pPr>
        <w:autoSpaceDE w:val="0"/>
        <w:autoSpaceDN w:val="0"/>
        <w:jc w:val="center"/>
        <w:rPr>
          <w:rFonts w:hint="eastAsia" w:ascii="仿宋" w:hAnsi="仿宋" w:eastAsia="仿宋" w:cs="仿宋"/>
          <w:b/>
          <w:color w:val="auto"/>
          <w:spacing w:val="6"/>
          <w:sz w:val="32"/>
          <w:szCs w:val="32"/>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4A4A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C77C7">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9233D">
    <w:pPr>
      <w:pStyle w:val="40"/>
      <w:framePr w:wrap="around" w:vAnchor="text" w:hAnchor="margin" w:xAlign="right" w:y="1"/>
      <w:rPr>
        <w:rStyle w:val="73"/>
      </w:rPr>
    </w:pPr>
    <w:r>
      <w:fldChar w:fldCharType="begin"/>
    </w:r>
    <w:r>
      <w:rPr>
        <w:rStyle w:val="73"/>
      </w:rPr>
      <w:instrText xml:space="preserve">PAGE  </w:instrText>
    </w:r>
    <w:r>
      <w:fldChar w:fldCharType="end"/>
    </w:r>
  </w:p>
  <w:p w14:paraId="505CEFC9">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65FC4">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395" w:name="_Toc91899912"/>
    <w:bookmarkStart w:id="396" w:name="_Toc164085800"/>
    <w:bookmarkStart w:id="397" w:name="_Toc131845147"/>
    <w:bookmarkStart w:id="398" w:name="_Toc36110187"/>
    <w:r>
      <w:rPr>
        <w:rFonts w:hint="eastAsia" w:ascii="仿宋_GB2312" w:eastAsia="仿宋_GB2312"/>
        <w:kern w:val="0"/>
        <w:szCs w:val="21"/>
      </w:rPr>
      <w:t xml:space="preserve"> 页</w:t>
    </w:r>
    <w:bookmarkEnd w:id="395"/>
    <w:bookmarkEnd w:id="396"/>
    <w:bookmarkEnd w:id="397"/>
    <w:bookmarkEnd w:id="39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3EDA4">
    <w:pPr>
      <w:pStyle w:val="40"/>
      <w:framePr w:wrap="around" w:vAnchor="text" w:hAnchor="margin" w:xAlign="right" w:y="1"/>
      <w:rPr>
        <w:rStyle w:val="73"/>
      </w:rPr>
    </w:pPr>
    <w:r>
      <w:fldChar w:fldCharType="begin"/>
    </w:r>
    <w:r>
      <w:rPr>
        <w:rStyle w:val="73"/>
      </w:rPr>
      <w:instrText xml:space="preserve">PAGE  </w:instrText>
    </w:r>
    <w:r>
      <w:fldChar w:fldCharType="end"/>
    </w:r>
  </w:p>
  <w:p w14:paraId="54BD4218">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A1EF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8CF6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DDFEAB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1365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708678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2D51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FFFEC9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E572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9171B9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F56D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0FC742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8FD5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4D11F5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F0ED0">
    <w:pPr>
      <w:pStyle w:val="41"/>
      <w:pBdr>
        <w:bottom w:val="single" w:color="auto" w:sz="6" w:space="4"/>
      </w:pBdr>
      <w:jc w:val="right"/>
      <w:rPr>
        <w:rFonts w:hint="eastAsia" w:eastAsia="宋体"/>
        <w:lang w:eastAsia="zh-CN"/>
      </w:rPr>
    </w:pPr>
    <w:r>
      <w:t></w:t>
    </w:r>
    <w:r>
      <w:rPr>
        <w:rFonts w:hint="eastAsia"/>
      </w:rPr>
      <w:t xml:space="preserve">             </w:t>
    </w:r>
    <w:r>
      <w:t>公开</w:t>
    </w:r>
    <w:r>
      <w:rPr>
        <w:rFonts w:hint="eastAsia"/>
        <w:lang w:eastAsia="zh-CN"/>
      </w:rPr>
      <w:t>交易文件</w:t>
    </w:r>
  </w:p>
  <w:p w14:paraId="661A849D">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031D3">
    <w:pPr>
      <w:pStyle w:val="41"/>
      <w:rPr>
        <w:rFonts w:hint="eastAsia" w:eastAsia="宋体"/>
        <w:lang w:eastAsia="zh-CN"/>
      </w:rPr>
    </w:pPr>
    <w:r>
      <w:t></w:t>
    </w:r>
    <w:r>
      <w:rPr>
        <w:rFonts w:hint="eastAsia"/>
      </w:rPr>
      <w:t xml:space="preserve">                                             </w:t>
    </w:r>
    <w:r>
      <w:t>杭州市政府采购公开</w:t>
    </w:r>
    <w:r>
      <w:rPr>
        <w:rFonts w:hint="eastAsia"/>
        <w:lang w:eastAsia="zh-CN"/>
      </w:rPr>
      <w:t>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698B6">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公开</w:t>
    </w:r>
    <w:r>
      <w:rPr>
        <w:rFonts w:hint="eastAsia"/>
        <w:lang w:val="zh-CN"/>
      </w:rPr>
      <w:t>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49C6A">
    <w:pPr>
      <w:pStyle w:val="41"/>
      <w:rPr>
        <w:rFonts w:hint="eastAsia" w:ascii="仿宋_GB2312" w:eastAsia="宋体"/>
        <w:b/>
        <w:i/>
        <w:u w:val="single"/>
        <w:lang w:eastAsia="zh-CN"/>
      </w:rPr>
    </w:pPr>
    <w:r>
      <w:t></w:t>
    </w:r>
    <w:r>
      <w:rPr>
        <w:rFonts w:hint="eastAsia"/>
      </w:rPr>
      <w:t xml:space="preserve">                                                  </w:t>
    </w:r>
    <w:r>
      <w:t xml:space="preserve">             杭州市政府采购公开</w:t>
    </w:r>
    <w:r>
      <w:rPr>
        <w:rFonts w:hint="eastAsia"/>
        <w:lang w:eastAsia="zh-CN"/>
      </w:rPr>
      <w:t>交易文件</w:t>
    </w:r>
  </w:p>
  <w:p w14:paraId="5230DD9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BA14C">
    <w:pPr>
      <w:pStyle w:val="41"/>
    </w:pPr>
    <w:r>
      <w:t></w:t>
    </w:r>
    <w:r>
      <w:rPr>
        <w:rFonts w:hint="eastAsia"/>
      </w:rPr>
      <w:t xml:space="preserve">         </w:t>
    </w:r>
  </w:p>
  <w:p w14:paraId="55B9E472">
    <w:pPr>
      <w:pStyle w:val="41"/>
      <w:rPr>
        <w:rFonts w:hint="eastAsia" w:eastAsia="宋体"/>
        <w:lang w:eastAsia="zh-CN"/>
      </w:rPr>
    </w:pPr>
    <w:r>
      <w:rPr>
        <w:rFonts w:hint="eastAsia"/>
      </w:rPr>
      <w:t xml:space="preserve">                                                                  </w:t>
    </w:r>
    <w:r>
      <w:t>杭州市政府采购公开</w:t>
    </w:r>
    <w:r>
      <w:rPr>
        <w:rFonts w:hint="eastAsia"/>
        <w:lang w:eastAsia="zh-CN"/>
      </w:rPr>
      <w:t>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A7A4F">
    <w:pPr>
      <w:pStyle w:val="41"/>
      <w:rPr>
        <w:rFonts w:hint="eastAsia" w:ascii="仿宋_GB2312" w:eastAsia="宋体"/>
        <w:b/>
        <w:i/>
        <w:u w:val="single"/>
        <w:lang w:eastAsia="zh-CN"/>
      </w:rPr>
    </w:pPr>
    <w:r>
      <w:t></w:t>
    </w:r>
    <w:r>
      <w:rPr>
        <w:rFonts w:hint="eastAsia"/>
      </w:rPr>
      <w:t xml:space="preserve">                                                  </w:t>
    </w:r>
    <w:r>
      <w:t>杭州市政府采购公开</w:t>
    </w:r>
    <w:r>
      <w:rPr>
        <w:rFonts w:hint="eastAsia"/>
        <w:lang w:eastAsia="zh-CN"/>
      </w:rPr>
      <w:t>交易文件</w:t>
    </w:r>
  </w:p>
  <w:p w14:paraId="77C2087B">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9090A">
    <w:pPr>
      <w:pStyle w:val="41"/>
      <w:jc w:val="right"/>
      <w:rPr>
        <w:rFonts w:hint="eastAsia" w:eastAsia="宋体"/>
        <w:lang w:eastAsia="zh-CN"/>
      </w:rPr>
    </w:pPr>
    <w:r>
      <w:t></w:t>
    </w:r>
    <w:r>
      <w:rPr>
        <w:rFonts w:hint="eastAsia"/>
      </w:rPr>
      <w:t xml:space="preserve">                 </w:t>
    </w:r>
    <w:r>
      <w:t xml:space="preserve">                                </w:t>
    </w:r>
    <w:r>
      <w:rPr>
        <w:rFonts w:hint="eastAsia"/>
      </w:rPr>
      <w:t xml:space="preserve">         </w:t>
    </w:r>
    <w:r>
      <w:t>杭州市政府采购公开</w:t>
    </w:r>
    <w:r>
      <w:rPr>
        <w:rFonts w:hint="eastAsia"/>
        <w:lang w:eastAsia="zh-CN"/>
      </w:rPr>
      <w:t>交易文件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47726">
    <w:pPr>
      <w:pStyle w:val="41"/>
      <w:jc w:val="right"/>
      <w:rPr>
        <w:rFonts w:hint="eastAsia" w:ascii="仿宋_GB2312" w:eastAsia="宋体"/>
        <w:b/>
        <w:i/>
        <w:u w:val="single"/>
        <w:lang w:eastAsia="zh-CN"/>
      </w:rPr>
    </w:pPr>
    <w:r>
      <w:rPr>
        <w:rFonts w:hint="eastAsia"/>
      </w:rPr>
      <w:t xml:space="preserve">                                  </w:t>
    </w:r>
    <w:r>
      <w:t>杭州市政府采购公开</w:t>
    </w:r>
    <w:r>
      <w:rPr>
        <w:rFonts w:hint="eastAsia"/>
        <w:lang w:eastAsia="zh-CN"/>
      </w:rPr>
      <w:t>交易文件</w:t>
    </w:r>
  </w:p>
  <w:p w14:paraId="585650F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8C8FE">
    <w:pPr>
      <w:pStyle w:val="41"/>
      <w:jc w:val="right"/>
      <w:rPr>
        <w:rFonts w:hint="eastAsia" w:eastAsia="宋体"/>
        <w:lang w:eastAsia="zh-CN"/>
      </w:rPr>
    </w:pPr>
    <w:r>
      <w:rPr>
        <w:rFonts w:hint="eastAsia"/>
      </w:rPr>
      <w:t xml:space="preserve">                                                                                                        </w:t>
    </w:r>
    <w:r>
      <w:t>杭州市政府采购公开</w:t>
    </w:r>
    <w:r>
      <w:rPr>
        <w:rFonts w:hint="eastAsia"/>
        <w:lang w:eastAsia="zh-CN"/>
      </w:rPr>
      <w:t>交易文件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D24AC">
    <w:pPr>
      <w:pStyle w:val="41"/>
      <w:jc w:val="right"/>
      <w:rPr>
        <w:rFonts w:hint="eastAsia" w:ascii="仿宋_GB2312" w:eastAsia="宋体"/>
        <w:b/>
        <w:i/>
        <w:iCs/>
        <w:u w:val="single"/>
        <w:lang w:eastAsia="zh-CN"/>
      </w:rPr>
    </w:pPr>
    <w:r>
      <w:t>杭州市政府采购公开</w:t>
    </w:r>
    <w:r>
      <w:rPr>
        <w:rFonts w:hint="eastAsia"/>
        <w:lang w:eastAsia="zh-CN"/>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27BEB5"/>
    <w:multiLevelType w:val="singleLevel"/>
    <w:tmpl w:val="F127BEB5"/>
    <w:lvl w:ilvl="0" w:tentative="0">
      <w:start w:val="4"/>
      <w:numFmt w:val="decimal"/>
      <w:lvlText w:val="%1."/>
      <w:lvlJc w:val="left"/>
      <w:pPr>
        <w:tabs>
          <w:tab w:val="left" w:pos="312"/>
        </w:tabs>
      </w:pPr>
      <w:rPr>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wMjEzNmMwMGY5OTZiOTFiNDZhNTc2Nzc5YWM5NjIifQ=="/>
    <w:docVar w:name="KSO_WPS_MARK_KEY" w:val="89d51755-0d92-4229-85fb-2100215aa979"/>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F0A22"/>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4F316E"/>
    <w:rsid w:val="048F763B"/>
    <w:rsid w:val="049F330E"/>
    <w:rsid w:val="04AA775C"/>
    <w:rsid w:val="04AF1889"/>
    <w:rsid w:val="04CF0D68"/>
    <w:rsid w:val="04F66F48"/>
    <w:rsid w:val="05043453"/>
    <w:rsid w:val="05251E14"/>
    <w:rsid w:val="058E4AA1"/>
    <w:rsid w:val="05A16594"/>
    <w:rsid w:val="05A7762D"/>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A871D0"/>
    <w:rsid w:val="08D66AD6"/>
    <w:rsid w:val="08DA33A3"/>
    <w:rsid w:val="08E80F13"/>
    <w:rsid w:val="08EF21E6"/>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297F03"/>
    <w:rsid w:val="0B30404E"/>
    <w:rsid w:val="0B4C6C14"/>
    <w:rsid w:val="0B547599"/>
    <w:rsid w:val="0B631A88"/>
    <w:rsid w:val="0B683D45"/>
    <w:rsid w:val="0B7F3F11"/>
    <w:rsid w:val="0B884417"/>
    <w:rsid w:val="0BD804CA"/>
    <w:rsid w:val="0BF6188C"/>
    <w:rsid w:val="0BF73C91"/>
    <w:rsid w:val="0C170175"/>
    <w:rsid w:val="0C571A41"/>
    <w:rsid w:val="0C5C1171"/>
    <w:rsid w:val="0C5E1CBC"/>
    <w:rsid w:val="0C615B50"/>
    <w:rsid w:val="0C8445DA"/>
    <w:rsid w:val="0C87121B"/>
    <w:rsid w:val="0CC007F7"/>
    <w:rsid w:val="0CC617AC"/>
    <w:rsid w:val="0CE618DF"/>
    <w:rsid w:val="0CE75337"/>
    <w:rsid w:val="0CFE707A"/>
    <w:rsid w:val="0D063BDA"/>
    <w:rsid w:val="0D08375F"/>
    <w:rsid w:val="0D184CFB"/>
    <w:rsid w:val="0D1A1457"/>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D4444F"/>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632430B"/>
    <w:rsid w:val="16A8729C"/>
    <w:rsid w:val="16B33777"/>
    <w:rsid w:val="16BC70A7"/>
    <w:rsid w:val="16C6339E"/>
    <w:rsid w:val="172F2D79"/>
    <w:rsid w:val="174D4157"/>
    <w:rsid w:val="17557BEF"/>
    <w:rsid w:val="17D349C1"/>
    <w:rsid w:val="1830729E"/>
    <w:rsid w:val="1870062C"/>
    <w:rsid w:val="18817102"/>
    <w:rsid w:val="18830A15"/>
    <w:rsid w:val="18852B28"/>
    <w:rsid w:val="188B5321"/>
    <w:rsid w:val="189E35C3"/>
    <w:rsid w:val="19932372"/>
    <w:rsid w:val="19A20DD5"/>
    <w:rsid w:val="19AE03F1"/>
    <w:rsid w:val="19D672BB"/>
    <w:rsid w:val="1A071A03"/>
    <w:rsid w:val="1A1F16AE"/>
    <w:rsid w:val="1A3B5C77"/>
    <w:rsid w:val="1A3C1D29"/>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7E2045"/>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AF3A08"/>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4F14649"/>
    <w:rsid w:val="25460DCD"/>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2E797B"/>
    <w:rsid w:val="29345E77"/>
    <w:rsid w:val="294C65AD"/>
    <w:rsid w:val="29806583"/>
    <w:rsid w:val="298B3C4C"/>
    <w:rsid w:val="29F26D24"/>
    <w:rsid w:val="2A15033F"/>
    <w:rsid w:val="2A1662C1"/>
    <w:rsid w:val="2A1C7367"/>
    <w:rsid w:val="2A2815FA"/>
    <w:rsid w:val="2A3F3F78"/>
    <w:rsid w:val="2A6D6092"/>
    <w:rsid w:val="2A7D76B4"/>
    <w:rsid w:val="2AF62A79"/>
    <w:rsid w:val="2B437463"/>
    <w:rsid w:val="2B5D2C79"/>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4167B"/>
    <w:rsid w:val="30DF1478"/>
    <w:rsid w:val="30EC586F"/>
    <w:rsid w:val="314550B7"/>
    <w:rsid w:val="319C6071"/>
    <w:rsid w:val="31AC537E"/>
    <w:rsid w:val="31D077C5"/>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4343B"/>
    <w:rsid w:val="34FA6E12"/>
    <w:rsid w:val="354D7158"/>
    <w:rsid w:val="358D5588"/>
    <w:rsid w:val="363A3B40"/>
    <w:rsid w:val="365302AE"/>
    <w:rsid w:val="36607A0A"/>
    <w:rsid w:val="366E227C"/>
    <w:rsid w:val="366F2E0D"/>
    <w:rsid w:val="367B6A5C"/>
    <w:rsid w:val="36A74ADA"/>
    <w:rsid w:val="36AD60D5"/>
    <w:rsid w:val="36B224F9"/>
    <w:rsid w:val="36C41867"/>
    <w:rsid w:val="36EC0CC9"/>
    <w:rsid w:val="373F410B"/>
    <w:rsid w:val="37EE7094"/>
    <w:rsid w:val="38296C89"/>
    <w:rsid w:val="383002EB"/>
    <w:rsid w:val="38586797"/>
    <w:rsid w:val="38BC0149"/>
    <w:rsid w:val="38D87D1C"/>
    <w:rsid w:val="391A30A2"/>
    <w:rsid w:val="39416E46"/>
    <w:rsid w:val="39636459"/>
    <w:rsid w:val="396B7F6C"/>
    <w:rsid w:val="39A959E1"/>
    <w:rsid w:val="39B417A9"/>
    <w:rsid w:val="39FC5695"/>
    <w:rsid w:val="3A006D8E"/>
    <w:rsid w:val="3A3651E5"/>
    <w:rsid w:val="3A744481"/>
    <w:rsid w:val="3A8C7BEF"/>
    <w:rsid w:val="3A906246"/>
    <w:rsid w:val="3AE37035"/>
    <w:rsid w:val="3B2349B7"/>
    <w:rsid w:val="3B4E6A46"/>
    <w:rsid w:val="3B616CFF"/>
    <w:rsid w:val="3B6259F6"/>
    <w:rsid w:val="3B976654"/>
    <w:rsid w:val="3BC01EFC"/>
    <w:rsid w:val="3BCA786A"/>
    <w:rsid w:val="3BD31E2F"/>
    <w:rsid w:val="3BF15831"/>
    <w:rsid w:val="3C105946"/>
    <w:rsid w:val="3C471448"/>
    <w:rsid w:val="3C471EF3"/>
    <w:rsid w:val="3C5F759A"/>
    <w:rsid w:val="3C6C525A"/>
    <w:rsid w:val="3CCE23CB"/>
    <w:rsid w:val="3CD17D17"/>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1F0523"/>
    <w:rsid w:val="3F2F0234"/>
    <w:rsid w:val="3F6363FE"/>
    <w:rsid w:val="3F756B8F"/>
    <w:rsid w:val="3F95482B"/>
    <w:rsid w:val="4019356B"/>
    <w:rsid w:val="40592157"/>
    <w:rsid w:val="406E1CAE"/>
    <w:rsid w:val="40A0133A"/>
    <w:rsid w:val="40C31A53"/>
    <w:rsid w:val="40FF545D"/>
    <w:rsid w:val="410067C8"/>
    <w:rsid w:val="415044FB"/>
    <w:rsid w:val="418F0D2A"/>
    <w:rsid w:val="41D01505"/>
    <w:rsid w:val="42474939"/>
    <w:rsid w:val="424C3C57"/>
    <w:rsid w:val="42613FF3"/>
    <w:rsid w:val="42660D96"/>
    <w:rsid w:val="426C3C5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242D8D"/>
    <w:rsid w:val="4A4424D7"/>
    <w:rsid w:val="4AB82D0F"/>
    <w:rsid w:val="4AEB7664"/>
    <w:rsid w:val="4AFD7C19"/>
    <w:rsid w:val="4B0567D1"/>
    <w:rsid w:val="4B236AAE"/>
    <w:rsid w:val="4B363761"/>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35035"/>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BA7A99"/>
    <w:rsid w:val="54CA0D16"/>
    <w:rsid w:val="54DD4057"/>
    <w:rsid w:val="54E7490F"/>
    <w:rsid w:val="550764A4"/>
    <w:rsid w:val="550B2BF6"/>
    <w:rsid w:val="55214EB5"/>
    <w:rsid w:val="55304ED6"/>
    <w:rsid w:val="55364EFD"/>
    <w:rsid w:val="555D4828"/>
    <w:rsid w:val="557A4C8B"/>
    <w:rsid w:val="558931E1"/>
    <w:rsid w:val="55923347"/>
    <w:rsid w:val="55925180"/>
    <w:rsid w:val="55983B1B"/>
    <w:rsid w:val="55A8376B"/>
    <w:rsid w:val="55DC29B6"/>
    <w:rsid w:val="55DD4241"/>
    <w:rsid w:val="56075338"/>
    <w:rsid w:val="566B6D1E"/>
    <w:rsid w:val="57032A2C"/>
    <w:rsid w:val="570F5219"/>
    <w:rsid w:val="575D12B5"/>
    <w:rsid w:val="57610A87"/>
    <w:rsid w:val="577B1140"/>
    <w:rsid w:val="577B7F21"/>
    <w:rsid w:val="577F181B"/>
    <w:rsid w:val="57921984"/>
    <w:rsid w:val="579737F0"/>
    <w:rsid w:val="57AB7B30"/>
    <w:rsid w:val="57AF5251"/>
    <w:rsid w:val="57B26373"/>
    <w:rsid w:val="57B54CF4"/>
    <w:rsid w:val="57B63F04"/>
    <w:rsid w:val="57CD20C2"/>
    <w:rsid w:val="57D675AB"/>
    <w:rsid w:val="57D95FDD"/>
    <w:rsid w:val="58526E08"/>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AFF5640"/>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602EA"/>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B8488C"/>
    <w:rsid w:val="61F94C26"/>
    <w:rsid w:val="62000E56"/>
    <w:rsid w:val="624F3E49"/>
    <w:rsid w:val="62632286"/>
    <w:rsid w:val="62885958"/>
    <w:rsid w:val="62F40B65"/>
    <w:rsid w:val="62FC2CFE"/>
    <w:rsid w:val="63024505"/>
    <w:rsid w:val="63097C98"/>
    <w:rsid w:val="634D51A7"/>
    <w:rsid w:val="635600A5"/>
    <w:rsid w:val="635B1DB5"/>
    <w:rsid w:val="63711FED"/>
    <w:rsid w:val="63880DDC"/>
    <w:rsid w:val="638D750D"/>
    <w:rsid w:val="63AC6CC0"/>
    <w:rsid w:val="64055776"/>
    <w:rsid w:val="64240056"/>
    <w:rsid w:val="643A3D28"/>
    <w:rsid w:val="643E143A"/>
    <w:rsid w:val="64491666"/>
    <w:rsid w:val="648B6EEF"/>
    <w:rsid w:val="64BE47A6"/>
    <w:rsid w:val="64C158BF"/>
    <w:rsid w:val="64CE2EAA"/>
    <w:rsid w:val="653C3090"/>
    <w:rsid w:val="65854376"/>
    <w:rsid w:val="658767BE"/>
    <w:rsid w:val="65892531"/>
    <w:rsid w:val="66195831"/>
    <w:rsid w:val="662E75B1"/>
    <w:rsid w:val="66342C2E"/>
    <w:rsid w:val="663E784C"/>
    <w:rsid w:val="668B6A45"/>
    <w:rsid w:val="67011F07"/>
    <w:rsid w:val="672F3F24"/>
    <w:rsid w:val="673E055F"/>
    <w:rsid w:val="674D31A1"/>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FB7BD7"/>
    <w:rsid w:val="6C196F71"/>
    <w:rsid w:val="6C226FCB"/>
    <w:rsid w:val="6C31226F"/>
    <w:rsid w:val="6C552F0B"/>
    <w:rsid w:val="6C8C67B7"/>
    <w:rsid w:val="6C9D744C"/>
    <w:rsid w:val="6D167928"/>
    <w:rsid w:val="6D26299B"/>
    <w:rsid w:val="6D2B7625"/>
    <w:rsid w:val="6D3451EC"/>
    <w:rsid w:val="6D4772EC"/>
    <w:rsid w:val="6D9078AF"/>
    <w:rsid w:val="6DAA3FEF"/>
    <w:rsid w:val="6DC0172B"/>
    <w:rsid w:val="6DCB690C"/>
    <w:rsid w:val="6DD41A5B"/>
    <w:rsid w:val="6DF43C2E"/>
    <w:rsid w:val="6DF51CA3"/>
    <w:rsid w:val="6E2D7C5C"/>
    <w:rsid w:val="6E8335BD"/>
    <w:rsid w:val="6E8E12EF"/>
    <w:rsid w:val="6E972936"/>
    <w:rsid w:val="6ED446C5"/>
    <w:rsid w:val="6F2A7D94"/>
    <w:rsid w:val="6F8331F1"/>
    <w:rsid w:val="6FAE1A09"/>
    <w:rsid w:val="6FD75BF8"/>
    <w:rsid w:val="707723D0"/>
    <w:rsid w:val="70957003"/>
    <w:rsid w:val="709F076A"/>
    <w:rsid w:val="70F5661B"/>
    <w:rsid w:val="71360107"/>
    <w:rsid w:val="713B688E"/>
    <w:rsid w:val="71D43752"/>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13091"/>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F44584"/>
    <w:rsid w:val="7B257FFD"/>
    <w:rsid w:val="7B273D20"/>
    <w:rsid w:val="7B343476"/>
    <w:rsid w:val="7B5A2978"/>
    <w:rsid w:val="7B5A7E4C"/>
    <w:rsid w:val="7B667AF9"/>
    <w:rsid w:val="7B7468F8"/>
    <w:rsid w:val="7BEE0103"/>
    <w:rsid w:val="7C0A0FE4"/>
    <w:rsid w:val="7C254906"/>
    <w:rsid w:val="7C54333A"/>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C70231"/>
    <w:rsid w:val="7EF56FBB"/>
    <w:rsid w:val="7F0768EB"/>
    <w:rsid w:val="7F143BEC"/>
    <w:rsid w:val="7F715AF2"/>
    <w:rsid w:val="7F886E69"/>
    <w:rsid w:val="7FA73D71"/>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67"/>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4"/>
    <w:autoRedefine/>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5"/>
    <w:qFormat/>
    <w:uiPriority w:val="0"/>
    <w:pPr>
      <w:spacing w:line="480" w:lineRule="exact"/>
      <w:ind w:firstLine="480" w:firstLineChars="200"/>
    </w:pPr>
    <w:rPr>
      <w:rFonts w:ascii="宋体" w:hAnsi="宋体"/>
      <w:sz w:val="24"/>
    </w:rPr>
  </w:style>
  <w:style w:type="paragraph" w:styleId="25">
    <w:name w:val="envelope return"/>
    <w:basedOn w:val="1"/>
    <w:semiHidden/>
    <w:unhideWhenUsed/>
    <w:qFormat/>
    <w:uiPriority w:val="99"/>
    <w:pPr>
      <w:snapToGrid w:val="0"/>
    </w:pPr>
    <w:rPr>
      <w:rFonts w:asciiTheme="majorHAnsi" w:hAnsiTheme="majorHAnsi" w:eastAsiaTheme="majorEastAsia" w:cstheme="majorBidi"/>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0"/>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87"/>
    <w:qFormat/>
    <w:uiPriority w:val="0"/>
    <w:rPr>
      <w:sz w:val="18"/>
      <w:szCs w:val="18"/>
    </w:rPr>
  </w:style>
  <w:style w:type="paragraph" w:styleId="40">
    <w:name w:val="footer"/>
    <w:basedOn w:val="1"/>
    <w:next w:val="23"/>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5"/>
    <w:qFormat/>
    <w:uiPriority w:val="0"/>
    <w:rPr>
      <w:b/>
      <w:bCs/>
    </w:rPr>
  </w:style>
  <w:style w:type="paragraph" w:styleId="61">
    <w:name w:val="Body Text First Indent"/>
    <w:basedOn w:val="23"/>
    <w:link w:val="321"/>
    <w:qFormat/>
    <w:uiPriority w:val="0"/>
    <w:pPr>
      <w:ind w:firstLine="420"/>
    </w:pPr>
    <w:rPr>
      <w:rFonts w:hAnsi="Calibri" w:cs="Times New Roman"/>
      <w:snapToGrid/>
      <w:szCs w:val="20"/>
    </w:rPr>
  </w:style>
  <w:style w:type="paragraph" w:styleId="62">
    <w:name w:val="Body Text First Indent 2"/>
    <w:basedOn w:val="24"/>
    <w:link w:val="120"/>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7"/>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7"/>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6"/>
    <w:qFormat/>
    <w:uiPriority w:val="0"/>
    <w:rPr>
      <w:rFonts w:ascii="宋体"/>
      <w:kern w:val="2"/>
      <w:sz w:val="24"/>
      <w:szCs w:val="21"/>
      <w:lang w:val="zh-CN"/>
    </w:rPr>
  </w:style>
  <w:style w:type="character" w:customStyle="1" w:styleId="181">
    <w:name w:val="标题 9 Char"/>
    <w:link w:val="10"/>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9"/>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1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5"/>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next w:val="235"/>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5">
    <w:name w:val="toc 71"/>
    <w:next w:val="1"/>
    <w:autoRedefine/>
    <w:qFormat/>
    <w:uiPriority w:val="0"/>
    <w:pPr>
      <w:wordWrap w:val="0"/>
      <w:ind w:left="2550"/>
      <w:jc w:val="both"/>
    </w:pPr>
    <w:rPr>
      <w:rFonts w:ascii="Times New Roman" w:hAnsi="Times New Roman" w:eastAsia="宋体" w:cs="Times New Roman"/>
      <w:kern w:val="0"/>
      <w:sz w:val="21"/>
      <w:szCs w:val="22"/>
      <w:lang w:val="en-US" w:eastAsia="zh-CN" w:bidi="ar-SA"/>
    </w:rPr>
  </w:style>
  <w:style w:type="character" w:customStyle="1" w:styleId="236">
    <w:name w:val="style91"/>
    <w:autoRedefine/>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24"/>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Char"/>
    <w:link w:val="2"/>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6"/>
    <w:autoRedefine/>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8"/>
    <w:autoRedefine/>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0"/>
    <w:autoRedefine/>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1"/>
    <w:autoRedefine/>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qFormat/>
    <w:uiPriority w:val="0"/>
  </w:style>
  <w:style w:type="character" w:customStyle="1" w:styleId="327">
    <w:name w:val="标题 4 Char2"/>
    <w:link w:val="5"/>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autoRedefine/>
    <w:qFormat/>
    <w:uiPriority w:val="99"/>
    <w:rPr>
      <w:kern w:val="2"/>
      <w:sz w:val="21"/>
      <w:szCs w:val="24"/>
    </w:rPr>
  </w:style>
  <w:style w:type="character" w:customStyle="1" w:styleId="345">
    <w:name w:val="签名 Char"/>
    <w:link w:val="42"/>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9"/>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3"/>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40"/>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1"/>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0"/>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15"/>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0"/>
    <w:autoRedefine/>
    <w:qFormat/>
    <w:uiPriority w:val="0"/>
    <w:rPr>
      <w:rFonts w:ascii="Arial" w:hAnsi="Arial" w:eastAsia="黑体" w:cs="Arial"/>
      <w:snapToGrid w:val="0"/>
      <w:kern w:val="0"/>
      <w:szCs w:val="21"/>
    </w:rPr>
  </w:style>
  <w:style w:type="character" w:customStyle="1" w:styleId="432">
    <w:name w:val="hui"/>
    <w:basedOn w:val="70"/>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4"/>
    <w:next w:val="234"/>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4"/>
    <w:next w:val="234"/>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0"/>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8"/>
    <w:qFormat/>
    <w:uiPriority w:val="0"/>
    <w:rPr>
      <w:kern w:val="2"/>
      <w:sz w:val="21"/>
      <w:szCs w:val="24"/>
      <w:lang w:val="zh-CN"/>
    </w:rPr>
  </w:style>
  <w:style w:type="character" w:customStyle="1" w:styleId="932">
    <w:name w:val="无间隔 Char"/>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8"/>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不明显强调1"/>
    <w:qFormat/>
    <w:uiPriority w:val="19"/>
    <w:rPr>
      <w:i/>
      <w:iCs/>
    </w:rPr>
  </w:style>
  <w:style w:type="character" w:customStyle="1" w:styleId="965">
    <w:name w:val="不明显参考1"/>
    <w:qFormat/>
    <w:uiPriority w:val="31"/>
    <w:rPr>
      <w:smallCaps/>
    </w:rPr>
  </w:style>
  <w:style w:type="paragraph" w:customStyle="1" w:styleId="966">
    <w:name w:val="table of authorities"/>
    <w:basedOn w:val="1"/>
    <w:next w:val="1"/>
    <w:qFormat/>
    <w:uiPriority w:val="0"/>
    <w:pPr>
      <w:ind w:left="420" w:leftChars="200"/>
    </w:pPr>
  </w:style>
  <w:style w:type="character" w:customStyle="1" w:styleId="967">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50</Pages>
  <Words>14853</Words>
  <Characters>16070</Characters>
  <Lines>281</Lines>
  <Paragraphs>79</Paragraphs>
  <TotalTime>3</TotalTime>
  <ScaleCrop>false</ScaleCrop>
  <LinksUpToDate>false</LinksUpToDate>
  <CharactersWithSpaces>16360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工作沈飞</cp:lastModifiedBy>
  <cp:lastPrinted>2025-04-21T07:05:00Z</cp:lastPrinted>
  <dcterms:modified xsi:type="dcterms:W3CDTF">2025-07-17T01:48:12Z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89845A1730AC4B6E80D2980A17C7DD8F_13</vt:lpwstr>
  </property>
  <property fmtid="{D5CDD505-2E9C-101B-9397-08002B2CF9AE}" pid="5" name="KSOTemplateDocerSaveRecord">
    <vt:lpwstr>eyJoZGlkIjoiM2YwMjEzNmMwMGY5OTZiOTFiNDZhNTc2Nzc5YWM5NjIiLCJ1c2VySWQiOiI0NDk1NjY1MzYifQ==</vt:lpwstr>
  </property>
</Properties>
</file>