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849DC">
      <w:pPr>
        <w:adjustRightInd/>
        <w:spacing w:line="360" w:lineRule="auto"/>
        <w:jc w:val="center"/>
        <w:rPr>
          <w:rFonts w:hint="eastAsia" w:ascii="仿宋" w:hAnsi="仿宋" w:eastAsia="仿宋" w:cs="仿宋"/>
          <w:b/>
          <w:bCs/>
          <w:color w:val="auto"/>
          <w:spacing w:val="-23"/>
          <w:sz w:val="52"/>
          <w:szCs w:val="52"/>
          <w:highlight w:val="none"/>
          <w:lang w:eastAsia="zh-CN"/>
        </w:rPr>
      </w:pPr>
      <w:r>
        <w:rPr>
          <w:rFonts w:hint="eastAsia" w:ascii="仿宋" w:hAnsi="仿宋" w:eastAsia="仿宋" w:cs="仿宋"/>
          <w:b/>
          <w:bCs/>
          <w:color w:val="auto"/>
          <w:sz w:val="48"/>
          <w:szCs w:val="48"/>
          <w:highlight w:val="none"/>
          <w:lang w:eastAsia="zh-CN"/>
        </w:rPr>
        <w:t>污水管道非开挖修复及CCTV检测年度服务采购项目</w:t>
      </w:r>
    </w:p>
    <w:p w14:paraId="0F4B365F">
      <w:pPr>
        <w:pStyle w:val="7"/>
        <w:rPr>
          <w:rFonts w:hint="eastAsia" w:ascii="仿宋" w:hAnsi="仿宋" w:eastAsia="仿宋" w:cs="仿宋"/>
          <w:b/>
          <w:bCs/>
          <w:color w:val="auto"/>
          <w:highlight w:val="none"/>
        </w:rPr>
      </w:pPr>
    </w:p>
    <w:p w14:paraId="3ECB79AC">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14:paraId="7856F297">
      <w:pPr>
        <w:adjustRightInd/>
        <w:spacing w:line="360" w:lineRule="auto"/>
        <w:jc w:val="center"/>
        <w:rPr>
          <w:rFonts w:hint="eastAsia" w:ascii="仿宋" w:hAnsi="仿宋" w:eastAsia="仿宋" w:cs="仿宋"/>
          <w:b/>
          <w:color w:val="auto"/>
          <w:sz w:val="44"/>
          <w:szCs w:val="44"/>
          <w:highlight w:val="none"/>
        </w:rPr>
      </w:pPr>
    </w:p>
    <w:p w14:paraId="0E3B5AC1">
      <w:pPr>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交易编号：JG-SCFW-2025-0001</w:t>
      </w:r>
    </w:p>
    <w:p w14:paraId="1D762E61">
      <w:pPr>
        <w:snapToGrid w:val="0"/>
        <w:spacing w:line="360" w:lineRule="auto"/>
        <w:jc w:val="center"/>
        <w:rPr>
          <w:rFonts w:hint="eastAsia" w:ascii="仿宋" w:hAnsi="仿宋" w:eastAsia="仿宋" w:cs="仿宋"/>
          <w:b/>
          <w:bCs/>
          <w:color w:val="auto"/>
          <w:sz w:val="30"/>
          <w:szCs w:val="30"/>
          <w:highlight w:val="none"/>
        </w:rPr>
      </w:pPr>
    </w:p>
    <w:p w14:paraId="430276DD">
      <w:pPr>
        <w:adjustRightInd/>
        <w:spacing w:line="360" w:lineRule="auto"/>
        <w:rPr>
          <w:rFonts w:hint="eastAsia" w:ascii="仿宋" w:hAnsi="仿宋" w:eastAsia="仿宋" w:cs="仿宋"/>
          <w:color w:val="auto"/>
          <w:sz w:val="28"/>
          <w:szCs w:val="20"/>
          <w:highlight w:val="none"/>
        </w:rPr>
      </w:pPr>
    </w:p>
    <w:p w14:paraId="79983935">
      <w:pPr>
        <w:spacing w:line="360" w:lineRule="auto"/>
        <w:jc w:val="both"/>
        <w:rPr>
          <w:rFonts w:hint="eastAsia" w:ascii="仿宋" w:hAnsi="仿宋" w:eastAsia="仿宋" w:cs="仿宋"/>
          <w:b/>
          <w:color w:val="auto"/>
          <w:sz w:val="44"/>
          <w:szCs w:val="44"/>
          <w:highlight w:val="none"/>
        </w:rPr>
      </w:pPr>
    </w:p>
    <w:p w14:paraId="2CC26C4F">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787A94">
      <w:pPr>
        <w:spacing w:line="360" w:lineRule="auto"/>
        <w:jc w:val="center"/>
        <w:rPr>
          <w:rFonts w:hint="eastAsia" w:ascii="仿宋" w:hAnsi="仿宋" w:eastAsia="仿宋" w:cs="仿宋"/>
          <w:b/>
          <w:color w:val="auto"/>
          <w:sz w:val="44"/>
          <w:szCs w:val="44"/>
          <w:highlight w:val="none"/>
        </w:rPr>
      </w:pPr>
    </w:p>
    <w:p w14:paraId="1D1DC63E">
      <w:pPr>
        <w:spacing w:line="360" w:lineRule="auto"/>
        <w:rPr>
          <w:rFonts w:hint="eastAsia" w:ascii="仿宋" w:hAnsi="仿宋" w:eastAsia="仿宋" w:cs="仿宋"/>
          <w:color w:val="auto"/>
          <w:sz w:val="24"/>
          <w:highlight w:val="none"/>
        </w:rPr>
      </w:pPr>
    </w:p>
    <w:p w14:paraId="2ED8F753">
      <w:pPr>
        <w:spacing w:line="360" w:lineRule="auto"/>
        <w:rPr>
          <w:rFonts w:hint="eastAsia" w:ascii="仿宋" w:hAnsi="仿宋" w:eastAsia="仿宋" w:cs="仿宋"/>
          <w:b/>
          <w:color w:val="auto"/>
          <w:sz w:val="32"/>
          <w:szCs w:val="30"/>
          <w:highlight w:val="none"/>
        </w:rPr>
      </w:pPr>
    </w:p>
    <w:p w14:paraId="5E36C561">
      <w:pPr>
        <w:spacing w:line="360" w:lineRule="auto"/>
        <w:ind w:firstLine="1606" w:firstLineChars="500"/>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交 易 人：杭州萧山</w:t>
      </w:r>
      <w:r>
        <w:rPr>
          <w:rFonts w:hint="eastAsia" w:ascii="仿宋" w:hAnsi="仿宋" w:eastAsia="仿宋" w:cs="仿宋"/>
          <w:b/>
          <w:color w:val="auto"/>
          <w:sz w:val="32"/>
          <w:szCs w:val="30"/>
          <w:highlight w:val="none"/>
          <w:lang w:eastAsia="zh-CN"/>
        </w:rPr>
        <w:t>污水处理</w:t>
      </w:r>
      <w:r>
        <w:rPr>
          <w:rFonts w:hint="eastAsia" w:ascii="仿宋" w:hAnsi="仿宋" w:eastAsia="仿宋" w:cs="仿宋"/>
          <w:b/>
          <w:color w:val="auto"/>
          <w:sz w:val="32"/>
          <w:szCs w:val="30"/>
          <w:highlight w:val="none"/>
        </w:rPr>
        <w:t>有限公司</w:t>
      </w:r>
    </w:p>
    <w:p w14:paraId="740B6BB6">
      <w:pPr>
        <w:snapToGrid w:val="0"/>
        <w:spacing w:line="360" w:lineRule="auto"/>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color w:val="auto"/>
          <w:sz w:val="32"/>
          <w:szCs w:val="30"/>
          <w:highlight w:val="none"/>
        </w:rPr>
        <w:t xml:space="preserve"> 采购机构：</w:t>
      </w:r>
      <w:r>
        <w:rPr>
          <w:rFonts w:hint="eastAsia" w:ascii="仿宋" w:hAnsi="仿宋" w:eastAsia="仿宋" w:cs="仿宋"/>
          <w:b/>
          <w:color w:val="auto"/>
          <w:sz w:val="32"/>
          <w:szCs w:val="30"/>
          <w:highlight w:val="none"/>
          <w:lang w:val="en-US" w:eastAsia="zh-CN"/>
        </w:rPr>
        <w:t>浙江华域高宇项目管理有限公司</w:t>
      </w:r>
    </w:p>
    <w:p w14:paraId="0D47317E">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月</w:t>
      </w:r>
    </w:p>
    <w:p w14:paraId="6F7EB57B">
      <w:pPr>
        <w:pStyle w:val="7"/>
        <w:rPr>
          <w:rFonts w:hint="eastAsia" w:ascii="仿宋" w:hAnsi="仿宋" w:eastAsia="仿宋" w:cs="仿宋"/>
          <w:color w:val="auto"/>
          <w:highlight w:val="none"/>
        </w:rPr>
      </w:pPr>
    </w:p>
    <w:p w14:paraId="0AEB8088">
      <w:pPr>
        <w:pStyle w:val="17"/>
        <w:rPr>
          <w:rFonts w:hint="eastAsia" w:ascii="仿宋" w:hAnsi="仿宋" w:eastAsia="仿宋" w:cs="仿宋"/>
          <w:color w:val="auto"/>
          <w:highlight w:val="none"/>
        </w:rPr>
      </w:pPr>
    </w:p>
    <w:p w14:paraId="28BFD166">
      <w:pPr>
        <w:pStyle w:val="15"/>
        <w:rPr>
          <w:rFonts w:hint="eastAsia" w:ascii="仿宋" w:hAnsi="仿宋" w:eastAsia="仿宋" w:cs="仿宋"/>
          <w:color w:val="auto"/>
          <w:highlight w:val="none"/>
        </w:rPr>
      </w:pPr>
    </w:p>
    <w:p w14:paraId="250D7F98">
      <w:pPr>
        <w:jc w:val="center"/>
        <w:rPr>
          <w:rFonts w:hint="eastAsia" w:ascii="仿宋" w:hAnsi="仿宋" w:eastAsia="仿宋" w:cs="仿宋"/>
          <w:b/>
          <w:color w:val="auto"/>
          <w:sz w:val="48"/>
          <w:szCs w:val="48"/>
          <w:highlight w:val="none"/>
        </w:rPr>
      </w:pPr>
    </w:p>
    <w:p w14:paraId="73353A53">
      <w:pPr>
        <w:jc w:val="center"/>
        <w:rPr>
          <w:rFonts w:hint="eastAsia" w:ascii="仿宋" w:hAnsi="仿宋" w:eastAsia="仿宋" w:cs="仿宋"/>
          <w:b/>
          <w:color w:val="auto"/>
          <w:sz w:val="48"/>
          <w:szCs w:val="48"/>
          <w:highlight w:val="none"/>
        </w:rPr>
      </w:pPr>
    </w:p>
    <w:p w14:paraId="1FFB3C13">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3F1CC14">
      <w:pPr>
        <w:spacing w:line="360" w:lineRule="auto"/>
        <w:rPr>
          <w:rFonts w:hint="eastAsia" w:ascii="仿宋" w:hAnsi="仿宋" w:eastAsia="仿宋" w:cs="仿宋"/>
          <w:color w:val="auto"/>
          <w:sz w:val="32"/>
          <w:szCs w:val="32"/>
          <w:highlight w:val="none"/>
        </w:rPr>
      </w:pPr>
    </w:p>
    <w:p w14:paraId="3547775C">
      <w:pPr>
        <w:spacing w:line="360" w:lineRule="auto"/>
        <w:rPr>
          <w:rFonts w:hint="eastAsia" w:ascii="仿宋" w:hAnsi="仿宋" w:eastAsia="仿宋" w:cs="仿宋"/>
          <w:color w:val="auto"/>
          <w:sz w:val="32"/>
          <w:szCs w:val="32"/>
          <w:highlight w:val="none"/>
        </w:rPr>
      </w:pPr>
    </w:p>
    <w:p w14:paraId="3D9D6DD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065A55D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1CF9E23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14:paraId="342EF4B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交易办法</w:t>
      </w:r>
    </w:p>
    <w:p w14:paraId="1FD0A7D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19AFA1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A22D46F">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32CA39B6">
      <w:pPr>
        <w:spacing w:line="360" w:lineRule="auto"/>
        <w:ind w:firstLine="549" w:firstLineChars="229"/>
        <w:rPr>
          <w:rFonts w:hint="eastAsia" w:ascii="仿宋" w:hAnsi="仿宋" w:eastAsia="仿宋" w:cs="仿宋"/>
          <w:color w:val="auto"/>
          <w:sz w:val="24"/>
          <w:highlight w:val="none"/>
        </w:rPr>
      </w:pPr>
    </w:p>
    <w:p w14:paraId="42447D84">
      <w:pPr>
        <w:spacing w:line="360" w:lineRule="auto"/>
        <w:ind w:firstLine="549" w:firstLineChars="229"/>
        <w:rPr>
          <w:rFonts w:hint="eastAsia" w:ascii="仿宋" w:hAnsi="仿宋" w:eastAsia="仿宋" w:cs="仿宋"/>
          <w:color w:val="auto"/>
          <w:sz w:val="24"/>
          <w:highlight w:val="none"/>
        </w:rPr>
      </w:pPr>
    </w:p>
    <w:p w14:paraId="49C008DC">
      <w:pPr>
        <w:spacing w:line="360" w:lineRule="auto"/>
        <w:ind w:firstLine="549" w:firstLineChars="229"/>
        <w:rPr>
          <w:rFonts w:hint="eastAsia" w:ascii="仿宋" w:hAnsi="仿宋" w:eastAsia="仿宋" w:cs="仿宋"/>
          <w:color w:val="auto"/>
          <w:sz w:val="24"/>
          <w:highlight w:val="none"/>
        </w:rPr>
      </w:pPr>
    </w:p>
    <w:p w14:paraId="1A84C9D5">
      <w:pPr>
        <w:spacing w:line="360" w:lineRule="auto"/>
        <w:ind w:firstLine="549" w:firstLineChars="229"/>
        <w:rPr>
          <w:rFonts w:hint="eastAsia" w:ascii="仿宋" w:hAnsi="仿宋" w:eastAsia="仿宋" w:cs="仿宋"/>
          <w:color w:val="auto"/>
          <w:sz w:val="24"/>
          <w:highlight w:val="none"/>
        </w:rPr>
      </w:pPr>
    </w:p>
    <w:p w14:paraId="736BF0A3">
      <w:pPr>
        <w:spacing w:line="360" w:lineRule="auto"/>
        <w:ind w:firstLine="549" w:firstLineChars="229"/>
        <w:rPr>
          <w:rFonts w:hint="eastAsia" w:ascii="仿宋" w:hAnsi="仿宋" w:eastAsia="仿宋" w:cs="仿宋"/>
          <w:color w:val="auto"/>
          <w:sz w:val="24"/>
          <w:highlight w:val="none"/>
        </w:rPr>
      </w:pPr>
    </w:p>
    <w:p w14:paraId="6234D8F5">
      <w:pPr>
        <w:spacing w:line="360" w:lineRule="auto"/>
        <w:ind w:firstLine="549" w:firstLineChars="229"/>
        <w:rPr>
          <w:rFonts w:hint="eastAsia" w:ascii="仿宋" w:hAnsi="仿宋" w:eastAsia="仿宋" w:cs="仿宋"/>
          <w:color w:val="auto"/>
          <w:sz w:val="24"/>
          <w:highlight w:val="none"/>
        </w:rPr>
      </w:pPr>
    </w:p>
    <w:p w14:paraId="1E149C89">
      <w:pPr>
        <w:spacing w:line="360" w:lineRule="auto"/>
        <w:ind w:firstLine="549" w:firstLineChars="229"/>
        <w:rPr>
          <w:rFonts w:hint="eastAsia" w:ascii="仿宋" w:hAnsi="仿宋" w:eastAsia="仿宋" w:cs="仿宋"/>
          <w:color w:val="auto"/>
          <w:sz w:val="24"/>
          <w:highlight w:val="none"/>
        </w:rPr>
      </w:pPr>
    </w:p>
    <w:p w14:paraId="27A70562">
      <w:pPr>
        <w:spacing w:line="360" w:lineRule="auto"/>
        <w:ind w:firstLine="549" w:firstLineChars="229"/>
        <w:rPr>
          <w:rFonts w:hint="eastAsia" w:ascii="仿宋" w:hAnsi="仿宋" w:eastAsia="仿宋" w:cs="仿宋"/>
          <w:color w:val="auto"/>
          <w:sz w:val="24"/>
          <w:highlight w:val="none"/>
        </w:rPr>
      </w:pPr>
    </w:p>
    <w:p w14:paraId="45D6B57A">
      <w:pPr>
        <w:spacing w:line="360" w:lineRule="auto"/>
        <w:ind w:firstLine="549" w:firstLineChars="229"/>
        <w:rPr>
          <w:rFonts w:hint="eastAsia" w:ascii="仿宋" w:hAnsi="仿宋" w:eastAsia="仿宋" w:cs="仿宋"/>
          <w:color w:val="auto"/>
          <w:sz w:val="24"/>
          <w:highlight w:val="none"/>
        </w:rPr>
      </w:pPr>
    </w:p>
    <w:p w14:paraId="066A7C0E">
      <w:pPr>
        <w:spacing w:line="360" w:lineRule="auto"/>
        <w:ind w:firstLine="549" w:firstLineChars="229"/>
        <w:rPr>
          <w:rFonts w:hint="eastAsia" w:ascii="仿宋" w:hAnsi="仿宋" w:eastAsia="仿宋" w:cs="仿宋"/>
          <w:color w:val="auto"/>
          <w:sz w:val="24"/>
          <w:highlight w:val="none"/>
        </w:rPr>
      </w:pPr>
    </w:p>
    <w:p w14:paraId="02A617A6">
      <w:pPr>
        <w:spacing w:line="360" w:lineRule="auto"/>
        <w:ind w:firstLine="549" w:firstLineChars="229"/>
        <w:rPr>
          <w:rFonts w:hint="eastAsia" w:ascii="仿宋" w:hAnsi="仿宋" w:eastAsia="仿宋" w:cs="仿宋"/>
          <w:color w:val="auto"/>
          <w:sz w:val="24"/>
          <w:highlight w:val="none"/>
        </w:rPr>
      </w:pPr>
    </w:p>
    <w:p w14:paraId="34140242">
      <w:pPr>
        <w:spacing w:line="360" w:lineRule="auto"/>
        <w:ind w:firstLine="549" w:firstLineChars="229"/>
        <w:rPr>
          <w:rFonts w:hint="eastAsia" w:ascii="仿宋" w:hAnsi="仿宋" w:eastAsia="仿宋" w:cs="仿宋"/>
          <w:color w:val="auto"/>
          <w:sz w:val="24"/>
          <w:highlight w:val="none"/>
        </w:rPr>
      </w:pPr>
    </w:p>
    <w:p w14:paraId="5CC87253">
      <w:pPr>
        <w:spacing w:line="360" w:lineRule="auto"/>
        <w:rPr>
          <w:rFonts w:hint="eastAsia" w:ascii="仿宋" w:hAnsi="仿宋" w:eastAsia="仿宋" w:cs="仿宋"/>
          <w:color w:val="auto"/>
          <w:sz w:val="24"/>
          <w:highlight w:val="none"/>
        </w:rPr>
      </w:pPr>
    </w:p>
    <w:p w14:paraId="5012EC66">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72EBB249">
      <w:pPr>
        <w:numPr>
          <w:ilvl w:val="0"/>
          <w:numId w:val="1"/>
        </w:num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交易公告</w:t>
      </w:r>
    </w:p>
    <w:tbl>
      <w:tblPr>
        <w:tblStyle w:val="1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14:paraId="4FE7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320" w:type="dxa"/>
            <w:noWrap w:val="0"/>
            <w:vAlign w:val="top"/>
          </w:tcPr>
          <w:p w14:paraId="2520CC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E9AFE65">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污水管道非开挖修复及CCTV检测年度服务采购项目</w:t>
            </w:r>
            <w:r>
              <w:rPr>
                <w:rFonts w:hint="eastAsia" w:ascii="仿宋" w:hAnsi="仿宋" w:eastAsia="仿宋" w:cs="仿宋"/>
                <w:color w:val="auto"/>
                <w:sz w:val="24"/>
                <w:highlight w:val="none"/>
                <w:u w:val="none"/>
                <w:lang w:eastAsia="zh-CN"/>
              </w:rPr>
              <w:t>交</w:t>
            </w:r>
            <w:r>
              <w:rPr>
                <w:rFonts w:hint="eastAsia" w:ascii="仿宋" w:hAnsi="仿宋" w:eastAsia="仿宋" w:cs="仿宋"/>
                <w:color w:val="auto"/>
                <w:sz w:val="24"/>
                <w:highlight w:val="none"/>
                <w:u w:val="none"/>
              </w:rPr>
              <w:t>易</w:t>
            </w:r>
            <w:r>
              <w:rPr>
                <w:rFonts w:hint="eastAsia" w:ascii="仿宋" w:hAnsi="仿宋" w:eastAsia="仿宋" w:cs="仿宋"/>
                <w:color w:val="auto"/>
                <w:sz w:val="24"/>
                <w:highlight w:val="none"/>
              </w:rPr>
              <w:t>项目的潜在供应商应在乐采云平台（https://www.lecaiyun.com/）</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"https://www.zcygov.cn/）获取（下载）招标文件，并于2021年" </w:instrText>
            </w:r>
            <w:r>
              <w:rPr>
                <w:rFonts w:hint="eastAsia" w:ascii="仿宋" w:hAnsi="仿宋" w:eastAsia="仿宋" w:cs="仿宋"/>
                <w:color w:val="auto"/>
                <w:sz w:val="24"/>
                <w:highlight w:val="none"/>
              </w:rPr>
              <w:fldChar w:fldCharType="separate"/>
            </w:r>
            <w:r>
              <w:rPr>
                <w:rStyle w:val="22"/>
                <w:rFonts w:hint="eastAsia" w:ascii="仿宋" w:hAnsi="仿宋" w:eastAsia="仿宋" w:cs="仿宋"/>
                <w:color w:val="auto"/>
                <w:kern w:val="2"/>
                <w:sz w:val="24"/>
                <w:szCs w:val="24"/>
                <w:highlight w:val="none"/>
              </w:rPr>
              <w:t>获取（下载）交易文件，并于</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w:t>
            </w:r>
          </w:p>
        </w:tc>
      </w:tr>
    </w:tbl>
    <w:p w14:paraId="278B7B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14:paraId="63533DF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交易编号：</w:t>
      </w:r>
    </w:p>
    <w:p w14:paraId="1220F67C">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交易名称：</w:t>
      </w:r>
      <w:r>
        <w:rPr>
          <w:rFonts w:hint="eastAsia" w:ascii="仿宋" w:hAnsi="仿宋" w:eastAsia="仿宋" w:cs="仿宋"/>
          <w:bCs/>
          <w:color w:val="auto"/>
          <w:sz w:val="24"/>
          <w:highlight w:val="none"/>
          <w:lang w:eastAsia="zh-CN"/>
        </w:rPr>
        <w:t>污水管道非开挖修复及CCTV检测年度服务采购项目</w:t>
      </w:r>
    </w:p>
    <w:p w14:paraId="7BE1C5AC">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元）：</w:t>
      </w:r>
      <w:r>
        <w:rPr>
          <w:rFonts w:hint="eastAsia" w:ascii="仿宋" w:hAnsi="仿宋" w:eastAsia="仿宋" w:cs="仿宋"/>
          <w:color w:val="auto"/>
          <w:sz w:val="24"/>
          <w:szCs w:val="24"/>
          <w:highlight w:val="none"/>
          <w:lang w:val="en-US" w:eastAsia="zh-CN"/>
        </w:rPr>
        <w:t>3900000.00</w:t>
      </w:r>
    </w:p>
    <w:p w14:paraId="0618BE35">
      <w:pPr>
        <w:spacing w:line="360" w:lineRule="auto"/>
        <w:ind w:firstLine="482" w:firstLineChars="200"/>
        <w:rPr>
          <w:rFonts w:hint="default" w:ascii="仿宋" w:hAnsi="仿宋" w:eastAsia="仿宋" w:cs="仿宋"/>
          <w:b/>
          <w:color w:val="auto"/>
          <w:sz w:val="24"/>
          <w:highlight w:val="yellow"/>
          <w:lang w:val="en-US"/>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元）：</w:t>
      </w:r>
      <w:r>
        <w:rPr>
          <w:rFonts w:hint="eastAsia" w:ascii="仿宋" w:hAnsi="仿宋" w:eastAsia="仿宋" w:cs="仿宋"/>
          <w:color w:val="auto"/>
          <w:sz w:val="24"/>
          <w:szCs w:val="24"/>
          <w:highlight w:val="none"/>
          <w:lang w:val="en-US" w:eastAsia="zh-CN"/>
        </w:rPr>
        <w:t>3900000.00</w:t>
      </w:r>
    </w:p>
    <w:p w14:paraId="3C9C6F7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交易需求：</w:t>
      </w:r>
      <w:r>
        <w:rPr>
          <w:rFonts w:hint="eastAsia" w:ascii="仿宋" w:hAnsi="仿宋" w:eastAsia="仿宋" w:cs="仿宋"/>
          <w:bCs/>
          <w:color w:val="auto"/>
          <w:sz w:val="24"/>
          <w:highlight w:val="none"/>
          <w:lang w:eastAsia="zh-CN"/>
        </w:rPr>
        <w:t>污水管道非开挖修复及CCTV检测年度服务采购项目</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详见交易需求。</w:t>
      </w:r>
    </w:p>
    <w:p w14:paraId="385E6FE5">
      <w:pPr>
        <w:pStyle w:val="4"/>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18"/>
          <w:highlight w:val="none"/>
        </w:rPr>
        <w:t>合同履约期限：</w:t>
      </w:r>
      <w:r>
        <w:rPr>
          <w:rFonts w:hint="eastAsia" w:ascii="仿宋" w:hAnsi="仿宋" w:eastAsia="仿宋" w:cs="仿宋"/>
          <w:color w:val="auto"/>
          <w:sz w:val="24"/>
          <w:szCs w:val="28"/>
          <w:highlight w:val="none"/>
        </w:rPr>
        <w:t>详见交易文件</w:t>
      </w:r>
    </w:p>
    <w:p w14:paraId="7A9C62A7">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Cs/>
          <w:color w:val="auto"/>
          <w:sz w:val="24"/>
          <w:highlight w:val="none"/>
          <w:lang w:eastAsia="zh-CN"/>
        </w:rPr>
        <w:t>否</w:t>
      </w:r>
      <w:r>
        <w:rPr>
          <w:rFonts w:hint="eastAsia" w:ascii="仿宋" w:hAnsi="仿宋" w:eastAsia="仿宋" w:cs="仿宋"/>
          <w:bCs/>
          <w:color w:val="auto"/>
          <w:sz w:val="24"/>
          <w:highlight w:val="none"/>
        </w:rPr>
        <w:t>；</w:t>
      </w:r>
    </w:p>
    <w:p w14:paraId="00B516D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9EA80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F06F5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386060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0DDCE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、有依法缴纳税收和社会保障资金的良好记录；</w:t>
      </w:r>
    </w:p>
    <w:p w14:paraId="2D7204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289BD5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08909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落实政府采购政策需满足的资格要求：（√）无；</w:t>
      </w:r>
    </w:p>
    <w:p w14:paraId="3357F0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本项目的特定资格要求：</w:t>
      </w:r>
    </w:p>
    <w:p w14:paraId="59EAB55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lang w:eastAsia="zh-CN"/>
        </w:rPr>
        <w:t>市政三级及以上资质有独立法人资格且经营范围必须包含管道非开挖修复、管道疏通、管道检测的经营资格。</w:t>
      </w:r>
    </w:p>
    <w:p w14:paraId="5495B2B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lang w:eastAsia="zh-CN"/>
        </w:rPr>
        <w:t>有效的企业安全生产许可证</w:t>
      </w:r>
    </w:p>
    <w:p w14:paraId="61B02B2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lang w:eastAsia="zh-CN"/>
        </w:rPr>
        <w:t>本次交易不接受联合体</w:t>
      </w:r>
    </w:p>
    <w:p w14:paraId="5195D0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EE7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6809ADD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w:t>
      </w:r>
    </w:p>
    <w:p w14:paraId="776709D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7E115C8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响应人登录乐采云平台（https://www.lecaiyun.com/）在线申请获取交易文件（进入“项目采购”应用，在获取采购文件菜单中选择项目，申请获取交易文件）。 </w:t>
      </w:r>
    </w:p>
    <w:p w14:paraId="59B80EB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p>
    <w:p w14:paraId="2BEB279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1F2B3EB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43CDDD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25FD448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bookmarkStart w:id="384" w:name="_GoBack"/>
      <w:bookmarkEnd w:id="384"/>
    </w:p>
    <w:p w14:paraId="2CDA3E6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4AA3A88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14:paraId="1F027C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1、响应人认为</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6E4DD8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color w:val="auto"/>
          <w:sz w:val="24"/>
          <w:highlight w:val="none"/>
          <w:lang w:eastAsia="zh-CN"/>
        </w:rPr>
        <w:t>电子交易</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的说明：①</w:t>
      </w:r>
      <w:r>
        <w:rPr>
          <w:rFonts w:hint="eastAsia" w:ascii="仿宋" w:hAnsi="仿宋" w:eastAsia="仿宋" w:cs="仿宋"/>
          <w:color w:val="auto"/>
          <w:sz w:val="24"/>
          <w:highlight w:val="none"/>
          <w:lang w:eastAsia="zh-CN"/>
        </w:rPr>
        <w:t>电子交易</w:t>
      </w:r>
      <w:r>
        <w:rPr>
          <w:rFonts w:hint="eastAsia" w:ascii="仿宋" w:hAnsi="仿宋" w:eastAsia="仿宋" w:cs="仿宋"/>
          <w:color w:val="auto"/>
          <w:sz w:val="24"/>
          <w:highlight w:val="none"/>
        </w:rPr>
        <w:t>：本项目以数据电文形式，依托“乐采云平台（https://www.lecaiyun.com/）”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政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政府采购云平台；⑨响应文件的解密：响应人按照平台提示和交易文件的规定在半小时内完成在线解密。通过“政府采购云平台”上传递交的响应文件无法按时解密，视为响应文件撤回；⑩具体操作指南：详见乐采云平台“服务中心-帮助文档-项目采购-操作流程-</w:t>
      </w:r>
      <w:r>
        <w:rPr>
          <w:rFonts w:hint="eastAsia" w:ascii="仿宋" w:hAnsi="仿宋" w:eastAsia="仿宋" w:cs="仿宋"/>
          <w:color w:val="auto"/>
          <w:sz w:val="24"/>
          <w:highlight w:val="none"/>
          <w:lang w:eastAsia="zh-CN"/>
        </w:rPr>
        <w:t>电子交易</w:t>
      </w:r>
      <w:r>
        <w:rPr>
          <w:rFonts w:hint="eastAsia" w:ascii="仿宋" w:hAnsi="仿宋" w:eastAsia="仿宋" w:cs="仿宋"/>
          <w:color w:val="auto"/>
          <w:sz w:val="24"/>
          <w:highlight w:val="none"/>
        </w:rPr>
        <w:t>-政府采购项目电子交易管理操作指南-供应商”。</w:t>
      </w:r>
    </w:p>
    <w:p w14:paraId="498F24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六、对本次交易提出异议、投诉，请按以下方式联系</w:t>
      </w:r>
    </w:p>
    <w:p w14:paraId="7E27E4DF">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00A3BC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名称：杭州萧山</w:t>
      </w:r>
      <w:r>
        <w:rPr>
          <w:rFonts w:hint="eastAsia" w:ascii="仿宋" w:hAnsi="仿宋" w:eastAsia="仿宋" w:cs="仿宋"/>
          <w:color w:val="auto"/>
          <w:sz w:val="24"/>
          <w:highlight w:val="none"/>
          <w:lang w:eastAsia="zh-CN"/>
        </w:rPr>
        <w:t>污水处理</w:t>
      </w:r>
      <w:r>
        <w:rPr>
          <w:rFonts w:hint="eastAsia" w:ascii="仿宋" w:hAnsi="仿宋" w:eastAsia="仿宋" w:cs="仿宋"/>
          <w:color w:val="auto"/>
          <w:sz w:val="24"/>
          <w:highlight w:val="none"/>
        </w:rPr>
        <w:t>有限公司</w:t>
      </w:r>
    </w:p>
    <w:p w14:paraId="7B3A919C">
      <w:pPr>
        <w:spacing w:line="360" w:lineRule="auto"/>
        <w:ind w:firstLine="480" w:firstLineChars="200"/>
        <w:jc w:val="left"/>
        <w:rPr>
          <w:rFonts w:hint="eastAsia" w:ascii="仿宋" w:hAnsi="仿宋" w:eastAsia="仿宋" w:cs="仿宋"/>
          <w:color w:val="auto"/>
          <w:spacing w:val="-11"/>
          <w:sz w:val="24"/>
          <w:highlight w:val="none"/>
          <w:lang w:val="en-US" w:eastAsia="zh-CN"/>
        </w:rPr>
      </w:pPr>
      <w:r>
        <w:rPr>
          <w:rFonts w:hint="eastAsia" w:ascii="仿宋" w:hAnsi="仿宋" w:eastAsia="仿宋" w:cs="仿宋"/>
          <w:color w:val="auto"/>
          <w:sz w:val="24"/>
          <w:highlight w:val="none"/>
        </w:rPr>
        <w:t>地址：杭州市萧山区</w:t>
      </w:r>
      <w:r>
        <w:rPr>
          <w:rFonts w:hint="eastAsia" w:ascii="仿宋" w:hAnsi="仿宋" w:eastAsia="仿宋" w:cs="仿宋"/>
          <w:color w:val="auto"/>
          <w:sz w:val="24"/>
          <w:highlight w:val="none"/>
          <w:lang w:val="en-US" w:eastAsia="zh-CN"/>
        </w:rPr>
        <w:t>通惠中路99号</w:t>
      </w:r>
    </w:p>
    <w:p w14:paraId="6796636A">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黄先生</w:t>
      </w:r>
    </w:p>
    <w:p w14:paraId="1B07822D">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bookmarkStart w:id="10" w:name="_Toc28359086"/>
      <w:bookmarkStart w:id="11" w:name="_Toc28359009"/>
      <w:r>
        <w:rPr>
          <w:rFonts w:hint="eastAsia" w:ascii="仿宋" w:hAnsi="仿宋" w:eastAsia="仿宋" w:cs="仿宋"/>
          <w:color w:val="auto"/>
          <w:sz w:val="24"/>
          <w:highlight w:val="none"/>
          <w:lang w:val="en-US" w:eastAsia="zh-CN"/>
        </w:rPr>
        <w:t>0571-82735224</w:t>
      </w:r>
    </w:p>
    <w:p w14:paraId="4873FE82">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p>
    <w:p w14:paraId="005335F7">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浙江华域高宇项目管理有限公司</w:t>
      </w:r>
    </w:p>
    <w:p w14:paraId="0F7D1F51">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杭州市萧山区金城路560号心意广场2幢1101</w:t>
      </w:r>
    </w:p>
    <w:p w14:paraId="24D6BC96">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汪路易</w:t>
      </w:r>
    </w:p>
    <w:p w14:paraId="18561F6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项目联系方式（询问）：</w:t>
      </w:r>
      <w:bookmarkEnd w:id="10"/>
      <w:bookmarkEnd w:id="11"/>
      <w:r>
        <w:rPr>
          <w:rFonts w:hint="eastAsia" w:ascii="仿宋" w:hAnsi="仿宋" w:eastAsia="仿宋" w:cs="仿宋"/>
          <w:color w:val="auto"/>
          <w:sz w:val="24"/>
          <w:szCs w:val="28"/>
          <w:highlight w:val="none"/>
          <w:lang w:eastAsia="zh-CN"/>
        </w:rPr>
        <w:t>17816099181</w:t>
      </w:r>
    </w:p>
    <w:p w14:paraId="23A1BC76">
      <w:pPr>
        <w:spacing w:line="360" w:lineRule="auto"/>
        <w:ind w:firstLine="480" w:firstLineChars="200"/>
        <w:rPr>
          <w:rFonts w:hint="eastAsia" w:ascii="仿宋" w:hAnsi="仿宋" w:eastAsia="仿宋" w:cs="仿宋"/>
          <w:color w:val="auto"/>
          <w:sz w:val="24"/>
          <w:highlight w:val="none"/>
        </w:rPr>
      </w:pPr>
    </w:p>
    <w:p w14:paraId="554FD694">
      <w:pPr>
        <w:pStyle w:val="3"/>
        <w:rPr>
          <w:rFonts w:hint="eastAsia" w:ascii="仿宋" w:hAnsi="仿宋" w:eastAsia="仿宋" w:cs="仿宋"/>
          <w:color w:val="auto"/>
          <w:highlight w:val="none"/>
        </w:rPr>
      </w:pPr>
    </w:p>
    <w:p w14:paraId="4B0D63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若对项目电子交易系统操作有疑问，可登录乐采云平台（https://www.lecaiyun.com/），点击右侧咨询小采，获取采小蜜智能服务管家帮助，或拨打政采云服务热线95763获取热线服务帮助。</w:t>
      </w:r>
    </w:p>
    <w:p w14:paraId="6829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2C7EB8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供应商须知</w:t>
      </w:r>
      <w:bookmarkEnd w:id="8"/>
    </w:p>
    <w:p w14:paraId="387BC257">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CE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124696">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50BBCCF">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91B347">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7AB2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8D16835">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9F49FF">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729D21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A货物类</w:t>
            </w:r>
            <w:r>
              <w:rPr>
                <w:rFonts w:hint="eastAsia" w:ascii="仿宋" w:hAnsi="仿宋" w:eastAsia="仿宋" w:cs="仿宋"/>
                <w:color w:val="auto"/>
                <w:sz w:val="24"/>
                <w:szCs w:val="24"/>
                <w:highlight w:val="none"/>
              </w:rPr>
              <w:t>。</w:t>
            </w:r>
          </w:p>
          <w:p w14:paraId="6F90DF8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B服务类</w:t>
            </w:r>
            <w:r>
              <w:rPr>
                <w:rFonts w:hint="eastAsia" w:ascii="仿宋" w:hAnsi="仿宋" w:eastAsia="仿宋" w:cs="仿宋"/>
                <w:color w:val="auto"/>
                <w:sz w:val="24"/>
                <w:szCs w:val="24"/>
                <w:highlight w:val="none"/>
              </w:rPr>
              <w:t>。</w:t>
            </w:r>
          </w:p>
        </w:tc>
      </w:tr>
      <w:tr w14:paraId="173FF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8867643">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90D313">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CC8F6B6">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A不适用</w:t>
            </w:r>
            <w:r>
              <w:rPr>
                <w:rFonts w:hint="eastAsia" w:ascii="仿宋" w:hAnsi="仿宋" w:eastAsia="仿宋" w:cs="仿宋"/>
                <w:color w:val="auto"/>
                <w:sz w:val="24"/>
                <w:szCs w:val="24"/>
                <w:highlight w:val="none"/>
              </w:rPr>
              <w:t>。</w:t>
            </w:r>
          </w:p>
          <w:p w14:paraId="459D857C">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B适用</w:t>
            </w:r>
            <w:r>
              <w:rPr>
                <w:rFonts w:hint="eastAsia" w:ascii="仿宋" w:hAnsi="仿宋" w:eastAsia="仿宋" w:cs="仿宋"/>
                <w:color w:val="auto"/>
                <w:sz w:val="24"/>
                <w:szCs w:val="24"/>
                <w:highlight w:val="none"/>
              </w:rPr>
              <w:t>。</w:t>
            </w:r>
          </w:p>
        </w:tc>
      </w:tr>
      <w:tr w14:paraId="2707E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89CE098">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127AE80">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1CE5A66">
            <w:pPr>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kern w:val="0"/>
                <w:sz w:val="24"/>
                <w:szCs w:val="24"/>
                <w:highlight w:val="none"/>
              </w:rPr>
              <w:t>B</w:t>
            </w:r>
            <w:r>
              <w:rPr>
                <w:rFonts w:hint="eastAsia" w:ascii="仿宋" w:hAnsi="仿宋" w:eastAsia="仿宋" w:cs="仿宋"/>
                <w:bCs/>
                <w:color w:val="auto"/>
                <w:sz w:val="24"/>
                <w:szCs w:val="24"/>
                <w:highlight w:val="none"/>
              </w:rPr>
              <w:t>不同意分包。</w:t>
            </w:r>
          </w:p>
        </w:tc>
      </w:tr>
      <w:tr w14:paraId="50C67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846E4A">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81FC298">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现场勘察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05895C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（√）A不组织。</w:t>
            </w:r>
          </w:p>
          <w:p w14:paraId="1F7B7348">
            <w:pPr>
              <w:pStyle w:val="9"/>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B组织。</w:t>
            </w:r>
          </w:p>
        </w:tc>
      </w:tr>
      <w:tr w14:paraId="0A44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A89E2F">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2898B46">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97D35F5">
            <w:pPr>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（√）A不要求提供。</w:t>
            </w:r>
          </w:p>
        </w:tc>
      </w:tr>
      <w:tr w14:paraId="3E9DD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0B6EF1">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5D209D">
            <w:pPr>
              <w:snapToGrid w:val="0"/>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9CE98A0">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（√）A不组织。</w:t>
            </w:r>
          </w:p>
          <w:p w14:paraId="2D956D04">
            <w:pPr>
              <w:pStyle w:val="9"/>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B组织</w:t>
            </w:r>
          </w:p>
        </w:tc>
      </w:tr>
      <w:tr w14:paraId="07CDD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noWrap w:val="0"/>
            <w:vAlign w:val="center"/>
          </w:tcPr>
          <w:p w14:paraId="2AD649DA">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auto" w:sz="4" w:space="0"/>
              <w:right w:val="single" w:color="000000" w:sz="8" w:space="0"/>
            </w:tcBorders>
            <w:noWrap w:val="0"/>
            <w:vAlign w:val="center"/>
          </w:tcPr>
          <w:p w14:paraId="492F0F17">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4EE5FF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（1）资格证明文件：见交易文件第二部分10.1。</w:t>
            </w:r>
          </w:p>
          <w:p w14:paraId="1A2BBA79">
            <w:pPr>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供应商未提供有效的资格证明文件的，视为供应商不具备交易文件中规定的资格要求，交易无效。</w:t>
            </w:r>
          </w:p>
        </w:tc>
      </w:tr>
      <w:tr w14:paraId="5C156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noWrap w:val="0"/>
            <w:vAlign w:val="center"/>
          </w:tcPr>
          <w:p w14:paraId="5354F7E0">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auto" w:sz="4" w:space="0"/>
              <w:right w:val="single" w:color="000000" w:sz="8" w:space="0"/>
            </w:tcBorders>
            <w:noWrap w:val="0"/>
            <w:vAlign w:val="center"/>
          </w:tcPr>
          <w:p w14:paraId="390A041E">
            <w:pPr>
              <w:snapToGrid w:val="0"/>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5AC81A5">
            <w:pPr>
              <w:spacing w:line="360" w:lineRule="exact"/>
              <w:ind w:firstLine="480" w:firstLineChars="200"/>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有关本项目实施所需的所有费用（含税费）均计入报价。交易一览表（报价表）是报价的唯一载体。</w:t>
            </w:r>
          </w:p>
          <w:p w14:paraId="2AF83148">
            <w:pPr>
              <w:spacing w:line="360" w:lineRule="exact"/>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交易报价出现下列情形的，交易无效：</w:t>
            </w:r>
          </w:p>
          <w:p w14:paraId="0A6F8071">
            <w:pPr>
              <w:spacing w:line="360" w:lineRule="exact"/>
              <w:ind w:firstLine="480" w:firstLineChars="200"/>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响应文件出现不是唯一的、有选择性交易报价的；</w:t>
            </w:r>
          </w:p>
          <w:p w14:paraId="1E1DC0FE">
            <w:pPr>
              <w:spacing w:line="360" w:lineRule="exact"/>
              <w:ind w:firstLine="480" w:firstLineChars="200"/>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交易报价超过交易文件中规定的预算金额或者最高限价的；</w:t>
            </w:r>
          </w:p>
          <w:p w14:paraId="016ED3EB">
            <w:pPr>
              <w:spacing w:line="360" w:lineRule="exact"/>
              <w:ind w:firstLine="480" w:firstLineChars="200"/>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报价明显低于其他通过符合性审查供应商的报价，有可能影响</w:t>
            </w:r>
            <w:r>
              <w:rPr>
                <w:rFonts w:hint="eastAsia" w:ascii="仿宋" w:hAnsi="仿宋" w:eastAsia="仿宋" w:cs="仿宋"/>
                <w:bCs/>
                <w:color w:val="auto"/>
                <w:kern w:val="0"/>
                <w:sz w:val="24"/>
                <w:szCs w:val="24"/>
                <w:highlight w:val="none"/>
                <w:lang w:eastAsia="zh-CN"/>
              </w:rPr>
              <w:t>服务</w:t>
            </w:r>
            <w:r>
              <w:rPr>
                <w:rFonts w:hint="eastAsia" w:ascii="仿宋" w:hAnsi="仿宋" w:eastAsia="仿宋" w:cs="仿宋"/>
                <w:bCs/>
                <w:color w:val="auto"/>
                <w:kern w:val="0"/>
                <w:sz w:val="24"/>
                <w:szCs w:val="24"/>
                <w:highlight w:val="none"/>
              </w:rPr>
              <w:t>质量或者不能诚信履约的，未能按要求提供书面说明或者提交相关证明材料证明其报价合理性的</w:t>
            </w:r>
            <w:r>
              <w:rPr>
                <w:rFonts w:hint="eastAsia" w:ascii="仿宋" w:hAnsi="仿宋" w:eastAsia="仿宋" w:cs="仿宋"/>
                <w:bCs/>
                <w:color w:val="auto"/>
                <w:kern w:val="0"/>
                <w:sz w:val="24"/>
                <w:szCs w:val="24"/>
                <w:highlight w:val="none"/>
                <w:lang w:eastAsia="zh-CN"/>
              </w:rPr>
              <w:t>；</w:t>
            </w:r>
          </w:p>
          <w:p w14:paraId="18A9F958">
            <w:pPr>
              <w:spacing w:line="360" w:lineRule="exact"/>
              <w:rPr>
                <w:rFonts w:hint="eastAsia" w:ascii="仿宋" w:hAnsi="仿宋" w:eastAsia="仿宋" w:cs="仿宋"/>
                <w:color w:val="auto"/>
                <w:kern w:val="0"/>
                <w:sz w:val="24"/>
                <w:szCs w:val="24"/>
                <w:highlight w:val="none"/>
                <w:lang w:val="zh-CN"/>
              </w:rPr>
            </w:pPr>
            <w:r>
              <w:rPr>
                <w:rFonts w:hint="eastAsia" w:ascii="仿宋" w:hAnsi="仿宋" w:eastAsia="仿宋" w:cs="仿宋"/>
                <w:bCs/>
                <w:color w:val="auto"/>
                <w:kern w:val="0"/>
                <w:sz w:val="24"/>
                <w:szCs w:val="24"/>
                <w:highlight w:val="none"/>
              </w:rPr>
              <w:t>供应商对根据修正原则修正后的报价不确认的。</w:t>
            </w:r>
          </w:p>
        </w:tc>
      </w:tr>
      <w:tr w14:paraId="32712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8E5ECAA">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12727D5">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40CBAFB">
            <w:pPr>
              <w:pStyle w:val="11"/>
              <w:spacing w:line="360" w:lineRule="exact"/>
              <w:ind w:hanging="4"/>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tc>
      </w:tr>
      <w:tr w14:paraId="47244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5CA6ECC">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5CDFCDD">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E4913B">
            <w:pPr>
              <w:numPr>
                <w:ilvl w:val="0"/>
                <w:numId w:val="0"/>
              </w:numPr>
              <w:snapToGrid w:val="0"/>
              <w:spacing w:line="360" w:lineRule="exact"/>
              <w:rPr>
                <w:rFonts w:hint="default" w:ascii="仿宋" w:hAnsi="仿宋" w:eastAsia="仿宋" w:cs="仿宋"/>
                <w:bCs/>
                <w:color w:val="auto"/>
                <w:kern w:val="0"/>
                <w:sz w:val="24"/>
                <w:szCs w:val="24"/>
                <w:highlight w:val="none"/>
                <w:lang w:val="en-US" w:eastAsia="zh-CN"/>
              </w:rPr>
            </w:pPr>
            <w:r>
              <w:rPr>
                <w:rFonts w:hint="default" w:ascii="仿宋" w:hAnsi="仿宋" w:eastAsia="仿宋" w:cs="仿宋"/>
                <w:color w:val="auto"/>
                <w:sz w:val="24"/>
                <w:lang w:val="en-US" w:eastAsia="zh-CN"/>
              </w:rPr>
              <w:t>代理费由采购人支付</w:t>
            </w:r>
            <w:r>
              <w:rPr>
                <w:rFonts w:hint="eastAsia" w:ascii="仿宋" w:hAnsi="仿宋" w:eastAsia="仿宋" w:cs="仿宋"/>
                <w:color w:val="auto"/>
                <w:sz w:val="24"/>
                <w:lang w:val="en-US" w:eastAsia="zh-CN"/>
              </w:rPr>
              <w:t>。</w:t>
            </w:r>
          </w:p>
        </w:tc>
      </w:tr>
      <w:tr w14:paraId="3C7C2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C51CBF5">
            <w:pPr>
              <w:snapToGrid w:val="0"/>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12 </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B70F13D">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5650B16">
            <w:pPr>
              <w:pStyle w:val="11"/>
              <w:spacing w:line="360" w:lineRule="auto"/>
              <w:ind w:left="0" w:firstLine="0" w:firstLineChars="0"/>
              <w:jc w:val="left"/>
              <w:rPr>
                <w:rFonts w:hint="eastAsia" w:ascii="仿宋" w:hAnsi="仿宋" w:eastAsia="仿宋" w:cs="仿宋"/>
                <w:b/>
                <w:bCs/>
                <w:color w:val="auto"/>
                <w:sz w:val="24"/>
                <w:highlight w:val="none"/>
              </w:rPr>
            </w:pPr>
            <w:r>
              <w:rPr>
                <w:rFonts w:hint="eastAsia" w:ascii="仿宋" w:hAnsi="仿宋" w:eastAsia="仿宋" w:cs="仿宋"/>
                <w:b/>
                <w:color w:val="auto"/>
                <w:spacing w:val="90"/>
                <w:kern w:val="0"/>
                <w:sz w:val="24"/>
                <w:highlight w:val="none"/>
              </w:rPr>
              <w:t>响应保证</w:t>
            </w:r>
            <w:r>
              <w:rPr>
                <w:rFonts w:hint="eastAsia" w:ascii="仿宋" w:hAnsi="仿宋" w:eastAsia="仿宋" w:cs="仿宋"/>
                <w:b/>
                <w:color w:val="auto"/>
                <w:kern w:val="0"/>
                <w:sz w:val="24"/>
                <w:highlight w:val="none"/>
              </w:rPr>
              <w:t>金</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rPr>
              <w:t>万元</w:t>
            </w:r>
          </w:p>
          <w:p w14:paraId="23C8FDFD">
            <w:pPr>
              <w:pStyle w:val="11"/>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支付方式：</w:t>
            </w:r>
            <w:r>
              <w:rPr>
                <w:rFonts w:hint="eastAsia" w:ascii="仿宋" w:hAnsi="仿宋" w:eastAsia="仿宋" w:cs="仿宋"/>
                <w:color w:val="auto"/>
                <w:sz w:val="24"/>
                <w:highlight w:val="none"/>
                <w:lang w:eastAsia="zh-CN"/>
              </w:rPr>
              <w:t>转账、</w:t>
            </w:r>
            <w:r>
              <w:rPr>
                <w:rFonts w:hint="eastAsia" w:ascii="仿宋" w:hAnsi="仿宋" w:eastAsia="仿宋" w:cs="仿宋"/>
                <w:color w:val="auto"/>
                <w:sz w:val="24"/>
                <w:highlight w:val="none"/>
              </w:rPr>
              <w:t>本票、汇票</w:t>
            </w:r>
            <w:r>
              <w:rPr>
                <w:rFonts w:hint="eastAsia" w:ascii="仿宋" w:hAnsi="仿宋" w:eastAsia="仿宋" w:cs="仿宋"/>
                <w:color w:val="auto"/>
                <w:sz w:val="24"/>
                <w:highlight w:val="none"/>
                <w:lang w:eastAsia="zh-CN"/>
              </w:rPr>
              <w:t>或银行保函</w:t>
            </w:r>
          </w:p>
          <w:p w14:paraId="5609F46B">
            <w:pPr>
              <w:pStyle w:val="39"/>
              <w:spacing w:line="287" w:lineRule="auto"/>
              <w:jc w:val="both"/>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响应保证金金额及形式需按交易文件的规定交纳</w:t>
            </w:r>
            <w:r>
              <w:rPr>
                <w:rFonts w:hint="eastAsia" w:ascii="仿宋" w:hAnsi="仿宋" w:eastAsia="仿宋" w:cs="仿宋"/>
                <w:color w:val="auto"/>
                <w:sz w:val="24"/>
                <w:highlight w:val="none"/>
                <w:u w:val="none"/>
                <w:lang w:eastAsia="zh-CN"/>
              </w:rPr>
              <w:t>，本票、汇票、</w:t>
            </w:r>
            <w:r>
              <w:rPr>
                <w:rFonts w:hint="eastAsia" w:ascii="宋体" w:hAnsi="宋体" w:eastAsia="宋体" w:cs="宋体"/>
                <w:sz w:val="24"/>
                <w:szCs w:val="24"/>
                <w:lang w:eastAsia="zh-CN"/>
              </w:rPr>
              <w:t>转账形式缴存的响应保证金应当从其基本账户或专用账户转出</w:t>
            </w:r>
            <w:r>
              <w:rPr>
                <w:rFonts w:hint="eastAsia" w:cs="宋体"/>
                <w:sz w:val="24"/>
                <w:szCs w:val="24"/>
                <w:lang w:eastAsia="zh-CN"/>
              </w:rPr>
              <w:t>，</w:t>
            </w:r>
            <w:r>
              <w:rPr>
                <w:rFonts w:hint="eastAsia" w:ascii="仿宋" w:hAnsi="仿宋" w:eastAsia="仿宋" w:cs="仿宋"/>
                <w:color w:val="auto"/>
                <w:sz w:val="24"/>
                <w:highlight w:val="none"/>
                <w:u w:val="none"/>
                <w:lang w:eastAsia="zh-CN"/>
              </w:rPr>
              <w:t>且备注项目名称及用途</w:t>
            </w:r>
          </w:p>
          <w:p w14:paraId="52CB3124">
            <w:pPr>
              <w:pStyle w:val="1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响应人必须在响应截止日前将响应保证金按交易文件规定的方式交纳，交纳凭证复印件（</w:t>
            </w:r>
            <w:r>
              <w:rPr>
                <w:rFonts w:hint="eastAsia" w:ascii="仿宋" w:hAnsi="仿宋" w:eastAsia="仿宋" w:cs="仿宋"/>
                <w:color w:val="auto"/>
                <w:sz w:val="24"/>
                <w:highlight w:val="none"/>
                <w:lang w:eastAsia="zh-CN"/>
              </w:rPr>
              <w:t>转账支票、</w:t>
            </w:r>
            <w:r>
              <w:rPr>
                <w:rFonts w:hint="eastAsia" w:ascii="仿宋" w:hAnsi="仿宋" w:eastAsia="仿宋" w:cs="仿宋"/>
                <w:color w:val="auto"/>
                <w:sz w:val="24"/>
                <w:highlight w:val="none"/>
              </w:rPr>
              <w:t>本票、汇票</w:t>
            </w:r>
            <w:r>
              <w:rPr>
                <w:rFonts w:hint="eastAsia" w:ascii="仿宋" w:hAnsi="仿宋" w:eastAsia="仿宋" w:cs="仿宋"/>
                <w:color w:val="auto"/>
                <w:sz w:val="24"/>
                <w:highlight w:val="none"/>
                <w:lang w:eastAsia="zh-CN"/>
              </w:rPr>
              <w:t>或银行保函</w:t>
            </w:r>
            <w:r>
              <w:rPr>
                <w:rFonts w:hint="eastAsia" w:ascii="仿宋" w:hAnsi="仿宋" w:eastAsia="仿宋" w:cs="仿宋"/>
                <w:color w:val="auto"/>
                <w:sz w:val="24"/>
                <w:highlight w:val="none"/>
              </w:rPr>
              <w:t>复印件）编入响应文件，作为响应文件的一部分；响应文件中未提供交纳凭证视作未按交易文件要求提供响应保证金。</w:t>
            </w:r>
          </w:p>
          <w:p w14:paraId="0CD0472E">
            <w:pPr>
              <w:pStyle w:val="11"/>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杭州萧山污水处理有限公司</w:t>
            </w:r>
          </w:p>
          <w:p w14:paraId="7BC266B5">
            <w:pPr>
              <w:pStyle w:val="11"/>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开户银行：中国</w:t>
            </w:r>
            <w:r>
              <w:rPr>
                <w:rFonts w:hint="eastAsia" w:ascii="仿宋" w:hAnsi="仿宋" w:eastAsia="仿宋" w:cs="仿宋"/>
                <w:color w:val="auto"/>
                <w:sz w:val="24"/>
                <w:szCs w:val="24"/>
                <w:highlight w:val="none"/>
                <w:lang w:eastAsia="zh-CN"/>
              </w:rPr>
              <w:t>工商银行浙江萧山分行</w:t>
            </w:r>
          </w:p>
          <w:p w14:paraId="622ABDFF">
            <w:pPr>
              <w:pStyle w:val="11"/>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1202090119999915893</w:t>
            </w:r>
            <w:r>
              <w:rPr>
                <w:rFonts w:hint="eastAsia" w:ascii="仿宋" w:hAnsi="仿宋" w:eastAsia="仿宋" w:cs="仿宋"/>
                <w:color w:val="auto"/>
                <w:sz w:val="24"/>
                <w:szCs w:val="24"/>
                <w:highlight w:val="none"/>
              </w:rPr>
              <w:t xml:space="preserve"> </w:t>
            </w:r>
          </w:p>
        </w:tc>
      </w:tr>
      <w:tr w14:paraId="478B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1A29710">
            <w:pPr>
              <w:snapToGrid w:val="0"/>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DC320A5">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67C4FF9">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w:t>
            </w:r>
            <w:r>
              <w:rPr>
                <w:rFonts w:hint="eastAsia" w:ascii="仿宋" w:hAnsi="仿宋" w:eastAsia="仿宋" w:cs="仿宋"/>
                <w:b w:val="0"/>
                <w:color w:val="auto"/>
                <w:kern w:val="2"/>
                <w:sz w:val="24"/>
                <w:szCs w:val="24"/>
                <w:highlight w:val="none"/>
              </w:rPr>
              <w:t>合同总金额（合同总价）的</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rPr>
              <w:t>%</w:t>
            </w:r>
          </w:p>
          <w:p w14:paraId="473D1EB2">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履约保证金提交时间：在合同签订后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日历天内提交（中标后向招标人联系人索取招标人的账户信息）。</w:t>
            </w:r>
          </w:p>
          <w:p w14:paraId="6DF527C8">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履约保证金形式：可以支票、汇票、本票或者金融机构、保险公司、担保机构出具的保函/保险（可在政采云平台购买）等非现金形式提交。</w:t>
            </w:r>
          </w:p>
          <w:p w14:paraId="2408F13D">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有效期：至合同供货期满后。</w:t>
            </w:r>
          </w:p>
          <w:p w14:paraId="75808B4A">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履约保证金的退还：履约保证金（扣除各种扣款的余款）在合同履行完毕（实施期满且所承担的所有单项项目均验收合格）后退回。（无息）。</w:t>
            </w:r>
          </w:p>
        </w:tc>
      </w:tr>
      <w:tr w14:paraId="6BF08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5A44A6C">
            <w:pPr>
              <w:snapToGrid w:val="0"/>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D735E04">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532330C">
            <w:pPr>
              <w:snapToGrid w:val="0"/>
              <w:spacing w:line="36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本项目由交易人进行资格文件及信用信息查询。</w:t>
            </w:r>
          </w:p>
        </w:tc>
      </w:tr>
      <w:tr w14:paraId="32DAD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12F30F2">
            <w:pPr>
              <w:snapToGrid w:val="0"/>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BD4B7DE">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63507D">
            <w:pPr>
              <w:snapToGrid w:val="0"/>
              <w:spacing w:line="36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rPr>
              <w:t>采购机构质疑接收人：</w:t>
            </w:r>
            <w:r>
              <w:rPr>
                <w:rFonts w:hint="eastAsia" w:ascii="仿宋" w:hAnsi="仿宋" w:eastAsia="仿宋" w:cs="仿宋"/>
                <w:color w:val="auto"/>
                <w:sz w:val="24"/>
                <w:szCs w:val="24"/>
                <w:highlight w:val="none"/>
                <w:u w:val="single"/>
                <w:lang w:val="en-US" w:eastAsia="zh-CN"/>
              </w:rPr>
              <w:t>曹女士</w:t>
            </w:r>
            <w:r>
              <w:rPr>
                <w:rFonts w:hint="eastAsia" w:ascii="仿宋" w:hAnsi="仿宋" w:eastAsia="仿宋" w:cs="仿宋"/>
                <w:color w:val="auto"/>
                <w:sz w:val="24"/>
                <w:szCs w:val="24"/>
                <w:highlight w:val="none"/>
                <w:u w:val="single"/>
              </w:rPr>
              <w:t xml:space="preserve">  联系方式：0571-8</w:t>
            </w:r>
            <w:r>
              <w:rPr>
                <w:rFonts w:hint="eastAsia" w:ascii="仿宋" w:hAnsi="仿宋" w:eastAsia="仿宋" w:cs="仿宋"/>
                <w:color w:val="auto"/>
                <w:sz w:val="24"/>
                <w:szCs w:val="24"/>
                <w:highlight w:val="none"/>
                <w:u w:val="single"/>
                <w:lang w:val="en-US" w:eastAsia="zh-CN"/>
              </w:rPr>
              <w:t>2751673</w:t>
            </w:r>
          </w:p>
          <w:p w14:paraId="7789E187">
            <w:pPr>
              <w:snapToGrid w:val="0"/>
              <w:spacing w:line="36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rPr>
              <w:t>地址：杭州市萧山区</w:t>
            </w:r>
            <w:r>
              <w:rPr>
                <w:rFonts w:hint="eastAsia" w:ascii="仿宋" w:hAnsi="仿宋" w:eastAsia="仿宋" w:cs="仿宋"/>
                <w:color w:val="auto"/>
                <w:sz w:val="24"/>
                <w:szCs w:val="24"/>
                <w:highlight w:val="none"/>
                <w:u w:val="single"/>
                <w:lang w:val="en-US" w:eastAsia="zh-CN"/>
              </w:rPr>
              <w:t>通惠中路99号</w:t>
            </w:r>
          </w:p>
          <w:p w14:paraId="7192D7E3">
            <w:pPr>
              <w:snapToGrid w:val="0"/>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如通过邮箱方式发送质疑，须提交符合法规及交易文件要求的质疑文件（参考附件2），盖章扫描后发送，质疑的受理按答复主体划分以交易人或采购机构邮箱回复确认受理为准。</w:t>
            </w:r>
          </w:p>
          <w:p w14:paraId="4CDFEDD1">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本项目涉及资格条件、交易需求、评分办法及交易过程中有关现场考察或开标前答疑会事项由交易人进行答复。</w:t>
            </w:r>
          </w:p>
          <w:p w14:paraId="09109E8B">
            <w:pPr>
              <w:pStyle w:val="11"/>
              <w:spacing w:line="360" w:lineRule="exact"/>
              <w:ind w:hanging="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涉及流程组织等相关事项，由采购机构进行答复。</w:t>
            </w:r>
          </w:p>
        </w:tc>
      </w:tr>
      <w:tr w14:paraId="447FC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73DDD75">
            <w:pPr>
              <w:snapToGri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3F033DA">
            <w:pPr>
              <w:snapToGrid w:val="0"/>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672ADBD">
            <w:pPr>
              <w:spacing w:line="360" w:lineRule="exact"/>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bCs/>
                <w:color w:val="auto"/>
                <w:sz w:val="24"/>
                <w:szCs w:val="24"/>
                <w:highlight w:val="none"/>
              </w:rPr>
              <w:t>本项目通用总则条款与前附表等专用特别规定有冲突之处，以专用条款（特别规定）为准。</w:t>
            </w:r>
          </w:p>
        </w:tc>
      </w:tr>
    </w:tbl>
    <w:p w14:paraId="4943A621">
      <w:pPr>
        <w:snapToGrid w:val="0"/>
        <w:spacing w:line="360" w:lineRule="auto"/>
        <w:jc w:val="center"/>
        <w:rPr>
          <w:rFonts w:hint="eastAsia" w:ascii="仿宋" w:hAnsi="仿宋" w:eastAsia="仿宋" w:cs="仿宋"/>
          <w:b/>
          <w:color w:val="auto"/>
          <w:sz w:val="32"/>
          <w:szCs w:val="20"/>
          <w:highlight w:val="none"/>
        </w:rPr>
      </w:pPr>
    </w:p>
    <w:bookmarkEnd w:id="9"/>
    <w:p w14:paraId="50CBB69A">
      <w:pPr>
        <w:rPr>
          <w:rFonts w:hint="eastAsia" w:ascii="仿宋" w:hAnsi="仿宋" w:eastAsia="仿宋" w:cs="仿宋"/>
          <w:b/>
          <w:color w:val="auto"/>
          <w:sz w:val="32"/>
          <w:szCs w:val="20"/>
          <w:highlight w:val="none"/>
        </w:rPr>
      </w:pPr>
      <w:bookmarkStart w:id="12" w:name="_Toc164416483"/>
      <w:bookmarkStart w:id="13" w:name="第三部分"/>
    </w:p>
    <w:p w14:paraId="1CA03000">
      <w:pPr>
        <w:adjustRightInd/>
        <w:spacing w:line="360" w:lineRule="auto"/>
        <w:outlineLvl w:val="0"/>
        <w:rPr>
          <w:rFonts w:hint="eastAsia" w:ascii="仿宋" w:hAnsi="仿宋" w:eastAsia="仿宋" w:cs="仿宋"/>
          <w:b/>
          <w:color w:val="auto"/>
          <w:sz w:val="32"/>
          <w:szCs w:val="20"/>
          <w:highlight w:val="none"/>
        </w:rPr>
      </w:pPr>
    </w:p>
    <w:p w14:paraId="311C9370">
      <w:pPr>
        <w:adjustRightInd/>
        <w:spacing w:line="360" w:lineRule="auto"/>
        <w:ind w:firstLine="482" w:firstLineChars="200"/>
        <w:outlineLvl w:val="0"/>
        <w:rPr>
          <w:rFonts w:hint="eastAsia" w:ascii="仿宋" w:hAnsi="仿宋" w:eastAsia="仿宋" w:cs="仿宋"/>
          <w:b/>
          <w:color w:val="auto"/>
          <w:sz w:val="24"/>
          <w:szCs w:val="24"/>
          <w:highlight w:val="none"/>
        </w:rPr>
      </w:pPr>
    </w:p>
    <w:p w14:paraId="1AD49909">
      <w:pPr>
        <w:adjustRightInd/>
        <w:spacing w:line="360" w:lineRule="auto"/>
        <w:ind w:firstLine="643" w:firstLineChars="20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86A4911">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CA5B28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本交易文件适用于该项目的交易、响应、评审、资格审查及信用信息查询、评审、定标、合同、验收等行为（法律、法规另有规定的，从其规定）。</w:t>
      </w:r>
    </w:p>
    <w:p w14:paraId="66CD17A7">
      <w:pPr>
        <w:adjustRightInd/>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A7042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2.1“交易人”系指交易公告中载明的本项目的交易人。</w:t>
      </w:r>
    </w:p>
    <w:p w14:paraId="19F43E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2.2“采购机构”系指交易公告中载明的本项目的采购机构。</w:t>
      </w:r>
    </w:p>
    <w:p w14:paraId="384B48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2.3“供应商”系指是指响应招标、参加投标竞争的法人、其他组织或者自然人。</w:t>
      </w:r>
    </w:p>
    <w:p w14:paraId="3B0E5F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688173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w:t>
      </w:r>
    </w:p>
    <w:p w14:paraId="09F5831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云平台（https://www.lecaiyun.com/）。</w:t>
      </w:r>
    </w:p>
    <w:p w14:paraId="636D5F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06947C8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3.询问、质疑、投诉</w:t>
      </w:r>
    </w:p>
    <w:p w14:paraId="6F26B31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.1供应商询问</w:t>
      </w:r>
    </w:p>
    <w:p w14:paraId="4B5FC20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45E407C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.2供应商质疑</w:t>
      </w:r>
    </w:p>
    <w:p w14:paraId="21A2E72D">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sz w:val="24"/>
          <w:szCs w:val="24"/>
          <w:highlight w:val="none"/>
        </w:rPr>
        <w:t>.1提出质疑的供应商应当是参与所质疑项目交易活动的供应商。潜在供应商已依法获取其可质疑的交易文件的，可以对该文件提出质疑。</w:t>
      </w:r>
    </w:p>
    <w:p w14:paraId="198F3A78">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sz w:val="24"/>
          <w:szCs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14:paraId="0BF7A1F2">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3.2.2.1对采购过程提出质疑的，质疑期限为各采购程序环节结束之日起计算。对同一采购程序环节的质疑，供应商须一次性提出。</w:t>
      </w:r>
    </w:p>
    <w:p w14:paraId="3F1336EC">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w:t>
      </w:r>
      <w:r>
        <w:rPr>
          <w:rFonts w:hint="eastAsia" w:ascii="仿宋" w:hAnsi="仿宋" w:eastAsia="仿宋" w:cs="仿宋"/>
          <w:color w:val="auto"/>
          <w:sz w:val="24"/>
          <w:szCs w:val="24"/>
          <w:highlight w:val="none"/>
        </w:rPr>
        <w:t>供应商提出质疑应当提交质疑函和必要的证明材料。质疑函应当包括下列内容：</w:t>
      </w:r>
    </w:p>
    <w:p w14:paraId="2B2F4580">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.2.3.1供应商的姓名或者名称、地址、邮编、联系人及联系电话；</w:t>
      </w:r>
    </w:p>
    <w:p w14:paraId="6C3BFA13">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.2.3.2质疑项目的名称、编号；</w:t>
      </w:r>
    </w:p>
    <w:p w14:paraId="7022F109">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.2.3.3具体、明确的质疑事项和与质疑事项相关的请求；</w:t>
      </w:r>
    </w:p>
    <w:p w14:paraId="271F4671">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.2.3.4事实依据；</w:t>
      </w:r>
    </w:p>
    <w:p w14:paraId="6AEAA6CD">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.2.3.5必要的法律依据；</w:t>
      </w:r>
    </w:p>
    <w:p w14:paraId="708CA814">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.2.3.6提出质疑的日期。</w:t>
      </w:r>
    </w:p>
    <w:p w14:paraId="5ED48651">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659CE87">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14:paraId="047390DF">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.4交易人或者采购机构应当在收到供应商的书面质疑后七个工作日内作出答复，并以书面形式通知质疑供应商和其他与质疑处理结果有利害关系的采购当事人，但答复的内容不得涉及商业秘密。</w:t>
      </w:r>
    </w:p>
    <w:p w14:paraId="2B08FB8E">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.5询问或者质疑事项可能影响交易结果的，交易人应当暂停签订合同，已经签订合同的，应当中止履行合同。</w:t>
      </w:r>
    </w:p>
    <w:p w14:paraId="20D4542D">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.3供应商投诉</w:t>
      </w:r>
    </w:p>
    <w:p w14:paraId="17615AF0">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3.3.1异议响应人对交易发起人、代理机构的答复不满意或者交易发起人、代理机构未在规定的时间内作出答复的，可以在答复期满后10日内向基层交易监督机构提出投诉。</w:t>
      </w:r>
    </w:p>
    <w:p w14:paraId="162AB206">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83617A4">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3.3.3供应商投诉应当有明确的请求和必要的证明材料。</w:t>
      </w:r>
    </w:p>
    <w:p w14:paraId="7EFADD1D">
      <w:pPr>
        <w:pStyle w:val="25"/>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3.3.4以联合体形式参加采购活动的，其投诉应当由组成联合体的所有供应商共同提出。</w:t>
      </w:r>
    </w:p>
    <w:p w14:paraId="0A0D306E">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二、交易文件的构成、澄清、修改</w:t>
      </w:r>
    </w:p>
    <w:p w14:paraId="0F605ACF">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4．交易文件的构成</w:t>
      </w:r>
    </w:p>
    <w:p w14:paraId="50BB3C6D">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4.1交易文件包括下列文件及附件：</w:t>
      </w:r>
    </w:p>
    <w:p w14:paraId="447A5981">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6D8D2FE7">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4.1.2供应商须知；</w:t>
      </w:r>
    </w:p>
    <w:p w14:paraId="651FB59C">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4.1.3交易需求；</w:t>
      </w:r>
    </w:p>
    <w:p w14:paraId="408F31FC">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14:paraId="4541FB19">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5B868904">
      <w:pPr>
        <w:pStyle w:val="11"/>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50F59E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4573A2CC">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5.交易文件的澄清、修改</w:t>
      </w:r>
    </w:p>
    <w:p w14:paraId="679852EB">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5.1已获取交易文件的潜在供应商，若有问题需要澄清，应于投标截止时间前，以书面形式向采购机构提出。</w:t>
      </w:r>
    </w:p>
    <w:p w14:paraId="3DA2F091">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3AB41F1A">
      <w:pPr>
        <w:adjustRightInd/>
        <w:spacing w:line="360" w:lineRule="auto"/>
        <w:jc w:val="center"/>
        <w:outlineLvl w:val="0"/>
        <w:rPr>
          <w:rFonts w:hint="eastAsia" w:ascii="仿宋" w:hAnsi="仿宋" w:eastAsia="仿宋" w:cs="仿宋"/>
          <w:b/>
          <w:color w:val="auto"/>
          <w:sz w:val="30"/>
          <w:szCs w:val="20"/>
          <w:highlight w:val="none"/>
        </w:rPr>
      </w:pPr>
    </w:p>
    <w:p w14:paraId="389E818D">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三、响应</w:t>
      </w:r>
    </w:p>
    <w:p w14:paraId="33A797ED">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6.交易文件的获取</w:t>
      </w:r>
    </w:p>
    <w:p w14:paraId="76F3293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4C898588">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2D98DB67">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交易人组织潜在供应商现场考察或者召开交易前答疑会的，潜在供应商按第二部分供应商须知前附表的规定参加现场考察或者开标前答疑会。</w:t>
      </w:r>
    </w:p>
    <w:p w14:paraId="0385DECF">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8.</w:t>
      </w:r>
      <w:r>
        <w:rPr>
          <w:rFonts w:hint="eastAsia" w:ascii="仿宋" w:hAnsi="仿宋" w:eastAsia="仿宋" w:cs="仿宋"/>
          <w:b/>
          <w:color w:val="auto"/>
          <w:kern w:val="28"/>
          <w:sz w:val="24"/>
          <w:szCs w:val="24"/>
          <w:highlight w:val="none"/>
          <w:lang w:val="en-US" w:eastAsia="zh-CN"/>
        </w:rPr>
        <w:t>响应</w:t>
      </w:r>
      <w:r>
        <w:rPr>
          <w:rFonts w:hint="eastAsia" w:ascii="仿宋" w:hAnsi="仿宋" w:eastAsia="仿宋" w:cs="仿宋"/>
          <w:b/>
          <w:color w:val="auto"/>
          <w:kern w:val="28"/>
          <w:sz w:val="24"/>
          <w:szCs w:val="24"/>
          <w:highlight w:val="none"/>
        </w:rPr>
        <w:t>保证金</w:t>
      </w:r>
    </w:p>
    <w:p w14:paraId="6B0B6B24">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响应保证金：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支付方式：本票、汇票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人必须在响应截止日前将响应保证金按交易文件规定的方式交纳，交纳凭证复印件（本票、汇票复印件）编入响应文件，作为响应文件的一部分；响应文件中未提供交纳凭证视作未按交易文件要求提供响应保证金。</w:t>
      </w:r>
    </w:p>
    <w:p w14:paraId="38C5F076">
      <w:pPr>
        <w:pStyle w:val="11"/>
        <w:spacing w:line="360" w:lineRule="auto"/>
        <w:ind w:firstLine="480" w:firstLineChars="200"/>
        <w:rPr>
          <w:rFonts w:hint="eastAsia" w:ascii="仿宋" w:hAnsi="仿宋" w:eastAsia="仿宋" w:cs="仿宋"/>
          <w:color w:val="C00000"/>
          <w:sz w:val="24"/>
          <w:szCs w:val="24"/>
          <w:highlight w:val="none"/>
        </w:rPr>
      </w:pPr>
      <w:r>
        <w:rPr>
          <w:rFonts w:hint="eastAsia" w:ascii="仿宋" w:hAnsi="仿宋" w:eastAsia="仿宋" w:cs="仿宋"/>
          <w:color w:val="C00000"/>
          <w:sz w:val="24"/>
          <w:szCs w:val="24"/>
          <w:highlight w:val="none"/>
        </w:rPr>
        <w:t>收款单位：</w:t>
      </w:r>
      <w:r>
        <w:rPr>
          <w:rFonts w:hint="eastAsia" w:ascii="仿宋" w:hAnsi="仿宋" w:eastAsia="仿宋" w:cs="仿宋"/>
          <w:color w:val="C00000"/>
          <w:sz w:val="24"/>
          <w:szCs w:val="24"/>
          <w:highlight w:val="none"/>
          <w:lang w:eastAsia="zh-CN"/>
        </w:rPr>
        <w:t>杭州萧山污水处理有限公司</w:t>
      </w:r>
    </w:p>
    <w:p w14:paraId="2DC66373">
      <w:pPr>
        <w:pStyle w:val="11"/>
        <w:spacing w:line="360" w:lineRule="auto"/>
        <w:ind w:firstLine="480" w:firstLineChars="200"/>
        <w:rPr>
          <w:rFonts w:hint="eastAsia" w:ascii="仿宋" w:hAnsi="仿宋" w:eastAsia="仿宋" w:cs="仿宋"/>
          <w:color w:val="C00000"/>
          <w:sz w:val="24"/>
          <w:szCs w:val="24"/>
          <w:highlight w:val="none"/>
          <w:lang w:eastAsia="zh-CN"/>
        </w:rPr>
      </w:pPr>
      <w:r>
        <w:rPr>
          <w:rFonts w:hint="eastAsia" w:ascii="仿宋" w:hAnsi="仿宋" w:eastAsia="仿宋" w:cs="仿宋"/>
          <w:color w:val="C00000"/>
          <w:sz w:val="24"/>
          <w:szCs w:val="24"/>
          <w:highlight w:val="none"/>
        </w:rPr>
        <w:t>开户银行：中国</w:t>
      </w:r>
      <w:r>
        <w:rPr>
          <w:rFonts w:hint="eastAsia" w:ascii="仿宋" w:hAnsi="仿宋" w:eastAsia="仿宋" w:cs="仿宋"/>
          <w:color w:val="C00000"/>
          <w:sz w:val="24"/>
          <w:szCs w:val="24"/>
          <w:highlight w:val="none"/>
          <w:lang w:eastAsia="zh-CN"/>
        </w:rPr>
        <w:t>工商银行浙江萧山分行</w:t>
      </w:r>
    </w:p>
    <w:p w14:paraId="44AC009C">
      <w:pPr>
        <w:pStyle w:val="11"/>
        <w:spacing w:line="360" w:lineRule="auto"/>
        <w:ind w:firstLine="480" w:firstLineChars="200"/>
        <w:rPr>
          <w:rFonts w:hint="eastAsia" w:ascii="仿宋" w:hAnsi="仿宋" w:eastAsia="仿宋" w:cs="仿宋"/>
          <w:color w:val="C00000"/>
          <w:sz w:val="24"/>
          <w:szCs w:val="24"/>
          <w:highlight w:val="none"/>
        </w:rPr>
      </w:pPr>
      <w:r>
        <w:rPr>
          <w:rFonts w:hint="eastAsia" w:ascii="仿宋" w:hAnsi="仿宋" w:eastAsia="仿宋" w:cs="仿宋"/>
          <w:color w:val="C00000"/>
          <w:sz w:val="24"/>
          <w:szCs w:val="24"/>
          <w:highlight w:val="none"/>
        </w:rPr>
        <w:t>帐    号：</w:t>
      </w:r>
      <w:r>
        <w:rPr>
          <w:rFonts w:hint="eastAsia" w:ascii="仿宋" w:hAnsi="仿宋" w:eastAsia="仿宋" w:cs="仿宋"/>
          <w:color w:val="C00000"/>
          <w:sz w:val="24"/>
          <w:szCs w:val="24"/>
          <w:highlight w:val="none"/>
          <w:lang w:val="en-US" w:eastAsia="zh-CN"/>
        </w:rPr>
        <w:t>1202090119999915893</w:t>
      </w:r>
    </w:p>
    <w:p w14:paraId="6581597F">
      <w:pPr>
        <w:pStyle w:val="1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9.响应文件的语言</w:t>
      </w:r>
    </w:p>
    <w:p w14:paraId="3869A7B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响应文件及供应商与交易有关的来往通知、函件和文件均应使用中文。</w:t>
      </w:r>
    </w:p>
    <w:p w14:paraId="13EFF805">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10.响应文件的组成</w:t>
      </w:r>
    </w:p>
    <w:p w14:paraId="44636874">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EC10A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10.1.1符合参加交易活动应当具备的一般条件的承诺函；</w:t>
      </w:r>
    </w:p>
    <w:p w14:paraId="4C3186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66BA008F">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400C5F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10.2.1交易函；</w:t>
      </w:r>
    </w:p>
    <w:p w14:paraId="4FBA47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5B52A6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10.2.3营业执照；</w:t>
      </w:r>
    </w:p>
    <w:p w14:paraId="336CC7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10.2.4符合性审查资料；</w:t>
      </w:r>
    </w:p>
    <w:p w14:paraId="008DFF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10.2.5评标标准相应的商务技术资料；</w:t>
      </w:r>
    </w:p>
    <w:p w14:paraId="6C247A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633282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供应商廉洁自律承诺书。</w:t>
      </w:r>
    </w:p>
    <w:p w14:paraId="400879B5">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53D31F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16E4FF6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响应文件含有交易人不能接受的附加条件的，交易无效；</w:t>
      </w:r>
    </w:p>
    <w:p w14:paraId="2D5CB20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供应商提供虚假材料投标的，交易无效。</w:t>
      </w:r>
    </w:p>
    <w:p w14:paraId="621CA5FC">
      <w:pPr>
        <w:pStyle w:val="2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1FA7FCB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F5EC6E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6854E3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06C30FB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0CE3B719">
      <w:pPr>
        <w:pStyle w:val="26"/>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12.1响应文件按照交易文件第六部分格式要求进行签署、盖章。</w:t>
      </w:r>
      <w:r>
        <w:rPr>
          <w:rFonts w:hint="eastAsia" w:ascii="仿宋" w:hAnsi="仿宋" w:eastAsia="仿宋" w:cs="仿宋"/>
          <w:b/>
          <w:color w:val="auto"/>
          <w:szCs w:val="24"/>
          <w:highlight w:val="none"/>
        </w:rPr>
        <w:t>▲供应商的响应文件未按照交易文件要求签署、盖章的，其交易无效</w:t>
      </w:r>
      <w:r>
        <w:rPr>
          <w:rFonts w:hint="eastAsia" w:ascii="仿宋" w:hAnsi="仿宋" w:eastAsia="仿宋" w:cs="仿宋"/>
          <w:color w:val="auto"/>
          <w:szCs w:val="24"/>
          <w:highlight w:val="none"/>
        </w:rPr>
        <w:t>。</w:t>
      </w:r>
    </w:p>
    <w:p w14:paraId="7C7C6829">
      <w:pPr>
        <w:pStyle w:val="26"/>
        <w:snapToGrid w:val="0"/>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12.2为确保网上操作合法、有效和安全，供应商应当在投标截止时间前完成在“政府采购云平台”的身份认证，确保在电子投标过程中能够对相关数据电文进行加密和使用电子签名。</w:t>
      </w:r>
    </w:p>
    <w:p w14:paraId="74A5716A">
      <w:pPr>
        <w:pStyle w:val="26"/>
        <w:snapToGrid w:val="0"/>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12.3交易文件对响应文件签署、盖章的要求适用于电子签名。</w:t>
      </w:r>
    </w:p>
    <w:p w14:paraId="435AB97F">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13.响应文件的提交、补充、修改、撤回</w:t>
      </w:r>
    </w:p>
    <w:p w14:paraId="1DD43E65">
      <w:pPr>
        <w:pStyle w:val="26"/>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040E0C1">
      <w:pPr>
        <w:pStyle w:val="26"/>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14:paraId="17EEB470">
      <w:pPr>
        <w:pStyle w:val="26"/>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14:paraId="6A68D7F7">
      <w:pPr>
        <w:pStyle w:val="11"/>
        <w:numPr>
          <w:ilvl w:val="0"/>
          <w:numId w:val="2"/>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14:paraId="6752C245">
      <w:pPr>
        <w:pStyle w:val="1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567001F2">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13E6EDE7">
      <w:pPr>
        <w:pStyle w:val="9"/>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4"/>
          <w:highlight w:val="none"/>
        </w:rPr>
        <w:t>的情形之一的，交易无效：</w:t>
      </w:r>
    </w:p>
    <w:p w14:paraId="4386A197">
      <w:pPr>
        <w:pStyle w:val="26"/>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1C882D96">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16.1交易有效期为从提交响应文件的截止之日起90天。▲</w:t>
      </w:r>
      <w:r>
        <w:rPr>
          <w:rFonts w:hint="eastAsia" w:ascii="仿宋" w:hAnsi="仿宋" w:eastAsia="仿宋" w:cs="仿宋"/>
          <w:b/>
          <w:color w:val="auto"/>
          <w:sz w:val="24"/>
          <w:szCs w:val="24"/>
          <w:highlight w:val="none"/>
        </w:rPr>
        <w:t>供应商的响应文件中承诺的交易有效期少于交易文件中载明的交易有效期的，交易无效。</w:t>
      </w:r>
    </w:p>
    <w:p w14:paraId="3D285923">
      <w:pPr>
        <w:pStyle w:val="26"/>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16.2响应文件合格投递后，自投标截止日期起，在交易有效期内有效。</w:t>
      </w:r>
    </w:p>
    <w:p w14:paraId="6F4666F5">
      <w:pPr>
        <w:pStyle w:val="26"/>
        <w:spacing w:before="0"/>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16.3在原定交易有效期满之前，如果出现特殊情况，采购机构可以以书面形式通知供应商延长交易有效期。供应商同意延长的，不得要求或被允许修改其响应文件，供应商拒绝延长的，其交易无效。</w:t>
      </w:r>
    </w:p>
    <w:p w14:paraId="59297C2F">
      <w:pPr>
        <w:pStyle w:val="26"/>
        <w:spacing w:before="0"/>
        <w:ind w:firstLine="643"/>
        <w:rPr>
          <w:rFonts w:hint="eastAsia" w:ascii="仿宋" w:hAnsi="仿宋" w:eastAsia="仿宋" w:cs="仿宋"/>
          <w:b/>
          <w:color w:val="auto"/>
          <w:sz w:val="32"/>
          <w:highlight w:val="none"/>
        </w:rPr>
      </w:pPr>
    </w:p>
    <w:p w14:paraId="551A4BB1">
      <w:pPr>
        <w:pStyle w:val="2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3778CBAE">
      <w:pPr>
        <w:pStyle w:val="27"/>
        <w:spacing w:before="0" w:line="360" w:lineRule="auto"/>
        <w:ind w:left="0" w:firstLine="482" w:firstLineChars="200"/>
        <w:contextualSpacing/>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14:paraId="0A53AEED">
      <w:pPr>
        <w:pStyle w:val="2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17.1采购机构按照交易文件规定的时间通过电子交易平台组织开标，所有供应商均应当准时在线参加。供应商不足3家的，不得开标。</w:t>
      </w:r>
    </w:p>
    <w:p w14:paraId="3E021233">
      <w:pPr>
        <w:pStyle w:val="2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14:paraId="626E861B">
      <w:pPr>
        <w:pStyle w:val="27"/>
        <w:spacing w:before="0" w:line="360" w:lineRule="auto"/>
        <w:ind w:left="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b/>
          <w:color w:val="auto"/>
          <w:sz w:val="24"/>
          <w:highlight w:val="none"/>
        </w:rPr>
        <w:t>响应文件未按时解密，视为响应文件撤回。</w:t>
      </w:r>
    </w:p>
    <w:p w14:paraId="69453086">
      <w:pPr>
        <w:widowControl/>
        <w:spacing w:before="0" w:beforeAutospacing="0" w:after="0" w:line="360" w:lineRule="auto"/>
        <w:ind w:firstLine="482" w:firstLineChars="20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18、资格审查</w:t>
      </w:r>
    </w:p>
    <w:p w14:paraId="591F46CF">
      <w:pPr>
        <w:pStyle w:val="26"/>
        <w:spacing w:before="0"/>
        <w:ind w:firstLine="48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18.1交易后，交易人或采购机构将依法对供应商的资格进行审查。</w:t>
      </w:r>
    </w:p>
    <w:p w14:paraId="017DC1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交易人或采购机构依据法律法规和交易文件的规定，对供应商的基本资格条件、特定资格条件进行审查。</w:t>
      </w:r>
    </w:p>
    <w:p w14:paraId="0F9CCE8D">
      <w:pPr>
        <w:pStyle w:val="26"/>
        <w:spacing w:before="0"/>
        <w:ind w:firstLine="482"/>
        <w:rPr>
          <w:rFonts w:hint="eastAsia" w:ascii="仿宋" w:hAnsi="仿宋" w:eastAsia="仿宋" w:cs="仿宋"/>
          <w:color w:val="auto"/>
          <w:highlight w:val="none"/>
        </w:rPr>
      </w:pPr>
      <w:r>
        <w:rPr>
          <w:rFonts w:hint="eastAsia" w:ascii="仿宋" w:hAnsi="仿宋" w:eastAsia="仿宋" w:cs="仿宋"/>
          <w:color w:val="auto"/>
          <w:kern w:val="0"/>
          <w:szCs w:val="24"/>
          <w:highlight w:val="none"/>
        </w:rPr>
        <w:t>18.3供应商未按照交易文件要求提供与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供应商不具备交易文件中规定的资格要求，其交易无效。</w:t>
      </w:r>
    </w:p>
    <w:p w14:paraId="467E40DC">
      <w:pPr>
        <w:pStyle w:val="26"/>
        <w:spacing w:before="0"/>
        <w:ind w:firstLine="482"/>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4对未通过资格审查的供应商，交易人或采购机构告知其未通过的原因。</w:t>
      </w:r>
    </w:p>
    <w:p w14:paraId="6F97A87C">
      <w:pPr>
        <w:pStyle w:val="26"/>
        <w:spacing w:before="0"/>
        <w:ind w:firstLine="482"/>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5合格供应商不足3家的，不再评标。</w:t>
      </w:r>
    </w:p>
    <w:p w14:paraId="31FAFA86">
      <w:pPr>
        <w:pStyle w:val="26"/>
        <w:spacing w:before="0"/>
        <w:ind w:firstLine="0" w:firstLineChars="0"/>
        <w:rPr>
          <w:rFonts w:hint="eastAsia" w:ascii="仿宋" w:hAnsi="仿宋" w:eastAsia="仿宋" w:cs="仿宋"/>
          <w:color w:val="auto"/>
          <w:kern w:val="0"/>
          <w:szCs w:val="24"/>
          <w:highlight w:val="none"/>
        </w:rPr>
      </w:pPr>
    </w:p>
    <w:p w14:paraId="6AE8FE5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14:paraId="539A364E">
      <w:pPr>
        <w:spacing w:line="360" w:lineRule="auto"/>
        <w:ind w:firstLine="482" w:firstLineChars="200"/>
        <w:rPr>
          <w:rFonts w:hint="eastAsia" w:ascii="仿宋" w:hAnsi="仿宋" w:eastAsia="仿宋" w:cs="仿宋"/>
          <w:color w:val="auto"/>
          <w:sz w:val="24"/>
          <w:highlight w:val="none"/>
        </w:rPr>
      </w:pPr>
      <w:bookmarkStart w:id="14" w:name="_Toc91899903"/>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14:paraId="7AA41CB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详见交易文件第四部分交易办法。</w:t>
      </w:r>
    </w:p>
    <w:p w14:paraId="5B6D773A">
      <w:pPr>
        <w:spacing w:line="360" w:lineRule="auto"/>
        <w:rPr>
          <w:rFonts w:hint="eastAsia" w:ascii="仿宋" w:hAnsi="仿宋" w:eastAsia="仿宋" w:cs="仿宋"/>
          <w:b/>
          <w:color w:val="auto"/>
          <w:sz w:val="24"/>
          <w:highlight w:val="none"/>
        </w:rPr>
      </w:pPr>
    </w:p>
    <w:p w14:paraId="34DC2C4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168E337C">
      <w:pPr>
        <w:pStyle w:val="9"/>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20.确定成交供应商</w:t>
      </w:r>
    </w:p>
    <w:p w14:paraId="1DA51361">
      <w:pPr>
        <w:pStyle w:val="26"/>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交易人将自收到评审报告之日起5个工作日内通过电子交易平台在评审报告推荐的成交候选人中按顺序确定成交供应商。</w:t>
      </w:r>
    </w:p>
    <w:p w14:paraId="16FD079C">
      <w:pPr>
        <w:pStyle w:val="26"/>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21.成交通知与成交结果公告</w:t>
      </w:r>
    </w:p>
    <w:p w14:paraId="1C5FBC92">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21.1自成交人确定之日起3天内，采购机构通过电子交易平台向成交人发出成交通知书，同时编制发布采购结果公告。采购机构也可以以纸质形式进行成交通知。</w:t>
      </w:r>
    </w:p>
    <w:p w14:paraId="798EA337">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21.2成交结果公告内容包括交易人及其委托的采购机构的名称、地址、联系方式，项目名称和交易编号，成交人名称、地址和成交金额。</w:t>
      </w:r>
    </w:p>
    <w:p w14:paraId="1DA195D4">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A2F774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18B2181">
      <w:pPr>
        <w:pStyle w:val="9"/>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color w:val="auto"/>
          <w:highlight w:val="none"/>
        </w:rPr>
        <w:t>合同主要条款详见第五部分拟签订的合同文本。</w:t>
      </w:r>
    </w:p>
    <w:p w14:paraId="3D218D5A">
      <w:pPr>
        <w:pStyle w:val="9"/>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23.合同的签订</w:t>
      </w:r>
    </w:p>
    <w:p w14:paraId="696FAFE9">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 xml:space="preserve"> 交易人与成交人应当通过电子交易平台在成交通知书发出之日起三十日内，按照交易文件确定的事项签订采购合同。</w:t>
      </w:r>
    </w:p>
    <w:p w14:paraId="475EE150">
      <w:pPr>
        <w:pStyle w:val="26"/>
        <w:snapToGrid w:val="0"/>
        <w:spacing w:before="0"/>
        <w:ind w:firstLine="482"/>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.2成交人按规定的日期、时间、地点，由法定代表人或其授权代表与交易人代表签订合同。</w:t>
      </w:r>
    </w:p>
    <w:p w14:paraId="557CFF0A">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23.3如签订合同并生效后，供应商无故拒绝或延期，除按照合同条款处理外，列入不良行为记录一次，并给予通报。</w:t>
      </w:r>
    </w:p>
    <w:p w14:paraId="47557A77">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23.4成交供应商拒绝与交易人签订合同的，交易人可以按照评审报告推荐的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或者成交候选人名单排序，确定下一候选人为成交供应商，也可以重新开展采购活动。</w:t>
      </w:r>
    </w:p>
    <w:p w14:paraId="27E36D26">
      <w:pPr>
        <w:pStyle w:val="26"/>
        <w:snapToGrid w:val="0"/>
        <w:spacing w:before="0" w:after="0"/>
        <w:ind w:firstLine="482"/>
        <w:rPr>
          <w:rFonts w:hint="eastAsia" w:ascii="仿宋" w:hAnsi="仿宋" w:eastAsia="仿宋" w:cs="仿宋"/>
          <w:color w:val="auto"/>
          <w:highlight w:val="none"/>
        </w:rPr>
      </w:pPr>
      <w:r>
        <w:rPr>
          <w:rFonts w:hint="eastAsia" w:ascii="仿宋" w:hAnsi="仿宋" w:eastAsia="仿宋" w:cs="仿宋"/>
          <w:color w:val="auto"/>
          <w:highlight w:val="none"/>
        </w:rPr>
        <w:t>23.5采购合同由交易人与成交供应商根据交易文件、响应文件等内容通过政府采购电子交易平台在线签订，自动备案。</w:t>
      </w:r>
    </w:p>
    <w:p w14:paraId="599F0DF6">
      <w:pPr>
        <w:pStyle w:val="9"/>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24.履约保证金</w:t>
      </w:r>
    </w:p>
    <w:p w14:paraId="00375B73">
      <w:pPr>
        <w:pStyle w:val="35"/>
        <w:keepNext w:val="0"/>
        <w:keepLines w:val="0"/>
        <w:pageBreakBefore w:val="0"/>
        <w:tabs>
          <w:tab w:val="left" w:pos="1440"/>
        </w:tabs>
        <w:kinsoku/>
        <w:wordWrap/>
        <w:overflowPunct/>
        <w:topLinePunct w:val="0"/>
        <w:bidi w:val="0"/>
        <w:spacing w:line="360" w:lineRule="auto"/>
        <w:ind w:left="0" w:leftChars="0" w:firstLine="480" w:firstLineChars="200"/>
        <w:textAlignment w:val="auto"/>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履约保证金须在签订合同</w:t>
      </w:r>
      <w:r>
        <w:rPr>
          <w:rFonts w:hint="eastAsia" w:ascii="仿宋" w:hAnsi="仿宋" w:eastAsia="仿宋" w:cs="仿宋"/>
          <w:b w:val="0"/>
          <w:color w:val="auto"/>
          <w:kern w:val="2"/>
          <w:sz w:val="24"/>
          <w:szCs w:val="24"/>
          <w:highlight w:val="none"/>
          <w:lang w:eastAsia="zh-CN"/>
        </w:rPr>
        <w:t>后</w:t>
      </w:r>
      <w:r>
        <w:rPr>
          <w:rFonts w:hint="eastAsia" w:ascii="仿宋" w:hAnsi="仿宋" w:eastAsia="仿宋" w:cs="仿宋"/>
          <w:b w:val="0"/>
          <w:color w:val="auto"/>
          <w:kern w:val="2"/>
          <w:sz w:val="24"/>
          <w:szCs w:val="24"/>
          <w:highlight w:val="none"/>
          <w:lang w:val="en-US" w:eastAsia="zh-CN"/>
        </w:rPr>
        <w:t>7天内</w:t>
      </w:r>
      <w:r>
        <w:rPr>
          <w:rFonts w:hint="eastAsia" w:ascii="仿宋" w:hAnsi="仿宋" w:eastAsia="仿宋" w:cs="仿宋"/>
          <w:b w:val="0"/>
          <w:color w:val="auto"/>
          <w:kern w:val="2"/>
          <w:sz w:val="24"/>
          <w:szCs w:val="24"/>
          <w:highlight w:val="none"/>
        </w:rPr>
        <w:t>支付</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rPr>
        <w:t>按合同总金额（合同总价）的</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rPr>
        <w:t>%。 履约保证金形式：可以支票、汇票、本票或者金融机构、保险公司、担保机构出具的保函/保险（可在政采云平台购买）等非现金形式提交。</w:t>
      </w:r>
    </w:p>
    <w:p w14:paraId="3AA3BF9C">
      <w:pPr>
        <w:tabs>
          <w:tab w:val="left" w:pos="0"/>
        </w:tabs>
        <w:spacing w:line="360" w:lineRule="auto"/>
        <w:ind w:firstLine="482" w:firstLineChars="200"/>
        <w:rPr>
          <w:rFonts w:hint="eastAsia" w:ascii="仿宋" w:hAnsi="仿宋" w:eastAsia="仿宋" w:cs="仿宋"/>
          <w:b/>
          <w:color w:val="auto"/>
          <w:sz w:val="24"/>
          <w:highlight w:val="none"/>
        </w:rPr>
      </w:pPr>
    </w:p>
    <w:p w14:paraId="6EF3A06D">
      <w:pPr>
        <w:snapToGrid w:val="0"/>
        <w:spacing w:line="360" w:lineRule="auto"/>
        <w:ind w:firstLine="3357" w:firstLineChars="1045"/>
        <w:rPr>
          <w:rFonts w:hint="eastAsia" w:ascii="仿宋" w:hAnsi="仿宋" w:eastAsia="仿宋" w:cs="仿宋"/>
          <w:b/>
          <w:color w:val="auto"/>
          <w:sz w:val="32"/>
          <w:highlight w:val="none"/>
        </w:rPr>
      </w:pPr>
    </w:p>
    <w:p w14:paraId="2CFC03B8">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3EA5521">
      <w:pPr>
        <w:pStyle w:val="26"/>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01378ECB">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14:paraId="39F2C6DD">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14:paraId="3B270B16">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14:paraId="386E8B42">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14:paraId="0809F928">
      <w:pPr>
        <w:pStyle w:val="26"/>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14:paraId="74E2B41E">
      <w:pPr>
        <w:pStyle w:val="26"/>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D562A1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8A22508">
      <w:pPr>
        <w:pStyle w:val="9"/>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651478F4">
      <w:pPr>
        <w:tabs>
          <w:tab w:val="left" w:pos="0"/>
        </w:tabs>
        <w:spacing w:line="360" w:lineRule="auto"/>
        <w:ind w:firstLine="4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27.1交易人应当组织对供应商履约的验收。</w:t>
      </w:r>
    </w:p>
    <w:bookmarkEnd w:id="12"/>
    <w:bookmarkEnd w:id="13"/>
    <w:bookmarkEnd w:id="14"/>
    <w:p w14:paraId="69F8E23F">
      <w:pPr>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br w:type="page"/>
      </w:r>
    </w:p>
    <w:p w14:paraId="1AE00FC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交易需求</w:t>
      </w:r>
    </w:p>
    <w:p w14:paraId="63F025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2D7D2819">
      <w:pPr>
        <w:numPr>
          <w:ilvl w:val="0"/>
          <w:numId w:val="3"/>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tbl>
      <w:tblPr>
        <w:tblStyle w:val="18"/>
        <w:tblW w:w="9357" w:type="dxa"/>
        <w:jc w:val="center"/>
        <w:tblLayout w:type="fixed"/>
        <w:tblCellMar>
          <w:top w:w="0" w:type="dxa"/>
          <w:left w:w="0" w:type="dxa"/>
          <w:bottom w:w="0" w:type="dxa"/>
          <w:right w:w="0" w:type="dxa"/>
        </w:tblCellMar>
      </w:tblPr>
      <w:tblGrid>
        <w:gridCol w:w="647"/>
        <w:gridCol w:w="3979"/>
        <w:gridCol w:w="1831"/>
        <w:gridCol w:w="898"/>
        <w:gridCol w:w="950"/>
        <w:gridCol w:w="1052"/>
      </w:tblGrid>
      <w:tr w14:paraId="32746289">
        <w:tblPrEx>
          <w:tblCellMar>
            <w:top w:w="0" w:type="dxa"/>
            <w:left w:w="0" w:type="dxa"/>
            <w:bottom w:w="0" w:type="dxa"/>
            <w:right w:w="0" w:type="dxa"/>
          </w:tblCellMar>
        </w:tblPrEx>
        <w:trPr>
          <w:cantSplit/>
          <w:trHeight w:val="469" w:hRule="atLeast"/>
          <w:jc w:val="center"/>
        </w:trPr>
        <w:tc>
          <w:tcPr>
            <w:tcW w:w="6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1818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7EBE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83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42BC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8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C834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5C54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52" w:type="dxa"/>
            <w:tcBorders>
              <w:top w:val="single" w:color="auto" w:sz="4" w:space="0"/>
              <w:left w:val="nil"/>
              <w:bottom w:val="single" w:color="auto" w:sz="4" w:space="0"/>
              <w:right w:val="single" w:color="auto" w:sz="4" w:space="0"/>
            </w:tcBorders>
            <w:noWrap w:val="0"/>
            <w:vAlign w:val="center"/>
          </w:tcPr>
          <w:p w14:paraId="3ECCBF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88F0418">
        <w:tblPrEx>
          <w:tblCellMar>
            <w:top w:w="0" w:type="dxa"/>
            <w:left w:w="0" w:type="dxa"/>
            <w:bottom w:w="0" w:type="dxa"/>
            <w:right w:w="0" w:type="dxa"/>
          </w:tblCellMar>
        </w:tblPrEx>
        <w:trPr>
          <w:cantSplit/>
          <w:trHeight w:val="809" w:hRule="atLeast"/>
          <w:jc w:val="center"/>
        </w:trPr>
        <w:tc>
          <w:tcPr>
            <w:tcW w:w="6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B59D4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9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3DCE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污水管道非开挖修复及CCTV检测年度服务采购项目</w:t>
            </w:r>
          </w:p>
        </w:tc>
        <w:tc>
          <w:tcPr>
            <w:tcW w:w="183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8C75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8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D0CF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批</w:t>
            </w:r>
          </w:p>
        </w:tc>
        <w:tc>
          <w:tcPr>
            <w:tcW w:w="9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E784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52" w:type="dxa"/>
            <w:tcBorders>
              <w:top w:val="single" w:color="auto" w:sz="4" w:space="0"/>
              <w:left w:val="nil"/>
              <w:bottom w:val="single" w:color="auto" w:sz="4" w:space="0"/>
              <w:right w:val="single" w:color="auto" w:sz="4" w:space="0"/>
            </w:tcBorders>
            <w:noWrap w:val="0"/>
            <w:vAlign w:val="center"/>
          </w:tcPr>
          <w:p w14:paraId="247153C6">
            <w:pPr>
              <w:rPr>
                <w:rFonts w:hint="eastAsia" w:ascii="仿宋" w:hAnsi="仿宋" w:eastAsia="仿宋" w:cs="仿宋"/>
                <w:color w:val="auto"/>
                <w:sz w:val="24"/>
                <w:highlight w:val="none"/>
                <w:lang w:val="en-US" w:eastAsia="zh-CN"/>
              </w:rPr>
            </w:pPr>
          </w:p>
        </w:tc>
      </w:tr>
    </w:tbl>
    <w:p w14:paraId="150A041C">
      <w:pPr>
        <w:spacing w:line="360" w:lineRule="auto"/>
        <w:rPr>
          <w:rFonts w:hint="eastAsia" w:ascii="仿宋" w:hAnsi="仿宋" w:eastAsia="仿宋" w:cs="仿宋"/>
          <w:b/>
          <w:color w:val="auto"/>
          <w:sz w:val="24"/>
          <w:highlight w:val="none"/>
        </w:rPr>
      </w:pPr>
    </w:p>
    <w:p w14:paraId="353957E6">
      <w:pPr>
        <w:numPr>
          <w:ilvl w:val="0"/>
          <w:numId w:val="3"/>
        </w:num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技术需求</w:t>
      </w:r>
    </w:p>
    <w:p w14:paraId="75789403">
      <w:pPr>
        <w:spacing w:before="120" w:after="60" w:line="360" w:lineRule="exact"/>
        <w:rPr>
          <w:rFonts w:hint="eastAsia" w:ascii="仿宋" w:hAnsi="仿宋" w:eastAsia="仿宋" w:cs="仿宋"/>
          <w:b/>
          <w:bCs/>
          <w:color w:val="auto"/>
          <w:w w:val="80"/>
          <w:sz w:val="28"/>
          <w:szCs w:val="28"/>
          <w:highlight w:val="none"/>
        </w:rPr>
      </w:pPr>
      <w:r>
        <w:rPr>
          <w:rFonts w:hint="eastAsia" w:ascii="仿宋" w:hAnsi="仿宋" w:eastAsia="仿宋" w:cs="仿宋"/>
          <w:b/>
          <w:bCs/>
          <w:color w:val="auto"/>
          <w:w w:val="80"/>
          <w:sz w:val="28"/>
          <w:szCs w:val="28"/>
          <w:highlight w:val="none"/>
        </w:rPr>
        <w:t>一、服务范围</w:t>
      </w:r>
    </w:p>
    <w:p w14:paraId="505FB56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污水管道非开挖修复及CCTV检测年度服务，</w:t>
      </w:r>
      <w:r>
        <w:rPr>
          <w:rFonts w:hint="eastAsia" w:ascii="仿宋" w:hAnsi="仿宋" w:eastAsia="仿宋" w:cs="仿宋"/>
          <w:b/>
          <w:bCs/>
          <w:color w:val="auto"/>
          <w:sz w:val="24"/>
          <w:szCs w:val="24"/>
          <w:highlight w:val="none"/>
          <w:lang w:val="en-US" w:eastAsia="zh-CN"/>
        </w:rPr>
        <w:t>具体以业主委托单为准。</w:t>
      </w:r>
    </w:p>
    <w:p w14:paraId="25F8F2B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lang w:val="en-US" w:eastAsia="zh-CN"/>
        </w:rPr>
        <w:t>下附中片运管拟修复清单，该部分修复内容需在2025年11月中旬前完成。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36"/>
        <w:gridCol w:w="3352"/>
        <w:gridCol w:w="1295"/>
        <w:gridCol w:w="2690"/>
      </w:tblGrid>
      <w:tr w14:paraId="63A5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09E05736">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b/>
                <w:bCs/>
                <w:color w:val="auto"/>
                <w:kern w:val="0"/>
                <w:sz w:val="36"/>
                <w:szCs w:val="36"/>
                <w:vertAlign w:val="baseline"/>
                <w:lang w:val="en-US" w:eastAsia="zh-CN" w:bidi="ar"/>
              </w:rPr>
              <w:t>中片运管</w:t>
            </w:r>
            <w:r>
              <w:rPr>
                <w:rFonts w:hint="eastAsia" w:ascii="宋体" w:hAnsi="宋体" w:cs="宋体"/>
                <w:b/>
                <w:bCs/>
                <w:color w:val="auto"/>
                <w:kern w:val="0"/>
                <w:sz w:val="36"/>
                <w:szCs w:val="36"/>
                <w:vertAlign w:val="baseline"/>
                <w:lang w:val="en-US" w:eastAsia="zh-CN" w:bidi="ar"/>
              </w:rPr>
              <w:t>2025</w:t>
            </w:r>
            <w:r>
              <w:rPr>
                <w:rFonts w:hint="eastAsia" w:ascii="宋体" w:hAnsi="宋体" w:eastAsia="宋体" w:cs="宋体"/>
                <w:b/>
                <w:bCs/>
                <w:color w:val="auto"/>
                <w:kern w:val="0"/>
                <w:sz w:val="36"/>
                <w:szCs w:val="36"/>
                <w:vertAlign w:val="baseline"/>
                <w:lang w:val="en-US" w:eastAsia="zh-CN" w:bidi="ar"/>
              </w:rPr>
              <w:t>年拟修复清单</w:t>
            </w:r>
          </w:p>
        </w:tc>
      </w:tr>
      <w:tr w14:paraId="1A29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21B20C7D">
            <w:pPr>
              <w:keepNext w:val="0"/>
              <w:keepLines w:val="0"/>
              <w:widowControl/>
              <w:suppressLineNumbers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p w14:paraId="47D2864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636" w:type="dxa"/>
            <w:vAlign w:val="center"/>
          </w:tcPr>
          <w:p w14:paraId="008B9F9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检测时间</w:t>
            </w:r>
          </w:p>
        </w:tc>
        <w:tc>
          <w:tcPr>
            <w:tcW w:w="3352" w:type="dxa"/>
            <w:vAlign w:val="center"/>
          </w:tcPr>
          <w:p w14:paraId="1BD6466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检测路段</w:t>
            </w:r>
          </w:p>
        </w:tc>
        <w:tc>
          <w:tcPr>
            <w:tcW w:w="1295" w:type="dxa"/>
            <w:vAlign w:val="center"/>
          </w:tcPr>
          <w:p w14:paraId="143F82C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检测长度（公里）</w:t>
            </w:r>
          </w:p>
        </w:tc>
        <w:tc>
          <w:tcPr>
            <w:tcW w:w="2690" w:type="dxa"/>
            <w:vAlign w:val="center"/>
          </w:tcPr>
          <w:p w14:paraId="26EACA8C">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备注</w:t>
            </w:r>
          </w:p>
        </w:tc>
      </w:tr>
      <w:tr w14:paraId="24CD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51446D3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w:t>
            </w:r>
          </w:p>
        </w:tc>
        <w:tc>
          <w:tcPr>
            <w:tcW w:w="636" w:type="dxa"/>
            <w:vMerge w:val="restart"/>
            <w:vAlign w:val="center"/>
          </w:tcPr>
          <w:p w14:paraId="7B5D59B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2019</w:t>
            </w:r>
          </w:p>
        </w:tc>
        <w:tc>
          <w:tcPr>
            <w:tcW w:w="3352" w:type="dxa"/>
            <w:vAlign w:val="center"/>
          </w:tcPr>
          <w:p w14:paraId="4080A926">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拱秀路（市心中路-商城南路）</w:t>
            </w:r>
          </w:p>
        </w:tc>
        <w:tc>
          <w:tcPr>
            <w:tcW w:w="1295" w:type="dxa"/>
            <w:vAlign w:val="center"/>
          </w:tcPr>
          <w:p w14:paraId="05CB0428">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2.3</w:t>
            </w:r>
          </w:p>
        </w:tc>
        <w:tc>
          <w:tcPr>
            <w:tcW w:w="2690" w:type="dxa"/>
            <w:vAlign w:val="center"/>
          </w:tcPr>
          <w:p w14:paraId="10BB52F1">
            <w:pPr>
              <w:keepNext w:val="0"/>
              <w:keepLines w:val="0"/>
              <w:widowControl/>
              <w:suppressLineNumbers w:val="0"/>
              <w:jc w:val="center"/>
              <w:rPr>
                <w:rFonts w:hint="eastAsia" w:ascii="宋体" w:hAnsi="宋体" w:eastAsia="宋体" w:cs="宋体"/>
                <w:color w:val="auto"/>
                <w:kern w:val="0"/>
                <w:sz w:val="21"/>
                <w:szCs w:val="21"/>
                <w:lang w:val="en-US" w:eastAsia="zh-CN" w:bidi="ar"/>
              </w:rPr>
            </w:pPr>
          </w:p>
        </w:tc>
      </w:tr>
      <w:tr w14:paraId="7DDF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47F9B6B4">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w:t>
            </w:r>
          </w:p>
        </w:tc>
        <w:tc>
          <w:tcPr>
            <w:tcW w:w="636" w:type="dxa"/>
            <w:vMerge w:val="continue"/>
            <w:vAlign w:val="center"/>
          </w:tcPr>
          <w:p w14:paraId="55478B6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0BB9E316">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工人路（萧棉路-博学路）</w:t>
            </w:r>
          </w:p>
        </w:tc>
        <w:tc>
          <w:tcPr>
            <w:tcW w:w="1295" w:type="dxa"/>
            <w:vAlign w:val="center"/>
          </w:tcPr>
          <w:p w14:paraId="1F7A1F2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w:t>
            </w:r>
          </w:p>
        </w:tc>
        <w:tc>
          <w:tcPr>
            <w:tcW w:w="2690" w:type="dxa"/>
            <w:vAlign w:val="center"/>
          </w:tcPr>
          <w:p w14:paraId="69F6472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波纹管部分暂不修复</w:t>
            </w:r>
          </w:p>
        </w:tc>
      </w:tr>
      <w:tr w14:paraId="007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62E879F5">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3</w:t>
            </w:r>
          </w:p>
        </w:tc>
        <w:tc>
          <w:tcPr>
            <w:tcW w:w="636" w:type="dxa"/>
            <w:vMerge w:val="continue"/>
            <w:vAlign w:val="center"/>
          </w:tcPr>
          <w:p w14:paraId="470D795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080D4BB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市心路（博学路-03 省道）</w:t>
            </w:r>
          </w:p>
        </w:tc>
        <w:tc>
          <w:tcPr>
            <w:tcW w:w="1295" w:type="dxa"/>
            <w:vAlign w:val="center"/>
          </w:tcPr>
          <w:p w14:paraId="38C6BFA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5.7</w:t>
            </w:r>
          </w:p>
        </w:tc>
        <w:tc>
          <w:tcPr>
            <w:tcW w:w="2690" w:type="dxa"/>
            <w:vAlign w:val="center"/>
          </w:tcPr>
          <w:p w14:paraId="7B4D53A2">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萧棉路-永安桥、 道源路-拱秀路段已修复</w:t>
            </w:r>
          </w:p>
        </w:tc>
      </w:tr>
      <w:tr w14:paraId="7957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69FE4527">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4</w:t>
            </w:r>
          </w:p>
        </w:tc>
        <w:tc>
          <w:tcPr>
            <w:tcW w:w="636" w:type="dxa"/>
            <w:vMerge w:val="continue"/>
            <w:vAlign w:val="center"/>
          </w:tcPr>
          <w:p w14:paraId="471714B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4C963E3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晨晖路（风情大道-市心路）</w:t>
            </w:r>
          </w:p>
        </w:tc>
        <w:tc>
          <w:tcPr>
            <w:tcW w:w="1295" w:type="dxa"/>
            <w:vAlign w:val="center"/>
          </w:tcPr>
          <w:p w14:paraId="5632B73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2.3</w:t>
            </w:r>
          </w:p>
        </w:tc>
        <w:tc>
          <w:tcPr>
            <w:tcW w:w="2690" w:type="dxa"/>
            <w:vAlign w:val="center"/>
          </w:tcPr>
          <w:p w14:paraId="24D92E6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4E4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017243DC">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5</w:t>
            </w:r>
          </w:p>
        </w:tc>
        <w:tc>
          <w:tcPr>
            <w:tcW w:w="636" w:type="dxa"/>
            <w:vMerge w:val="continue"/>
            <w:vAlign w:val="center"/>
          </w:tcPr>
          <w:p w14:paraId="1C47284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049268E4">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金惠路（博奥路-萧山医院）</w:t>
            </w:r>
          </w:p>
        </w:tc>
        <w:tc>
          <w:tcPr>
            <w:tcW w:w="1295" w:type="dxa"/>
            <w:vAlign w:val="center"/>
          </w:tcPr>
          <w:p w14:paraId="668E417C">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3.2</w:t>
            </w:r>
          </w:p>
        </w:tc>
        <w:tc>
          <w:tcPr>
            <w:tcW w:w="2690" w:type="dxa"/>
            <w:vAlign w:val="center"/>
          </w:tcPr>
          <w:p w14:paraId="30CF350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5B6A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14E1626A">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6</w:t>
            </w:r>
          </w:p>
        </w:tc>
        <w:tc>
          <w:tcPr>
            <w:tcW w:w="636" w:type="dxa"/>
            <w:vMerge w:val="continue"/>
            <w:vAlign w:val="center"/>
          </w:tcPr>
          <w:p w14:paraId="03E317A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4EA67540">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金山路（山阴路-金惠路）</w:t>
            </w:r>
          </w:p>
        </w:tc>
        <w:tc>
          <w:tcPr>
            <w:tcW w:w="1295" w:type="dxa"/>
            <w:vAlign w:val="center"/>
          </w:tcPr>
          <w:p w14:paraId="3DC6288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1.1</w:t>
            </w:r>
          </w:p>
        </w:tc>
        <w:tc>
          <w:tcPr>
            <w:tcW w:w="2690" w:type="dxa"/>
            <w:vAlign w:val="center"/>
          </w:tcPr>
          <w:p w14:paraId="20A1F36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7C89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47E6FE6D">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7</w:t>
            </w:r>
          </w:p>
        </w:tc>
        <w:tc>
          <w:tcPr>
            <w:tcW w:w="636" w:type="dxa"/>
            <w:vMerge w:val="continue"/>
            <w:vAlign w:val="center"/>
          </w:tcPr>
          <w:p w14:paraId="6DC52DE2">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2FA3CAFE">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潘水路（市心南路-萧金路）</w:t>
            </w:r>
          </w:p>
        </w:tc>
        <w:tc>
          <w:tcPr>
            <w:tcW w:w="1295" w:type="dxa"/>
            <w:vAlign w:val="center"/>
          </w:tcPr>
          <w:p w14:paraId="24E9A987">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w:t>
            </w:r>
          </w:p>
        </w:tc>
        <w:tc>
          <w:tcPr>
            <w:tcW w:w="2690" w:type="dxa"/>
            <w:vAlign w:val="center"/>
          </w:tcPr>
          <w:p w14:paraId="6E64107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萧然西路-市心路段已修复</w:t>
            </w:r>
          </w:p>
        </w:tc>
      </w:tr>
      <w:tr w14:paraId="6927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36009B0F">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8</w:t>
            </w:r>
          </w:p>
        </w:tc>
        <w:tc>
          <w:tcPr>
            <w:tcW w:w="636" w:type="dxa"/>
            <w:vMerge w:val="continue"/>
            <w:vAlign w:val="center"/>
          </w:tcPr>
          <w:p w14:paraId="7D01AD8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6D5F4C34">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萧然西路(晨晖路—仙家河泵站）</w:t>
            </w:r>
          </w:p>
        </w:tc>
        <w:tc>
          <w:tcPr>
            <w:tcW w:w="1295" w:type="dxa"/>
            <w:vAlign w:val="center"/>
          </w:tcPr>
          <w:p w14:paraId="3378AC7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1.8</w:t>
            </w:r>
          </w:p>
        </w:tc>
        <w:tc>
          <w:tcPr>
            <w:tcW w:w="2690" w:type="dxa"/>
            <w:vAlign w:val="center"/>
          </w:tcPr>
          <w:p w14:paraId="08951D7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4D5F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4DAE81FC">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9</w:t>
            </w:r>
          </w:p>
        </w:tc>
        <w:tc>
          <w:tcPr>
            <w:tcW w:w="636" w:type="dxa"/>
            <w:vMerge w:val="restart"/>
            <w:vAlign w:val="center"/>
          </w:tcPr>
          <w:p w14:paraId="3021335C">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2021</w:t>
            </w:r>
          </w:p>
        </w:tc>
        <w:tc>
          <w:tcPr>
            <w:tcW w:w="3352" w:type="dxa"/>
            <w:vAlign w:val="center"/>
          </w:tcPr>
          <w:p w14:paraId="0FB991FF">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金家桥路(萧然东路—育才路）</w:t>
            </w:r>
          </w:p>
        </w:tc>
        <w:tc>
          <w:tcPr>
            <w:tcW w:w="1295" w:type="dxa"/>
            <w:vAlign w:val="center"/>
          </w:tcPr>
          <w:p w14:paraId="03E7964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0.3</w:t>
            </w:r>
          </w:p>
        </w:tc>
        <w:tc>
          <w:tcPr>
            <w:tcW w:w="2690" w:type="dxa"/>
            <w:vAlign w:val="center"/>
          </w:tcPr>
          <w:p w14:paraId="45A9A685">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0132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793B23F5">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10</w:t>
            </w:r>
          </w:p>
        </w:tc>
        <w:tc>
          <w:tcPr>
            <w:tcW w:w="636" w:type="dxa"/>
            <w:vMerge w:val="continue"/>
            <w:vAlign w:val="center"/>
          </w:tcPr>
          <w:p w14:paraId="21B1770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00EE96B7">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萧然东路（文化路-梅花弄）</w:t>
            </w:r>
          </w:p>
        </w:tc>
        <w:tc>
          <w:tcPr>
            <w:tcW w:w="1295" w:type="dxa"/>
            <w:vAlign w:val="center"/>
          </w:tcPr>
          <w:p w14:paraId="5B7B883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0.25</w:t>
            </w:r>
          </w:p>
        </w:tc>
        <w:tc>
          <w:tcPr>
            <w:tcW w:w="2690" w:type="dxa"/>
            <w:vAlign w:val="center"/>
          </w:tcPr>
          <w:p w14:paraId="4B26DB0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3A7E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6A51AB4D">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11</w:t>
            </w:r>
          </w:p>
        </w:tc>
        <w:tc>
          <w:tcPr>
            <w:tcW w:w="636" w:type="dxa"/>
            <w:vMerge w:val="continue"/>
            <w:vAlign w:val="center"/>
          </w:tcPr>
          <w:p w14:paraId="496B04F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2551A1EA">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滨水路（人民路-拱秀路）</w:t>
            </w:r>
          </w:p>
        </w:tc>
        <w:tc>
          <w:tcPr>
            <w:tcW w:w="1295" w:type="dxa"/>
            <w:vAlign w:val="center"/>
          </w:tcPr>
          <w:p w14:paraId="5F9D39A1">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0.4</w:t>
            </w:r>
          </w:p>
        </w:tc>
        <w:tc>
          <w:tcPr>
            <w:tcW w:w="2690" w:type="dxa"/>
            <w:vAlign w:val="center"/>
          </w:tcPr>
          <w:p w14:paraId="4A6F2D5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129F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3151175F">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12</w:t>
            </w:r>
          </w:p>
        </w:tc>
        <w:tc>
          <w:tcPr>
            <w:tcW w:w="636" w:type="dxa"/>
            <w:vMerge w:val="continue"/>
            <w:vAlign w:val="center"/>
          </w:tcPr>
          <w:p w14:paraId="22D624E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5ADF08F5">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萧棉路（萧杭路-市心中路）</w:t>
            </w:r>
          </w:p>
        </w:tc>
        <w:tc>
          <w:tcPr>
            <w:tcW w:w="1295" w:type="dxa"/>
            <w:vAlign w:val="center"/>
          </w:tcPr>
          <w:p w14:paraId="4152517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0.5</w:t>
            </w:r>
          </w:p>
        </w:tc>
        <w:tc>
          <w:tcPr>
            <w:tcW w:w="2690" w:type="dxa"/>
            <w:vAlign w:val="center"/>
          </w:tcPr>
          <w:p w14:paraId="6D8483E5">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波纹管部分暂不修复</w:t>
            </w:r>
          </w:p>
        </w:tc>
      </w:tr>
      <w:tr w14:paraId="5DD8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0958A955">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13</w:t>
            </w:r>
          </w:p>
        </w:tc>
        <w:tc>
          <w:tcPr>
            <w:tcW w:w="636" w:type="dxa"/>
            <w:vMerge w:val="continue"/>
            <w:vAlign w:val="center"/>
          </w:tcPr>
          <w:p w14:paraId="6AD3E66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0F2118A7">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永金路（永久路-山阴路）</w:t>
            </w:r>
          </w:p>
        </w:tc>
        <w:tc>
          <w:tcPr>
            <w:tcW w:w="1295" w:type="dxa"/>
            <w:vAlign w:val="center"/>
          </w:tcPr>
          <w:p w14:paraId="2711F98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0.4</w:t>
            </w:r>
          </w:p>
        </w:tc>
        <w:tc>
          <w:tcPr>
            <w:tcW w:w="2690" w:type="dxa"/>
            <w:vAlign w:val="center"/>
          </w:tcPr>
          <w:p w14:paraId="056B571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7B6B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11456D95">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14</w:t>
            </w:r>
          </w:p>
        </w:tc>
        <w:tc>
          <w:tcPr>
            <w:tcW w:w="636" w:type="dxa"/>
            <w:vMerge w:val="continue"/>
            <w:vAlign w:val="center"/>
          </w:tcPr>
          <w:p w14:paraId="3097B8C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769F476D">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通虹路（金城路—萧彩街）</w:t>
            </w:r>
          </w:p>
        </w:tc>
        <w:tc>
          <w:tcPr>
            <w:tcW w:w="1295" w:type="dxa"/>
            <w:vAlign w:val="center"/>
          </w:tcPr>
          <w:p w14:paraId="2F119C6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0.25</w:t>
            </w:r>
          </w:p>
        </w:tc>
        <w:tc>
          <w:tcPr>
            <w:tcW w:w="2690" w:type="dxa"/>
            <w:vAlign w:val="center"/>
          </w:tcPr>
          <w:p w14:paraId="70B89FE6">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6DD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550DD874">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15</w:t>
            </w:r>
          </w:p>
        </w:tc>
        <w:tc>
          <w:tcPr>
            <w:tcW w:w="636" w:type="dxa"/>
            <w:vMerge w:val="continue"/>
            <w:vAlign w:val="center"/>
          </w:tcPr>
          <w:p w14:paraId="4064B8C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24F6B0C1">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拱秀路（商城南路—新城路）</w:t>
            </w:r>
          </w:p>
        </w:tc>
        <w:tc>
          <w:tcPr>
            <w:tcW w:w="1295" w:type="dxa"/>
            <w:vAlign w:val="center"/>
          </w:tcPr>
          <w:p w14:paraId="6D85A523">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0.6</w:t>
            </w:r>
          </w:p>
        </w:tc>
        <w:tc>
          <w:tcPr>
            <w:tcW w:w="2690" w:type="dxa"/>
            <w:vAlign w:val="center"/>
          </w:tcPr>
          <w:p w14:paraId="45BCC8A4">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1559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181C8A91">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16</w:t>
            </w:r>
          </w:p>
        </w:tc>
        <w:tc>
          <w:tcPr>
            <w:tcW w:w="636" w:type="dxa"/>
            <w:vMerge w:val="continue"/>
            <w:vAlign w:val="center"/>
          </w:tcPr>
          <w:p w14:paraId="2206BCD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597B0A67">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崇化路(菜市场—南秀路）</w:t>
            </w:r>
          </w:p>
        </w:tc>
        <w:tc>
          <w:tcPr>
            <w:tcW w:w="1295" w:type="dxa"/>
            <w:vAlign w:val="center"/>
          </w:tcPr>
          <w:p w14:paraId="4640DB7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1.3</w:t>
            </w:r>
          </w:p>
        </w:tc>
        <w:tc>
          <w:tcPr>
            <w:tcW w:w="2690" w:type="dxa"/>
            <w:vAlign w:val="center"/>
          </w:tcPr>
          <w:p w14:paraId="475F0740">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178B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2BC255E5">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17</w:t>
            </w:r>
          </w:p>
        </w:tc>
        <w:tc>
          <w:tcPr>
            <w:tcW w:w="636" w:type="dxa"/>
            <w:vMerge w:val="continue"/>
            <w:vAlign w:val="center"/>
          </w:tcPr>
          <w:p w14:paraId="2197C55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4F162C3B">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人民路(百尺溇路—商城南路）</w:t>
            </w:r>
          </w:p>
        </w:tc>
        <w:tc>
          <w:tcPr>
            <w:tcW w:w="1295" w:type="dxa"/>
            <w:vAlign w:val="center"/>
          </w:tcPr>
          <w:p w14:paraId="75F9820C">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1.7</w:t>
            </w:r>
          </w:p>
        </w:tc>
        <w:tc>
          <w:tcPr>
            <w:tcW w:w="2690" w:type="dxa"/>
            <w:vAlign w:val="center"/>
          </w:tcPr>
          <w:p w14:paraId="6A9B30F2">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6C69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6797C5E4">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18</w:t>
            </w:r>
          </w:p>
        </w:tc>
        <w:tc>
          <w:tcPr>
            <w:tcW w:w="636" w:type="dxa"/>
            <w:vMerge w:val="continue"/>
            <w:vAlign w:val="center"/>
          </w:tcPr>
          <w:p w14:paraId="26E30DE7">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5FAF9934">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金城路(风情大道—104国道）</w:t>
            </w:r>
          </w:p>
        </w:tc>
        <w:tc>
          <w:tcPr>
            <w:tcW w:w="1295" w:type="dxa"/>
            <w:vAlign w:val="center"/>
          </w:tcPr>
          <w:p w14:paraId="16E944F4">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4.6</w:t>
            </w:r>
          </w:p>
        </w:tc>
        <w:tc>
          <w:tcPr>
            <w:tcW w:w="2690" w:type="dxa"/>
            <w:vAlign w:val="center"/>
          </w:tcPr>
          <w:p w14:paraId="75DEA2A4">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392D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02E4F641">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19</w:t>
            </w:r>
          </w:p>
        </w:tc>
        <w:tc>
          <w:tcPr>
            <w:tcW w:w="636" w:type="dxa"/>
            <w:vMerge w:val="restart"/>
            <w:vAlign w:val="center"/>
          </w:tcPr>
          <w:p w14:paraId="664B23A6">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2022</w:t>
            </w:r>
          </w:p>
        </w:tc>
        <w:tc>
          <w:tcPr>
            <w:tcW w:w="3352" w:type="dxa"/>
            <w:vAlign w:val="center"/>
          </w:tcPr>
          <w:p w14:paraId="1D59FE16">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博奥路（北塘河-萧杭路）</w:t>
            </w:r>
          </w:p>
        </w:tc>
        <w:tc>
          <w:tcPr>
            <w:tcW w:w="1295" w:type="dxa"/>
            <w:vAlign w:val="center"/>
          </w:tcPr>
          <w:p w14:paraId="052144BC">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1.1</w:t>
            </w:r>
          </w:p>
        </w:tc>
        <w:tc>
          <w:tcPr>
            <w:tcW w:w="2690" w:type="dxa"/>
            <w:vAlign w:val="center"/>
          </w:tcPr>
          <w:p w14:paraId="3BC1D1B2">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6CB5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5A7508A1">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w:t>
            </w:r>
          </w:p>
        </w:tc>
        <w:tc>
          <w:tcPr>
            <w:tcW w:w="636" w:type="dxa"/>
            <w:vMerge w:val="continue"/>
            <w:vAlign w:val="center"/>
          </w:tcPr>
          <w:p w14:paraId="4BA2429D">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3916A7CA">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湘湖路（休博路—萧西泵站）</w:t>
            </w:r>
          </w:p>
        </w:tc>
        <w:tc>
          <w:tcPr>
            <w:tcW w:w="1295" w:type="dxa"/>
            <w:vAlign w:val="center"/>
          </w:tcPr>
          <w:p w14:paraId="575226C1">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1.25</w:t>
            </w:r>
          </w:p>
        </w:tc>
        <w:tc>
          <w:tcPr>
            <w:tcW w:w="2690" w:type="dxa"/>
            <w:vAlign w:val="center"/>
          </w:tcPr>
          <w:p w14:paraId="5602F331">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3007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412B1F75">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21</w:t>
            </w:r>
          </w:p>
        </w:tc>
        <w:tc>
          <w:tcPr>
            <w:tcW w:w="636" w:type="dxa"/>
            <w:vAlign w:val="center"/>
          </w:tcPr>
          <w:p w14:paraId="7BDC7ECC">
            <w:pPr>
              <w:keepNext w:val="0"/>
              <w:keepLines w:val="0"/>
              <w:widowControl/>
              <w:suppressLineNumbers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2023</w:t>
            </w:r>
          </w:p>
        </w:tc>
        <w:tc>
          <w:tcPr>
            <w:tcW w:w="3352" w:type="dxa"/>
            <w:vAlign w:val="center"/>
          </w:tcPr>
          <w:p w14:paraId="23F073DA">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高桥路（道源路-南三路）</w:t>
            </w:r>
          </w:p>
        </w:tc>
        <w:tc>
          <w:tcPr>
            <w:tcW w:w="1295" w:type="dxa"/>
            <w:vAlign w:val="center"/>
          </w:tcPr>
          <w:p w14:paraId="74455AD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2.7</w:t>
            </w:r>
          </w:p>
        </w:tc>
        <w:tc>
          <w:tcPr>
            <w:tcW w:w="2690" w:type="dxa"/>
            <w:vAlign w:val="center"/>
          </w:tcPr>
          <w:p w14:paraId="1B979822">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r w14:paraId="2A4E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14:paraId="21E3CC81">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636" w:type="dxa"/>
            <w:vAlign w:val="center"/>
          </w:tcPr>
          <w:p w14:paraId="23E7C11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3352" w:type="dxa"/>
            <w:vAlign w:val="center"/>
          </w:tcPr>
          <w:p w14:paraId="7586EC79">
            <w:pPr>
              <w:keepNext w:val="0"/>
              <w:keepLines w:val="0"/>
              <w:widowControl/>
              <w:suppressLineNumbers w:val="0"/>
              <w:jc w:val="center"/>
              <w:rPr>
                <w:rFonts w:hint="eastAsia" w:ascii="宋体" w:hAnsi="宋体" w:eastAsia="宋体" w:cs="宋体"/>
                <w:color w:val="auto"/>
                <w:kern w:val="0"/>
                <w:sz w:val="21"/>
                <w:szCs w:val="21"/>
                <w:lang w:val="en-US" w:eastAsia="zh-CN" w:bidi="ar"/>
              </w:rPr>
            </w:pPr>
          </w:p>
        </w:tc>
        <w:tc>
          <w:tcPr>
            <w:tcW w:w="1295" w:type="dxa"/>
            <w:vAlign w:val="center"/>
          </w:tcPr>
          <w:p w14:paraId="07689A0A">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c>
          <w:tcPr>
            <w:tcW w:w="2690" w:type="dxa"/>
            <w:vAlign w:val="center"/>
          </w:tcPr>
          <w:p w14:paraId="3CD445A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p>
        </w:tc>
      </w:tr>
    </w:tbl>
    <w:p w14:paraId="3AB488D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p>
    <w:p w14:paraId="229C58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w w:val="80"/>
          <w:sz w:val="24"/>
          <w:szCs w:val="24"/>
          <w:highlight w:val="none"/>
        </w:rPr>
      </w:pPr>
      <w:r>
        <w:rPr>
          <w:rFonts w:hint="eastAsia" w:ascii="仿宋" w:hAnsi="仿宋" w:eastAsia="仿宋" w:cs="仿宋"/>
          <w:b/>
          <w:bCs/>
          <w:color w:val="auto"/>
          <w:w w:val="80"/>
          <w:sz w:val="24"/>
          <w:szCs w:val="24"/>
          <w:highlight w:val="none"/>
        </w:rPr>
        <w:t xml:space="preserve">二、总体要求 </w:t>
      </w:r>
    </w:p>
    <w:p w14:paraId="7521757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中标人中标后须在萧山</w:t>
      </w:r>
      <w:r>
        <w:rPr>
          <w:rFonts w:hint="eastAsia" w:ascii="仿宋" w:hAnsi="仿宋" w:eastAsia="仿宋" w:cs="仿宋"/>
          <w:color w:val="auto"/>
          <w:sz w:val="24"/>
          <w:szCs w:val="24"/>
          <w:highlight w:val="none"/>
        </w:rPr>
        <w:t>当地设立运营管理队伍，中标后需</w:t>
      </w:r>
      <w:r>
        <w:rPr>
          <w:rFonts w:hint="eastAsia" w:ascii="仿宋" w:hAnsi="仿宋" w:eastAsia="仿宋" w:cs="仿宋"/>
          <w:color w:val="auto"/>
          <w:sz w:val="24"/>
          <w:szCs w:val="24"/>
          <w:highlight w:val="none"/>
          <w:lang w:eastAsia="zh-CN"/>
        </w:rPr>
        <w:t>对接招标人属地管理部门</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招标范围</w:t>
      </w:r>
      <w:r>
        <w:rPr>
          <w:rFonts w:hint="eastAsia" w:ascii="仿宋" w:hAnsi="仿宋" w:eastAsia="仿宋" w:cs="仿宋"/>
          <w:color w:val="auto"/>
          <w:sz w:val="24"/>
          <w:szCs w:val="24"/>
          <w:highlight w:val="none"/>
        </w:rPr>
        <w:t>污水</w:t>
      </w:r>
      <w:r>
        <w:rPr>
          <w:rFonts w:hint="eastAsia" w:ascii="仿宋" w:hAnsi="仿宋" w:eastAsia="仿宋" w:cs="仿宋"/>
          <w:color w:val="auto"/>
          <w:sz w:val="24"/>
          <w:szCs w:val="24"/>
          <w:highlight w:val="none"/>
          <w:lang w:eastAsia="zh-CN"/>
        </w:rPr>
        <w:t>管网</w:t>
      </w:r>
      <w:r>
        <w:rPr>
          <w:rFonts w:hint="eastAsia" w:ascii="仿宋" w:hAnsi="仿宋" w:eastAsia="仿宋" w:cs="仿宋"/>
          <w:color w:val="auto"/>
          <w:sz w:val="24"/>
          <w:szCs w:val="24"/>
          <w:highlight w:val="none"/>
        </w:rPr>
        <w:t>进行核对，</w:t>
      </w:r>
      <w:r>
        <w:rPr>
          <w:rFonts w:hint="eastAsia" w:ascii="仿宋" w:hAnsi="仿宋" w:eastAsia="仿宋" w:cs="仿宋"/>
          <w:color w:val="auto"/>
          <w:sz w:val="24"/>
          <w:szCs w:val="24"/>
          <w:highlight w:val="none"/>
          <w:lang w:eastAsia="zh-CN"/>
        </w:rPr>
        <w:t>并根据招标人属地管理部门要求进行</w:t>
      </w:r>
      <w:r>
        <w:rPr>
          <w:rFonts w:hint="eastAsia" w:ascii="仿宋" w:hAnsi="仿宋" w:eastAsia="仿宋" w:cs="仿宋"/>
          <w:color w:val="auto"/>
          <w:sz w:val="24"/>
          <w:szCs w:val="24"/>
          <w:highlight w:val="none"/>
        </w:rPr>
        <w:t>工作。</w:t>
      </w:r>
    </w:p>
    <w:p w14:paraId="02A5F49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按项目要求配齐排水设施专业</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人员和设备，有限空间施工安全防护装备及救援设备等，有限空间作业人员具有上岗证，编制各类规章制度、操作规程、应急预案、</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计划，保证</w:t>
      </w:r>
      <w:r>
        <w:rPr>
          <w:rFonts w:hint="eastAsia" w:ascii="仿宋" w:hAnsi="仿宋" w:eastAsia="仿宋" w:cs="仿宋"/>
          <w:color w:val="auto"/>
          <w:sz w:val="24"/>
          <w:szCs w:val="24"/>
          <w:highlight w:val="none"/>
          <w:lang w:eastAsia="zh-CN"/>
        </w:rPr>
        <w:t>项目任务的按实顺利完成，施工质量</w:t>
      </w:r>
      <w:r>
        <w:rPr>
          <w:rFonts w:hint="eastAsia" w:ascii="仿宋" w:hAnsi="仿宋" w:eastAsia="仿宋" w:cs="仿宋"/>
          <w:color w:val="auto"/>
          <w:sz w:val="24"/>
          <w:szCs w:val="24"/>
          <w:highlight w:val="none"/>
        </w:rPr>
        <w:t>良好。</w:t>
      </w:r>
    </w:p>
    <w:p w14:paraId="4EDB0C46">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w w:val="80"/>
          <w:sz w:val="24"/>
          <w:szCs w:val="24"/>
          <w:highlight w:val="none"/>
        </w:rPr>
        <w:t xml:space="preserve"> 三、服务内容</w:t>
      </w:r>
    </w:p>
    <w:p w14:paraId="4E2718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3.1服务内容</w:t>
      </w:r>
    </w:p>
    <w:p w14:paraId="4AC5FC6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招标范围污水管网的</w:t>
      </w:r>
      <w:r>
        <w:rPr>
          <w:rFonts w:hint="eastAsia" w:ascii="仿宋" w:hAnsi="仿宋" w:eastAsia="仿宋" w:cs="仿宋"/>
          <w:color w:val="auto"/>
          <w:sz w:val="24"/>
          <w:szCs w:val="24"/>
          <w:highlight w:val="none"/>
          <w:lang w:val="en-US" w:eastAsia="zh-CN"/>
        </w:rPr>
        <w:t>CCTV检测、清淤疏通、修复工作，具体工作任务根据招标人属地管理部门安排实施。</w:t>
      </w:r>
      <w:r>
        <w:rPr>
          <w:rFonts w:hint="eastAsia" w:ascii="仿宋" w:hAnsi="仿宋" w:eastAsia="仿宋" w:cs="仿宋"/>
          <w:color w:val="auto"/>
          <w:sz w:val="24"/>
          <w:szCs w:val="24"/>
          <w:highlight w:val="none"/>
        </w:rPr>
        <w:t>中标人须对所有作业人员办理</w:t>
      </w:r>
      <w:r>
        <w:rPr>
          <w:rFonts w:hint="eastAsia" w:ascii="仿宋" w:hAnsi="仿宋" w:eastAsia="仿宋" w:cs="仿宋"/>
          <w:color w:val="auto"/>
          <w:sz w:val="24"/>
          <w:szCs w:val="24"/>
          <w:highlight w:val="none"/>
          <w:lang w:eastAsia="zh-CN"/>
        </w:rPr>
        <w:t>社保和</w:t>
      </w:r>
      <w:r>
        <w:rPr>
          <w:rFonts w:hint="eastAsia" w:ascii="仿宋" w:hAnsi="仿宋" w:eastAsia="仿宋" w:cs="仿宋"/>
          <w:color w:val="auto"/>
          <w:sz w:val="24"/>
          <w:szCs w:val="24"/>
          <w:highlight w:val="none"/>
        </w:rPr>
        <w:t>人身意外伤害保险，在作业过程中一切伤亡意外事故招标人均不承担任何责任，由中标人自负。</w:t>
      </w:r>
    </w:p>
    <w:p w14:paraId="2A9B548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要求</w:t>
      </w:r>
    </w:p>
    <w:p w14:paraId="3D12E9D0">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rPr>
        <w:t>在任务单规定时间内</w:t>
      </w:r>
      <w:r>
        <w:rPr>
          <w:rFonts w:hint="eastAsia" w:ascii="仿宋" w:hAnsi="仿宋" w:eastAsia="仿宋" w:cs="仿宋"/>
          <w:color w:val="auto"/>
          <w:kern w:val="0"/>
          <w:sz w:val="24"/>
          <w:szCs w:val="24"/>
          <w:lang w:eastAsia="zh-CN"/>
        </w:rPr>
        <w:t>按甲方要求</w:t>
      </w:r>
      <w:r>
        <w:rPr>
          <w:rFonts w:hint="eastAsia" w:ascii="仿宋" w:hAnsi="仿宋" w:eastAsia="仿宋" w:cs="仿宋"/>
          <w:color w:val="auto"/>
          <w:kern w:val="0"/>
          <w:sz w:val="24"/>
          <w:szCs w:val="24"/>
        </w:rPr>
        <w:t>完成所有</w:t>
      </w:r>
      <w:r>
        <w:rPr>
          <w:rFonts w:hint="eastAsia" w:ascii="仿宋" w:hAnsi="仿宋" w:eastAsia="仿宋" w:cs="仿宋"/>
          <w:color w:val="auto"/>
          <w:kern w:val="0"/>
          <w:sz w:val="24"/>
          <w:szCs w:val="24"/>
          <w:lang w:eastAsia="zh-CN"/>
        </w:rPr>
        <w:t>服务</w:t>
      </w:r>
      <w:r>
        <w:rPr>
          <w:rFonts w:hint="eastAsia" w:ascii="仿宋" w:hAnsi="仿宋" w:eastAsia="仿宋" w:cs="仿宋"/>
          <w:color w:val="auto"/>
          <w:kern w:val="0"/>
          <w:sz w:val="24"/>
          <w:szCs w:val="24"/>
        </w:rPr>
        <w:t>项目，</w:t>
      </w:r>
      <w:r>
        <w:rPr>
          <w:rFonts w:hint="eastAsia" w:ascii="仿宋" w:hAnsi="仿宋" w:eastAsia="仿宋" w:cs="仿宋"/>
          <w:color w:val="auto"/>
          <w:kern w:val="0"/>
          <w:sz w:val="24"/>
          <w:szCs w:val="24"/>
          <w:lang w:eastAsia="zh-CN"/>
        </w:rPr>
        <w:t>质量合格满足要求。</w:t>
      </w:r>
      <w:r>
        <w:rPr>
          <w:rFonts w:hint="eastAsia" w:ascii="仿宋" w:hAnsi="仿宋" w:eastAsia="仿宋" w:cs="仿宋"/>
          <w:color w:val="auto"/>
          <w:kern w:val="0"/>
          <w:sz w:val="24"/>
          <w:szCs w:val="24"/>
        </w:rPr>
        <w:t>在</w:t>
      </w:r>
      <w:r>
        <w:rPr>
          <w:rFonts w:hint="eastAsia" w:ascii="仿宋" w:hAnsi="仿宋" w:eastAsia="仿宋" w:cs="仿宋"/>
          <w:color w:val="auto"/>
          <w:kern w:val="0"/>
          <w:sz w:val="24"/>
          <w:szCs w:val="24"/>
          <w:lang w:eastAsia="zh-CN"/>
        </w:rPr>
        <w:t>规定时间</w:t>
      </w:r>
      <w:r>
        <w:rPr>
          <w:rFonts w:hint="eastAsia" w:ascii="仿宋" w:hAnsi="仿宋" w:eastAsia="仿宋" w:cs="仿宋"/>
          <w:color w:val="auto"/>
          <w:kern w:val="0"/>
          <w:sz w:val="24"/>
          <w:szCs w:val="24"/>
        </w:rPr>
        <w:t>内出具</w:t>
      </w:r>
      <w:r>
        <w:rPr>
          <w:rFonts w:hint="eastAsia" w:ascii="仿宋" w:hAnsi="仿宋" w:eastAsia="仿宋" w:cs="仿宋"/>
          <w:color w:val="auto"/>
          <w:kern w:val="0"/>
          <w:sz w:val="24"/>
          <w:szCs w:val="24"/>
          <w:lang w:eastAsia="zh-CN"/>
        </w:rPr>
        <w:t>并提交</w:t>
      </w:r>
      <w:r>
        <w:rPr>
          <w:rFonts w:hint="eastAsia" w:ascii="仿宋" w:hAnsi="仿宋" w:eastAsia="仿宋" w:cs="仿宋"/>
          <w:color w:val="auto"/>
          <w:kern w:val="0"/>
          <w:sz w:val="24"/>
          <w:szCs w:val="24"/>
        </w:rPr>
        <w:t>相应的成果报</w:t>
      </w:r>
      <w:r>
        <w:rPr>
          <w:rFonts w:hint="eastAsia" w:ascii="仿宋" w:hAnsi="仿宋" w:eastAsia="仿宋" w:cs="仿宋"/>
          <w:color w:val="auto"/>
          <w:kern w:val="0"/>
          <w:sz w:val="24"/>
          <w:szCs w:val="24"/>
          <w:highlight w:val="none"/>
        </w:rPr>
        <w:t>告</w:t>
      </w:r>
      <w:r>
        <w:rPr>
          <w:rFonts w:hint="eastAsia" w:ascii="仿宋" w:hAnsi="仿宋" w:eastAsia="仿宋" w:cs="仿宋"/>
          <w:color w:val="auto"/>
          <w:kern w:val="0"/>
          <w:sz w:val="24"/>
          <w:szCs w:val="24"/>
          <w:highlight w:val="none"/>
          <w:lang w:eastAsia="zh-CN"/>
        </w:rPr>
        <w:t>，及时提交结算资料，配合甲方完成项目结算。</w:t>
      </w:r>
    </w:p>
    <w:p w14:paraId="58F32C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不可抗力造成的污水</w:t>
      </w:r>
      <w:r>
        <w:rPr>
          <w:rFonts w:hint="eastAsia" w:ascii="仿宋" w:hAnsi="仿宋" w:eastAsia="仿宋" w:cs="仿宋"/>
          <w:color w:val="auto"/>
          <w:sz w:val="24"/>
          <w:szCs w:val="24"/>
          <w:highlight w:val="none"/>
          <w:lang w:eastAsia="zh-CN"/>
        </w:rPr>
        <w:t>管网</w:t>
      </w:r>
      <w:r>
        <w:rPr>
          <w:rFonts w:hint="eastAsia" w:ascii="仿宋" w:hAnsi="仿宋" w:eastAsia="仿宋" w:cs="仿宋"/>
          <w:color w:val="auto"/>
          <w:sz w:val="24"/>
          <w:szCs w:val="24"/>
          <w:highlight w:val="none"/>
        </w:rPr>
        <w:t>维修工程</w:t>
      </w:r>
    </w:p>
    <w:p w14:paraId="1C72C9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不可抗力造成的污水</w:t>
      </w:r>
      <w:r>
        <w:rPr>
          <w:rFonts w:hint="eastAsia" w:ascii="仿宋" w:hAnsi="仿宋" w:eastAsia="仿宋" w:cs="仿宋"/>
          <w:color w:val="auto"/>
          <w:sz w:val="24"/>
          <w:szCs w:val="24"/>
          <w:highlight w:val="none"/>
          <w:lang w:eastAsia="zh-CN"/>
        </w:rPr>
        <w:t>管网</w:t>
      </w:r>
      <w:r>
        <w:rPr>
          <w:rFonts w:hint="eastAsia" w:ascii="仿宋" w:hAnsi="仿宋" w:eastAsia="仿宋" w:cs="仿宋"/>
          <w:color w:val="auto"/>
          <w:sz w:val="24"/>
          <w:szCs w:val="24"/>
          <w:highlight w:val="none"/>
        </w:rPr>
        <w:t>维修工程，</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以业主签证认可的联系单为准。</w:t>
      </w:r>
    </w:p>
    <w:p w14:paraId="01C495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不可抗力是指中标人和招标人在订立合同时不可预见，在履行合同过程中不可避免发生并不能克服的自然灾害和社会性突发事件，如地震、海啸、瘟疫、水灾、骚乱、暴动、战争和约定的其他情形。</w:t>
      </w:r>
    </w:p>
    <w:p w14:paraId="5A797E9A">
      <w:pPr>
        <w:pStyle w:val="10"/>
        <w:pageBreakBefore w:val="0"/>
        <w:widowControl w:val="0"/>
        <w:kinsoku/>
        <w:wordWrap/>
        <w:overflowPunct/>
        <w:topLinePunct w:val="0"/>
        <w:autoSpaceDE/>
        <w:autoSpaceDN/>
        <w:bidi w:val="0"/>
        <w:snapToGrid/>
        <w:spacing w:line="360" w:lineRule="auto"/>
        <w:ind w:firstLine="464" w:firstLineChars="200"/>
        <w:textAlignment w:val="auto"/>
        <w:rPr>
          <w:rFonts w:hint="eastAsia" w:ascii="仿宋" w:hAnsi="仿宋" w:eastAsia="仿宋" w:cs="仿宋"/>
          <w:color w:val="auto"/>
          <w:sz w:val="24"/>
          <w:szCs w:val="24"/>
        </w:rPr>
      </w:pPr>
    </w:p>
    <w:p w14:paraId="477A6010">
      <w:pPr>
        <w:pStyle w:val="2"/>
        <w:pageBreakBefore w:val="0"/>
        <w:widowControl w:val="0"/>
        <w:tabs>
          <w:tab w:val="left" w:pos="578"/>
          <w:tab w:val="clear" w:pos="432"/>
        </w:tabs>
        <w:kinsoku/>
        <w:wordWrap/>
        <w:overflowPunct/>
        <w:topLinePunct w:val="0"/>
        <w:autoSpaceDE/>
        <w:autoSpaceDN/>
        <w:bidi w:val="0"/>
        <w:snapToGrid/>
        <w:spacing w:line="360" w:lineRule="auto"/>
        <w:ind w:left="0"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3.4服务清单和最高限价单价：</w:t>
      </w:r>
    </w:p>
    <w:p w14:paraId="668DF59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p>
    <w:p w14:paraId="5F7106D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p>
    <w:p w14:paraId="47D0D8B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p>
    <w:p w14:paraId="5C08DCE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highlight w:val="none"/>
          <w:lang w:val="en-US" w:eastAsia="zh-CN"/>
        </w:rPr>
      </w:pPr>
    </w:p>
    <w:p w14:paraId="3EB7336A">
      <w:pPr>
        <w:pStyle w:val="10"/>
        <w:rPr>
          <w:rFonts w:hint="eastAsia" w:ascii="仿宋" w:hAnsi="仿宋" w:eastAsia="仿宋" w:cs="仿宋"/>
          <w:color w:val="auto"/>
        </w:rPr>
      </w:pPr>
      <w:bookmarkStart w:id="16" w:name="_Toc462407246"/>
    </w:p>
    <w:p w14:paraId="6E37C24F">
      <w:pPr>
        <w:pStyle w:val="10"/>
        <w:rPr>
          <w:rFonts w:hint="eastAsia" w:ascii="仿宋" w:hAnsi="仿宋" w:eastAsia="仿宋" w:cs="仿宋"/>
          <w:color w:val="auto"/>
        </w:rPr>
      </w:pPr>
    </w:p>
    <w:p w14:paraId="060879BC">
      <w:pPr>
        <w:pStyle w:val="10"/>
        <w:rPr>
          <w:rFonts w:hint="eastAsia" w:ascii="仿宋" w:hAnsi="仿宋" w:eastAsia="仿宋" w:cs="仿宋"/>
          <w:color w:val="auto"/>
        </w:rPr>
      </w:pPr>
    </w:p>
    <w:p w14:paraId="22EBB5DC">
      <w:pPr>
        <w:pStyle w:val="10"/>
        <w:rPr>
          <w:rFonts w:hint="eastAsia" w:ascii="仿宋" w:hAnsi="仿宋" w:eastAsia="仿宋" w:cs="仿宋"/>
          <w:color w:val="auto"/>
        </w:rPr>
      </w:pPr>
    </w:p>
    <w:p w14:paraId="10F87E9E">
      <w:pPr>
        <w:pStyle w:val="10"/>
        <w:rPr>
          <w:rFonts w:hint="eastAsia" w:ascii="仿宋" w:hAnsi="仿宋" w:eastAsia="仿宋" w:cs="仿宋"/>
          <w:color w:val="auto"/>
        </w:rPr>
      </w:pPr>
    </w:p>
    <w:p w14:paraId="4BDD70F4">
      <w:pPr>
        <w:rPr>
          <w:rFonts w:hint="eastAsia" w:ascii="仿宋" w:hAnsi="仿宋" w:eastAsia="仿宋" w:cs="仿宋"/>
          <w:color w:val="auto"/>
          <w:sz w:val="24"/>
          <w:szCs w:val="24"/>
          <w:highlight w:val="none"/>
          <w:lang w:val="en-US" w:eastAsia="zh-CN"/>
        </w:rPr>
      </w:pPr>
    </w:p>
    <w:p w14:paraId="7C4DF229">
      <w:pPr>
        <w:pStyle w:val="9"/>
        <w:ind w:left="0" w:leftChars="0" w:firstLine="0" w:firstLineChars="0"/>
        <w:rPr>
          <w:rFonts w:hint="eastAsia" w:ascii="仿宋" w:hAnsi="仿宋" w:eastAsia="仿宋" w:cs="仿宋"/>
          <w:color w:val="auto"/>
          <w:lang w:val="en-US" w:eastAsia="zh-CN"/>
        </w:rPr>
      </w:pPr>
    </w:p>
    <w:tbl>
      <w:tblPr>
        <w:tblStyle w:val="18"/>
        <w:tblpPr w:leftFromText="180" w:rightFromText="180" w:vertAnchor="page" w:horzAnchor="page" w:tblpX="1583" w:tblpY="1487"/>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910"/>
        <w:gridCol w:w="1846"/>
        <w:gridCol w:w="2545"/>
        <w:gridCol w:w="1260"/>
      </w:tblGrid>
      <w:tr w14:paraId="31E7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04" w:type="dxa"/>
            <w:noWrap w:val="0"/>
            <w:vAlign w:val="center"/>
          </w:tcPr>
          <w:p w14:paraId="5CB90ED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内容</w:t>
            </w:r>
          </w:p>
        </w:tc>
        <w:tc>
          <w:tcPr>
            <w:tcW w:w="910" w:type="dxa"/>
            <w:noWrap w:val="0"/>
            <w:vAlign w:val="center"/>
          </w:tcPr>
          <w:p w14:paraId="2D70259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46" w:type="dxa"/>
            <w:noWrap w:val="0"/>
            <w:vAlign w:val="center"/>
          </w:tcPr>
          <w:p w14:paraId="1754370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含税管费</w:t>
            </w:r>
            <w:r>
              <w:rPr>
                <w:rFonts w:hint="eastAsia" w:ascii="仿宋" w:hAnsi="仿宋" w:eastAsia="仿宋" w:cs="仿宋"/>
                <w:color w:val="auto"/>
                <w:sz w:val="24"/>
                <w:szCs w:val="24"/>
                <w:highlight w:val="none"/>
                <w:lang w:eastAsia="zh-CN"/>
              </w:rPr>
              <w:t>）</w:t>
            </w:r>
          </w:p>
        </w:tc>
        <w:tc>
          <w:tcPr>
            <w:tcW w:w="2545" w:type="dxa"/>
            <w:noWrap w:val="0"/>
            <w:vAlign w:val="center"/>
          </w:tcPr>
          <w:p w14:paraId="5B3EC43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260" w:type="dxa"/>
            <w:noWrap w:val="0"/>
            <w:vAlign w:val="center"/>
          </w:tcPr>
          <w:p w14:paraId="0456BB7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r>
      <w:tr w14:paraId="4642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332C4E2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val="en-US" w:eastAsia="zh-CN"/>
              </w:rPr>
              <w:t>CCTV</w:t>
            </w:r>
            <w:r>
              <w:rPr>
                <w:rFonts w:hint="eastAsia" w:ascii="仿宋" w:hAnsi="仿宋" w:eastAsia="仿宋" w:cs="仿宋"/>
                <w:color w:val="auto"/>
                <w:sz w:val="24"/>
                <w:szCs w:val="24"/>
                <w:highlight w:val="none"/>
                <w:lang w:eastAsia="zh-CN"/>
              </w:rPr>
              <w:t>检测</w:t>
            </w:r>
          </w:p>
        </w:tc>
        <w:tc>
          <w:tcPr>
            <w:tcW w:w="910" w:type="dxa"/>
            <w:noWrap w:val="0"/>
            <w:vAlign w:val="center"/>
          </w:tcPr>
          <w:p w14:paraId="75F4A7C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2069F33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元/米</w:t>
            </w:r>
          </w:p>
        </w:tc>
        <w:tc>
          <w:tcPr>
            <w:tcW w:w="2545" w:type="dxa"/>
            <w:noWrap w:val="0"/>
            <w:vAlign w:val="center"/>
          </w:tcPr>
          <w:p w14:paraId="28E341D4">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260" w:type="dxa"/>
            <w:vMerge w:val="restart"/>
            <w:noWrap w:val="0"/>
            <w:vAlign w:val="center"/>
          </w:tcPr>
          <w:p w14:paraId="100836F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24个月</w:t>
            </w:r>
          </w:p>
        </w:tc>
      </w:tr>
      <w:tr w14:paraId="6AE9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727C9E9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Qv镜检测</w:t>
            </w:r>
          </w:p>
        </w:tc>
        <w:tc>
          <w:tcPr>
            <w:tcW w:w="910" w:type="dxa"/>
            <w:noWrap w:val="0"/>
            <w:vAlign w:val="center"/>
          </w:tcPr>
          <w:p w14:paraId="56344617">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1米</w:t>
            </w:r>
          </w:p>
        </w:tc>
        <w:tc>
          <w:tcPr>
            <w:tcW w:w="1846" w:type="dxa"/>
            <w:noWrap w:val="0"/>
            <w:vAlign w:val="center"/>
          </w:tcPr>
          <w:p w14:paraId="4E942BC9">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元/米</w:t>
            </w:r>
          </w:p>
        </w:tc>
        <w:tc>
          <w:tcPr>
            <w:tcW w:w="2545" w:type="dxa"/>
            <w:noWrap w:val="0"/>
            <w:vAlign w:val="center"/>
          </w:tcPr>
          <w:p w14:paraId="0FD183BE">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260" w:type="dxa"/>
            <w:vMerge w:val="continue"/>
            <w:noWrap w:val="0"/>
            <w:vAlign w:val="center"/>
          </w:tcPr>
          <w:p w14:paraId="73B6B81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p>
        </w:tc>
      </w:tr>
      <w:tr w14:paraId="7927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0893FDD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910" w:type="dxa"/>
            <w:noWrap w:val="0"/>
            <w:vAlign w:val="center"/>
          </w:tcPr>
          <w:p w14:paraId="511004E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5A26AC1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rPr>
              <w:t>元/米</w:t>
            </w:r>
          </w:p>
        </w:tc>
        <w:tc>
          <w:tcPr>
            <w:tcW w:w="2545" w:type="dxa"/>
            <w:noWrap w:val="0"/>
            <w:vAlign w:val="center"/>
          </w:tcPr>
          <w:p w14:paraId="2C14C6E5">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污水管道清淤疏通DN800以下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260" w:type="dxa"/>
            <w:vMerge w:val="continue"/>
            <w:noWrap w:val="0"/>
            <w:vAlign w:val="center"/>
          </w:tcPr>
          <w:p w14:paraId="398328F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1C05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04" w:type="dxa"/>
            <w:noWrap w:val="0"/>
            <w:vAlign w:val="center"/>
          </w:tcPr>
          <w:p w14:paraId="26AD829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910" w:type="dxa"/>
            <w:noWrap w:val="0"/>
            <w:vAlign w:val="center"/>
          </w:tcPr>
          <w:p w14:paraId="0063E8B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2C10EE2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rPr>
              <w:t>元/米</w:t>
            </w:r>
          </w:p>
        </w:tc>
        <w:tc>
          <w:tcPr>
            <w:tcW w:w="2545" w:type="dxa"/>
            <w:noWrap w:val="0"/>
            <w:vAlign w:val="center"/>
          </w:tcPr>
          <w:p w14:paraId="1BE0AE59">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污水管道清淤疏通DN800及以上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260" w:type="dxa"/>
            <w:vMerge w:val="continue"/>
            <w:noWrap w:val="0"/>
            <w:vAlign w:val="center"/>
          </w:tcPr>
          <w:p w14:paraId="707F921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09C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3BD1DE1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DN300管道整体内衬修复（光固化）</w:t>
            </w:r>
          </w:p>
        </w:tc>
        <w:tc>
          <w:tcPr>
            <w:tcW w:w="910" w:type="dxa"/>
            <w:noWrap w:val="0"/>
            <w:vAlign w:val="center"/>
          </w:tcPr>
          <w:p w14:paraId="71DA967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3753AA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837</w:t>
            </w:r>
            <w:r>
              <w:rPr>
                <w:rFonts w:hint="eastAsia" w:ascii="仿宋" w:hAnsi="仿宋" w:eastAsia="仿宋" w:cs="仿宋"/>
                <w:color w:val="auto"/>
                <w:sz w:val="24"/>
                <w:szCs w:val="24"/>
                <w:highlight w:val="none"/>
              </w:rPr>
              <w:t>元/米</w:t>
            </w:r>
          </w:p>
        </w:tc>
        <w:tc>
          <w:tcPr>
            <w:tcW w:w="2545" w:type="dxa"/>
            <w:noWrap w:val="0"/>
            <w:vAlign w:val="center"/>
          </w:tcPr>
          <w:p w14:paraId="712F86E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EEAF20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DDA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6FB431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DN400管道整体内衬修复（光固化）</w:t>
            </w:r>
          </w:p>
        </w:tc>
        <w:tc>
          <w:tcPr>
            <w:tcW w:w="910" w:type="dxa"/>
            <w:noWrap w:val="0"/>
            <w:vAlign w:val="center"/>
          </w:tcPr>
          <w:p w14:paraId="76075FC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06BF5B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1012</w:t>
            </w:r>
            <w:r>
              <w:rPr>
                <w:rFonts w:hint="eastAsia" w:ascii="仿宋" w:hAnsi="仿宋" w:eastAsia="仿宋" w:cs="仿宋"/>
                <w:color w:val="auto"/>
                <w:sz w:val="24"/>
                <w:szCs w:val="24"/>
                <w:highlight w:val="none"/>
              </w:rPr>
              <w:t>元/米</w:t>
            </w:r>
          </w:p>
        </w:tc>
        <w:tc>
          <w:tcPr>
            <w:tcW w:w="2545" w:type="dxa"/>
            <w:noWrap w:val="0"/>
            <w:vAlign w:val="center"/>
          </w:tcPr>
          <w:p w14:paraId="62EA126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71E01C0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CA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204" w:type="dxa"/>
            <w:noWrap w:val="0"/>
            <w:vAlign w:val="center"/>
          </w:tcPr>
          <w:p w14:paraId="019E36F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DN500管道整体内衬修复（光固化）</w:t>
            </w:r>
          </w:p>
        </w:tc>
        <w:tc>
          <w:tcPr>
            <w:tcW w:w="910" w:type="dxa"/>
            <w:noWrap w:val="0"/>
            <w:vAlign w:val="center"/>
          </w:tcPr>
          <w:p w14:paraId="50D7953D">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4FFCD80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1186</w:t>
            </w:r>
            <w:r>
              <w:rPr>
                <w:rFonts w:hint="eastAsia" w:ascii="仿宋" w:hAnsi="仿宋" w:eastAsia="仿宋" w:cs="仿宋"/>
                <w:color w:val="auto"/>
                <w:sz w:val="24"/>
                <w:szCs w:val="24"/>
                <w:highlight w:val="none"/>
              </w:rPr>
              <w:t>元/米</w:t>
            </w:r>
          </w:p>
        </w:tc>
        <w:tc>
          <w:tcPr>
            <w:tcW w:w="2545" w:type="dxa"/>
            <w:noWrap w:val="0"/>
            <w:vAlign w:val="center"/>
          </w:tcPr>
          <w:p w14:paraId="626926D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0495781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A88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61F5DFF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DN600管道整体内衬修复（光固化）</w:t>
            </w:r>
          </w:p>
        </w:tc>
        <w:tc>
          <w:tcPr>
            <w:tcW w:w="910" w:type="dxa"/>
            <w:noWrap w:val="0"/>
            <w:vAlign w:val="center"/>
          </w:tcPr>
          <w:p w14:paraId="666F996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58AFC1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1361</w:t>
            </w:r>
            <w:r>
              <w:rPr>
                <w:rFonts w:hint="eastAsia" w:ascii="仿宋" w:hAnsi="仿宋" w:eastAsia="仿宋" w:cs="仿宋"/>
                <w:color w:val="auto"/>
                <w:sz w:val="24"/>
                <w:szCs w:val="24"/>
                <w:highlight w:val="none"/>
              </w:rPr>
              <w:t>元/米</w:t>
            </w:r>
          </w:p>
        </w:tc>
        <w:tc>
          <w:tcPr>
            <w:tcW w:w="2545" w:type="dxa"/>
            <w:noWrap w:val="0"/>
            <w:vAlign w:val="center"/>
          </w:tcPr>
          <w:p w14:paraId="77FE5D8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E6BB6A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407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204" w:type="dxa"/>
            <w:noWrap w:val="0"/>
            <w:vAlign w:val="center"/>
          </w:tcPr>
          <w:p w14:paraId="66FD73D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DN800管道整体内衬修复（光固化）</w:t>
            </w:r>
          </w:p>
        </w:tc>
        <w:tc>
          <w:tcPr>
            <w:tcW w:w="910" w:type="dxa"/>
            <w:noWrap w:val="0"/>
            <w:vAlign w:val="center"/>
          </w:tcPr>
          <w:p w14:paraId="34675F7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B163E9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2088</w:t>
            </w:r>
            <w:r>
              <w:rPr>
                <w:rFonts w:hint="eastAsia" w:ascii="仿宋" w:hAnsi="仿宋" w:eastAsia="仿宋" w:cs="仿宋"/>
                <w:color w:val="auto"/>
                <w:sz w:val="24"/>
                <w:szCs w:val="24"/>
                <w:highlight w:val="none"/>
              </w:rPr>
              <w:t>元/米</w:t>
            </w:r>
          </w:p>
        </w:tc>
        <w:tc>
          <w:tcPr>
            <w:tcW w:w="2545" w:type="dxa"/>
            <w:noWrap w:val="0"/>
            <w:vAlign w:val="center"/>
          </w:tcPr>
          <w:p w14:paraId="79A4264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6D463F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8C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C1D7244">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DN1000管道整体内衬修复（光固化）</w:t>
            </w:r>
          </w:p>
        </w:tc>
        <w:tc>
          <w:tcPr>
            <w:tcW w:w="910" w:type="dxa"/>
            <w:noWrap w:val="0"/>
            <w:vAlign w:val="center"/>
          </w:tcPr>
          <w:p w14:paraId="2A59CE8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E8DB5A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2750</w:t>
            </w:r>
            <w:r>
              <w:rPr>
                <w:rFonts w:hint="eastAsia" w:ascii="仿宋" w:hAnsi="仿宋" w:eastAsia="仿宋" w:cs="仿宋"/>
                <w:color w:val="auto"/>
                <w:sz w:val="24"/>
                <w:szCs w:val="24"/>
                <w:highlight w:val="none"/>
              </w:rPr>
              <w:t>元/米</w:t>
            </w:r>
          </w:p>
        </w:tc>
        <w:tc>
          <w:tcPr>
            <w:tcW w:w="2545" w:type="dxa"/>
            <w:noWrap w:val="0"/>
            <w:vAlign w:val="center"/>
          </w:tcPr>
          <w:p w14:paraId="465F6A5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34E32BF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675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56D303D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DN300管道局部内衬修复</w:t>
            </w:r>
          </w:p>
        </w:tc>
        <w:tc>
          <w:tcPr>
            <w:tcW w:w="910" w:type="dxa"/>
            <w:noWrap w:val="0"/>
            <w:vAlign w:val="center"/>
          </w:tcPr>
          <w:p w14:paraId="272A86B0">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7754776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2116</w:t>
            </w:r>
            <w:r>
              <w:rPr>
                <w:rFonts w:hint="eastAsia" w:ascii="仿宋" w:hAnsi="仿宋" w:eastAsia="仿宋" w:cs="仿宋"/>
                <w:color w:val="auto"/>
                <w:sz w:val="24"/>
                <w:szCs w:val="24"/>
                <w:highlight w:val="none"/>
              </w:rPr>
              <w:t>元/米</w:t>
            </w:r>
          </w:p>
        </w:tc>
        <w:tc>
          <w:tcPr>
            <w:tcW w:w="2545" w:type="dxa"/>
            <w:noWrap w:val="0"/>
            <w:vAlign w:val="center"/>
          </w:tcPr>
          <w:p w14:paraId="2DF8390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C6CFEC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B36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271FE0C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DN400管道局部内衬修复</w:t>
            </w:r>
          </w:p>
        </w:tc>
        <w:tc>
          <w:tcPr>
            <w:tcW w:w="910" w:type="dxa"/>
            <w:noWrap w:val="0"/>
            <w:vAlign w:val="center"/>
          </w:tcPr>
          <w:p w14:paraId="5B72A456">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56B083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2392</w:t>
            </w:r>
            <w:r>
              <w:rPr>
                <w:rFonts w:hint="eastAsia" w:ascii="仿宋" w:hAnsi="仿宋" w:eastAsia="仿宋" w:cs="仿宋"/>
                <w:color w:val="auto"/>
                <w:sz w:val="24"/>
                <w:szCs w:val="24"/>
                <w:highlight w:val="none"/>
              </w:rPr>
              <w:t>元/米</w:t>
            </w:r>
          </w:p>
        </w:tc>
        <w:tc>
          <w:tcPr>
            <w:tcW w:w="2545" w:type="dxa"/>
            <w:noWrap w:val="0"/>
            <w:vAlign w:val="center"/>
          </w:tcPr>
          <w:p w14:paraId="1D3BDBB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B0FC1D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4E0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596568F4">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DN500管道局部内衬修复</w:t>
            </w:r>
          </w:p>
        </w:tc>
        <w:tc>
          <w:tcPr>
            <w:tcW w:w="910" w:type="dxa"/>
            <w:noWrap w:val="0"/>
            <w:vAlign w:val="center"/>
          </w:tcPr>
          <w:p w14:paraId="3F4490E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489FAC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2760</w:t>
            </w:r>
            <w:r>
              <w:rPr>
                <w:rFonts w:hint="eastAsia" w:ascii="仿宋" w:hAnsi="仿宋" w:eastAsia="仿宋" w:cs="仿宋"/>
                <w:color w:val="auto"/>
                <w:sz w:val="24"/>
                <w:szCs w:val="24"/>
                <w:highlight w:val="none"/>
              </w:rPr>
              <w:t>元/米</w:t>
            </w:r>
          </w:p>
        </w:tc>
        <w:tc>
          <w:tcPr>
            <w:tcW w:w="2545" w:type="dxa"/>
            <w:noWrap w:val="0"/>
            <w:vAlign w:val="center"/>
          </w:tcPr>
          <w:p w14:paraId="41FFD85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0E58394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E91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23E842F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DN600管道局部内衬修复</w:t>
            </w:r>
          </w:p>
        </w:tc>
        <w:tc>
          <w:tcPr>
            <w:tcW w:w="910" w:type="dxa"/>
            <w:noWrap w:val="0"/>
            <w:vAlign w:val="center"/>
          </w:tcPr>
          <w:p w14:paraId="215F009E">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2F7FC1A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3054</w:t>
            </w:r>
            <w:r>
              <w:rPr>
                <w:rFonts w:hint="eastAsia" w:ascii="仿宋" w:hAnsi="仿宋" w:eastAsia="仿宋" w:cs="仿宋"/>
                <w:color w:val="auto"/>
                <w:sz w:val="24"/>
                <w:szCs w:val="24"/>
                <w:highlight w:val="none"/>
              </w:rPr>
              <w:t>元/米</w:t>
            </w:r>
          </w:p>
        </w:tc>
        <w:tc>
          <w:tcPr>
            <w:tcW w:w="2545" w:type="dxa"/>
            <w:noWrap w:val="0"/>
            <w:vAlign w:val="center"/>
          </w:tcPr>
          <w:p w14:paraId="124EA32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CC2F60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98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04" w:type="dxa"/>
            <w:noWrap w:val="0"/>
            <w:vAlign w:val="center"/>
          </w:tcPr>
          <w:p w14:paraId="7781F5E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DN800管道局部内衬修复</w:t>
            </w:r>
          </w:p>
        </w:tc>
        <w:tc>
          <w:tcPr>
            <w:tcW w:w="910" w:type="dxa"/>
            <w:noWrap w:val="0"/>
            <w:vAlign w:val="center"/>
          </w:tcPr>
          <w:p w14:paraId="2D83D773">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7D807FF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4784</w:t>
            </w:r>
            <w:r>
              <w:rPr>
                <w:rFonts w:hint="eastAsia" w:ascii="仿宋" w:hAnsi="仿宋" w:eastAsia="仿宋" w:cs="仿宋"/>
                <w:color w:val="auto"/>
                <w:sz w:val="24"/>
                <w:szCs w:val="24"/>
                <w:highlight w:val="none"/>
              </w:rPr>
              <w:t>元/米</w:t>
            </w:r>
          </w:p>
        </w:tc>
        <w:tc>
          <w:tcPr>
            <w:tcW w:w="2545" w:type="dxa"/>
            <w:noWrap w:val="0"/>
            <w:vAlign w:val="center"/>
          </w:tcPr>
          <w:p w14:paraId="7BB3986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2620F58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0B8B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4" w:type="dxa"/>
            <w:noWrap w:val="0"/>
            <w:vAlign w:val="center"/>
          </w:tcPr>
          <w:p w14:paraId="0D03B05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DN1000管道局部内衬修复</w:t>
            </w:r>
          </w:p>
        </w:tc>
        <w:tc>
          <w:tcPr>
            <w:tcW w:w="910" w:type="dxa"/>
            <w:noWrap w:val="0"/>
            <w:vAlign w:val="center"/>
          </w:tcPr>
          <w:p w14:paraId="631F20FB">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A33E42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5142</w:t>
            </w:r>
            <w:r>
              <w:rPr>
                <w:rFonts w:hint="eastAsia" w:ascii="仿宋" w:hAnsi="仿宋" w:eastAsia="仿宋" w:cs="仿宋"/>
                <w:color w:val="auto"/>
                <w:sz w:val="24"/>
                <w:szCs w:val="24"/>
                <w:highlight w:val="none"/>
              </w:rPr>
              <w:t>元/米</w:t>
            </w:r>
          </w:p>
        </w:tc>
        <w:tc>
          <w:tcPr>
            <w:tcW w:w="2545" w:type="dxa"/>
            <w:noWrap w:val="0"/>
            <w:vAlign w:val="center"/>
          </w:tcPr>
          <w:p w14:paraId="117BCBC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45022E4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216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1506BCE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DN1200管道局部内衬修复</w:t>
            </w:r>
          </w:p>
        </w:tc>
        <w:tc>
          <w:tcPr>
            <w:tcW w:w="910" w:type="dxa"/>
            <w:noWrap w:val="0"/>
            <w:vAlign w:val="center"/>
          </w:tcPr>
          <w:p w14:paraId="1C459C45">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48C87D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6338</w:t>
            </w:r>
            <w:r>
              <w:rPr>
                <w:rFonts w:hint="eastAsia" w:ascii="仿宋" w:hAnsi="仿宋" w:eastAsia="仿宋" w:cs="仿宋"/>
                <w:color w:val="auto"/>
                <w:sz w:val="24"/>
                <w:szCs w:val="24"/>
                <w:highlight w:val="none"/>
              </w:rPr>
              <w:t>元/米</w:t>
            </w:r>
          </w:p>
        </w:tc>
        <w:tc>
          <w:tcPr>
            <w:tcW w:w="2545" w:type="dxa"/>
            <w:noWrap w:val="0"/>
            <w:vAlign w:val="center"/>
          </w:tcPr>
          <w:p w14:paraId="13D7C42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2D6C82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1931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62EFB4E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DN300管道胀管修复</w:t>
            </w:r>
          </w:p>
        </w:tc>
        <w:tc>
          <w:tcPr>
            <w:tcW w:w="910" w:type="dxa"/>
            <w:noWrap w:val="0"/>
            <w:vAlign w:val="center"/>
          </w:tcPr>
          <w:p w14:paraId="169B611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06707C6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2171</w:t>
            </w:r>
            <w:r>
              <w:rPr>
                <w:rFonts w:hint="eastAsia" w:ascii="仿宋" w:hAnsi="仿宋" w:eastAsia="仿宋" w:cs="仿宋"/>
                <w:color w:val="auto"/>
                <w:sz w:val="24"/>
                <w:szCs w:val="24"/>
                <w:highlight w:val="none"/>
              </w:rPr>
              <w:t>元/米</w:t>
            </w:r>
          </w:p>
        </w:tc>
        <w:tc>
          <w:tcPr>
            <w:tcW w:w="2545" w:type="dxa"/>
            <w:noWrap w:val="0"/>
            <w:vAlign w:val="center"/>
          </w:tcPr>
          <w:p w14:paraId="064F6E9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BD8D7C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D1B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0516768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DN400管道胀管修复</w:t>
            </w:r>
          </w:p>
        </w:tc>
        <w:tc>
          <w:tcPr>
            <w:tcW w:w="910" w:type="dxa"/>
            <w:noWrap w:val="0"/>
            <w:vAlign w:val="center"/>
          </w:tcPr>
          <w:p w14:paraId="1CB6F31B">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01358F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2520</w:t>
            </w:r>
            <w:r>
              <w:rPr>
                <w:rFonts w:hint="eastAsia" w:ascii="仿宋" w:hAnsi="仿宋" w:eastAsia="仿宋" w:cs="仿宋"/>
                <w:color w:val="auto"/>
                <w:sz w:val="24"/>
                <w:szCs w:val="24"/>
                <w:highlight w:val="none"/>
              </w:rPr>
              <w:t>元/米</w:t>
            </w:r>
          </w:p>
        </w:tc>
        <w:tc>
          <w:tcPr>
            <w:tcW w:w="2545" w:type="dxa"/>
            <w:noWrap w:val="0"/>
            <w:vAlign w:val="center"/>
          </w:tcPr>
          <w:p w14:paraId="5691D7E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536511A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C2B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36251CB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DN500管道胀管修复</w:t>
            </w:r>
          </w:p>
        </w:tc>
        <w:tc>
          <w:tcPr>
            <w:tcW w:w="910" w:type="dxa"/>
            <w:noWrap w:val="0"/>
            <w:vAlign w:val="center"/>
          </w:tcPr>
          <w:p w14:paraId="5C6DBA83">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4FCDD9E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2925</w:t>
            </w:r>
            <w:r>
              <w:rPr>
                <w:rFonts w:hint="eastAsia" w:ascii="仿宋" w:hAnsi="仿宋" w:eastAsia="仿宋" w:cs="仿宋"/>
                <w:color w:val="auto"/>
                <w:sz w:val="24"/>
                <w:szCs w:val="24"/>
                <w:highlight w:val="none"/>
              </w:rPr>
              <w:t>元/米</w:t>
            </w:r>
          </w:p>
        </w:tc>
        <w:tc>
          <w:tcPr>
            <w:tcW w:w="2545" w:type="dxa"/>
            <w:noWrap w:val="0"/>
            <w:vAlign w:val="center"/>
          </w:tcPr>
          <w:p w14:paraId="59C85E2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0C961C1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EE1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FD7BEB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DN600管道胀管修复</w:t>
            </w:r>
          </w:p>
        </w:tc>
        <w:tc>
          <w:tcPr>
            <w:tcW w:w="910" w:type="dxa"/>
            <w:noWrap w:val="0"/>
            <w:vAlign w:val="center"/>
          </w:tcPr>
          <w:p w14:paraId="6B318BFC">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7D64A05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3229</w:t>
            </w:r>
            <w:r>
              <w:rPr>
                <w:rFonts w:hint="eastAsia" w:ascii="仿宋" w:hAnsi="仿宋" w:eastAsia="仿宋" w:cs="仿宋"/>
                <w:color w:val="auto"/>
                <w:sz w:val="24"/>
                <w:szCs w:val="24"/>
                <w:highlight w:val="none"/>
              </w:rPr>
              <w:t>元/米</w:t>
            </w:r>
          </w:p>
        </w:tc>
        <w:tc>
          <w:tcPr>
            <w:tcW w:w="2545" w:type="dxa"/>
            <w:noWrap w:val="0"/>
            <w:vAlign w:val="center"/>
          </w:tcPr>
          <w:p w14:paraId="413FBD0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F85CA3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69D8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505" w:type="dxa"/>
            <w:gridSpan w:val="4"/>
            <w:noWrap w:val="0"/>
            <w:vAlign w:val="center"/>
          </w:tcPr>
          <w:p w14:paraId="591D97F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lang w:val="en-US" w:eastAsia="zh-CN"/>
              </w:rPr>
              <w:t>服务限额390万元。若在服务周期内，成交人合计已承接项目的预算价总额达到390万元即提前终止合同</w:t>
            </w:r>
          </w:p>
        </w:tc>
        <w:tc>
          <w:tcPr>
            <w:tcW w:w="1260" w:type="dxa"/>
            <w:vMerge w:val="continue"/>
            <w:noWrap w:val="0"/>
            <w:vAlign w:val="center"/>
          </w:tcPr>
          <w:p w14:paraId="5F9BCB0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bl>
    <w:p w14:paraId="01998029">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p w14:paraId="57FC3901">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1）以上管道检测、疏通、清淤</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检查井清捞</w:t>
      </w:r>
      <w:r>
        <w:rPr>
          <w:rFonts w:hint="eastAsia" w:ascii="仿宋" w:hAnsi="仿宋" w:eastAsia="仿宋" w:cs="仿宋"/>
          <w:color w:val="auto"/>
          <w:kern w:val="0"/>
          <w:sz w:val="24"/>
          <w:szCs w:val="24"/>
          <w:lang w:eastAsia="zh-CN"/>
        </w:rPr>
        <w:t>及维修价格包含施工涉及的交改、城管等行政审批</w:t>
      </w:r>
      <w:r>
        <w:rPr>
          <w:rFonts w:hint="eastAsia" w:ascii="仿宋" w:hAnsi="仿宋" w:eastAsia="仿宋" w:cs="仿宋"/>
          <w:color w:val="auto"/>
          <w:kern w:val="0"/>
          <w:sz w:val="24"/>
          <w:szCs w:val="24"/>
          <w:lang w:val="en-US" w:eastAsia="zh-CN"/>
        </w:rPr>
        <w:t>及施工产生的噪音、扬尘等环境影响控制措施费用</w:t>
      </w:r>
      <w:r>
        <w:rPr>
          <w:rFonts w:hint="eastAsia" w:ascii="仿宋" w:hAnsi="仿宋" w:eastAsia="仿宋" w:cs="仿宋"/>
          <w:color w:val="auto"/>
          <w:kern w:val="0"/>
          <w:sz w:val="24"/>
          <w:szCs w:val="24"/>
          <w:lang w:eastAsia="zh-CN"/>
        </w:rPr>
        <w:t>。</w:t>
      </w:r>
    </w:p>
    <w:p w14:paraId="39938618">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2）其中疏通项目均含：围护、临排、封堵、水冲、清捞（管内或井下所有垃圾、淤泥等）、清除、检测(特指清淤后的取样验收）、淤泥运输和处置整个过程的所有费用(淤泥处置去向均由</w:t>
      </w:r>
      <w:r>
        <w:rPr>
          <w:rFonts w:hint="eastAsia" w:ascii="仿宋" w:hAnsi="仿宋" w:eastAsia="仿宋" w:cs="仿宋"/>
          <w:color w:val="auto"/>
          <w:kern w:val="0"/>
          <w:sz w:val="24"/>
          <w:szCs w:val="24"/>
          <w:lang w:val="en-US" w:eastAsia="zh-CN"/>
        </w:rPr>
        <w:t>成交</w:t>
      </w:r>
      <w:r>
        <w:rPr>
          <w:rFonts w:hint="eastAsia" w:ascii="仿宋" w:hAnsi="仿宋" w:eastAsia="仿宋" w:cs="仿宋"/>
          <w:color w:val="auto"/>
          <w:kern w:val="0"/>
          <w:sz w:val="24"/>
          <w:szCs w:val="24"/>
        </w:rPr>
        <w:t>方落实和</w:t>
      </w:r>
      <w:r>
        <w:rPr>
          <w:rFonts w:hint="eastAsia" w:ascii="仿宋" w:hAnsi="仿宋" w:eastAsia="仿宋" w:cs="仿宋"/>
          <w:color w:val="auto"/>
          <w:kern w:val="0"/>
          <w:sz w:val="24"/>
          <w:szCs w:val="24"/>
          <w:lang w:val="en-US" w:eastAsia="zh-CN"/>
        </w:rPr>
        <w:t>交易发起人</w:t>
      </w:r>
      <w:r>
        <w:rPr>
          <w:rFonts w:hint="eastAsia" w:ascii="仿宋" w:hAnsi="仿宋" w:eastAsia="仿宋" w:cs="仿宋"/>
          <w:color w:val="auto"/>
          <w:kern w:val="0"/>
          <w:sz w:val="24"/>
          <w:szCs w:val="24"/>
        </w:rPr>
        <w:t>无关)；</w:t>
      </w:r>
    </w:p>
    <w:p w14:paraId="63422FAD">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
          <w:bCs/>
          <w:color w:val="FF0000"/>
          <w:kern w:val="0"/>
          <w:sz w:val="24"/>
          <w:szCs w:val="24"/>
          <w:u w:val="none"/>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lang w:val="en-US" w:eastAsia="zh-CN"/>
        </w:rPr>
        <w:t>本项目按优惠率报价</w:t>
      </w:r>
      <w:r>
        <w:rPr>
          <w:rFonts w:hint="eastAsia" w:ascii="仿宋" w:hAnsi="仿宋" w:eastAsia="仿宋" w:cs="仿宋"/>
          <w:b/>
          <w:bCs/>
          <w:color w:val="auto"/>
          <w:kern w:val="0"/>
          <w:sz w:val="24"/>
          <w:szCs w:val="24"/>
          <w:u w:val="none"/>
          <w:lang w:val="en-US" w:eastAsia="zh-CN"/>
        </w:rPr>
        <w:t>，结算时各单项价格统一按优惠率计取。若投标单位报价清单中单项报价高于最高限价单价时，作无效标处理。</w:t>
      </w:r>
    </w:p>
    <w:p w14:paraId="7BB581B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）上述控制价均含税金，结算时，按照工程类项目开具相应税点的增值税专用发票</w:t>
      </w:r>
      <w:r>
        <w:rPr>
          <w:rFonts w:hint="eastAsia" w:ascii="仿宋" w:hAnsi="仿宋" w:eastAsia="仿宋" w:cs="仿宋"/>
          <w:color w:val="auto"/>
          <w:kern w:val="0"/>
          <w:sz w:val="24"/>
          <w:szCs w:val="24"/>
          <w:lang w:eastAsia="zh-CN"/>
        </w:rPr>
        <w:t>；</w:t>
      </w:r>
    </w:p>
    <w:p w14:paraId="76ED0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在合同履行期间，乙方承诺的投标综合单价不因市场因素、政策因素、</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的变动而调整，同时甲方有权对服务项目的数量进行删减或增加。如服务项目内的</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发生变化的，按实际数量相应调整。</w:t>
      </w:r>
    </w:p>
    <w:p w14:paraId="17D22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6）实际施工中涉及到本次招标服务中未考虑到的项目单价，</w:t>
      </w:r>
      <w:r>
        <w:rPr>
          <w:rFonts w:hint="eastAsia" w:ascii="仿宋" w:hAnsi="仿宋" w:eastAsia="仿宋" w:cs="仿宋"/>
          <w:b/>
          <w:bCs/>
          <w:color w:val="auto"/>
          <w:sz w:val="24"/>
          <w:szCs w:val="24"/>
          <w:highlight w:val="none"/>
          <w:lang w:val="en-US" w:eastAsia="zh-CN"/>
        </w:rPr>
        <w:t>服务中未考虑到的项目单价，根据业主签证实际工作内容组价，工程量按实结算，优惠率参照本次中标优惠率。</w:t>
      </w:r>
    </w:p>
    <w:p w14:paraId="317CE9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7）其中关于光固化的施工需采购间苯新戊二醇型树脂或更好树脂，禁止采用邻苯型不饱和聚酯树脂。</w:t>
      </w:r>
    </w:p>
    <w:p w14:paraId="52D17ED9">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四</w:t>
      </w:r>
      <w:r>
        <w:rPr>
          <w:rFonts w:hint="eastAsia" w:ascii="仿宋" w:hAnsi="仿宋" w:eastAsia="仿宋" w:cs="仿宋"/>
          <w:b/>
          <w:bCs/>
          <w:color w:val="auto"/>
          <w:kern w:val="0"/>
          <w:sz w:val="24"/>
          <w:szCs w:val="24"/>
        </w:rPr>
        <w:t>、参照标准排水管道检测需要遵循以下各项要求：</w:t>
      </w:r>
    </w:p>
    <w:p w14:paraId="05969C2D">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1、《城镇排水管道检测与评估技术规程》CJJ181-2012；</w:t>
      </w:r>
    </w:p>
    <w:p w14:paraId="046FB9CA">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2、《城镇排水管道维护安全技术规程》CJJ6；</w:t>
      </w:r>
    </w:p>
    <w:p w14:paraId="35ED5EFC">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3、《城镇排水管道非开挖修复更新工程技术规程》CJJ/T 210-2014；</w:t>
      </w:r>
    </w:p>
    <w:p w14:paraId="31D255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4、《爆炸性气体环境用电气设备》GB3836；</w:t>
      </w:r>
    </w:p>
    <w:p w14:paraId="3E9582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5、《城镇排水管渠与泵站维护技术规程》CJJ68；</w:t>
      </w:r>
    </w:p>
    <w:p w14:paraId="09C0DD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6、《建设工程文件归档整理规范》GB/T50328；</w:t>
      </w:r>
    </w:p>
    <w:p w14:paraId="212F54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7、《城市地下管线探测技术规程》CJJ68-2007；</w:t>
      </w:r>
    </w:p>
    <w:p w14:paraId="408BD5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8、《中华人民共和国道路交通安全法》</w:t>
      </w:r>
    </w:p>
    <w:p w14:paraId="41BA25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9、其它相关的行业、地方、或者厂矿单位的法规、规程、规定及要求。</w:t>
      </w:r>
    </w:p>
    <w:p w14:paraId="42069FD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五</w:t>
      </w:r>
      <w:r>
        <w:rPr>
          <w:rFonts w:hint="eastAsia" w:ascii="仿宋" w:hAnsi="仿宋" w:eastAsia="仿宋" w:cs="仿宋"/>
          <w:b/>
          <w:bCs/>
          <w:color w:val="auto"/>
          <w:kern w:val="0"/>
          <w:sz w:val="24"/>
          <w:szCs w:val="24"/>
        </w:rPr>
        <w:t>、具体要求</w:t>
      </w:r>
    </w:p>
    <w:p w14:paraId="6AA151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1、管道CCTV检测工作范围：</w:t>
      </w:r>
    </w:p>
    <w:p w14:paraId="06E6A9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1.1进行环境保护的污水泄漏检测；</w:t>
      </w:r>
    </w:p>
    <w:p w14:paraId="671221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1.2管路淤积、排水不畅等原因的调查；</w:t>
      </w:r>
    </w:p>
    <w:p w14:paraId="4B8C5C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1.3可直接排放污水与须处理污水的合流情况检测；</w:t>
      </w:r>
    </w:p>
    <w:p w14:paraId="078F41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1.4管道的腐蚀、破损、接口错位、淤积、结垢等运行状况的检测；</w:t>
      </w:r>
    </w:p>
    <w:p w14:paraId="697AF7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1.5查找因排水系统或基建施工而找不到的检修井或去向不明管段；</w:t>
      </w:r>
    </w:p>
    <w:p w14:paraId="488695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1.6堵塞管道的清淤，含淤泥外运和处置；</w:t>
      </w:r>
    </w:p>
    <w:p w14:paraId="2DFCBE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1.7工作范围包含抽水、气囊封堵。</w:t>
      </w:r>
    </w:p>
    <w:p w14:paraId="6138D4A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 管道CCTV检测要求：</w:t>
      </w:r>
    </w:p>
    <w:p w14:paraId="415D34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 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检测任务较简单及工作量较小时，上述程序可酌情简化。</w:t>
      </w:r>
    </w:p>
    <w:p w14:paraId="3DB0AB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 管道检测前应搜集如下资料：</w:t>
      </w:r>
    </w:p>
    <w:p w14:paraId="0C2CF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2.2.1 已有排水管线图；</w:t>
      </w:r>
    </w:p>
    <w:p w14:paraId="5AF8DA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2.2.2 管道的竣工图或施工图等技术资料；</w:t>
      </w:r>
    </w:p>
    <w:p w14:paraId="7C4FA1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2.2.3 已有管道检测资料；</w:t>
      </w:r>
    </w:p>
    <w:p w14:paraId="63ECCA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2.2.4 评估所需的相关资料。</w:t>
      </w:r>
    </w:p>
    <w:p w14:paraId="5FE00A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 现场踏勘应包括下列内容：</w:t>
      </w:r>
    </w:p>
    <w:p w14:paraId="15913F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2.3.1 察看测区的地物、地貌、交通和管道分布情况；</w:t>
      </w:r>
    </w:p>
    <w:p w14:paraId="40D3CF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2.3.2 开井目视检查管道的水位、淤泥和井内构造等情况；</w:t>
      </w:r>
    </w:p>
    <w:p w14:paraId="464F41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2.3.3 核对所搜集资料中的人井位置、管位、管径、材质等。</w:t>
      </w:r>
    </w:p>
    <w:p w14:paraId="7CD0E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 技术检测方案应包括下列内容：</w:t>
      </w:r>
    </w:p>
    <w:p w14:paraId="3ACD27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2.4.1 检测任务的委托方、施工方，检测任务、目的和工期要求；</w:t>
      </w:r>
    </w:p>
    <w:p w14:paraId="2823D9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2.4.2 管道概况、现场交通条件及对已有资料的分析；</w:t>
      </w:r>
    </w:p>
    <w:p w14:paraId="128F8B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2.4.3 技术方案(包括管道检测及预处理)；</w:t>
      </w:r>
    </w:p>
    <w:p w14:paraId="2DC9D4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2.4.4 作业质量、健康、安全、交通组织、环保等保证体系与具体措施；</w:t>
      </w:r>
    </w:p>
    <w:p w14:paraId="78301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2.4.5 可能存在的问题和对策；</w:t>
      </w:r>
    </w:p>
    <w:p w14:paraId="1FD5AD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2.4.6 工作量估算及工作进度计划；</w:t>
      </w:r>
    </w:p>
    <w:p w14:paraId="337F49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2.4.7 人员组织、设备、材料计划；</w:t>
      </w:r>
    </w:p>
    <w:p w14:paraId="1E12F1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2.4.8 拟提交的成果资料。</w:t>
      </w:r>
    </w:p>
    <w:p w14:paraId="7EF66E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 现场管道检测应包括下列内容：</w:t>
      </w:r>
    </w:p>
    <w:p w14:paraId="1C57F9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2.5.1 设立施工现场围栏和安全标志，必要时须按道路交通管理部门的指示封闭道路后再作业；</w:t>
      </w:r>
    </w:p>
    <w:p w14:paraId="5F7B49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2.5.2 管道预处理，如封堵、吸污、清洗、抽水等；</w:t>
      </w:r>
    </w:p>
    <w:p w14:paraId="2668BA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2.5.3 仪器设备自检；</w:t>
      </w:r>
    </w:p>
    <w:p w14:paraId="773A87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2.5.4 管道实地检测与初步判读。对发现的重大缺陷问题应及时报知委托方或委托方指定的现场监理；</w:t>
      </w:r>
    </w:p>
    <w:p w14:paraId="3ED9E5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2.5.5 检测完成后应及时清理现场，保养设备。</w:t>
      </w:r>
    </w:p>
    <w:p w14:paraId="629969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 缺陷分布图的编绘应符合下列要求：</w:t>
      </w:r>
    </w:p>
    <w:p w14:paraId="22917F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14:paraId="21D60B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2.6.2 管道缺陷图上必须注明的缺陷要素包括：录像文件（带）编号、检测方向、缺陷位置、代码及照片编号、管径和相对距离等；</w:t>
      </w:r>
    </w:p>
    <w:p w14:paraId="2C3362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2.6.3 图上的代码和颜色应按本规程规定执行。</w:t>
      </w:r>
    </w:p>
    <w:p w14:paraId="68F1D5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 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14:paraId="6AE344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 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5A001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 管道检测成果资料应按档案管理中统一载体、装订规格的要求，分为文字、表、图和光盘（录象带）四大类进行编号和组卷。</w:t>
      </w:r>
    </w:p>
    <w:p w14:paraId="63C342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2.10 管道检测成果可置入数字市政系统，并建立动态管理机制。</w:t>
      </w:r>
    </w:p>
    <w:p w14:paraId="71D9A1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2.11 管道检测现场施工必须执行现行的行业标准《排水管道检测与修复安全技术规程》CJJ6的有关规定。</w:t>
      </w:r>
    </w:p>
    <w:p w14:paraId="518B6A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2.12  普查类检测项目的质量控制宜采用监理模式，现场监理应全程见证现场检测过程，并及时确认管道的重大缺陷。</w:t>
      </w:r>
    </w:p>
    <w:p w14:paraId="44018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 检测设备的技术要求</w:t>
      </w:r>
    </w:p>
    <w:p w14:paraId="79AE7A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2.13.1 摄像头高度可自由调整；爬行器的车轮直径大小或者轴间距可根据被检测管道的大小进行更换或调整；灯光强度能调节。</w:t>
      </w:r>
    </w:p>
    <w:p w14:paraId="255832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2.13.2 闭路电视系统和手持式电视检测系统的技术要求应符合下表的规定。</w:t>
      </w:r>
    </w:p>
    <w:p w14:paraId="21F8A236">
      <w:pPr>
        <w:keepNext w:val="0"/>
        <w:keepLines w:val="0"/>
        <w:pageBreakBefore w:val="0"/>
        <w:widowControl/>
        <w:kinsoku/>
        <w:wordWrap/>
        <w:overflowPunct/>
        <w:topLinePunct w:val="0"/>
        <w:autoSpaceDE/>
        <w:autoSpaceDN w:val="0"/>
        <w:bidi w:val="0"/>
        <w:snapToGrid/>
        <w:spacing w:line="360" w:lineRule="auto"/>
        <w:ind w:firstLine="482" w:firstLineChars="20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闭路电视检测系统摄像镜头主要技术指标要求</w:t>
      </w:r>
    </w:p>
    <w:tbl>
      <w:tblPr>
        <w:tblStyle w:val="18"/>
        <w:tblW w:w="0" w:type="auto"/>
        <w:jc w:val="center"/>
        <w:tblLayout w:type="fixed"/>
        <w:tblCellMar>
          <w:top w:w="0" w:type="dxa"/>
          <w:left w:w="108" w:type="dxa"/>
          <w:bottom w:w="0" w:type="dxa"/>
          <w:right w:w="108" w:type="dxa"/>
        </w:tblCellMar>
      </w:tblPr>
      <w:tblGrid>
        <w:gridCol w:w="1740"/>
        <w:gridCol w:w="3600"/>
        <w:gridCol w:w="3195"/>
      </w:tblGrid>
      <w:tr w14:paraId="670C12EE">
        <w:tblPrEx>
          <w:tblCellMar>
            <w:top w:w="0" w:type="dxa"/>
            <w:left w:w="108" w:type="dxa"/>
            <w:bottom w:w="0" w:type="dxa"/>
            <w:right w:w="108" w:type="dxa"/>
          </w:tblCellMar>
        </w:tblPrEx>
        <w:trPr>
          <w:trHeight w:val="567"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6AB48CF8">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  目</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1A3ACA49">
            <w:pPr>
              <w:keepNext w:val="0"/>
              <w:keepLines w:val="0"/>
              <w:pageBreakBefore w:val="0"/>
              <w:widowControl/>
              <w:kinsoku/>
              <w:wordWrap/>
              <w:overflowPunct/>
              <w:topLinePunct w:val="0"/>
              <w:autoSpaceDE/>
              <w:autoSpaceDN w:val="0"/>
              <w:bidi w:val="0"/>
              <w:adjustRightInd w:val="0"/>
              <w:snapToGrid/>
              <w:spacing w:line="360" w:lineRule="auto"/>
              <w:ind w:firstLine="482" w:firstLineChars="200"/>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技 术 指 标</w:t>
            </w:r>
          </w:p>
        </w:tc>
      </w:tr>
      <w:tr w14:paraId="7CE6D0FA">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6DF222D6">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镜头种类</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B4AB34D">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直视</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89B257C">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扫视与旋转</w:t>
            </w:r>
          </w:p>
        </w:tc>
      </w:tr>
      <w:tr w14:paraId="1785B214">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44CE5D23">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成像单元</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68E220A">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肌 CCD</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1A75931F">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肌 CCD</w:t>
            </w:r>
          </w:p>
        </w:tc>
      </w:tr>
      <w:tr w14:paraId="6EABDA87">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1A9E5869">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分辨率</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D1AC206">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像素512 x 492，水平≥330 TVL</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4D3916A6">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像素512 x 492，水平≥400 TVL</w:t>
            </w:r>
          </w:p>
        </w:tc>
      </w:tr>
      <w:tr w14:paraId="22B918E8">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23F65F2B">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灵敏度（最低感光度）</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43E60783">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≤1勒克斯（lux）</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39E759A9">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≤1勒克斯（lux）</w:t>
            </w:r>
          </w:p>
        </w:tc>
      </w:tr>
      <w:tr w14:paraId="04B1B0FE">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769B1CFB">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视角</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CE0D45C">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≥45度</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029A774F">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≥45度</w:t>
            </w:r>
          </w:p>
        </w:tc>
      </w:tr>
      <w:tr w14:paraId="1C64B4B2">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1FAFF017">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99053CF">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C876188">
            <w:pPr>
              <w:keepNext w:val="0"/>
              <w:keepLines w:val="0"/>
              <w:pageBreakBefore w:val="0"/>
              <w:widowControl/>
              <w:kinsoku/>
              <w:wordWrap/>
              <w:overflowPunct/>
              <w:topLinePunct w:val="0"/>
              <w:autoSpaceDE/>
              <w:autoSpaceDN w:val="0"/>
              <w:bidi w:val="0"/>
              <w:adjustRightInd w:val="0"/>
              <w:snapToGrid/>
              <w:spacing w:line="360" w:lineRule="auto"/>
              <w:ind w:firstLine="240" w:firstLineChars="1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扫视：210º，旋转：355º</w:t>
            </w:r>
          </w:p>
        </w:tc>
      </w:tr>
      <w:tr w14:paraId="45A7E924">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20BFB2EB">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防水性能</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EB523D1">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水下4bar</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D61856D">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水下1bar</w:t>
            </w:r>
          </w:p>
        </w:tc>
      </w:tr>
      <w:tr w14:paraId="0E6B469E">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5559F1F8">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监视器</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0907D98A">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p>
        </w:tc>
      </w:tr>
      <w:tr w14:paraId="62AF2B3A">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62B18891">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图像变形</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2ECD5648">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≤±5%</w:t>
            </w:r>
          </w:p>
        </w:tc>
      </w:tr>
      <w:tr w14:paraId="3C054EB7">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766239B1">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屏幕</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1F543B8F">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≥250mm（对角线）真彩色</w:t>
            </w:r>
          </w:p>
        </w:tc>
      </w:tr>
      <w:tr w14:paraId="6E9D92A4">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6022E6A0">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灯光</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0567E053">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≥1500坎德拉（cd）</w:t>
            </w:r>
          </w:p>
        </w:tc>
      </w:tr>
      <w:tr w14:paraId="7A32E5DA">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27249C85">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影象记录模式</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212A7DC1">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录像带或DVD光盘</w:t>
            </w:r>
          </w:p>
        </w:tc>
      </w:tr>
      <w:tr w14:paraId="45D79E46">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2F071267">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电缆抗拉强度</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55F97D51">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≥200千克力</w:t>
            </w:r>
          </w:p>
        </w:tc>
      </w:tr>
      <w:tr w14:paraId="6441A720">
        <w:tblPrEx>
          <w:tblCellMar>
            <w:top w:w="0" w:type="dxa"/>
            <w:left w:w="108" w:type="dxa"/>
            <w:bottom w:w="0" w:type="dxa"/>
            <w:right w:w="108" w:type="dxa"/>
          </w:tblCellMar>
        </w:tblPrEx>
        <w:trPr>
          <w:trHeight w:val="34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61AF8829">
            <w:pPr>
              <w:keepNext w:val="0"/>
              <w:keepLines w:val="0"/>
              <w:pageBreakBefore w:val="0"/>
              <w:widowControl/>
              <w:kinsoku/>
              <w:wordWrap/>
              <w:overflowPunct/>
              <w:topLinePunct w:val="0"/>
              <w:autoSpaceDE/>
              <w:autoSpaceDN w:val="0"/>
              <w:bidi w:val="0"/>
              <w:adjustRightInd w:val="0"/>
              <w:snapToGrid/>
              <w:spacing w:line="36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电缆长度</w:t>
            </w:r>
          </w:p>
        </w:tc>
        <w:tc>
          <w:tcPr>
            <w:tcW w:w="6795" w:type="dxa"/>
            <w:gridSpan w:val="2"/>
            <w:tcBorders>
              <w:top w:val="single" w:color="auto" w:sz="4" w:space="0"/>
              <w:left w:val="single" w:color="auto" w:sz="4" w:space="0"/>
              <w:bottom w:val="single" w:color="auto" w:sz="4" w:space="0"/>
              <w:right w:val="single" w:color="auto" w:sz="4" w:space="0"/>
            </w:tcBorders>
            <w:noWrap w:val="0"/>
            <w:vAlign w:val="center"/>
          </w:tcPr>
          <w:p w14:paraId="52695255">
            <w:pPr>
              <w:keepNext w:val="0"/>
              <w:keepLines w:val="0"/>
              <w:pageBreakBefore w:val="0"/>
              <w:widowControl/>
              <w:kinsoku/>
              <w:wordWrap/>
              <w:overflowPunct/>
              <w:topLinePunct w:val="0"/>
              <w:autoSpaceDE/>
              <w:autoSpaceDN w:val="0"/>
              <w:bidi w:val="0"/>
              <w:adjustRightInd w:val="0"/>
              <w:snapToGrid/>
              <w:spacing w:line="360" w:lineRule="auto"/>
              <w:ind w:firstLine="480" w:firstLineChars="20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推杆式≥30米，爬行器式≥120米</w:t>
            </w:r>
          </w:p>
        </w:tc>
      </w:tr>
    </w:tbl>
    <w:p w14:paraId="581D56C0">
      <w:pPr>
        <w:keepNext w:val="0"/>
        <w:keepLines w:val="0"/>
        <w:pageBreakBefore w:val="0"/>
        <w:kinsoku/>
        <w:wordWrap/>
        <w:overflowPunct/>
        <w:topLinePunct w:val="0"/>
        <w:autoSpaceDE/>
        <w:bidi w:val="0"/>
        <w:snapToGrid/>
        <w:spacing w:line="360" w:lineRule="auto"/>
        <w:ind w:firstLine="420" w:firstLineChars="200"/>
        <w:jc w:val="left"/>
        <w:rPr>
          <w:rFonts w:hint="eastAsia" w:ascii="仿宋" w:hAnsi="仿宋" w:eastAsia="仿宋" w:cs="仿宋"/>
          <w:color w:val="auto"/>
          <w:kern w:val="0"/>
          <w:sz w:val="21"/>
          <w:szCs w:val="21"/>
        </w:rPr>
      </w:pPr>
    </w:p>
    <w:p w14:paraId="4A3B118B">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2.13.3 检测设备结构坚固，密封良好，能在-10°C至+50°C的气温条件下和潮湿的环境中正常工作，宜配有防爆系统和防水系统。</w:t>
      </w:r>
    </w:p>
    <w:p w14:paraId="3ED79273">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2.13.4 实施管道结构性检测的摄像头宜具备旋转/仰俯功能，以满足侧向摄影要求。</w:t>
      </w:r>
    </w:p>
    <w:p w14:paraId="6C91C6B9">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2.13.5 检测设备须具备距离计数功能，电缆计数测量仪最低计量单位为0.1m，精度误差不大于0.3m或±1%。</w:t>
      </w:r>
    </w:p>
    <w:p w14:paraId="6E28D17E">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2.13.6 电缆长度120米时，爬行器的爬坡能力应大于5度。</w:t>
      </w:r>
    </w:p>
    <w:p w14:paraId="43A235D1">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2.13.7 检测设备应符合现行的国家标准《爆炸性气体环境用电气设备》GB3836的有关规定。</w:t>
      </w:r>
    </w:p>
    <w:p w14:paraId="625088BD">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2.13.8 对新购置的或经过大修及长期停用后重新启用的设备，应按说明书的要求进行检查和校正。</w:t>
      </w:r>
    </w:p>
    <w:p w14:paraId="1FC60B2F">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2.14 影像资料要求：</w:t>
      </w:r>
    </w:p>
    <w:p w14:paraId="1D71BCA7">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2.14.1 缺陷的类型和代码宜在现场确认并记录。现场检测完毕后，应由第二者根据录象复核。</w:t>
      </w:r>
    </w:p>
    <w:p w14:paraId="2D65C595">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2.14.2 缺陷的几何尺寸应比照管径或相关物体的尺寸判定。</w:t>
      </w:r>
    </w:p>
    <w:p w14:paraId="6F21F7F9">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2.14.3 对无法确定的缺陷类型或等级必须在评估报告中加以说明。</w:t>
      </w:r>
    </w:p>
    <w:p w14:paraId="6073C25C">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2.14.4 缺陷图片应采用现场抓取最佳角度和最清晰图片的方式，特殊情况下也可采用观看录像抓取图片方式。</w:t>
      </w:r>
    </w:p>
    <w:p w14:paraId="32CE95C3">
      <w:pPr>
        <w:keepNext w:val="0"/>
        <w:keepLines w:val="0"/>
        <w:pageBreakBefore w:val="0"/>
        <w:kinsoku/>
        <w:wordWrap/>
        <w:overflowPunct/>
        <w:topLinePunct w:val="0"/>
        <w:autoSpaceDE/>
        <w:bidi w:val="0"/>
        <w:snapToGrid/>
        <w:spacing w:line="360" w:lineRule="auto"/>
        <w:ind w:firstLine="482" w:firstLineChars="20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六</w:t>
      </w:r>
      <w:r>
        <w:rPr>
          <w:rFonts w:hint="eastAsia" w:ascii="仿宋" w:hAnsi="仿宋" w:eastAsia="仿宋" w:cs="仿宋"/>
          <w:b/>
          <w:bCs/>
          <w:color w:val="auto"/>
          <w:kern w:val="0"/>
          <w:sz w:val="24"/>
          <w:szCs w:val="24"/>
        </w:rPr>
        <w:t>、项目成果</w:t>
      </w:r>
    </w:p>
    <w:p w14:paraId="54623FE9">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完成本项目的实施后，根据交易发起人的要求，提供书面及电子版本的成果文件。</w:t>
      </w:r>
    </w:p>
    <w:p w14:paraId="72140E25">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在项目实施过程中，要求响应单位每完成一个区域的检测后，即时出具本区域的成果报告，以便交易发起人安排其他工作的开展。</w:t>
      </w:r>
    </w:p>
    <w:p w14:paraId="1550A621">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在项目全部实施完成后，出具完整的最终成果报告，成果报告包括应包括成果表数据、检测录像数据、缺陷照片数据、缺陷分布图数据、检测报告书等。</w:t>
      </w:r>
    </w:p>
    <w:p w14:paraId="7D032872">
      <w:pPr>
        <w:keepNext w:val="0"/>
        <w:keepLines w:val="0"/>
        <w:pageBreakBefore w:val="0"/>
        <w:kinsoku/>
        <w:wordWrap/>
        <w:overflowPunct/>
        <w:topLinePunct w:val="0"/>
        <w:autoSpaceDE/>
        <w:bidi w:val="0"/>
        <w:snapToGri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书面资料数量：一式陆份。  </w:t>
      </w:r>
    </w:p>
    <w:p w14:paraId="100C84CF">
      <w:pPr>
        <w:keepNext w:val="0"/>
        <w:keepLines w:val="0"/>
        <w:pageBreakBefore w:val="0"/>
        <w:kinsoku/>
        <w:wordWrap/>
        <w:overflowPunct/>
        <w:topLinePunct w:val="0"/>
        <w:autoSpaceDE/>
        <w:bidi w:val="0"/>
        <w:snapToGrid/>
        <w:spacing w:line="360" w:lineRule="auto"/>
        <w:ind w:firstLine="482" w:firstLineChars="200"/>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、项目实施进度要求</w:t>
      </w:r>
    </w:p>
    <w:p w14:paraId="4E256C1B">
      <w:pPr>
        <w:keepNext w:val="0"/>
        <w:keepLines w:val="0"/>
        <w:pageBreakBefore w:val="0"/>
        <w:kinsoku/>
        <w:wordWrap/>
        <w:overflowPunct/>
        <w:topLinePunct w:val="0"/>
        <w:autoSpaceDE/>
        <w:bidi w:val="0"/>
        <w:snapToGrid/>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1、响应单位须安排人员，在任务单规定时间内完成所有项目的检测，并在完成检测后10个工作日内出具相应的成果报告。</w:t>
      </w:r>
    </w:p>
    <w:p w14:paraId="670CFFEF">
      <w:pPr>
        <w:keepNext w:val="0"/>
        <w:keepLines w:val="0"/>
        <w:pageBreakBefore w:val="0"/>
        <w:kinsoku/>
        <w:wordWrap/>
        <w:overflowPunct/>
        <w:topLinePunct w:val="0"/>
        <w:autoSpaceDE/>
        <w:bidi w:val="0"/>
        <w:snapToGrid/>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2、项目服务周期：</w:t>
      </w:r>
      <w:r>
        <w:rPr>
          <w:rFonts w:hint="eastAsia" w:ascii="仿宋" w:hAnsi="仿宋" w:eastAsia="仿宋" w:cs="仿宋"/>
          <w:color w:val="auto"/>
          <w:kern w:val="0"/>
          <w:sz w:val="24"/>
          <w:szCs w:val="24"/>
          <w:highlight w:val="none"/>
          <w:lang w:val="en-US" w:eastAsia="zh-CN"/>
        </w:rPr>
        <w:t>24个月</w:t>
      </w:r>
      <w:r>
        <w:rPr>
          <w:rFonts w:hint="eastAsia" w:ascii="仿宋" w:hAnsi="仿宋" w:eastAsia="仿宋" w:cs="仿宋"/>
          <w:color w:val="auto"/>
          <w:kern w:val="0"/>
          <w:sz w:val="24"/>
          <w:szCs w:val="24"/>
          <w:highlight w:val="none"/>
        </w:rPr>
        <w:t>。</w:t>
      </w:r>
    </w:p>
    <w:p w14:paraId="01ACD663">
      <w:pPr>
        <w:pStyle w:val="6"/>
        <w:ind w:left="959" w:leftChars="228" w:hanging="480" w:hangingChars="20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3、项目服务限额：390万元。服务周期内服务预算金额不得超过390万元（不含），若在服务期内成交人合计已承接项目的预算价总额达到390万元即终止合同</w:t>
      </w:r>
      <w:r>
        <w:rPr>
          <w:rFonts w:hint="eastAsia" w:ascii="仿宋" w:hAnsi="仿宋" w:eastAsia="仿宋" w:cs="仿宋"/>
          <w:color w:val="auto"/>
          <w:kern w:val="0"/>
          <w:sz w:val="24"/>
          <w:szCs w:val="24"/>
          <w:highlight w:val="none"/>
          <w:lang w:eastAsia="zh-CN"/>
        </w:rPr>
        <w:t>。</w:t>
      </w:r>
    </w:p>
    <w:p w14:paraId="303C4F23">
      <w:pPr>
        <w:pStyle w:val="11"/>
        <w:spacing w:beforeLines="0" w:afterLines="0" w:line="360" w:lineRule="auto"/>
        <w:ind w:left="0" w:leftChars="0" w:firstLine="480" w:firstLineChars="2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4、质保期：本项目质保期一年（验收通过后起算）。</w:t>
      </w:r>
    </w:p>
    <w:p w14:paraId="736EE825">
      <w:pPr>
        <w:keepNext w:val="0"/>
        <w:keepLines w:val="0"/>
        <w:pageBreakBefore w:val="0"/>
        <w:kinsoku/>
        <w:wordWrap/>
        <w:overflowPunct/>
        <w:topLinePunct w:val="0"/>
        <w:autoSpaceDE/>
        <w:bidi w:val="0"/>
        <w:snapToGrid/>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rPr>
        <w:t>、其他要求</w:t>
      </w:r>
    </w:p>
    <w:p w14:paraId="644E8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highlight w:val="none"/>
        </w:rPr>
        <w:t>乙方逾期提供服务的，</w:t>
      </w:r>
      <w:r>
        <w:rPr>
          <w:rFonts w:hint="eastAsia" w:ascii="仿宋" w:hAnsi="仿宋" w:eastAsia="仿宋" w:cs="仿宋"/>
          <w:color w:val="auto"/>
          <w:sz w:val="24"/>
          <w:szCs w:val="24"/>
          <w:highlight w:val="none"/>
          <w:lang w:val="en-US" w:eastAsia="zh-CN"/>
        </w:rPr>
        <w:t>第一</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val="en-US" w:eastAsia="zh-CN"/>
        </w:rPr>
        <w:t>逾期，</w:t>
      </w:r>
      <w:r>
        <w:rPr>
          <w:rFonts w:hint="eastAsia" w:ascii="仿宋" w:hAnsi="仿宋" w:eastAsia="仿宋" w:cs="仿宋"/>
          <w:color w:val="auto"/>
          <w:sz w:val="24"/>
          <w:szCs w:val="24"/>
          <w:highlight w:val="none"/>
        </w:rPr>
        <w:t>乙方向甲方支付</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元的违约金，</w:t>
      </w:r>
      <w:r>
        <w:rPr>
          <w:rFonts w:hint="eastAsia" w:ascii="仿宋" w:hAnsi="仿宋" w:eastAsia="仿宋" w:cs="仿宋"/>
          <w:color w:val="auto"/>
          <w:sz w:val="24"/>
          <w:szCs w:val="24"/>
          <w:highlight w:val="none"/>
          <w:lang w:val="en-US" w:eastAsia="zh-CN"/>
        </w:rPr>
        <w:t>第二次逾期，</w:t>
      </w:r>
      <w:r>
        <w:rPr>
          <w:rFonts w:hint="eastAsia" w:ascii="仿宋" w:hAnsi="仿宋" w:eastAsia="仿宋" w:cs="仿宋"/>
          <w:color w:val="auto"/>
          <w:sz w:val="24"/>
          <w:szCs w:val="24"/>
          <w:highlight w:val="none"/>
        </w:rPr>
        <w:t>乙方向甲方支付</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元的违约金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后续每次逾期违约金翻倍处罚，</w:t>
      </w:r>
      <w:r>
        <w:rPr>
          <w:rFonts w:hint="eastAsia" w:ascii="仿宋" w:hAnsi="仿宋" w:eastAsia="仿宋" w:cs="仿宋"/>
          <w:color w:val="auto"/>
          <w:sz w:val="24"/>
          <w:szCs w:val="24"/>
          <w:highlight w:val="none"/>
        </w:rPr>
        <w:t xml:space="preserve">逾期提供服务超过5次的，甲方有权单方面解除合同。乙方因逾期交付或因其他违约行为导致甲方解除合同的，甲方有权没收乙方交纳的全部履约保证金，如造成甲方损失超过履约保证金金额的，超出部分由乙方继续承担赔偿责任。 </w:t>
      </w:r>
    </w:p>
    <w:p w14:paraId="418CFE97">
      <w:pPr>
        <w:keepNext w:val="0"/>
        <w:keepLines w:val="0"/>
        <w:pageBreakBefore w:val="0"/>
        <w:kinsoku/>
        <w:wordWrap/>
        <w:overflowPunct/>
        <w:topLinePunct w:val="0"/>
        <w:autoSpaceDE/>
        <w:bidi w:val="0"/>
        <w:snapToGrid/>
        <w:spacing w:line="360" w:lineRule="auto"/>
        <w:ind w:firstLine="480" w:firstLineChars="200"/>
        <w:jc w:val="left"/>
        <w:rPr>
          <w:rFonts w:hint="eastAsia" w:ascii="仿宋" w:hAnsi="仿宋" w:eastAsia="仿宋" w:cs="仿宋"/>
          <w:color w:val="auto"/>
          <w:kern w:val="0"/>
          <w:sz w:val="24"/>
          <w:szCs w:val="24"/>
          <w:highlight w:val="none"/>
        </w:rPr>
      </w:pPr>
    </w:p>
    <w:p w14:paraId="043B756B">
      <w:pPr>
        <w:pStyle w:val="11"/>
        <w:keepNext w:val="0"/>
        <w:keepLines w:val="0"/>
        <w:pageBreakBefore w:val="0"/>
        <w:kinsoku/>
        <w:wordWrap/>
        <w:overflowPunct/>
        <w:topLinePunct w:val="0"/>
        <w:autoSpaceDE/>
        <w:bidi w:val="0"/>
        <w:snapToGrid/>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2、投标人要求具有本地单位污泥处置意向合同。为确保污泥处置去向清晰，污泥处置正式合同需在本项目合同签订前提供，如中标候选人无法提供，交易发起人有权将其作为弃标处理。</w:t>
      </w:r>
    </w:p>
    <w:p w14:paraId="01213E04">
      <w:pPr>
        <w:keepNext w:val="0"/>
        <w:keepLines w:val="0"/>
        <w:pageBreakBefore w:val="0"/>
        <w:kinsoku/>
        <w:wordWrap/>
        <w:overflowPunct/>
        <w:topLinePunct w:val="0"/>
        <w:autoSpaceDE/>
        <w:bidi w:val="0"/>
        <w:snapToGrid/>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九</w:t>
      </w:r>
      <w:r>
        <w:rPr>
          <w:rFonts w:hint="eastAsia" w:ascii="仿宋" w:hAnsi="仿宋" w:eastAsia="仿宋" w:cs="仿宋"/>
          <w:b/>
          <w:bCs/>
          <w:color w:val="auto"/>
          <w:kern w:val="0"/>
          <w:sz w:val="24"/>
          <w:szCs w:val="24"/>
          <w:highlight w:val="none"/>
        </w:rPr>
        <w:t>、付款方式</w:t>
      </w:r>
    </w:p>
    <w:p w14:paraId="73A58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合同履行期间，费用按</w:t>
      </w:r>
      <w:r>
        <w:rPr>
          <w:rFonts w:hint="eastAsia" w:ascii="仿宋" w:hAnsi="仿宋" w:eastAsia="仿宋" w:cs="仿宋"/>
          <w:color w:val="auto"/>
          <w:sz w:val="24"/>
          <w:szCs w:val="24"/>
          <w:highlight w:val="none"/>
          <w:lang w:eastAsia="zh-CN"/>
        </w:rPr>
        <w:t>实际产</w:t>
      </w:r>
      <w:r>
        <w:rPr>
          <w:rFonts w:hint="eastAsia" w:ascii="仿宋" w:hAnsi="仿宋" w:eastAsia="仿宋" w:cs="仿宋"/>
          <w:color w:val="auto"/>
          <w:sz w:val="24"/>
          <w:szCs w:val="24"/>
          <w:highlight w:val="none"/>
        </w:rPr>
        <w:t>生的作业任务及服务</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量，以甲方出具的签证单上数量作为结算依据</w:t>
      </w:r>
      <w:r>
        <w:rPr>
          <w:rFonts w:hint="eastAsia" w:ascii="仿宋" w:hAnsi="仿宋" w:eastAsia="仿宋" w:cs="仿宋"/>
          <w:color w:val="auto"/>
          <w:sz w:val="24"/>
          <w:szCs w:val="24"/>
          <w:highlight w:val="none"/>
          <w:lang w:eastAsia="zh-CN"/>
        </w:rPr>
        <w:t>按实结算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每六</w:t>
      </w:r>
      <w:r>
        <w:rPr>
          <w:rFonts w:hint="eastAsia" w:ascii="仿宋" w:hAnsi="仿宋" w:eastAsia="仿宋" w:cs="仿宋"/>
          <w:color w:val="auto"/>
          <w:sz w:val="24"/>
          <w:szCs w:val="24"/>
          <w:highlight w:val="none"/>
        </w:rPr>
        <w:t>个月支付</w:t>
      </w:r>
      <w:r>
        <w:rPr>
          <w:rFonts w:hint="eastAsia" w:ascii="仿宋" w:hAnsi="仿宋" w:eastAsia="仿宋" w:cs="仿宋"/>
          <w:color w:val="auto"/>
          <w:sz w:val="24"/>
          <w:szCs w:val="24"/>
          <w:highlight w:val="none"/>
          <w:lang w:val="en-US" w:eastAsia="zh-CN"/>
        </w:rPr>
        <w:t>结算审核价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六个月之后付至结算审核价的90%，一年质保期满后付清余款</w:t>
      </w:r>
      <w:r>
        <w:rPr>
          <w:rFonts w:hint="eastAsia" w:ascii="仿宋" w:hAnsi="仿宋" w:eastAsia="仿宋" w:cs="仿宋"/>
          <w:color w:val="auto"/>
          <w:sz w:val="24"/>
          <w:szCs w:val="24"/>
          <w:highlight w:val="none"/>
        </w:rPr>
        <w:t>。</w:t>
      </w:r>
    </w:p>
    <w:p w14:paraId="01F4B621">
      <w:pPr>
        <w:keepNext w:val="0"/>
        <w:keepLines w:val="0"/>
        <w:pageBreakBefore w:val="0"/>
        <w:widowControl w:val="0"/>
        <w:kinsoku/>
        <w:wordWrap/>
        <w:overflowPunct/>
        <w:topLinePunct w:val="0"/>
        <w:autoSpaceDE/>
        <w:autoSpaceDN/>
        <w:bidi w:val="0"/>
        <w:adjustRightInd/>
        <w:snapToGrid/>
        <w:spacing w:line="360" w:lineRule="auto"/>
        <w:ind w:firstLine="386" w:firstLineChars="200"/>
        <w:textAlignment w:val="auto"/>
        <w:rPr>
          <w:rFonts w:hint="eastAsia" w:ascii="仿宋" w:hAnsi="仿宋" w:eastAsia="仿宋" w:cs="仿宋"/>
          <w:b/>
          <w:bCs/>
          <w:color w:val="auto"/>
          <w:w w:val="80"/>
          <w:sz w:val="24"/>
          <w:szCs w:val="24"/>
          <w:highlight w:val="none"/>
        </w:rPr>
      </w:pPr>
      <w:r>
        <w:rPr>
          <w:rFonts w:hint="eastAsia" w:ascii="仿宋" w:hAnsi="仿宋" w:eastAsia="仿宋" w:cs="仿宋"/>
          <w:b/>
          <w:bCs/>
          <w:color w:val="auto"/>
          <w:w w:val="80"/>
          <w:sz w:val="24"/>
          <w:szCs w:val="24"/>
          <w:highlight w:val="none"/>
          <w:lang w:eastAsia="zh-CN"/>
        </w:rPr>
        <w:t>十</w:t>
      </w:r>
      <w:r>
        <w:rPr>
          <w:rFonts w:hint="eastAsia" w:ascii="仿宋" w:hAnsi="仿宋" w:eastAsia="仿宋" w:cs="仿宋"/>
          <w:b/>
          <w:bCs/>
          <w:color w:val="auto"/>
          <w:w w:val="80"/>
          <w:sz w:val="24"/>
          <w:szCs w:val="24"/>
          <w:highlight w:val="none"/>
        </w:rPr>
        <w:t>、</w:t>
      </w:r>
      <w:bookmarkEnd w:id="16"/>
      <w:r>
        <w:rPr>
          <w:rFonts w:hint="eastAsia" w:ascii="仿宋" w:hAnsi="仿宋" w:eastAsia="仿宋" w:cs="仿宋"/>
          <w:b/>
          <w:bCs/>
          <w:color w:val="auto"/>
          <w:w w:val="80"/>
          <w:sz w:val="24"/>
          <w:szCs w:val="24"/>
          <w:highlight w:val="none"/>
        </w:rPr>
        <w:t>管理要求</w:t>
      </w:r>
    </w:p>
    <w:p w14:paraId="1D5E47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根据杭州萧山污水处理</w:t>
      </w:r>
      <w:r>
        <w:rPr>
          <w:rFonts w:hint="eastAsia" w:ascii="仿宋" w:hAnsi="仿宋" w:eastAsia="仿宋" w:cs="仿宋"/>
          <w:color w:val="auto"/>
          <w:sz w:val="24"/>
          <w:szCs w:val="24"/>
          <w:highlight w:val="none"/>
        </w:rPr>
        <w:t>有限公司</w:t>
      </w:r>
      <w:r>
        <w:rPr>
          <w:rFonts w:hint="eastAsia" w:ascii="仿宋" w:hAnsi="仿宋" w:eastAsia="仿宋" w:cs="仿宋"/>
          <w:color w:val="auto"/>
          <w:sz w:val="24"/>
          <w:szCs w:val="24"/>
          <w:highlight w:val="none"/>
          <w:lang w:eastAsia="zh-CN"/>
        </w:rPr>
        <w:t>工作任务要求，按时完成</w:t>
      </w:r>
      <w:r>
        <w:rPr>
          <w:rFonts w:hint="eastAsia" w:ascii="仿宋" w:hAnsi="仿宋" w:eastAsia="仿宋" w:cs="仿宋"/>
          <w:color w:val="auto"/>
          <w:sz w:val="24"/>
          <w:szCs w:val="24"/>
          <w:highlight w:val="none"/>
        </w:rPr>
        <w:t>污水管网</w:t>
      </w:r>
      <w:r>
        <w:rPr>
          <w:rFonts w:hint="eastAsia" w:ascii="仿宋" w:hAnsi="仿宋" w:eastAsia="仿宋" w:cs="仿宋"/>
          <w:color w:val="auto"/>
          <w:sz w:val="24"/>
          <w:szCs w:val="24"/>
          <w:highlight w:val="none"/>
          <w:lang w:eastAsia="zh-CN"/>
        </w:rPr>
        <w:t>检测、清淤疏通、修复等工作</w:t>
      </w:r>
      <w:r>
        <w:rPr>
          <w:rFonts w:hint="eastAsia" w:ascii="仿宋" w:hAnsi="仿宋" w:eastAsia="仿宋" w:cs="仿宋"/>
          <w:color w:val="auto"/>
          <w:sz w:val="24"/>
          <w:szCs w:val="24"/>
          <w:highlight w:val="none"/>
        </w:rPr>
        <w:t>。</w:t>
      </w:r>
    </w:p>
    <w:p w14:paraId="49EFA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中标单位需建立、健全和完善各项管理制度、内部考核制度、</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管理台账。</w:t>
      </w:r>
    </w:p>
    <w:p w14:paraId="5888A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中标人须实时上</w:t>
      </w:r>
      <w:r>
        <w:rPr>
          <w:rFonts w:hint="eastAsia" w:ascii="仿宋" w:hAnsi="仿宋" w:eastAsia="仿宋" w:cs="仿宋"/>
          <w:color w:val="auto"/>
          <w:sz w:val="24"/>
          <w:szCs w:val="24"/>
          <w:highlight w:val="none"/>
          <w:lang w:eastAsia="zh-CN"/>
        </w:rPr>
        <w:t>报施工</w:t>
      </w:r>
      <w:r>
        <w:rPr>
          <w:rFonts w:hint="eastAsia" w:ascii="仿宋" w:hAnsi="仿宋" w:eastAsia="仿宋" w:cs="仿宋"/>
          <w:color w:val="auto"/>
          <w:sz w:val="24"/>
          <w:szCs w:val="24"/>
          <w:highlight w:val="none"/>
        </w:rPr>
        <w:t>的相关信息</w:t>
      </w:r>
      <w:r>
        <w:rPr>
          <w:rFonts w:hint="eastAsia" w:ascii="仿宋" w:hAnsi="仿宋" w:eastAsia="仿宋" w:cs="仿宋"/>
          <w:color w:val="auto"/>
          <w:sz w:val="24"/>
          <w:szCs w:val="24"/>
          <w:highlight w:val="none"/>
          <w:lang w:eastAsia="zh-CN"/>
        </w:rPr>
        <w:t>，及时提供检测报告等相关资料</w:t>
      </w:r>
      <w:r>
        <w:rPr>
          <w:rFonts w:hint="eastAsia" w:ascii="仿宋" w:hAnsi="仿宋" w:eastAsia="仿宋" w:cs="仿宋"/>
          <w:color w:val="auto"/>
          <w:sz w:val="24"/>
          <w:szCs w:val="24"/>
          <w:highlight w:val="none"/>
        </w:rPr>
        <w:t>。</w:t>
      </w:r>
    </w:p>
    <w:p w14:paraId="33893A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中标人应对</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kern w:val="0"/>
          <w:sz w:val="24"/>
          <w:szCs w:val="24"/>
        </w:rPr>
        <w:t>人</w:t>
      </w:r>
      <w:r>
        <w:rPr>
          <w:rFonts w:hint="eastAsia" w:ascii="仿宋" w:hAnsi="仿宋" w:eastAsia="仿宋" w:cs="仿宋"/>
          <w:color w:val="auto"/>
          <w:kern w:val="0"/>
          <w:sz w:val="24"/>
          <w:szCs w:val="24"/>
          <w:highlight w:val="none"/>
        </w:rPr>
        <w:t>有任务安排或需处理的事宜，响应单位须在一个小时内到达现场配合交易发起人工作，如未在一个小时内响应并到达，则每次扣罚1000元。</w:t>
      </w:r>
    </w:p>
    <w:p w14:paraId="56EF67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投标人要求具有本地单位污泥处置意向合同。为确保污泥处置去向清晰，污泥处置正式合同需在本项目合同签订前提供，如中标候选人无法提供，交易发起人有权将其作为弃标处理。</w:t>
      </w:r>
    </w:p>
    <w:p w14:paraId="2E645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中标人须开通一个24小时应急处理服务电话，确保电话24小时通畅有人接听，并处理好相关任务。</w:t>
      </w:r>
    </w:p>
    <w:p w14:paraId="4F754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在遇突发事件或自然灾害时，中标方必须配备专业抢险突击队，并24小时待命，无条件服从和接受甲方的统一指挥和安排。</w:t>
      </w:r>
    </w:p>
    <w:p w14:paraId="38982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：委托中标方</w:t>
      </w:r>
      <w:r>
        <w:rPr>
          <w:rFonts w:hint="eastAsia" w:ascii="仿宋" w:hAnsi="仿宋" w:eastAsia="仿宋" w:cs="仿宋"/>
          <w:color w:val="auto"/>
          <w:sz w:val="24"/>
          <w:szCs w:val="24"/>
          <w:highlight w:val="none"/>
          <w:lang w:eastAsia="zh-CN"/>
        </w:rPr>
        <w:t>完成任务后需及时通知招标人属地管理部门进行项目验收与完成管线</w:t>
      </w:r>
      <w:r>
        <w:rPr>
          <w:rFonts w:hint="eastAsia" w:ascii="仿宋" w:hAnsi="仿宋" w:eastAsia="仿宋" w:cs="仿宋"/>
          <w:color w:val="auto"/>
          <w:sz w:val="24"/>
          <w:szCs w:val="24"/>
          <w:highlight w:val="none"/>
        </w:rPr>
        <w:t>移交</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，移交过程中中标人需和招标人共同确认所有设施正常运行后，则双方完成交接工作；若</w:t>
      </w:r>
      <w:r>
        <w:rPr>
          <w:rFonts w:hint="eastAsia" w:ascii="仿宋" w:hAnsi="仿宋" w:eastAsia="仿宋" w:cs="仿宋"/>
          <w:color w:val="auto"/>
          <w:sz w:val="24"/>
          <w:szCs w:val="24"/>
          <w:highlight w:val="none"/>
          <w:lang w:eastAsia="zh-CN"/>
        </w:rPr>
        <w:t>因施工造成的</w:t>
      </w:r>
      <w:r>
        <w:rPr>
          <w:rFonts w:hint="eastAsia" w:ascii="仿宋" w:hAnsi="仿宋" w:eastAsia="仿宋" w:cs="仿宋"/>
          <w:color w:val="auto"/>
          <w:sz w:val="24"/>
          <w:szCs w:val="24"/>
          <w:highlight w:val="none"/>
        </w:rPr>
        <w:t>设施未正常运行，由</w:t>
      </w:r>
      <w:r>
        <w:rPr>
          <w:rFonts w:hint="eastAsia" w:ascii="仿宋" w:hAnsi="仿宋" w:eastAsia="仿宋" w:cs="仿宋"/>
          <w:color w:val="auto"/>
          <w:sz w:val="24"/>
          <w:szCs w:val="24"/>
          <w:highlight w:val="none"/>
          <w:lang w:eastAsia="zh-CN"/>
        </w:rPr>
        <w:t>中标方</w:t>
      </w:r>
      <w:r>
        <w:rPr>
          <w:rFonts w:hint="eastAsia" w:ascii="仿宋" w:hAnsi="仿宋" w:eastAsia="仿宋" w:cs="仿宋"/>
          <w:color w:val="auto"/>
          <w:sz w:val="24"/>
          <w:szCs w:val="24"/>
          <w:highlight w:val="none"/>
        </w:rPr>
        <w:t>负责整改，达到使用功能后移交。</w:t>
      </w:r>
      <w:r>
        <w:rPr>
          <w:rFonts w:hint="eastAsia" w:ascii="仿宋" w:hAnsi="仿宋" w:eastAsia="仿宋" w:cs="仿宋"/>
          <w:color w:val="auto"/>
          <w:sz w:val="24"/>
          <w:szCs w:val="24"/>
          <w:highlight w:val="none"/>
          <w:lang w:eastAsia="zh-CN"/>
        </w:rPr>
        <w:t>管网的施工</w:t>
      </w:r>
      <w:r>
        <w:rPr>
          <w:rFonts w:hint="eastAsia" w:ascii="仿宋" w:hAnsi="仿宋" w:eastAsia="仿宋" w:cs="仿宋"/>
          <w:color w:val="auto"/>
          <w:sz w:val="24"/>
          <w:szCs w:val="24"/>
          <w:highlight w:val="none"/>
        </w:rPr>
        <w:t>必须按照相关规定和国家、省、市及地方的技术规范实施（如《有限空间作业安全技术规程》、《城镇排水管道维护安全技术规程》</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11B37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8、按要求完成施工前各项审批工作，做好施工时的噪音、扬尘等控制措施。</w:t>
      </w:r>
      <w:r>
        <w:rPr>
          <w:rFonts w:hint="eastAsia" w:ascii="仿宋" w:hAnsi="仿宋" w:eastAsia="仿宋" w:cs="仿宋"/>
          <w:color w:val="auto"/>
          <w:sz w:val="24"/>
          <w:szCs w:val="24"/>
          <w:highlight w:val="none"/>
        </w:rPr>
        <w:t>解决各类投诉、妥善处理各类突发事件和应急事件，对存在的问题不推诿、不推卸责任。不发生有责媒体报道事件，不发生有效信访、省级或市区级主管部门通报批评、省或市区级领导批示批评、群体性信访事件、死亡等重大安全事故等事件。</w:t>
      </w:r>
    </w:p>
    <w:p w14:paraId="7C2D9B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、其他要求与说明</w:t>
      </w:r>
    </w:p>
    <w:p w14:paraId="41160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若中标人在服务期间，违反下列规定将被解除服务合同，扣除履约保证金，且全部责任由中标人承担。</w:t>
      </w:r>
    </w:p>
    <w:p w14:paraId="682EA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转包或未经招标人同意，分包给与合同无关的第三方</w:t>
      </w:r>
      <w:r>
        <w:rPr>
          <w:rFonts w:hint="eastAsia" w:ascii="仿宋" w:hAnsi="仿宋" w:eastAsia="仿宋" w:cs="仿宋"/>
          <w:color w:val="auto"/>
          <w:sz w:val="24"/>
          <w:szCs w:val="24"/>
          <w:highlight w:val="none"/>
          <w:lang w:eastAsia="zh-CN"/>
        </w:rPr>
        <w:t>。</w:t>
      </w:r>
    </w:p>
    <w:p w14:paraId="0474A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施工质量</w:t>
      </w:r>
      <w:r>
        <w:rPr>
          <w:rFonts w:hint="eastAsia" w:ascii="仿宋" w:hAnsi="仿宋" w:eastAsia="仿宋" w:cs="仿宋"/>
          <w:color w:val="auto"/>
          <w:sz w:val="24"/>
          <w:szCs w:val="24"/>
          <w:highlight w:val="none"/>
        </w:rPr>
        <w:t>不合格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出现重大问题或重大事故造成严重影响的。中标人被解除合同后，招标人可以按评标委员会推荐的排名顺序且未在其他标段中标的投标人承接本项目的服务管理或重新组织招标。重新组织招标的，原被解除合同的中标人不得参与投标。</w:t>
      </w:r>
    </w:p>
    <w:p w14:paraId="6ECCF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、中标人的用工（包括管理人员和作业人员等）必须符合国家用工的相关规定。</w:t>
      </w:r>
    </w:p>
    <w:p w14:paraId="20ED7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、中标人在提供本项目服务过程中所产生的垃圾（含淤泥）由中标人按政府有关规定进行处理，相关费用及手续办理由中标人自行承担。</w:t>
      </w:r>
    </w:p>
    <w:p w14:paraId="726BB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、所有服务内容产生的垃圾（含淤泥）均应作无害化处理，垃圾（含淤泥）的收集、压缩、转运、处置等费用均应含在投标报价中。</w:t>
      </w:r>
    </w:p>
    <w:p w14:paraId="11AFE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须为所管辖区域内的所有本项目相关服务内容购买保险，招标人移交给中标人的全部设施设备，因可能发生的包括但不限于以下风险而须索赔的均由中标人负责赔偿且处理相关事宜，相应的风险均由中标人承担</w:t>
      </w:r>
      <w:r>
        <w:rPr>
          <w:rFonts w:hint="eastAsia" w:ascii="仿宋" w:hAnsi="仿宋" w:eastAsia="仿宋" w:cs="仿宋"/>
          <w:color w:val="auto"/>
          <w:sz w:val="24"/>
          <w:szCs w:val="24"/>
          <w:highlight w:val="none"/>
          <w:lang w:eastAsia="zh-CN"/>
        </w:rPr>
        <w:t>。</w:t>
      </w:r>
    </w:p>
    <w:p w14:paraId="03AEB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中标人施工造成</w:t>
      </w:r>
      <w:r>
        <w:rPr>
          <w:rFonts w:hint="eastAsia" w:ascii="仿宋" w:hAnsi="仿宋" w:eastAsia="仿宋" w:cs="仿宋"/>
          <w:color w:val="auto"/>
          <w:sz w:val="24"/>
          <w:szCs w:val="24"/>
          <w:highlight w:val="none"/>
        </w:rPr>
        <w:t>井盖、盖板等排水设施损坏、缺失导致的人身、财产损失索赔</w:t>
      </w:r>
      <w:r>
        <w:rPr>
          <w:rFonts w:hint="eastAsia" w:ascii="仿宋" w:hAnsi="仿宋" w:eastAsia="仿宋" w:cs="仿宋"/>
          <w:color w:val="auto"/>
          <w:sz w:val="24"/>
          <w:szCs w:val="24"/>
          <w:highlight w:val="none"/>
          <w:lang w:eastAsia="zh-CN"/>
        </w:rPr>
        <w:t>；</w:t>
      </w:r>
    </w:p>
    <w:p w14:paraId="3CFA0D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因中标人</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导致污水溢流出排水系统造成的人身、财产损失索赔和环保处罚等</w:t>
      </w:r>
      <w:r>
        <w:rPr>
          <w:rFonts w:hint="eastAsia" w:ascii="仿宋" w:hAnsi="仿宋" w:eastAsia="仿宋" w:cs="仿宋"/>
          <w:color w:val="auto"/>
          <w:sz w:val="24"/>
          <w:szCs w:val="24"/>
          <w:highlight w:val="none"/>
          <w:lang w:eastAsia="zh-CN"/>
        </w:rPr>
        <w:t>；</w:t>
      </w:r>
    </w:p>
    <w:p w14:paraId="1E6C8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其他因中标人工作不及时造成的人身、财产损失索赔；</w:t>
      </w:r>
    </w:p>
    <w:p w14:paraId="45F93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中标人员工或者中标人聘请的工作人员在养护作业过程中以及完成本项目约定的其他工作内容时造成的人身、财产损害等保险费用由中标人自行负责</w:t>
      </w:r>
      <w:r>
        <w:rPr>
          <w:rFonts w:hint="eastAsia" w:ascii="仿宋" w:hAnsi="仿宋" w:eastAsia="仿宋" w:cs="仿宋"/>
          <w:color w:val="auto"/>
          <w:sz w:val="24"/>
          <w:szCs w:val="24"/>
          <w:highlight w:val="none"/>
          <w:lang w:eastAsia="zh-CN"/>
        </w:rPr>
        <w:t>；</w:t>
      </w:r>
    </w:p>
    <w:p w14:paraId="5DF2D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施工服务</w:t>
      </w:r>
      <w:r>
        <w:rPr>
          <w:rFonts w:hint="eastAsia" w:ascii="仿宋" w:hAnsi="仿宋" w:eastAsia="仿宋" w:cs="仿宋"/>
          <w:color w:val="auto"/>
          <w:sz w:val="24"/>
          <w:szCs w:val="24"/>
          <w:highlight w:val="none"/>
        </w:rPr>
        <w:t>期间发生的事故、责任</w:t>
      </w:r>
      <w:r>
        <w:rPr>
          <w:rFonts w:hint="eastAsia" w:ascii="仿宋" w:hAnsi="仿宋" w:eastAsia="仿宋" w:cs="仿宋"/>
          <w:color w:val="auto"/>
          <w:sz w:val="24"/>
          <w:szCs w:val="24"/>
          <w:highlight w:val="none"/>
          <w:lang w:eastAsia="zh-CN"/>
        </w:rPr>
        <w:t>根据国家相关法律法规由相关责任方负责</w:t>
      </w:r>
      <w:r>
        <w:rPr>
          <w:rFonts w:hint="eastAsia" w:ascii="仿宋" w:hAnsi="仿宋" w:eastAsia="仿宋" w:cs="仿宋"/>
          <w:color w:val="auto"/>
          <w:sz w:val="24"/>
          <w:szCs w:val="24"/>
          <w:highlight w:val="none"/>
        </w:rPr>
        <w:t>。如中标人未购买或少购买保险而导致赔偿纠纷的，均由中标人自行负责和处理。</w:t>
      </w:r>
    </w:p>
    <w:p w14:paraId="39D79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、投标人须承诺中标后做到如下几点：</w:t>
      </w:r>
    </w:p>
    <w:p w14:paraId="16EB3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在萧山当地</w:t>
      </w:r>
      <w:r>
        <w:rPr>
          <w:rFonts w:hint="eastAsia" w:ascii="仿宋" w:hAnsi="仿宋" w:eastAsia="仿宋" w:cs="仿宋"/>
          <w:color w:val="auto"/>
          <w:sz w:val="24"/>
          <w:szCs w:val="24"/>
          <w:highlight w:val="none"/>
        </w:rPr>
        <w:t>按项目要求配齐</w:t>
      </w:r>
      <w:r>
        <w:rPr>
          <w:rFonts w:hint="eastAsia" w:ascii="仿宋" w:hAnsi="仿宋" w:eastAsia="仿宋" w:cs="仿宋"/>
          <w:color w:val="auto"/>
          <w:sz w:val="24"/>
          <w:szCs w:val="24"/>
          <w:highlight w:val="none"/>
          <w:lang w:eastAsia="zh-CN"/>
        </w:rPr>
        <w:t>作业</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eastAsia="zh-CN"/>
        </w:rPr>
        <w:t>，其中至少</w:t>
      </w:r>
      <w:r>
        <w:rPr>
          <w:rFonts w:hint="eastAsia" w:ascii="仿宋" w:hAnsi="仿宋" w:eastAsia="仿宋" w:cs="仿宋"/>
          <w:color w:val="auto"/>
          <w:sz w:val="24"/>
          <w:szCs w:val="24"/>
          <w:highlight w:val="none"/>
          <w:lang w:val="en-US" w:eastAsia="zh-CN"/>
        </w:rPr>
        <w:t>2名及</w:t>
      </w:r>
      <w:r>
        <w:rPr>
          <w:rFonts w:hint="eastAsia" w:ascii="仿宋" w:hAnsi="仿宋" w:eastAsia="仿宋" w:cs="仿宋"/>
          <w:color w:val="auto"/>
          <w:sz w:val="24"/>
          <w:szCs w:val="24"/>
          <w:highlight w:val="none"/>
        </w:rPr>
        <w:t>以上取得</w:t>
      </w:r>
      <w:r>
        <w:rPr>
          <w:rFonts w:hint="eastAsia" w:ascii="仿宋" w:hAnsi="仿宋" w:eastAsia="仿宋" w:cs="仿宋"/>
          <w:color w:val="auto"/>
          <w:sz w:val="24"/>
          <w:szCs w:val="24"/>
          <w:highlight w:val="none"/>
          <w:lang w:eastAsia="zh-CN"/>
        </w:rPr>
        <w:t>有限空间作业</w:t>
      </w:r>
      <w:r>
        <w:rPr>
          <w:rFonts w:hint="eastAsia" w:ascii="仿宋" w:hAnsi="仿宋" w:eastAsia="仿宋" w:cs="仿宋"/>
          <w:color w:val="auto"/>
          <w:sz w:val="24"/>
          <w:szCs w:val="24"/>
          <w:highlight w:val="none"/>
        </w:rPr>
        <w:t>上岗证书</w:t>
      </w:r>
      <w:r>
        <w:rPr>
          <w:rFonts w:hint="eastAsia" w:ascii="仿宋" w:hAnsi="仿宋" w:eastAsia="仿宋" w:cs="仿宋"/>
          <w:color w:val="auto"/>
          <w:sz w:val="24"/>
          <w:szCs w:val="24"/>
          <w:highlight w:val="none"/>
          <w:lang w:eastAsia="zh-CN"/>
        </w:rPr>
        <w:t>。其他项目人员配备</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负责人</w:t>
      </w:r>
      <w:r>
        <w:rPr>
          <w:rFonts w:hint="eastAsia" w:ascii="仿宋" w:hAnsi="仿宋" w:eastAsia="仿宋" w:cs="仿宋"/>
          <w:color w:val="auto"/>
          <w:sz w:val="24"/>
          <w:szCs w:val="24"/>
          <w:highlight w:val="none"/>
        </w:rPr>
        <w:t>1名，至少1名安全员，至少1名资料员，至少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名以上电工或机电设备维修工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至少1名</w:t>
      </w:r>
      <w:r>
        <w:rPr>
          <w:rFonts w:hint="eastAsia" w:ascii="仿宋" w:hAnsi="仿宋" w:eastAsia="仿宋" w:cs="仿宋"/>
          <w:color w:val="auto"/>
          <w:sz w:val="24"/>
          <w:szCs w:val="24"/>
          <w:highlight w:val="none"/>
          <w:lang w:eastAsia="zh-CN"/>
        </w:rPr>
        <w:t>潜水</w:t>
      </w:r>
      <w:r>
        <w:rPr>
          <w:rFonts w:hint="eastAsia" w:ascii="仿宋" w:hAnsi="仿宋" w:eastAsia="仿宋" w:cs="仿宋"/>
          <w:color w:val="auto"/>
          <w:sz w:val="24"/>
          <w:szCs w:val="24"/>
          <w:highlight w:val="none"/>
        </w:rPr>
        <w:t>员（附社保依据）；</w:t>
      </w:r>
    </w:p>
    <w:p w14:paraId="16B0E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按项目要求配置设备：</w:t>
      </w:r>
      <w:r>
        <w:rPr>
          <w:rFonts w:hint="eastAsia" w:ascii="仿宋" w:hAnsi="仿宋" w:eastAsia="仿宋" w:cs="仿宋"/>
          <w:color w:val="auto"/>
          <w:sz w:val="24"/>
          <w:szCs w:val="24"/>
          <w:highlight w:val="none"/>
          <w:lang w:eastAsia="zh-CN"/>
        </w:rPr>
        <w:t>运输</w:t>
      </w:r>
      <w:r>
        <w:rPr>
          <w:rFonts w:hint="eastAsia" w:ascii="仿宋" w:hAnsi="仿宋" w:eastAsia="仿宋" w:cs="仿宋"/>
          <w:color w:val="auto"/>
          <w:sz w:val="24"/>
          <w:szCs w:val="24"/>
          <w:highlight w:val="none"/>
        </w:rPr>
        <w:t>车</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及以上</w:t>
      </w:r>
      <w:r>
        <w:rPr>
          <w:rFonts w:hint="eastAsia" w:ascii="仿宋" w:hAnsi="仿宋" w:eastAsia="仿宋" w:cs="仿宋"/>
          <w:color w:val="auto"/>
          <w:sz w:val="24"/>
          <w:szCs w:val="24"/>
          <w:highlight w:val="none"/>
        </w:rPr>
        <w:t>、疏通</w:t>
      </w:r>
      <w:r>
        <w:rPr>
          <w:rFonts w:hint="eastAsia" w:ascii="仿宋" w:hAnsi="仿宋" w:eastAsia="仿宋" w:cs="仿宋"/>
          <w:color w:val="auto"/>
          <w:sz w:val="24"/>
          <w:szCs w:val="24"/>
          <w:highlight w:val="none"/>
          <w:lang w:eastAsia="zh-CN"/>
        </w:rPr>
        <w:t>车</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lang w:eastAsia="zh-CN"/>
        </w:rPr>
        <w:t>及以上</w:t>
      </w:r>
      <w:r>
        <w:rPr>
          <w:rFonts w:hint="eastAsia" w:ascii="仿宋" w:hAnsi="仿宋" w:eastAsia="仿宋" w:cs="仿宋"/>
          <w:color w:val="auto"/>
          <w:sz w:val="24"/>
          <w:szCs w:val="24"/>
          <w:highlight w:val="none"/>
        </w:rPr>
        <w:t>、CCTV(内窥检测设备)、</w:t>
      </w:r>
      <w:r>
        <w:rPr>
          <w:rFonts w:hint="eastAsia" w:ascii="仿宋" w:hAnsi="仿宋" w:eastAsia="仿宋" w:cs="仿宋"/>
          <w:b w:val="0"/>
          <w:bCs w:val="0"/>
          <w:color w:val="auto"/>
          <w:sz w:val="24"/>
          <w:szCs w:val="24"/>
          <w:highlight w:val="none"/>
        </w:rPr>
        <w:t>声呐（SONAR）电子设备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有毒有害气体检测仪、防毒面具、管道封堵气囊等常规设备（附发票依据）；</w:t>
      </w:r>
    </w:p>
    <w:p w14:paraId="7FF6E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健全建立各项规章制度（如组织架构、设施设备操作规程、运行养护与安全作业手册、日常管理制度、应急预案等）。</w:t>
      </w:r>
    </w:p>
    <w:p w14:paraId="5E698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根据实际情况设置服务站点。</w:t>
      </w:r>
    </w:p>
    <w:p w14:paraId="286EF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注：中标人在中标后一个月内配齐人员</w:t>
      </w:r>
      <w:r>
        <w:rPr>
          <w:rFonts w:hint="eastAsia" w:ascii="仿宋" w:hAnsi="仿宋" w:eastAsia="仿宋" w:cs="仿宋"/>
          <w:color w:val="auto"/>
          <w:sz w:val="24"/>
          <w:szCs w:val="24"/>
          <w:highlight w:val="none"/>
          <w:lang w:eastAsia="zh-CN"/>
        </w:rPr>
        <w:t>（人员一人一岗，不得兼岗）</w:t>
      </w:r>
      <w:r>
        <w:rPr>
          <w:rFonts w:hint="eastAsia" w:ascii="仿宋" w:hAnsi="仿宋" w:eastAsia="仿宋" w:cs="仿宋"/>
          <w:color w:val="auto"/>
          <w:sz w:val="24"/>
          <w:szCs w:val="24"/>
          <w:highlight w:val="none"/>
        </w:rPr>
        <w:t>、配备设备及建立各项制度并报送招标人备案，若不报送则招标人有权取消中标资格。</w:t>
      </w:r>
    </w:p>
    <w:p w14:paraId="4F04B273">
      <w:pPr>
        <w:rPr>
          <w:rFonts w:hint="eastAsia" w:ascii="仿宋" w:hAnsi="仿宋" w:eastAsia="仿宋" w:cs="仿宋"/>
          <w:color w:val="auto"/>
          <w:highlight w:val="none"/>
        </w:rPr>
      </w:pPr>
    </w:p>
    <w:p w14:paraId="77884F11">
      <w:pPr>
        <w:numPr>
          <w:ilvl w:val="0"/>
          <w:numId w:val="4"/>
        </w:num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17" w:name="_Toc184314450"/>
      <w:bookmarkEnd w:id="17"/>
      <w:bookmarkStart w:id="18" w:name="_Toc184308087"/>
      <w:bookmarkEnd w:id="18"/>
      <w:bookmarkStart w:id="19" w:name="_Toc184314443"/>
      <w:bookmarkEnd w:id="19"/>
      <w:bookmarkStart w:id="20" w:name="_Toc184310274"/>
      <w:bookmarkEnd w:id="20"/>
      <w:bookmarkStart w:id="21" w:name="_Toc184308093"/>
      <w:bookmarkEnd w:id="21"/>
      <w:bookmarkStart w:id="22" w:name="_Toc184310301"/>
      <w:bookmarkEnd w:id="22"/>
      <w:bookmarkStart w:id="23" w:name="_Toc184308036"/>
      <w:bookmarkEnd w:id="23"/>
      <w:bookmarkStart w:id="24" w:name="_Toc184310310"/>
      <w:bookmarkEnd w:id="24"/>
      <w:bookmarkStart w:id="25" w:name="_Toc184313257"/>
      <w:bookmarkEnd w:id="25"/>
      <w:bookmarkStart w:id="26" w:name="_Toc184312106"/>
      <w:bookmarkEnd w:id="26"/>
      <w:bookmarkStart w:id="27" w:name="_Toc184314412"/>
      <w:bookmarkEnd w:id="27"/>
      <w:bookmarkStart w:id="28" w:name="_Toc184308059"/>
      <w:bookmarkEnd w:id="28"/>
      <w:bookmarkStart w:id="29" w:name="_Toc184313262"/>
      <w:bookmarkEnd w:id="29"/>
      <w:bookmarkStart w:id="30" w:name="_Toc184314439"/>
      <w:bookmarkEnd w:id="30"/>
      <w:bookmarkStart w:id="31" w:name="_Toc184314478"/>
      <w:bookmarkEnd w:id="31"/>
      <w:bookmarkStart w:id="32" w:name="_Toc184314477"/>
      <w:bookmarkEnd w:id="32"/>
      <w:bookmarkStart w:id="33" w:name="_Toc184312090"/>
      <w:bookmarkEnd w:id="33"/>
      <w:bookmarkStart w:id="34" w:name="_Toc184310291"/>
      <w:bookmarkEnd w:id="34"/>
      <w:bookmarkStart w:id="35" w:name="_Toc184314424"/>
      <w:bookmarkEnd w:id="35"/>
      <w:bookmarkStart w:id="36" w:name="_Toc184314421"/>
      <w:bookmarkEnd w:id="36"/>
      <w:bookmarkStart w:id="37" w:name="_Toc184314472"/>
      <w:bookmarkEnd w:id="37"/>
      <w:bookmarkStart w:id="38" w:name="_Toc184313255"/>
      <w:bookmarkEnd w:id="38"/>
      <w:bookmarkStart w:id="39" w:name="_Toc184313247"/>
      <w:bookmarkEnd w:id="39"/>
      <w:bookmarkStart w:id="40" w:name="_Toc184308047"/>
      <w:bookmarkEnd w:id="40"/>
      <w:bookmarkStart w:id="41" w:name="_Toc184314427"/>
      <w:bookmarkEnd w:id="41"/>
      <w:bookmarkStart w:id="42" w:name="_Toc184312129"/>
      <w:bookmarkEnd w:id="42"/>
      <w:bookmarkStart w:id="43" w:name="_Toc184313287"/>
      <w:bookmarkEnd w:id="43"/>
      <w:bookmarkStart w:id="44" w:name="_Toc184313268"/>
      <w:bookmarkEnd w:id="44"/>
      <w:bookmarkStart w:id="45" w:name="_Toc184310333"/>
      <w:bookmarkEnd w:id="45"/>
      <w:bookmarkStart w:id="46" w:name="_Toc184312113"/>
      <w:bookmarkEnd w:id="46"/>
      <w:bookmarkStart w:id="47" w:name="_Toc184308069"/>
      <w:bookmarkEnd w:id="47"/>
      <w:bookmarkStart w:id="48" w:name="_Toc184314444"/>
      <w:bookmarkEnd w:id="48"/>
      <w:bookmarkStart w:id="49" w:name="_Toc184308077"/>
      <w:bookmarkEnd w:id="49"/>
      <w:bookmarkStart w:id="50" w:name="_Toc184314413"/>
      <w:bookmarkEnd w:id="50"/>
      <w:bookmarkStart w:id="51" w:name="_Toc184314441"/>
      <w:bookmarkEnd w:id="51"/>
      <w:bookmarkStart w:id="52" w:name="_Toc184308086"/>
      <w:bookmarkEnd w:id="52"/>
      <w:bookmarkStart w:id="53" w:name="_Toc184312132"/>
      <w:bookmarkEnd w:id="53"/>
      <w:bookmarkStart w:id="54" w:name="_Toc184312118"/>
      <w:bookmarkEnd w:id="54"/>
      <w:bookmarkStart w:id="55" w:name="_Toc184310278"/>
      <w:bookmarkEnd w:id="55"/>
      <w:bookmarkStart w:id="56" w:name="_Toc184313289"/>
      <w:bookmarkEnd w:id="56"/>
      <w:bookmarkStart w:id="57" w:name="_Toc184310312"/>
      <w:bookmarkEnd w:id="57"/>
      <w:bookmarkStart w:id="58" w:name="_Toc184312139"/>
      <w:bookmarkEnd w:id="58"/>
      <w:bookmarkStart w:id="59" w:name="_Toc184313269"/>
      <w:bookmarkEnd w:id="59"/>
      <w:bookmarkStart w:id="60" w:name="_Toc184308070"/>
      <w:bookmarkEnd w:id="60"/>
      <w:bookmarkStart w:id="61" w:name="_Toc184310343"/>
      <w:bookmarkEnd w:id="61"/>
      <w:bookmarkStart w:id="62" w:name="_Toc184314464"/>
      <w:bookmarkEnd w:id="62"/>
      <w:bookmarkStart w:id="63" w:name="_Toc184313283"/>
      <w:bookmarkEnd w:id="63"/>
      <w:bookmarkStart w:id="64" w:name="_Toc184314462"/>
      <w:bookmarkEnd w:id="64"/>
      <w:bookmarkStart w:id="65" w:name="_Toc184308050"/>
      <w:bookmarkEnd w:id="65"/>
      <w:bookmarkStart w:id="66" w:name="_Toc184308037"/>
      <w:bookmarkEnd w:id="66"/>
      <w:bookmarkStart w:id="67" w:name="_Toc184313248"/>
      <w:bookmarkEnd w:id="67"/>
      <w:bookmarkStart w:id="68" w:name="_Toc184314474"/>
      <w:bookmarkEnd w:id="68"/>
      <w:bookmarkStart w:id="69" w:name="_Toc184314471"/>
      <w:bookmarkEnd w:id="69"/>
      <w:bookmarkStart w:id="70" w:name="_Toc184308075"/>
      <w:bookmarkEnd w:id="70"/>
      <w:bookmarkStart w:id="71" w:name="_Toc184312111"/>
      <w:bookmarkEnd w:id="71"/>
      <w:bookmarkStart w:id="72" w:name="_Toc184312126"/>
      <w:bookmarkEnd w:id="72"/>
      <w:bookmarkStart w:id="73" w:name="_Toc184310327"/>
      <w:bookmarkEnd w:id="73"/>
      <w:bookmarkStart w:id="74" w:name="_Toc184310324"/>
      <w:bookmarkEnd w:id="74"/>
      <w:bookmarkStart w:id="75" w:name="_Toc184314446"/>
      <w:bookmarkEnd w:id="75"/>
      <w:bookmarkStart w:id="76" w:name="_Toc184310329"/>
      <w:bookmarkEnd w:id="76"/>
      <w:bookmarkStart w:id="77" w:name="_Toc184308100"/>
      <w:bookmarkEnd w:id="77"/>
      <w:bookmarkStart w:id="78" w:name="_Toc184314432"/>
      <w:bookmarkEnd w:id="78"/>
      <w:bookmarkStart w:id="79" w:name="_Toc184310339"/>
      <w:bookmarkEnd w:id="79"/>
      <w:bookmarkStart w:id="80" w:name="_Toc184312101"/>
      <w:bookmarkEnd w:id="80"/>
      <w:bookmarkStart w:id="81" w:name="_Toc184313302"/>
      <w:bookmarkEnd w:id="81"/>
      <w:bookmarkStart w:id="82" w:name="_Toc184310304"/>
      <w:bookmarkEnd w:id="82"/>
      <w:bookmarkStart w:id="83" w:name="_Toc184314425"/>
      <w:bookmarkEnd w:id="83"/>
      <w:bookmarkStart w:id="84" w:name="_Toc184308045"/>
      <w:bookmarkEnd w:id="84"/>
      <w:bookmarkStart w:id="85" w:name="_Toc184313253"/>
      <w:bookmarkEnd w:id="85"/>
      <w:bookmarkStart w:id="86" w:name="_Toc184314456"/>
      <w:bookmarkEnd w:id="86"/>
      <w:bookmarkStart w:id="87" w:name="_Toc184312091"/>
      <w:bookmarkEnd w:id="87"/>
      <w:bookmarkStart w:id="88" w:name="_Toc184313309"/>
      <w:bookmarkEnd w:id="88"/>
      <w:bookmarkStart w:id="89" w:name="_Toc184314448"/>
      <w:bookmarkEnd w:id="89"/>
      <w:bookmarkStart w:id="90" w:name="_Toc184313256"/>
      <w:bookmarkEnd w:id="90"/>
      <w:bookmarkStart w:id="91" w:name="_Toc184312110"/>
      <w:bookmarkEnd w:id="91"/>
      <w:bookmarkStart w:id="92" w:name="_Toc184308095"/>
      <w:bookmarkEnd w:id="92"/>
      <w:bookmarkStart w:id="93" w:name="_Toc184308065"/>
      <w:bookmarkEnd w:id="93"/>
      <w:bookmarkStart w:id="94" w:name="_Toc184314469"/>
      <w:bookmarkEnd w:id="94"/>
      <w:bookmarkStart w:id="95" w:name="_Toc184310314"/>
      <w:bookmarkEnd w:id="95"/>
      <w:bookmarkStart w:id="96" w:name="_Toc184308103"/>
      <w:bookmarkEnd w:id="96"/>
      <w:bookmarkStart w:id="97" w:name="_Toc184310298"/>
      <w:bookmarkEnd w:id="97"/>
      <w:bookmarkStart w:id="98" w:name="_Toc184314436"/>
      <w:bookmarkEnd w:id="98"/>
      <w:bookmarkStart w:id="99" w:name="_Toc184310287"/>
      <w:bookmarkEnd w:id="99"/>
      <w:bookmarkStart w:id="100" w:name="_Toc184314459"/>
      <w:bookmarkEnd w:id="100"/>
      <w:bookmarkStart w:id="101" w:name="_Toc184310331"/>
      <w:bookmarkEnd w:id="101"/>
      <w:bookmarkStart w:id="102" w:name="_Toc184313242"/>
      <w:bookmarkEnd w:id="102"/>
      <w:bookmarkStart w:id="103" w:name="_Toc184314452"/>
      <w:bookmarkEnd w:id="103"/>
      <w:bookmarkStart w:id="104" w:name="_Toc184310332"/>
      <w:bookmarkEnd w:id="104"/>
      <w:bookmarkStart w:id="105" w:name="_Toc184313238"/>
      <w:bookmarkEnd w:id="105"/>
      <w:bookmarkStart w:id="106" w:name="_Toc184314430"/>
      <w:bookmarkEnd w:id="106"/>
      <w:bookmarkStart w:id="107" w:name="_Toc184312107"/>
      <w:bookmarkEnd w:id="107"/>
      <w:bookmarkStart w:id="108" w:name="_Toc184308106"/>
      <w:bookmarkEnd w:id="108"/>
      <w:bookmarkStart w:id="109" w:name="_Toc184310344"/>
      <w:bookmarkEnd w:id="109"/>
      <w:bookmarkStart w:id="110" w:name="_Toc184310286"/>
      <w:bookmarkEnd w:id="110"/>
      <w:bookmarkStart w:id="111" w:name="_Toc184310340"/>
      <w:bookmarkEnd w:id="111"/>
      <w:bookmarkStart w:id="112" w:name="_Toc184312133"/>
      <w:bookmarkEnd w:id="112"/>
      <w:bookmarkStart w:id="113" w:name="_Toc184308094"/>
      <w:bookmarkEnd w:id="113"/>
      <w:bookmarkStart w:id="114" w:name="_Toc184308102"/>
      <w:bookmarkEnd w:id="114"/>
      <w:bookmarkStart w:id="115" w:name="_Toc184314458"/>
      <w:bookmarkEnd w:id="115"/>
      <w:bookmarkStart w:id="116" w:name="_Toc184312104"/>
      <w:bookmarkEnd w:id="116"/>
      <w:bookmarkStart w:id="117" w:name="_Toc184314423"/>
      <w:bookmarkEnd w:id="117"/>
      <w:bookmarkStart w:id="118" w:name="_Toc184310273"/>
      <w:bookmarkEnd w:id="118"/>
      <w:bookmarkStart w:id="119" w:name="_Toc184310279"/>
      <w:bookmarkEnd w:id="119"/>
      <w:bookmarkStart w:id="120" w:name="_Toc184312138"/>
      <w:bookmarkEnd w:id="120"/>
      <w:bookmarkStart w:id="121" w:name="_Toc184314479"/>
      <w:bookmarkEnd w:id="121"/>
      <w:bookmarkStart w:id="122" w:name="_Toc184312080"/>
      <w:bookmarkEnd w:id="122"/>
      <w:bookmarkStart w:id="123" w:name="_Toc184312137"/>
      <w:bookmarkEnd w:id="123"/>
      <w:bookmarkStart w:id="124" w:name="_Toc184313245"/>
      <w:bookmarkEnd w:id="124"/>
      <w:bookmarkStart w:id="125" w:name="_Toc184314447"/>
      <w:bookmarkEnd w:id="125"/>
      <w:bookmarkStart w:id="126" w:name="_Toc184313276"/>
      <w:bookmarkEnd w:id="126"/>
      <w:bookmarkStart w:id="127" w:name="_Toc184312096"/>
      <w:bookmarkEnd w:id="127"/>
      <w:bookmarkStart w:id="128" w:name="_Toc184312072"/>
      <w:bookmarkEnd w:id="128"/>
      <w:bookmarkStart w:id="129" w:name="_Toc184313297"/>
      <w:bookmarkEnd w:id="129"/>
      <w:bookmarkStart w:id="130" w:name="_Toc184312068"/>
      <w:bookmarkEnd w:id="130"/>
      <w:bookmarkStart w:id="131" w:name="_Toc184313304"/>
      <w:bookmarkEnd w:id="131"/>
      <w:bookmarkStart w:id="132" w:name="_Toc184312074"/>
      <w:bookmarkEnd w:id="132"/>
      <w:bookmarkStart w:id="133" w:name="_Toc184314410"/>
      <w:bookmarkEnd w:id="133"/>
      <w:bookmarkStart w:id="134" w:name="_Toc184310292"/>
      <w:bookmarkEnd w:id="134"/>
      <w:bookmarkStart w:id="135" w:name="_Toc184308081"/>
      <w:bookmarkEnd w:id="135"/>
      <w:bookmarkStart w:id="136" w:name="_Toc184314418"/>
      <w:bookmarkEnd w:id="136"/>
      <w:bookmarkStart w:id="137" w:name="_Toc184313270"/>
      <w:bookmarkEnd w:id="137"/>
      <w:bookmarkStart w:id="138" w:name="_Toc184312076"/>
      <w:bookmarkEnd w:id="138"/>
      <w:bookmarkStart w:id="139" w:name="_Toc184313243"/>
      <w:bookmarkEnd w:id="139"/>
      <w:bookmarkStart w:id="140" w:name="_Toc184310281"/>
      <w:bookmarkEnd w:id="140"/>
      <w:bookmarkStart w:id="141" w:name="_Toc184308054"/>
      <w:bookmarkEnd w:id="141"/>
      <w:bookmarkStart w:id="142" w:name="_Toc184308074"/>
      <w:bookmarkEnd w:id="142"/>
      <w:bookmarkStart w:id="143" w:name="_Toc184312112"/>
      <w:bookmarkEnd w:id="143"/>
      <w:bookmarkStart w:id="144" w:name="_Toc184308088"/>
      <w:bookmarkEnd w:id="144"/>
      <w:bookmarkStart w:id="145" w:name="_Toc184313249"/>
      <w:bookmarkEnd w:id="145"/>
      <w:bookmarkStart w:id="146" w:name="_Toc184308067"/>
      <w:bookmarkEnd w:id="146"/>
      <w:bookmarkStart w:id="147" w:name="_Toc184314455"/>
      <w:bookmarkEnd w:id="147"/>
      <w:bookmarkStart w:id="148" w:name="_Toc184312120"/>
      <w:bookmarkEnd w:id="148"/>
      <w:bookmarkStart w:id="149" w:name="_Toc184312121"/>
      <w:bookmarkEnd w:id="149"/>
      <w:bookmarkStart w:id="150" w:name="_Toc184314461"/>
      <w:bookmarkEnd w:id="150"/>
      <w:bookmarkStart w:id="151" w:name="_Toc184310342"/>
      <w:bookmarkEnd w:id="151"/>
      <w:bookmarkStart w:id="152" w:name="_Toc184310311"/>
      <w:bookmarkEnd w:id="152"/>
      <w:bookmarkStart w:id="153" w:name="_Toc184312088"/>
      <w:bookmarkEnd w:id="153"/>
      <w:bookmarkStart w:id="154" w:name="_Toc184308039"/>
      <w:bookmarkEnd w:id="154"/>
      <w:bookmarkStart w:id="155" w:name="_Toc184310315"/>
      <w:bookmarkEnd w:id="155"/>
      <w:bookmarkStart w:id="156" w:name="_Toc184312125"/>
      <w:bookmarkEnd w:id="156"/>
      <w:bookmarkStart w:id="157" w:name="_Toc184313279"/>
      <w:bookmarkEnd w:id="157"/>
      <w:bookmarkStart w:id="158" w:name="_Toc184308084"/>
      <w:bookmarkEnd w:id="158"/>
      <w:bookmarkStart w:id="159" w:name="_Toc184308053"/>
      <w:bookmarkEnd w:id="159"/>
      <w:bookmarkStart w:id="160" w:name="_Toc184314475"/>
      <w:bookmarkEnd w:id="160"/>
      <w:bookmarkStart w:id="161" w:name="_Toc184313299"/>
      <w:bookmarkEnd w:id="161"/>
      <w:bookmarkStart w:id="162" w:name="_Toc184312094"/>
      <w:bookmarkEnd w:id="162"/>
      <w:bookmarkStart w:id="163" w:name="_Toc184310294"/>
      <w:bookmarkEnd w:id="163"/>
      <w:bookmarkStart w:id="164" w:name="_Toc184310280"/>
      <w:bookmarkEnd w:id="164"/>
      <w:bookmarkStart w:id="165" w:name="_Toc184308105"/>
      <w:bookmarkEnd w:id="165"/>
      <w:bookmarkStart w:id="166" w:name="_Toc184308060"/>
      <w:bookmarkEnd w:id="166"/>
      <w:bookmarkStart w:id="167" w:name="_Toc184312115"/>
      <w:bookmarkEnd w:id="167"/>
      <w:bookmarkStart w:id="168" w:name="_Toc184310330"/>
      <w:bookmarkEnd w:id="168"/>
      <w:bookmarkStart w:id="169" w:name="_Toc184312127"/>
      <w:bookmarkEnd w:id="169"/>
      <w:bookmarkStart w:id="170" w:name="_Toc184314453"/>
      <w:bookmarkEnd w:id="170"/>
      <w:bookmarkStart w:id="171" w:name="_Toc184313306"/>
      <w:bookmarkEnd w:id="171"/>
      <w:bookmarkStart w:id="172" w:name="_Toc184314467"/>
      <w:bookmarkEnd w:id="172"/>
      <w:bookmarkStart w:id="173" w:name="_Toc184312109"/>
      <w:bookmarkEnd w:id="173"/>
      <w:bookmarkStart w:id="174" w:name="_Toc184314476"/>
      <w:bookmarkEnd w:id="174"/>
      <w:bookmarkStart w:id="175" w:name="_Toc184308104"/>
      <w:bookmarkEnd w:id="175"/>
      <w:bookmarkStart w:id="176" w:name="_Toc184313277"/>
      <w:bookmarkEnd w:id="176"/>
      <w:bookmarkStart w:id="177" w:name="_Toc184314429"/>
      <w:bookmarkEnd w:id="177"/>
      <w:bookmarkStart w:id="178" w:name="_Toc184312089"/>
      <w:bookmarkEnd w:id="178"/>
      <w:bookmarkStart w:id="179" w:name="_Toc184312102"/>
      <w:bookmarkEnd w:id="179"/>
      <w:bookmarkStart w:id="180" w:name="_Toc184308091"/>
      <w:bookmarkEnd w:id="180"/>
      <w:bookmarkStart w:id="181" w:name="_Toc184310285"/>
      <w:bookmarkEnd w:id="181"/>
      <w:bookmarkStart w:id="182" w:name="_Toc184312085"/>
      <w:bookmarkEnd w:id="182"/>
      <w:bookmarkStart w:id="183" w:name="_Toc184314482"/>
      <w:bookmarkEnd w:id="183"/>
      <w:bookmarkStart w:id="184" w:name="_Toc184310277"/>
      <w:bookmarkEnd w:id="184"/>
      <w:bookmarkStart w:id="185" w:name="_Toc184312097"/>
      <w:bookmarkEnd w:id="185"/>
      <w:bookmarkStart w:id="186" w:name="_Toc184310319"/>
      <w:bookmarkEnd w:id="186"/>
      <w:bookmarkStart w:id="187" w:name="_Toc184314411"/>
      <w:bookmarkEnd w:id="187"/>
      <w:bookmarkStart w:id="188" w:name="_Toc184308040"/>
      <w:bookmarkEnd w:id="188"/>
      <w:bookmarkStart w:id="189" w:name="_Toc184313292"/>
      <w:bookmarkEnd w:id="189"/>
      <w:bookmarkStart w:id="190" w:name="_Toc184310316"/>
      <w:bookmarkEnd w:id="190"/>
      <w:bookmarkStart w:id="191" w:name="_Toc184310288"/>
      <w:bookmarkEnd w:id="191"/>
      <w:bookmarkStart w:id="192" w:name="_Toc184310337"/>
      <w:bookmarkEnd w:id="192"/>
      <w:bookmarkStart w:id="193" w:name="_Toc184314426"/>
      <w:bookmarkEnd w:id="193"/>
      <w:bookmarkStart w:id="194" w:name="_Toc184308044"/>
      <w:bookmarkEnd w:id="194"/>
      <w:bookmarkStart w:id="195" w:name="_Toc184314442"/>
      <w:bookmarkEnd w:id="195"/>
      <w:bookmarkStart w:id="196" w:name="_Toc184313298"/>
      <w:bookmarkEnd w:id="196"/>
      <w:bookmarkStart w:id="197" w:name="_Toc184308078"/>
      <w:bookmarkEnd w:id="197"/>
      <w:bookmarkStart w:id="198" w:name="_Toc184308041"/>
      <w:bookmarkEnd w:id="198"/>
      <w:bookmarkStart w:id="199" w:name="_Toc184313272"/>
      <w:bookmarkEnd w:id="199"/>
      <w:bookmarkStart w:id="200" w:name="_Toc184314437"/>
      <w:bookmarkEnd w:id="200"/>
      <w:bookmarkStart w:id="201" w:name="_Toc184312131"/>
      <w:bookmarkEnd w:id="201"/>
      <w:bookmarkStart w:id="202" w:name="_Toc184312108"/>
      <w:bookmarkEnd w:id="202"/>
      <w:bookmarkStart w:id="203" w:name="_Toc184308038"/>
      <w:bookmarkEnd w:id="203"/>
      <w:bookmarkStart w:id="204" w:name="_Toc184313295"/>
      <w:bookmarkEnd w:id="204"/>
      <w:bookmarkStart w:id="205" w:name="_Toc184312084"/>
      <w:bookmarkEnd w:id="205"/>
      <w:bookmarkStart w:id="206" w:name="_Toc184313264"/>
      <w:bookmarkEnd w:id="206"/>
      <w:bookmarkStart w:id="207" w:name="_Toc184308080"/>
      <w:bookmarkEnd w:id="207"/>
      <w:bookmarkStart w:id="208" w:name="_Toc184312070"/>
      <w:bookmarkEnd w:id="208"/>
      <w:bookmarkStart w:id="209" w:name="_Toc184310296"/>
      <w:bookmarkEnd w:id="209"/>
      <w:bookmarkStart w:id="210" w:name="_Toc184314419"/>
      <w:bookmarkEnd w:id="210"/>
      <w:bookmarkStart w:id="211" w:name="_Toc184314460"/>
      <w:bookmarkEnd w:id="211"/>
      <w:bookmarkStart w:id="212" w:name="_Toc184310336"/>
      <w:bookmarkEnd w:id="212"/>
      <w:bookmarkStart w:id="213" w:name="_Toc184312099"/>
      <w:bookmarkEnd w:id="213"/>
      <w:bookmarkStart w:id="214" w:name="_Toc184308076"/>
      <w:bookmarkEnd w:id="214"/>
      <w:bookmarkStart w:id="215" w:name="_Toc184312119"/>
      <w:bookmarkEnd w:id="215"/>
      <w:bookmarkStart w:id="216" w:name="_Toc184313296"/>
      <w:bookmarkEnd w:id="216"/>
      <w:bookmarkStart w:id="217" w:name="_Toc184314480"/>
      <w:bookmarkEnd w:id="217"/>
      <w:bookmarkStart w:id="218" w:name="_Toc184308049"/>
      <w:bookmarkEnd w:id="218"/>
      <w:bookmarkStart w:id="219" w:name="_Toc184312116"/>
      <w:bookmarkEnd w:id="219"/>
      <w:bookmarkStart w:id="220" w:name="_Toc184312073"/>
      <w:bookmarkEnd w:id="220"/>
      <w:bookmarkStart w:id="221" w:name="_Toc184314463"/>
      <w:bookmarkEnd w:id="221"/>
      <w:bookmarkStart w:id="222" w:name="_Toc184313261"/>
      <w:bookmarkEnd w:id="222"/>
      <w:bookmarkStart w:id="223" w:name="_Toc184310283"/>
      <w:bookmarkEnd w:id="223"/>
      <w:bookmarkStart w:id="224" w:name="_Toc184310335"/>
      <w:bookmarkEnd w:id="224"/>
      <w:bookmarkStart w:id="225" w:name="_Toc184308046"/>
      <w:bookmarkEnd w:id="225"/>
      <w:bookmarkStart w:id="226" w:name="_Toc184312069"/>
      <w:bookmarkEnd w:id="226"/>
      <w:bookmarkStart w:id="227" w:name="_Toc184308058"/>
      <w:bookmarkEnd w:id="227"/>
      <w:bookmarkStart w:id="228" w:name="_Toc184313240"/>
      <w:bookmarkEnd w:id="228"/>
      <w:bookmarkStart w:id="229" w:name="_Toc184312067"/>
      <w:bookmarkEnd w:id="229"/>
      <w:bookmarkStart w:id="230" w:name="_Toc184313250"/>
      <w:bookmarkEnd w:id="230"/>
      <w:bookmarkStart w:id="231" w:name="_Toc184308062"/>
      <w:bookmarkEnd w:id="231"/>
      <w:bookmarkStart w:id="232" w:name="_Toc184312093"/>
      <w:bookmarkEnd w:id="232"/>
      <w:bookmarkStart w:id="233" w:name="_Toc184310293"/>
      <w:bookmarkEnd w:id="233"/>
      <w:bookmarkStart w:id="234" w:name="_Toc184310325"/>
      <w:bookmarkEnd w:id="234"/>
      <w:bookmarkStart w:id="235" w:name="_Toc184308099"/>
      <w:bookmarkEnd w:id="235"/>
      <w:bookmarkStart w:id="236" w:name="_Toc184314473"/>
      <w:bookmarkEnd w:id="236"/>
      <w:bookmarkStart w:id="237" w:name="_Toc184310284"/>
      <w:bookmarkEnd w:id="237"/>
      <w:bookmarkStart w:id="238" w:name="_Toc184308072"/>
      <w:bookmarkEnd w:id="238"/>
      <w:bookmarkStart w:id="239" w:name="_Toc184313263"/>
      <w:bookmarkEnd w:id="239"/>
      <w:bookmarkStart w:id="240" w:name="_Toc184314422"/>
      <w:bookmarkEnd w:id="240"/>
      <w:bookmarkStart w:id="241" w:name="_Toc184308108"/>
      <w:bookmarkEnd w:id="241"/>
      <w:bookmarkStart w:id="242" w:name="_Toc184312117"/>
      <w:bookmarkEnd w:id="242"/>
      <w:bookmarkStart w:id="243" w:name="_Toc184312130"/>
      <w:bookmarkEnd w:id="243"/>
      <w:bookmarkStart w:id="244" w:name="_Toc184308083"/>
      <w:bookmarkEnd w:id="244"/>
      <w:bookmarkStart w:id="245" w:name="_Toc184310313"/>
      <w:bookmarkEnd w:id="245"/>
      <w:bookmarkStart w:id="246" w:name="_Toc184313274"/>
      <w:bookmarkEnd w:id="246"/>
      <w:bookmarkStart w:id="247" w:name="_Toc184314451"/>
      <w:bookmarkEnd w:id="247"/>
      <w:bookmarkStart w:id="248" w:name="_Toc184313246"/>
      <w:bookmarkEnd w:id="248"/>
      <w:bookmarkStart w:id="249" w:name="_Toc184314431"/>
      <w:bookmarkEnd w:id="249"/>
      <w:bookmarkStart w:id="250" w:name="_Toc184308064"/>
      <w:bookmarkEnd w:id="250"/>
      <w:bookmarkStart w:id="251" w:name="_Toc184308068"/>
      <w:bookmarkEnd w:id="251"/>
      <w:bookmarkStart w:id="252" w:name="_Toc184308043"/>
      <w:bookmarkEnd w:id="252"/>
      <w:bookmarkStart w:id="253" w:name="_Toc184312105"/>
      <w:bookmarkEnd w:id="253"/>
      <w:bookmarkStart w:id="254" w:name="_Toc184310305"/>
      <w:bookmarkEnd w:id="254"/>
      <w:bookmarkStart w:id="255" w:name="_Toc184313266"/>
      <w:bookmarkEnd w:id="255"/>
      <w:bookmarkStart w:id="256" w:name="_Toc184313273"/>
      <w:bookmarkEnd w:id="256"/>
      <w:bookmarkStart w:id="257" w:name="_Toc184312098"/>
      <w:bookmarkEnd w:id="257"/>
      <w:bookmarkStart w:id="258" w:name="_Toc184308098"/>
      <w:bookmarkEnd w:id="258"/>
      <w:bookmarkStart w:id="259" w:name="_Toc184308079"/>
      <w:bookmarkEnd w:id="259"/>
      <w:bookmarkStart w:id="260" w:name="_Toc184308052"/>
      <w:bookmarkEnd w:id="260"/>
      <w:bookmarkStart w:id="261" w:name="_Toc184314445"/>
      <w:bookmarkEnd w:id="261"/>
      <w:bookmarkStart w:id="262" w:name="_Toc184313252"/>
      <w:bookmarkEnd w:id="262"/>
      <w:bookmarkStart w:id="263" w:name="_Toc184308057"/>
      <w:bookmarkEnd w:id="263"/>
      <w:bookmarkStart w:id="264" w:name="_Toc184308061"/>
      <w:bookmarkEnd w:id="264"/>
      <w:bookmarkStart w:id="265" w:name="_Toc184310341"/>
      <w:bookmarkEnd w:id="265"/>
      <w:bookmarkStart w:id="266" w:name="_Toc184313251"/>
      <w:bookmarkEnd w:id="266"/>
      <w:bookmarkStart w:id="267" w:name="_Toc184310322"/>
      <w:bookmarkEnd w:id="267"/>
      <w:bookmarkStart w:id="268" w:name="_Toc184308055"/>
      <w:bookmarkEnd w:id="268"/>
      <w:bookmarkStart w:id="269" w:name="_Toc184313286"/>
      <w:bookmarkEnd w:id="269"/>
      <w:bookmarkStart w:id="270" w:name="_Toc184313308"/>
      <w:bookmarkEnd w:id="270"/>
      <w:bookmarkStart w:id="271" w:name="_Toc184312122"/>
      <w:bookmarkEnd w:id="271"/>
      <w:bookmarkStart w:id="272" w:name="_Toc184313278"/>
      <w:bookmarkEnd w:id="272"/>
      <w:bookmarkStart w:id="273" w:name="_Toc184312087"/>
      <w:bookmarkEnd w:id="273"/>
      <w:bookmarkStart w:id="274" w:name="_Toc184312077"/>
      <w:bookmarkEnd w:id="274"/>
      <w:bookmarkStart w:id="275" w:name="_Toc184313303"/>
      <w:bookmarkEnd w:id="275"/>
      <w:bookmarkStart w:id="276" w:name="_Toc184313239"/>
      <w:bookmarkEnd w:id="276"/>
      <w:bookmarkStart w:id="277" w:name="_Toc184314454"/>
      <w:bookmarkEnd w:id="277"/>
      <w:bookmarkStart w:id="278" w:name="_Toc184314466"/>
      <w:bookmarkEnd w:id="278"/>
      <w:bookmarkStart w:id="279" w:name="_Toc184313284"/>
      <w:bookmarkEnd w:id="279"/>
      <w:bookmarkStart w:id="280" w:name="_Toc184313300"/>
      <w:bookmarkEnd w:id="280"/>
      <w:bookmarkStart w:id="281" w:name="_Toc184310290"/>
      <w:bookmarkEnd w:id="281"/>
      <w:bookmarkStart w:id="282" w:name="_Toc184313307"/>
      <w:bookmarkEnd w:id="282"/>
      <w:bookmarkStart w:id="283" w:name="_Toc184308063"/>
      <w:bookmarkEnd w:id="283"/>
      <w:bookmarkStart w:id="284" w:name="_Toc184313254"/>
      <w:bookmarkEnd w:id="284"/>
      <w:bookmarkStart w:id="285" w:name="_Toc184312128"/>
      <w:bookmarkEnd w:id="285"/>
      <w:bookmarkStart w:id="286" w:name="_Toc184308071"/>
      <w:bookmarkEnd w:id="286"/>
      <w:bookmarkStart w:id="287" w:name="_Toc184310320"/>
      <w:bookmarkEnd w:id="287"/>
      <w:bookmarkStart w:id="288" w:name="_Toc184313310"/>
      <w:bookmarkEnd w:id="288"/>
      <w:bookmarkStart w:id="289" w:name="_Toc184313271"/>
      <w:bookmarkEnd w:id="289"/>
      <w:bookmarkStart w:id="290" w:name="_Toc184312135"/>
      <w:bookmarkEnd w:id="290"/>
      <w:bookmarkStart w:id="291" w:name="_Toc184308097"/>
      <w:bookmarkEnd w:id="291"/>
      <w:bookmarkStart w:id="292" w:name="_Toc184312079"/>
      <w:bookmarkEnd w:id="292"/>
      <w:bookmarkStart w:id="293" w:name="_Toc184312134"/>
      <w:bookmarkEnd w:id="293"/>
      <w:bookmarkStart w:id="294" w:name="_Toc184310307"/>
      <w:bookmarkEnd w:id="294"/>
      <w:bookmarkStart w:id="295" w:name="_Toc184310328"/>
      <w:bookmarkEnd w:id="295"/>
      <w:bookmarkStart w:id="296" w:name="_Toc184314414"/>
      <w:bookmarkEnd w:id="296"/>
      <w:bookmarkStart w:id="297" w:name="_Toc184312136"/>
      <w:bookmarkEnd w:id="297"/>
      <w:bookmarkStart w:id="298" w:name="_Toc184313280"/>
      <w:bookmarkEnd w:id="298"/>
      <w:bookmarkStart w:id="299" w:name="_Toc184310321"/>
      <w:bookmarkEnd w:id="299"/>
      <w:bookmarkStart w:id="300" w:name="_Toc184314481"/>
      <w:bookmarkEnd w:id="300"/>
      <w:bookmarkStart w:id="301" w:name="_Toc184313294"/>
      <w:bookmarkEnd w:id="301"/>
      <w:bookmarkStart w:id="302" w:name="_Toc184313282"/>
      <w:bookmarkEnd w:id="302"/>
      <w:bookmarkStart w:id="303" w:name="_Toc184310334"/>
      <w:bookmarkEnd w:id="303"/>
      <w:bookmarkStart w:id="304" w:name="_Toc184314417"/>
      <w:bookmarkEnd w:id="304"/>
      <w:bookmarkStart w:id="305" w:name="_Toc184308048"/>
      <w:bookmarkEnd w:id="305"/>
      <w:bookmarkStart w:id="306" w:name="_Toc184312095"/>
      <w:bookmarkEnd w:id="306"/>
      <w:bookmarkStart w:id="307" w:name="_Toc184310297"/>
      <w:bookmarkEnd w:id="307"/>
      <w:bookmarkStart w:id="308" w:name="_Toc184308042"/>
      <w:bookmarkEnd w:id="308"/>
      <w:bookmarkStart w:id="309" w:name="_Toc184314457"/>
      <w:bookmarkEnd w:id="309"/>
      <w:bookmarkStart w:id="310" w:name="_Toc184308089"/>
      <w:bookmarkEnd w:id="310"/>
      <w:bookmarkStart w:id="311" w:name="_Toc184313290"/>
      <w:bookmarkEnd w:id="311"/>
      <w:bookmarkStart w:id="312" w:name="_Toc184313281"/>
      <w:bookmarkEnd w:id="312"/>
      <w:bookmarkStart w:id="313" w:name="_Toc184314416"/>
      <w:bookmarkEnd w:id="313"/>
      <w:bookmarkStart w:id="314" w:name="_Toc184310302"/>
      <w:bookmarkEnd w:id="314"/>
      <w:bookmarkStart w:id="315" w:name="_Toc184310282"/>
      <w:bookmarkEnd w:id="315"/>
      <w:bookmarkStart w:id="316" w:name="_Toc184310323"/>
      <w:bookmarkEnd w:id="316"/>
      <w:bookmarkStart w:id="317" w:name="_Toc184308096"/>
      <w:bookmarkEnd w:id="317"/>
      <w:bookmarkStart w:id="318" w:name="_Toc184313301"/>
      <w:bookmarkEnd w:id="318"/>
      <w:bookmarkStart w:id="319" w:name="_Toc184314420"/>
      <w:bookmarkEnd w:id="319"/>
      <w:bookmarkStart w:id="320" w:name="_Toc184310299"/>
      <w:bookmarkEnd w:id="320"/>
      <w:bookmarkStart w:id="321" w:name="_Toc184310275"/>
      <w:bookmarkEnd w:id="321"/>
      <w:bookmarkStart w:id="322" w:name="_Toc184314415"/>
      <w:bookmarkEnd w:id="322"/>
      <w:bookmarkStart w:id="323" w:name="_Toc184308085"/>
      <w:bookmarkEnd w:id="323"/>
      <w:bookmarkStart w:id="324" w:name="_Toc184310272"/>
      <w:bookmarkEnd w:id="324"/>
      <w:bookmarkStart w:id="325" w:name="_Toc184308073"/>
      <w:bookmarkEnd w:id="325"/>
      <w:bookmarkStart w:id="326" w:name="_Toc184310309"/>
      <w:bookmarkEnd w:id="326"/>
      <w:bookmarkStart w:id="327" w:name="_Toc184313288"/>
      <w:bookmarkEnd w:id="327"/>
      <w:bookmarkStart w:id="328" w:name="_Toc184310338"/>
      <w:bookmarkEnd w:id="328"/>
      <w:bookmarkStart w:id="329" w:name="_Toc184314428"/>
      <w:bookmarkEnd w:id="329"/>
      <w:bookmarkStart w:id="330" w:name="_Toc184314468"/>
      <w:bookmarkEnd w:id="330"/>
      <w:bookmarkStart w:id="331" w:name="_Toc184313260"/>
      <w:bookmarkEnd w:id="331"/>
      <w:bookmarkStart w:id="332" w:name="_Toc184313258"/>
      <w:bookmarkEnd w:id="332"/>
      <w:bookmarkStart w:id="333" w:name="_Toc184314470"/>
      <w:bookmarkEnd w:id="333"/>
      <w:bookmarkStart w:id="334" w:name="_Toc184312082"/>
      <w:bookmarkEnd w:id="334"/>
      <w:bookmarkStart w:id="335" w:name="_Toc184313275"/>
      <w:bookmarkEnd w:id="335"/>
      <w:bookmarkStart w:id="336" w:name="_Toc184314465"/>
      <w:bookmarkEnd w:id="336"/>
      <w:bookmarkStart w:id="337" w:name="_Toc184308107"/>
      <w:bookmarkEnd w:id="337"/>
      <w:bookmarkStart w:id="338" w:name="_Toc184313305"/>
      <w:bookmarkEnd w:id="338"/>
      <w:bookmarkStart w:id="339" w:name="_Toc184313267"/>
      <w:bookmarkEnd w:id="339"/>
      <w:bookmarkStart w:id="340" w:name="_Toc184312083"/>
      <w:bookmarkEnd w:id="340"/>
      <w:bookmarkStart w:id="341" w:name="_Toc184313265"/>
      <w:bookmarkEnd w:id="341"/>
      <w:bookmarkStart w:id="342" w:name="_Toc184314435"/>
      <w:bookmarkEnd w:id="342"/>
      <w:bookmarkStart w:id="343" w:name="_Toc184308066"/>
      <w:bookmarkEnd w:id="343"/>
      <w:bookmarkStart w:id="344" w:name="_Toc184308090"/>
      <w:bookmarkEnd w:id="344"/>
      <w:bookmarkStart w:id="345" w:name="_Toc184314433"/>
      <w:bookmarkEnd w:id="345"/>
      <w:bookmarkStart w:id="346" w:name="_Toc184308051"/>
      <w:bookmarkEnd w:id="346"/>
      <w:bookmarkStart w:id="347" w:name="_Toc184313291"/>
      <w:bookmarkEnd w:id="347"/>
      <w:bookmarkStart w:id="348" w:name="_Toc184314434"/>
      <w:bookmarkEnd w:id="348"/>
      <w:bookmarkStart w:id="349" w:name="_Toc184314438"/>
      <w:bookmarkEnd w:id="349"/>
      <w:bookmarkStart w:id="350" w:name="_Toc184310295"/>
      <w:bookmarkEnd w:id="350"/>
      <w:bookmarkStart w:id="351" w:name="_Toc184308056"/>
      <w:bookmarkEnd w:id="351"/>
      <w:bookmarkStart w:id="352" w:name="_Toc184308092"/>
      <w:bookmarkEnd w:id="352"/>
      <w:bookmarkStart w:id="353" w:name="_Toc184313244"/>
      <w:bookmarkEnd w:id="353"/>
      <w:bookmarkStart w:id="354" w:name="_Toc184312123"/>
      <w:bookmarkEnd w:id="354"/>
      <w:bookmarkStart w:id="355" w:name="_Toc184312075"/>
      <w:bookmarkEnd w:id="355"/>
      <w:bookmarkStart w:id="356" w:name="_Toc184310300"/>
      <w:bookmarkEnd w:id="356"/>
      <w:bookmarkStart w:id="357" w:name="_Toc184312081"/>
      <w:bookmarkEnd w:id="357"/>
      <w:bookmarkStart w:id="358" w:name="_Toc184312071"/>
      <w:bookmarkEnd w:id="358"/>
      <w:bookmarkStart w:id="359" w:name="_Toc184312114"/>
      <w:bookmarkEnd w:id="359"/>
      <w:bookmarkStart w:id="360" w:name="_Toc184313285"/>
      <w:bookmarkEnd w:id="360"/>
      <w:bookmarkStart w:id="361" w:name="_Toc184310303"/>
      <w:bookmarkEnd w:id="361"/>
      <w:bookmarkStart w:id="362" w:name="_Toc184314449"/>
      <w:bookmarkEnd w:id="362"/>
      <w:bookmarkStart w:id="363" w:name="_Toc184313293"/>
      <w:bookmarkEnd w:id="363"/>
      <w:bookmarkStart w:id="364" w:name="_Toc184310326"/>
      <w:bookmarkEnd w:id="364"/>
      <w:bookmarkStart w:id="365" w:name="_Toc184310306"/>
      <w:bookmarkEnd w:id="365"/>
      <w:bookmarkStart w:id="366" w:name="_Toc184313241"/>
      <w:bookmarkEnd w:id="366"/>
      <w:bookmarkStart w:id="367" w:name="_Toc184310317"/>
      <w:bookmarkEnd w:id="367"/>
      <w:bookmarkStart w:id="368" w:name="_Toc184310289"/>
      <w:bookmarkEnd w:id="368"/>
      <w:bookmarkStart w:id="369" w:name="_Toc184313259"/>
      <w:bookmarkEnd w:id="369"/>
      <w:bookmarkStart w:id="370" w:name="_Toc184308082"/>
      <w:bookmarkEnd w:id="370"/>
      <w:bookmarkStart w:id="371" w:name="_Toc184310318"/>
      <w:bookmarkEnd w:id="371"/>
      <w:bookmarkStart w:id="372" w:name="_Toc184308101"/>
      <w:bookmarkEnd w:id="372"/>
      <w:bookmarkStart w:id="373" w:name="_Toc184312103"/>
      <w:bookmarkEnd w:id="373"/>
      <w:bookmarkStart w:id="374" w:name="_Toc184310276"/>
      <w:bookmarkEnd w:id="374"/>
      <w:bookmarkStart w:id="375" w:name="_Toc184312086"/>
      <w:bookmarkEnd w:id="375"/>
      <w:bookmarkStart w:id="376" w:name="_Toc184312092"/>
      <w:bookmarkEnd w:id="376"/>
      <w:bookmarkStart w:id="377" w:name="_Toc184312100"/>
      <w:bookmarkEnd w:id="377"/>
      <w:bookmarkStart w:id="378" w:name="_Toc184312078"/>
      <w:bookmarkEnd w:id="378"/>
      <w:bookmarkStart w:id="379" w:name="_Toc184314440"/>
      <w:bookmarkEnd w:id="379"/>
      <w:bookmarkStart w:id="380" w:name="_Toc184310308"/>
      <w:bookmarkEnd w:id="380"/>
      <w:bookmarkStart w:id="381" w:name="_Toc184312124"/>
      <w:bookmarkEnd w:id="381"/>
      <w:r>
        <w:rPr>
          <w:rFonts w:hint="eastAsia" w:ascii="仿宋" w:hAnsi="仿宋" w:eastAsia="仿宋" w:cs="仿宋"/>
          <w:b/>
          <w:color w:val="auto"/>
          <w:sz w:val="36"/>
          <w:szCs w:val="36"/>
          <w:highlight w:val="none"/>
        </w:rPr>
        <w:t>交易办法</w:t>
      </w:r>
    </w:p>
    <w:p w14:paraId="6101C5CE">
      <w:pPr>
        <w:pStyle w:val="14"/>
        <w:rPr>
          <w:rFonts w:hint="eastAsia" w:ascii="仿宋" w:hAnsi="仿宋" w:eastAsia="仿宋" w:cs="仿宋"/>
          <w:color w:val="auto"/>
          <w:highlight w:val="none"/>
        </w:rPr>
      </w:pPr>
    </w:p>
    <w:p w14:paraId="19DDDB3C">
      <w:pPr>
        <w:pStyle w:val="14"/>
        <w:rPr>
          <w:rFonts w:hint="eastAsia" w:ascii="仿宋" w:hAnsi="仿宋" w:eastAsia="仿宋" w:cs="仿宋"/>
          <w:color w:val="auto"/>
          <w:highlight w:val="none"/>
        </w:rPr>
      </w:pPr>
    </w:p>
    <w:p w14:paraId="798B9F4C">
      <w:pPr>
        <w:snapToGrid/>
        <w:spacing w:line="24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r>
        <w:rPr>
          <w:rFonts w:hint="eastAsia" w:ascii="仿宋" w:hAnsi="仿宋" w:eastAsia="仿宋" w:cs="仿宋"/>
          <w:b/>
          <w:color w:val="auto"/>
          <w:sz w:val="32"/>
          <w:szCs w:val="20"/>
          <w:highlight w:val="none"/>
        </w:rPr>
        <w:t>交易办法前附表</w:t>
      </w:r>
    </w:p>
    <w:p w14:paraId="4312F429">
      <w:pPr>
        <w:widowControl/>
        <w:numPr>
          <w:ilvl w:val="0"/>
          <w:numId w:val="5"/>
        </w:numPr>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商务技术评分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分）</w:t>
      </w:r>
    </w:p>
    <w:tbl>
      <w:tblPr>
        <w:tblStyle w:val="18"/>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
        <w:gridCol w:w="1186"/>
        <w:gridCol w:w="6552"/>
        <w:gridCol w:w="723"/>
        <w:gridCol w:w="723"/>
      </w:tblGrid>
      <w:tr w14:paraId="2096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gridSpan w:val="2"/>
            <w:noWrap w:val="0"/>
            <w:tcMar>
              <w:left w:w="28" w:type="dxa"/>
              <w:right w:w="28" w:type="dxa"/>
            </w:tcMar>
            <w:vAlign w:val="center"/>
          </w:tcPr>
          <w:p w14:paraId="415D98BE">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序号    </w:t>
            </w:r>
          </w:p>
        </w:tc>
        <w:tc>
          <w:tcPr>
            <w:tcW w:w="1186" w:type="dxa"/>
            <w:noWrap w:val="0"/>
            <w:tcMar>
              <w:left w:w="28" w:type="dxa"/>
              <w:right w:w="28" w:type="dxa"/>
            </w:tcMar>
            <w:vAlign w:val="center"/>
          </w:tcPr>
          <w:p w14:paraId="3A6FF5B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评审项目</w:t>
            </w:r>
          </w:p>
        </w:tc>
        <w:tc>
          <w:tcPr>
            <w:tcW w:w="6552" w:type="dxa"/>
            <w:noWrap w:val="0"/>
            <w:tcMar>
              <w:left w:w="28" w:type="dxa"/>
              <w:right w:w="28" w:type="dxa"/>
            </w:tcMar>
            <w:vAlign w:val="center"/>
          </w:tcPr>
          <w:p w14:paraId="76CAEC64">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评分内容</w:t>
            </w:r>
          </w:p>
        </w:tc>
        <w:tc>
          <w:tcPr>
            <w:tcW w:w="723" w:type="dxa"/>
            <w:noWrap w:val="0"/>
            <w:tcMar>
              <w:left w:w="28" w:type="dxa"/>
              <w:right w:w="28" w:type="dxa"/>
            </w:tcMar>
            <w:vAlign w:val="center"/>
          </w:tcPr>
          <w:p w14:paraId="3C658B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分值</w:t>
            </w:r>
          </w:p>
        </w:tc>
        <w:tc>
          <w:tcPr>
            <w:tcW w:w="723" w:type="dxa"/>
            <w:noWrap w:val="0"/>
            <w:tcMar>
              <w:left w:w="28" w:type="dxa"/>
              <w:right w:w="28" w:type="dxa"/>
            </w:tcMar>
            <w:vAlign w:val="center"/>
          </w:tcPr>
          <w:p w14:paraId="73581404">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主/客观分</w:t>
            </w:r>
          </w:p>
        </w:tc>
      </w:tr>
      <w:tr w14:paraId="0C26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898" w:type="dxa"/>
            <w:noWrap w:val="0"/>
            <w:tcMar>
              <w:left w:w="28" w:type="dxa"/>
              <w:right w:w="28" w:type="dxa"/>
            </w:tcMar>
            <w:vAlign w:val="center"/>
          </w:tcPr>
          <w:p w14:paraId="26B8BE6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193" w:type="dxa"/>
            <w:gridSpan w:val="2"/>
            <w:noWrap w:val="0"/>
            <w:tcMar>
              <w:left w:w="28" w:type="dxa"/>
              <w:right w:w="28" w:type="dxa"/>
            </w:tcMar>
            <w:vAlign w:val="center"/>
          </w:tcPr>
          <w:p w14:paraId="28FEC8D3">
            <w:pPr>
              <w:keepNext w:val="0"/>
              <w:keepLines w:val="0"/>
              <w:pageBreakBefore w:val="0"/>
              <w:widowControl w:val="0"/>
              <w:tabs>
                <w:tab w:val="left" w:pos="5848"/>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w w:val="100"/>
                <w:sz w:val="24"/>
                <w:szCs w:val="24"/>
                <w:highlight w:val="none"/>
              </w:rPr>
              <w:t>实施方案</w:t>
            </w:r>
          </w:p>
        </w:tc>
        <w:tc>
          <w:tcPr>
            <w:tcW w:w="6552" w:type="dxa"/>
            <w:noWrap w:val="0"/>
            <w:tcMar>
              <w:left w:w="28" w:type="dxa"/>
              <w:right w:w="28" w:type="dxa"/>
            </w:tcMar>
            <w:vAlign w:val="center"/>
          </w:tcPr>
          <w:p w14:paraId="4D96ADE1">
            <w:pPr>
              <w:keepNext w:val="0"/>
              <w:keepLines w:val="0"/>
              <w:pageBreakBefore w:val="0"/>
              <w:widowControl/>
              <w:kinsoku/>
              <w:wordWrap/>
              <w:overflowPunct/>
              <w:topLinePunct w:val="0"/>
              <w:autoSpaceDE/>
              <w:autoSpaceDN/>
              <w:bidi w:val="0"/>
              <w:snapToGrid w:val="0"/>
              <w:spacing w:line="240" w:lineRule="auto"/>
              <w:ind w:left="0"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针对本项目的针对项目需求制定的实施方案及</w:t>
            </w:r>
            <w:r>
              <w:rPr>
                <w:rFonts w:hint="eastAsia" w:ascii="仿宋" w:hAnsi="仿宋" w:eastAsia="仿宋" w:cs="仿宋"/>
                <w:color w:val="auto"/>
                <w:sz w:val="24"/>
                <w:szCs w:val="24"/>
                <w:highlight w:val="none"/>
                <w:lang w:eastAsia="zh-CN"/>
              </w:rPr>
              <w:t>质量保证措施</w:t>
            </w:r>
            <w:r>
              <w:rPr>
                <w:rFonts w:hint="eastAsia" w:ascii="仿宋" w:hAnsi="仿宋" w:eastAsia="仿宋" w:cs="仿宋"/>
                <w:bCs/>
                <w:color w:val="auto"/>
                <w:sz w:val="24"/>
                <w:szCs w:val="24"/>
                <w:highlight w:val="none"/>
                <w:lang w:val="en-US" w:eastAsia="zh-CN"/>
              </w:rPr>
              <w:t>进行评议：</w:t>
            </w:r>
          </w:p>
          <w:p w14:paraId="1CC1336A">
            <w:pPr>
              <w:keepNext w:val="0"/>
              <w:keepLines w:val="0"/>
              <w:pageBreakBefore w:val="0"/>
              <w:widowControl/>
              <w:kinsoku/>
              <w:wordWrap/>
              <w:overflowPunct/>
              <w:topLinePunct w:val="0"/>
              <w:autoSpaceDE/>
              <w:autoSpaceDN/>
              <w:bidi w:val="0"/>
              <w:snapToGrid w:val="0"/>
              <w:spacing w:line="240" w:lineRule="auto"/>
              <w:ind w:left="0"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①方案内容详实，逻辑清晰，符合项目实际情况，切实可行的，</w:t>
            </w:r>
            <w:r>
              <w:rPr>
                <w:rFonts w:hint="eastAsia" w:ascii="仿宋" w:hAnsi="仿宋" w:eastAsia="仿宋" w:cs="仿宋"/>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en-US" w:eastAsia="zh-CN"/>
              </w:rPr>
              <w:t>可行有效、详细</w:t>
            </w:r>
            <w:r>
              <w:rPr>
                <w:rFonts w:hint="eastAsia" w:ascii="仿宋" w:hAnsi="仿宋" w:eastAsia="仿宋" w:cs="仿宋"/>
                <w:b w:val="0"/>
                <w:bCs w:val="0"/>
                <w:color w:val="auto"/>
                <w:sz w:val="24"/>
                <w:szCs w:val="24"/>
                <w:highlight w:val="none"/>
                <w:lang w:val="zh-CN" w:eastAsia="zh-CN"/>
              </w:rPr>
              <w:t>细致</w:t>
            </w:r>
            <w:r>
              <w:rPr>
                <w:rFonts w:hint="eastAsia" w:ascii="仿宋" w:hAnsi="仿宋" w:eastAsia="仿宋" w:cs="仿宋"/>
                <w:b w:val="0"/>
                <w:bCs w:val="0"/>
                <w:color w:val="auto"/>
                <w:sz w:val="24"/>
                <w:szCs w:val="24"/>
                <w:highlight w:val="none"/>
                <w:lang w:val="en-US" w:eastAsia="zh-CN"/>
              </w:rPr>
              <w:t>，严谨合理</w:t>
            </w:r>
            <w:r>
              <w:rPr>
                <w:rFonts w:hint="eastAsia" w:ascii="仿宋" w:hAnsi="仿宋" w:eastAsia="仿宋" w:cs="仿宋"/>
                <w:bCs/>
                <w:color w:val="auto"/>
                <w:sz w:val="24"/>
                <w:szCs w:val="24"/>
                <w:highlight w:val="none"/>
                <w:lang w:val="en-US" w:eastAsia="zh-CN"/>
              </w:rPr>
              <w:t>得6-5分；</w:t>
            </w:r>
          </w:p>
          <w:p w14:paraId="6E446562">
            <w:pPr>
              <w:keepNext w:val="0"/>
              <w:keepLines w:val="0"/>
              <w:pageBreakBefore w:val="0"/>
              <w:widowControl/>
              <w:kinsoku/>
              <w:wordWrap/>
              <w:overflowPunct/>
              <w:topLinePunct w:val="0"/>
              <w:autoSpaceDE/>
              <w:autoSpaceDN/>
              <w:bidi w:val="0"/>
              <w:snapToGrid w:val="0"/>
              <w:spacing w:line="240" w:lineRule="auto"/>
              <w:ind w:left="0"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②方案内容详细，工作思路清楚，基本符合项目实际情况，合理可行的，</w:t>
            </w:r>
            <w:r>
              <w:rPr>
                <w:rFonts w:hint="eastAsia" w:ascii="仿宋" w:hAnsi="仿宋" w:eastAsia="仿宋" w:cs="仿宋"/>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en-US" w:eastAsia="zh-CN"/>
              </w:rPr>
              <w:t>可行有效、详细</w:t>
            </w:r>
            <w:r>
              <w:rPr>
                <w:rFonts w:hint="eastAsia" w:ascii="仿宋" w:hAnsi="仿宋" w:eastAsia="仿宋" w:cs="仿宋"/>
                <w:b w:val="0"/>
                <w:bCs w:val="0"/>
                <w:color w:val="auto"/>
                <w:sz w:val="24"/>
                <w:szCs w:val="24"/>
                <w:highlight w:val="none"/>
                <w:lang w:val="zh-CN" w:eastAsia="zh-CN"/>
              </w:rPr>
              <w:t>细致</w:t>
            </w:r>
            <w:r>
              <w:rPr>
                <w:rFonts w:hint="eastAsia" w:ascii="仿宋" w:hAnsi="仿宋" w:eastAsia="仿宋" w:cs="仿宋"/>
                <w:b w:val="0"/>
                <w:bCs w:val="0"/>
                <w:color w:val="auto"/>
                <w:sz w:val="24"/>
                <w:szCs w:val="24"/>
                <w:highlight w:val="none"/>
                <w:lang w:val="en-US" w:eastAsia="zh-CN"/>
              </w:rPr>
              <w:t>，严谨合理的</w:t>
            </w:r>
            <w:r>
              <w:rPr>
                <w:rFonts w:hint="eastAsia" w:ascii="仿宋" w:hAnsi="仿宋" w:eastAsia="仿宋" w:cs="仿宋"/>
                <w:bCs/>
                <w:color w:val="auto"/>
                <w:sz w:val="24"/>
                <w:szCs w:val="24"/>
                <w:highlight w:val="none"/>
                <w:lang w:val="en-US" w:eastAsia="zh-CN"/>
              </w:rPr>
              <w:t>得4-3分；</w:t>
            </w:r>
          </w:p>
          <w:p w14:paraId="698D59FA">
            <w:pPr>
              <w:keepNext w:val="0"/>
              <w:keepLines w:val="0"/>
              <w:pageBreakBefore w:val="0"/>
              <w:widowControl/>
              <w:kinsoku/>
              <w:wordWrap/>
              <w:overflowPunct/>
              <w:topLinePunct w:val="0"/>
              <w:autoSpaceDE/>
              <w:autoSpaceDN/>
              <w:bidi w:val="0"/>
              <w:snapToGrid w:val="0"/>
              <w:spacing w:line="240" w:lineRule="auto"/>
              <w:ind w:left="0"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③方案内容比较简单，虽然存在一些不足但无明显重大缺陷的，</w:t>
            </w:r>
            <w:r>
              <w:rPr>
                <w:rFonts w:hint="eastAsia" w:ascii="仿宋" w:hAnsi="仿宋" w:eastAsia="仿宋" w:cs="仿宋"/>
                <w:color w:val="auto"/>
                <w:sz w:val="24"/>
                <w:szCs w:val="24"/>
                <w:highlight w:val="none"/>
                <w:lang w:val="en-US" w:eastAsia="zh-CN"/>
              </w:rPr>
              <w:t>障措施</w:t>
            </w:r>
            <w:r>
              <w:rPr>
                <w:rFonts w:hint="eastAsia" w:ascii="仿宋" w:hAnsi="仿宋" w:eastAsia="仿宋" w:cs="仿宋"/>
                <w:b w:val="0"/>
                <w:bCs w:val="0"/>
                <w:color w:val="auto"/>
                <w:sz w:val="24"/>
                <w:szCs w:val="24"/>
                <w:highlight w:val="none"/>
                <w:lang w:val="zh-CN" w:eastAsia="zh-CN"/>
              </w:rPr>
              <w:t>可行性、合理性一般的</w:t>
            </w:r>
            <w:r>
              <w:rPr>
                <w:rFonts w:hint="eastAsia" w:ascii="仿宋" w:hAnsi="仿宋" w:eastAsia="仿宋" w:cs="仿宋"/>
                <w:bCs/>
                <w:color w:val="auto"/>
                <w:sz w:val="24"/>
                <w:szCs w:val="24"/>
                <w:highlight w:val="none"/>
                <w:lang w:val="en-US" w:eastAsia="zh-CN"/>
              </w:rPr>
              <w:t>得2-1分；</w:t>
            </w:r>
          </w:p>
          <w:p w14:paraId="2641FD1C">
            <w:pPr>
              <w:keepNext w:val="0"/>
              <w:keepLines w:val="0"/>
              <w:pageBreakBefore w:val="0"/>
              <w:widowControl/>
              <w:kinsoku/>
              <w:wordWrap/>
              <w:overflowPunct/>
              <w:topLinePunct w:val="0"/>
              <w:autoSpaceDE/>
              <w:autoSpaceDN/>
              <w:bidi w:val="0"/>
              <w:snapToGrid w:val="0"/>
              <w:spacing w:line="240" w:lineRule="auto"/>
              <w:ind w:left="0" w:left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④提交的方案不符合项目实际且明显缺乏可行性或未提供方案的，</w:t>
            </w:r>
            <w:r>
              <w:rPr>
                <w:rFonts w:hint="eastAsia" w:ascii="仿宋" w:hAnsi="仿宋" w:eastAsia="仿宋" w:cs="仿宋"/>
                <w:color w:val="auto"/>
                <w:sz w:val="24"/>
                <w:szCs w:val="24"/>
                <w:highlight w:val="none"/>
                <w:lang w:val="en-US" w:eastAsia="zh-CN"/>
              </w:rPr>
              <w:t>不符合项目实际且明显缺乏可行性或未提供方案的不得分</w:t>
            </w:r>
            <w:r>
              <w:rPr>
                <w:rFonts w:hint="eastAsia" w:ascii="仿宋" w:hAnsi="仿宋" w:eastAsia="仿宋" w:cs="仿宋"/>
                <w:bCs/>
                <w:color w:val="auto"/>
                <w:sz w:val="24"/>
                <w:szCs w:val="24"/>
                <w:highlight w:val="none"/>
                <w:lang w:val="en-US" w:eastAsia="zh-CN"/>
              </w:rPr>
              <w:t>。</w:t>
            </w:r>
          </w:p>
        </w:tc>
        <w:tc>
          <w:tcPr>
            <w:tcW w:w="723" w:type="dxa"/>
            <w:noWrap w:val="0"/>
            <w:tcMar>
              <w:left w:w="28" w:type="dxa"/>
              <w:right w:w="28" w:type="dxa"/>
            </w:tcMar>
            <w:vAlign w:val="center"/>
          </w:tcPr>
          <w:p w14:paraId="710BBF1B">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723" w:type="dxa"/>
            <w:noWrap w:val="0"/>
            <w:tcMar>
              <w:left w:w="28" w:type="dxa"/>
              <w:right w:w="28" w:type="dxa"/>
            </w:tcMar>
            <w:vAlign w:val="center"/>
          </w:tcPr>
          <w:p w14:paraId="4B91D45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4D86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0"/>
            <w:tcMar>
              <w:left w:w="28" w:type="dxa"/>
              <w:right w:w="28" w:type="dxa"/>
            </w:tcMar>
            <w:vAlign w:val="center"/>
          </w:tcPr>
          <w:p w14:paraId="1228BA8E">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1193" w:type="dxa"/>
            <w:gridSpan w:val="2"/>
            <w:noWrap w:val="0"/>
            <w:tcMar>
              <w:left w:w="28" w:type="dxa"/>
              <w:right w:w="28" w:type="dxa"/>
            </w:tcMar>
            <w:vAlign w:val="center"/>
          </w:tcPr>
          <w:p w14:paraId="7DC4FA30">
            <w:pPr>
              <w:keepNext w:val="0"/>
              <w:keepLines w:val="0"/>
              <w:pageBreakBefore w:val="0"/>
              <w:widowControl w:val="0"/>
              <w:tabs>
                <w:tab w:val="left" w:pos="5848"/>
              </w:tabs>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环保措施</w:t>
            </w:r>
          </w:p>
        </w:tc>
        <w:tc>
          <w:tcPr>
            <w:tcW w:w="6552" w:type="dxa"/>
            <w:noWrap w:val="0"/>
            <w:tcMar>
              <w:left w:w="28" w:type="dxa"/>
              <w:right w:w="28" w:type="dxa"/>
            </w:tcMar>
            <w:vAlign w:val="center"/>
          </w:tcPr>
          <w:p w14:paraId="55A25133">
            <w:pPr>
              <w:keepNext w:val="0"/>
              <w:keepLines w:val="0"/>
              <w:pageBreakBefore w:val="0"/>
              <w:widowControl w:val="0"/>
              <w:tabs>
                <w:tab w:val="left" w:pos="4954"/>
              </w:tabs>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环保措施</w:t>
            </w:r>
            <w:r>
              <w:rPr>
                <w:rFonts w:hint="eastAsia" w:ascii="仿宋" w:hAnsi="仿宋" w:eastAsia="仿宋" w:cs="仿宋"/>
                <w:color w:val="auto"/>
                <w:sz w:val="24"/>
                <w:szCs w:val="24"/>
                <w:highlight w:val="none"/>
              </w:rPr>
              <w:t>进行评议</w:t>
            </w:r>
            <w:r>
              <w:rPr>
                <w:rFonts w:hint="eastAsia" w:ascii="仿宋" w:hAnsi="仿宋" w:eastAsia="仿宋" w:cs="仿宋"/>
                <w:color w:val="auto"/>
                <w:sz w:val="24"/>
                <w:szCs w:val="24"/>
                <w:highlight w:val="none"/>
                <w:lang w:eastAsia="zh-CN"/>
              </w:rPr>
              <w:t>：</w:t>
            </w:r>
          </w:p>
          <w:p w14:paraId="32A0CA98">
            <w:pPr>
              <w:keepNext w:val="0"/>
              <w:keepLines w:val="0"/>
              <w:pageBreakBefore w:val="0"/>
              <w:widowControl w:val="0"/>
              <w:tabs>
                <w:tab w:val="left" w:pos="4954"/>
              </w:tabs>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en-US" w:eastAsia="zh-CN"/>
              </w:rPr>
              <w:t>可行有效、详细</w:t>
            </w:r>
            <w:r>
              <w:rPr>
                <w:rFonts w:hint="eastAsia" w:ascii="仿宋" w:hAnsi="仿宋" w:eastAsia="仿宋" w:cs="仿宋"/>
                <w:b w:val="0"/>
                <w:bCs w:val="0"/>
                <w:color w:val="auto"/>
                <w:sz w:val="24"/>
                <w:szCs w:val="24"/>
                <w:highlight w:val="none"/>
                <w:lang w:val="zh-CN" w:eastAsia="zh-CN"/>
              </w:rPr>
              <w:t>细致</w:t>
            </w:r>
            <w:r>
              <w:rPr>
                <w:rFonts w:hint="eastAsia" w:ascii="仿宋" w:hAnsi="仿宋" w:eastAsia="仿宋" w:cs="仿宋"/>
                <w:b w:val="0"/>
                <w:bCs w:val="0"/>
                <w:color w:val="auto"/>
                <w:sz w:val="24"/>
                <w:szCs w:val="24"/>
                <w:highlight w:val="none"/>
                <w:lang w:val="en-US" w:eastAsia="zh-CN"/>
              </w:rPr>
              <w:t>，严谨合理的得6-5分；</w:t>
            </w:r>
          </w:p>
          <w:p w14:paraId="3915089D">
            <w:pPr>
              <w:keepNext w:val="0"/>
              <w:keepLines w:val="0"/>
              <w:pageBreakBefore w:val="0"/>
              <w:widowControl w:val="0"/>
              <w:tabs>
                <w:tab w:val="left" w:pos="4954"/>
              </w:tabs>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en-US" w:eastAsia="zh-CN"/>
              </w:rPr>
              <w:t>相对</w:t>
            </w:r>
            <w:r>
              <w:rPr>
                <w:rFonts w:hint="eastAsia" w:ascii="仿宋" w:hAnsi="仿宋" w:eastAsia="仿宋" w:cs="仿宋"/>
                <w:b w:val="0"/>
                <w:bCs w:val="0"/>
                <w:color w:val="auto"/>
                <w:sz w:val="24"/>
                <w:szCs w:val="24"/>
                <w:highlight w:val="none"/>
                <w:lang w:val="zh-CN" w:eastAsia="zh-CN"/>
              </w:rPr>
              <w:t>可行有效、合理的得</w:t>
            </w:r>
            <w:r>
              <w:rPr>
                <w:rFonts w:hint="eastAsia" w:ascii="仿宋" w:hAnsi="仿宋" w:eastAsia="仿宋" w:cs="仿宋"/>
                <w:b w:val="0"/>
                <w:bCs w:val="0"/>
                <w:color w:val="auto"/>
                <w:sz w:val="24"/>
                <w:szCs w:val="24"/>
                <w:highlight w:val="none"/>
                <w:lang w:val="en-US" w:eastAsia="zh-CN"/>
              </w:rPr>
              <w:t>4-3分</w:t>
            </w:r>
            <w:r>
              <w:rPr>
                <w:rFonts w:hint="eastAsia" w:ascii="仿宋" w:hAnsi="仿宋" w:eastAsia="仿宋" w:cs="仿宋"/>
                <w:b w:val="0"/>
                <w:bCs w:val="0"/>
                <w:color w:val="auto"/>
                <w:sz w:val="24"/>
                <w:szCs w:val="24"/>
                <w:highlight w:val="none"/>
                <w:lang w:val="zh-CN" w:eastAsia="zh-CN"/>
              </w:rPr>
              <w:t>；</w:t>
            </w:r>
          </w:p>
          <w:p w14:paraId="6AC56540">
            <w:pPr>
              <w:keepNext w:val="0"/>
              <w:keepLines w:val="0"/>
              <w:pageBreakBefore w:val="0"/>
              <w:widowControl w:val="0"/>
              <w:tabs>
                <w:tab w:val="left" w:pos="4954"/>
              </w:tabs>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③</w:t>
            </w:r>
            <w:r>
              <w:rPr>
                <w:rFonts w:hint="eastAsia" w:ascii="仿宋" w:hAnsi="仿宋" w:eastAsia="仿宋" w:cs="仿宋"/>
                <w:color w:val="auto"/>
                <w:sz w:val="24"/>
                <w:szCs w:val="24"/>
                <w:highlight w:val="none"/>
                <w:lang w:val="en-US" w:eastAsia="zh-CN"/>
              </w:rPr>
              <w:t>保障措施</w:t>
            </w:r>
            <w:r>
              <w:rPr>
                <w:rFonts w:hint="eastAsia" w:ascii="仿宋" w:hAnsi="仿宋" w:eastAsia="仿宋" w:cs="仿宋"/>
                <w:b w:val="0"/>
                <w:bCs w:val="0"/>
                <w:color w:val="auto"/>
                <w:sz w:val="24"/>
                <w:szCs w:val="24"/>
                <w:highlight w:val="none"/>
                <w:lang w:val="zh-CN" w:eastAsia="zh-CN"/>
              </w:rPr>
              <w:t>可行性、合理性一般的得</w:t>
            </w:r>
            <w:r>
              <w:rPr>
                <w:rFonts w:hint="eastAsia" w:ascii="仿宋" w:hAnsi="仿宋" w:eastAsia="仿宋" w:cs="仿宋"/>
                <w:b w:val="0"/>
                <w:bCs w:val="0"/>
                <w:color w:val="auto"/>
                <w:sz w:val="24"/>
                <w:szCs w:val="24"/>
                <w:highlight w:val="none"/>
                <w:lang w:val="en-US" w:eastAsia="zh-CN"/>
              </w:rPr>
              <w:t>2-1分；</w:t>
            </w:r>
          </w:p>
          <w:p w14:paraId="4E50ACA6">
            <w:pPr>
              <w:keepNext w:val="0"/>
              <w:keepLines w:val="0"/>
              <w:pageBreakBefore w:val="0"/>
              <w:widowControl w:val="0"/>
              <w:tabs>
                <w:tab w:val="left" w:pos="4954"/>
              </w:tabs>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color w:val="auto"/>
                <w:w w:val="100"/>
                <w:sz w:val="24"/>
                <w:szCs w:val="24"/>
                <w:highlight w:val="none"/>
              </w:rPr>
            </w:pPr>
            <w:r>
              <w:rPr>
                <w:rFonts w:hint="eastAsia" w:ascii="仿宋" w:hAnsi="仿宋" w:eastAsia="仿宋" w:cs="仿宋"/>
                <w:b w:val="0"/>
                <w:bCs w:val="0"/>
                <w:color w:val="auto"/>
                <w:sz w:val="24"/>
                <w:szCs w:val="24"/>
                <w:highlight w:val="none"/>
                <w:lang w:val="en-US" w:eastAsia="zh-CN"/>
              </w:rPr>
              <w:t>④</w:t>
            </w:r>
            <w:r>
              <w:rPr>
                <w:rFonts w:hint="eastAsia" w:ascii="仿宋" w:hAnsi="仿宋" w:eastAsia="仿宋" w:cs="仿宋"/>
                <w:bCs/>
                <w:color w:val="auto"/>
                <w:kern w:val="0"/>
                <w:sz w:val="24"/>
                <w:szCs w:val="24"/>
                <w:highlight w:val="none"/>
                <w:lang w:eastAsia="zh-CN"/>
              </w:rPr>
              <w:t>缺项不得分</w:t>
            </w:r>
            <w:r>
              <w:rPr>
                <w:rFonts w:hint="eastAsia" w:ascii="仿宋" w:hAnsi="仿宋" w:eastAsia="仿宋" w:cs="仿宋"/>
                <w:b w:val="0"/>
                <w:bCs w:val="0"/>
                <w:color w:val="auto"/>
                <w:sz w:val="24"/>
                <w:szCs w:val="24"/>
                <w:highlight w:val="none"/>
                <w:lang w:val="zh-CN" w:eastAsia="zh-CN"/>
              </w:rPr>
              <w:t>。</w:t>
            </w:r>
          </w:p>
        </w:tc>
        <w:tc>
          <w:tcPr>
            <w:tcW w:w="723" w:type="dxa"/>
            <w:noWrap w:val="0"/>
            <w:tcMar>
              <w:left w:w="28" w:type="dxa"/>
              <w:right w:w="28" w:type="dxa"/>
            </w:tcMar>
            <w:vAlign w:val="center"/>
          </w:tcPr>
          <w:p w14:paraId="62127484">
            <w:pPr>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w:t>
            </w:r>
          </w:p>
        </w:tc>
        <w:tc>
          <w:tcPr>
            <w:tcW w:w="723" w:type="dxa"/>
            <w:noWrap w:val="0"/>
            <w:tcMar>
              <w:left w:w="28" w:type="dxa"/>
              <w:right w:w="28" w:type="dxa"/>
            </w:tcMar>
            <w:vAlign w:val="center"/>
          </w:tcPr>
          <w:p w14:paraId="2B79DE22">
            <w:pPr>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BF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8" w:type="dxa"/>
            <w:noWrap w:val="0"/>
            <w:tcMar>
              <w:left w:w="28" w:type="dxa"/>
              <w:right w:w="28" w:type="dxa"/>
            </w:tcMar>
            <w:vAlign w:val="center"/>
          </w:tcPr>
          <w:p w14:paraId="55B75C19">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1193" w:type="dxa"/>
            <w:gridSpan w:val="2"/>
            <w:noWrap w:val="0"/>
            <w:tcMar>
              <w:left w:w="28" w:type="dxa"/>
              <w:right w:w="28" w:type="dxa"/>
            </w:tcMar>
            <w:vAlign w:val="center"/>
          </w:tcPr>
          <w:p w14:paraId="4B667D4F">
            <w:pPr>
              <w:keepNext/>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应急保障方案</w:t>
            </w:r>
          </w:p>
        </w:tc>
        <w:tc>
          <w:tcPr>
            <w:tcW w:w="6552" w:type="dxa"/>
            <w:noWrap w:val="0"/>
            <w:tcMar>
              <w:left w:w="28" w:type="dxa"/>
              <w:right w:w="28" w:type="dxa"/>
            </w:tcMar>
            <w:vAlign w:val="center"/>
          </w:tcPr>
          <w:p w14:paraId="318DFF96">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snapToGrid w:val="0"/>
                <w:color w:val="auto"/>
                <w:sz w:val="24"/>
                <w:szCs w:val="24"/>
                <w:highlight w:val="none"/>
                <w:lang w:eastAsia="zh-CN"/>
              </w:rPr>
            </w:pPr>
            <w:r>
              <w:rPr>
                <w:rFonts w:hint="eastAsia" w:ascii="仿宋" w:hAnsi="仿宋" w:eastAsia="仿宋" w:cs="仿宋"/>
                <w:b w:val="0"/>
                <w:bCs w:val="0"/>
                <w:color w:val="auto"/>
                <w:w w:val="100"/>
                <w:sz w:val="24"/>
                <w:szCs w:val="24"/>
                <w:highlight w:val="none"/>
              </w:rPr>
              <w:t>针对突发情况的应急处理措施</w:t>
            </w:r>
            <w:r>
              <w:rPr>
                <w:rFonts w:hint="eastAsia" w:ascii="仿宋" w:hAnsi="仿宋" w:eastAsia="仿宋" w:cs="仿宋"/>
                <w:color w:val="auto"/>
                <w:sz w:val="24"/>
                <w:szCs w:val="24"/>
                <w:highlight w:val="none"/>
              </w:rPr>
              <w:t>（防汛防台、突发事件应急处理及重大活动保障的人员配备、应急处置方案，落实专职人员等内容）</w:t>
            </w:r>
            <w:r>
              <w:rPr>
                <w:rFonts w:hint="eastAsia" w:ascii="仿宋" w:hAnsi="仿宋" w:eastAsia="仿宋" w:cs="仿宋"/>
                <w:b w:val="0"/>
                <w:bCs w:val="0"/>
                <w:color w:val="auto"/>
                <w:w w:val="100"/>
                <w:sz w:val="24"/>
                <w:szCs w:val="24"/>
                <w:highlight w:val="none"/>
              </w:rPr>
              <w:t>及投诉处理方案进行评议</w:t>
            </w:r>
            <w:r>
              <w:rPr>
                <w:rFonts w:hint="eastAsia" w:ascii="仿宋" w:hAnsi="仿宋" w:eastAsia="仿宋" w:cs="仿宋"/>
                <w:snapToGrid w:val="0"/>
                <w:color w:val="auto"/>
                <w:sz w:val="24"/>
                <w:szCs w:val="24"/>
                <w:highlight w:val="none"/>
                <w:lang w:eastAsia="zh-CN"/>
              </w:rPr>
              <w:t>：</w:t>
            </w:r>
          </w:p>
          <w:p w14:paraId="6841D5FA">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①方案内容详实，逻辑清晰，符合项目实际情况，切实可行的得6-5分；</w:t>
            </w:r>
          </w:p>
          <w:p w14:paraId="3103C4F3">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②方案内容详细，工作思路清楚，基本符合项目实际情况，合理可行的得4-3分；</w:t>
            </w:r>
          </w:p>
          <w:p w14:paraId="07B05706">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③方案内容比较简单，虽然存在一些不足但无明显重大缺陷的得2-1分；</w:t>
            </w:r>
          </w:p>
          <w:p w14:paraId="19E07FE5">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④</w:t>
            </w:r>
            <w:r>
              <w:rPr>
                <w:rFonts w:hint="eastAsia" w:ascii="仿宋" w:hAnsi="仿宋" w:eastAsia="仿宋" w:cs="仿宋"/>
                <w:bCs/>
                <w:color w:val="auto"/>
                <w:kern w:val="0"/>
                <w:sz w:val="24"/>
                <w:szCs w:val="24"/>
                <w:highlight w:val="none"/>
                <w:lang w:eastAsia="zh-CN"/>
              </w:rPr>
              <w:t>缺项不得分</w:t>
            </w:r>
          </w:p>
        </w:tc>
        <w:tc>
          <w:tcPr>
            <w:tcW w:w="723" w:type="dxa"/>
            <w:noWrap w:val="0"/>
            <w:tcMar>
              <w:left w:w="28" w:type="dxa"/>
              <w:right w:w="28" w:type="dxa"/>
            </w:tcMar>
            <w:vAlign w:val="center"/>
          </w:tcPr>
          <w:p w14:paraId="1A15CF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23" w:type="dxa"/>
            <w:noWrap w:val="0"/>
            <w:tcMar>
              <w:left w:w="28" w:type="dxa"/>
              <w:right w:w="28" w:type="dxa"/>
            </w:tcMar>
            <w:vAlign w:val="center"/>
          </w:tcPr>
          <w:p w14:paraId="15BBFE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28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98" w:type="dxa"/>
            <w:vMerge w:val="restart"/>
            <w:noWrap w:val="0"/>
            <w:tcMar>
              <w:left w:w="28" w:type="dxa"/>
              <w:right w:w="28" w:type="dxa"/>
            </w:tcMar>
            <w:vAlign w:val="center"/>
          </w:tcPr>
          <w:p w14:paraId="010AEEBA">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1193" w:type="dxa"/>
            <w:gridSpan w:val="2"/>
            <w:vMerge w:val="restart"/>
            <w:noWrap w:val="0"/>
            <w:tcMar>
              <w:left w:w="28" w:type="dxa"/>
              <w:right w:w="28" w:type="dxa"/>
            </w:tcMar>
            <w:vAlign w:val="center"/>
          </w:tcPr>
          <w:p w14:paraId="640D6AD6">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专业技术人员</w:t>
            </w:r>
          </w:p>
          <w:p w14:paraId="2B49E9FE">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eastAsia="zh-CN"/>
              </w:rPr>
              <w:t>配备（同一人员不累计得分）</w:t>
            </w:r>
          </w:p>
        </w:tc>
        <w:tc>
          <w:tcPr>
            <w:tcW w:w="6552" w:type="dxa"/>
            <w:noWrap w:val="0"/>
            <w:tcMar>
              <w:left w:w="28" w:type="dxa"/>
              <w:right w:w="28" w:type="dxa"/>
            </w:tcMar>
            <w:vAlign w:val="center"/>
          </w:tcPr>
          <w:p w14:paraId="2A0F1484">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w:t>
            </w:r>
            <w:r>
              <w:rPr>
                <w:rFonts w:hint="eastAsia" w:ascii="仿宋" w:hAnsi="仿宋" w:eastAsia="仿宋" w:cs="仿宋"/>
                <w:color w:val="auto"/>
                <w:sz w:val="24"/>
                <w:szCs w:val="24"/>
                <w:lang w:val="en-US" w:eastAsia="zh-CN"/>
              </w:rPr>
              <w:t>具有人社部门核发的给排水专业高级及以上工程师职称证书及住建部门核发的市政公用工程二级建造师注册证书和安全生产考核合格B证得2分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TW"/>
              </w:rPr>
              <w:t>提供相关人员证书扫描件及由本单位为其缴纳的近三个月（</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zh-TW"/>
              </w:rPr>
              <w:t>内任意一个月投标单位为其缴纳的社保缴纳证明</w:t>
            </w:r>
            <w:r>
              <w:rPr>
                <w:rFonts w:hint="eastAsia" w:ascii="仿宋" w:hAnsi="仿宋" w:eastAsia="仿宋" w:cs="仿宋"/>
                <w:color w:val="auto"/>
                <w:sz w:val="24"/>
                <w:szCs w:val="24"/>
                <w:highlight w:val="none"/>
                <w:lang w:val="zh-TW" w:eastAsia="zh-CN"/>
              </w:rPr>
              <w:t>复印件</w:t>
            </w:r>
            <w:r>
              <w:rPr>
                <w:rFonts w:hint="eastAsia" w:ascii="仿宋" w:hAnsi="仿宋" w:eastAsia="仿宋" w:cs="仿宋"/>
                <w:color w:val="auto"/>
                <w:sz w:val="24"/>
                <w:szCs w:val="24"/>
                <w:highlight w:val="none"/>
                <w:lang w:val="zh-TW"/>
              </w:rPr>
              <w:t>加盖</w:t>
            </w:r>
            <w:r>
              <w:rPr>
                <w:rFonts w:hint="eastAsia" w:ascii="仿宋" w:hAnsi="仿宋" w:eastAsia="仿宋" w:cs="仿宋"/>
                <w:color w:val="auto"/>
                <w:sz w:val="24"/>
                <w:szCs w:val="24"/>
                <w:highlight w:val="none"/>
                <w:lang w:val="zh-TW" w:eastAsia="zh-CN"/>
              </w:rPr>
              <w:t>投标人</w:t>
            </w:r>
            <w:r>
              <w:rPr>
                <w:rFonts w:hint="eastAsia" w:ascii="仿宋" w:hAnsi="仿宋" w:eastAsia="仿宋" w:cs="仿宋"/>
                <w:color w:val="auto"/>
                <w:sz w:val="24"/>
                <w:szCs w:val="24"/>
                <w:highlight w:val="none"/>
                <w:lang w:val="zh-TW"/>
              </w:rPr>
              <w:t>公章，否则不得分。</w:t>
            </w:r>
          </w:p>
        </w:tc>
        <w:tc>
          <w:tcPr>
            <w:tcW w:w="723" w:type="dxa"/>
            <w:noWrap w:val="0"/>
            <w:tcMar>
              <w:left w:w="28" w:type="dxa"/>
              <w:right w:w="28" w:type="dxa"/>
            </w:tcMar>
            <w:vAlign w:val="center"/>
          </w:tcPr>
          <w:p w14:paraId="388954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w:t>
            </w:r>
          </w:p>
        </w:tc>
        <w:tc>
          <w:tcPr>
            <w:tcW w:w="723" w:type="dxa"/>
            <w:noWrap w:val="0"/>
            <w:tcMar>
              <w:left w:w="28" w:type="dxa"/>
              <w:right w:w="28" w:type="dxa"/>
            </w:tcMar>
            <w:vAlign w:val="center"/>
          </w:tcPr>
          <w:p w14:paraId="554B17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客观分</w:t>
            </w:r>
          </w:p>
        </w:tc>
      </w:tr>
      <w:tr w14:paraId="6A92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73" w:hRule="atLeast"/>
          <w:jc w:val="center"/>
        </w:trPr>
        <w:tc>
          <w:tcPr>
            <w:tcW w:w="898" w:type="dxa"/>
            <w:vMerge w:val="continue"/>
            <w:noWrap w:val="0"/>
            <w:tcMar>
              <w:left w:w="28" w:type="dxa"/>
              <w:right w:w="28" w:type="dxa"/>
            </w:tcMar>
            <w:vAlign w:val="center"/>
          </w:tcPr>
          <w:p w14:paraId="1652EF5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rPr>
            </w:pPr>
          </w:p>
        </w:tc>
        <w:tc>
          <w:tcPr>
            <w:tcW w:w="1193" w:type="dxa"/>
            <w:gridSpan w:val="2"/>
            <w:vMerge w:val="continue"/>
            <w:noWrap w:val="0"/>
            <w:tcMar>
              <w:left w:w="28" w:type="dxa"/>
              <w:right w:w="28" w:type="dxa"/>
            </w:tcMar>
            <w:vAlign w:val="center"/>
          </w:tcPr>
          <w:p w14:paraId="44EC0278">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kern w:val="2"/>
                <w:sz w:val="24"/>
                <w:szCs w:val="24"/>
                <w:highlight w:val="none"/>
                <w:lang w:val="en-US" w:eastAsia="zh-CN" w:bidi="ar-SA"/>
              </w:rPr>
            </w:pPr>
          </w:p>
        </w:tc>
        <w:tc>
          <w:tcPr>
            <w:tcW w:w="6552" w:type="dxa"/>
            <w:noWrap w:val="0"/>
            <w:tcMar>
              <w:left w:w="28" w:type="dxa"/>
              <w:right w:w="28" w:type="dxa"/>
            </w:tcMar>
            <w:vAlign w:val="center"/>
          </w:tcPr>
          <w:p w14:paraId="0160ADC7">
            <w:pPr>
              <w:keepNext w:val="0"/>
              <w:keepLines w:val="0"/>
              <w:pageBreakBefore w:val="0"/>
              <w:widowControl w:val="0"/>
              <w:tabs>
                <w:tab w:val="left" w:pos="4866"/>
              </w:tabs>
              <w:kinsoku/>
              <w:wordWrap/>
              <w:overflowPunct/>
              <w:topLinePunct w:val="0"/>
              <w:bidi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p w14:paraId="4DF28D63">
            <w:pPr>
              <w:keepNext w:val="0"/>
              <w:keepLines w:val="0"/>
              <w:pageBreakBefore w:val="0"/>
              <w:widowControl w:val="0"/>
              <w:tabs>
                <w:tab w:val="left" w:pos="4866"/>
              </w:tabs>
              <w:kinsoku/>
              <w:wordWrap/>
              <w:overflowPunct/>
              <w:topLinePunct w:val="0"/>
              <w:bidi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2.1.拟派项目组成员中具有应急管理部门</w:t>
            </w:r>
            <w:r>
              <w:rPr>
                <w:rFonts w:hint="eastAsia" w:ascii="仿宋" w:hAnsi="仿宋" w:eastAsia="仿宋" w:cs="仿宋"/>
                <w:color w:val="auto"/>
                <w:sz w:val="24"/>
                <w:szCs w:val="24"/>
                <w:highlight w:val="none"/>
                <w:lang w:val="en-US" w:eastAsia="zh-CN"/>
              </w:rPr>
              <w:t>或其授权的考试机构</w:t>
            </w:r>
            <w:r>
              <w:rPr>
                <w:rFonts w:hint="eastAsia" w:ascii="仿宋" w:hAnsi="仿宋" w:eastAsia="仿宋" w:cs="仿宋"/>
                <w:color w:val="auto"/>
                <w:sz w:val="24"/>
                <w:szCs w:val="24"/>
                <w:lang w:val="en-US" w:eastAsia="zh-CN"/>
              </w:rPr>
              <w:t>核发的低压电工特种作业证书的，每人得1分，满分2分。</w:t>
            </w:r>
          </w:p>
          <w:p w14:paraId="6D8DB45C">
            <w:pPr>
              <w:keepNext w:val="0"/>
              <w:keepLines w:val="0"/>
              <w:pageBreakBefore w:val="0"/>
              <w:widowControl w:val="0"/>
              <w:tabs>
                <w:tab w:val="left" w:pos="4866"/>
              </w:tabs>
              <w:kinsoku/>
              <w:wordWrap/>
              <w:overflowPunct/>
              <w:topLinePunct w:val="0"/>
              <w:bidi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2.2.拟派项目组成员中具有通过由人社部门或住建部门备案的第三方评价机构或企业职业技能培训考试并取得了职业技能等级证书：管道工</w:t>
            </w:r>
            <w:r>
              <w:rPr>
                <w:rFonts w:hint="eastAsia" w:ascii="仿宋" w:hAnsi="仿宋" w:eastAsia="仿宋" w:cs="仿宋"/>
                <w:color w:val="auto"/>
                <w:sz w:val="24"/>
                <w:szCs w:val="24"/>
                <w:highlight w:val="none"/>
                <w:lang w:val="en-US" w:eastAsia="zh-CN"/>
              </w:rPr>
              <w:t>职业技能等级</w:t>
            </w:r>
            <w:r>
              <w:rPr>
                <w:rFonts w:hint="eastAsia" w:ascii="仿宋" w:hAnsi="仿宋" w:eastAsia="仿宋" w:cs="仿宋"/>
                <w:color w:val="auto"/>
                <w:sz w:val="24"/>
                <w:szCs w:val="24"/>
                <w:lang w:val="en-US" w:eastAsia="zh-CN"/>
              </w:rPr>
              <w:t>证书（注：该证书须在技能人才评价证书全国联网查询系统可查），每人得1分，满分2分。</w:t>
            </w:r>
          </w:p>
          <w:p w14:paraId="65395E98">
            <w:pPr>
              <w:tabs>
                <w:tab w:val="left" w:pos="4866"/>
              </w:tabs>
              <w:overflowPunct/>
              <w:autoSpaceDE/>
              <w:autoSpaceDN/>
              <w:snapToGrid w:val="0"/>
              <w:textAlignment w:val="auto"/>
              <w:rPr>
                <w:color w:val="auto"/>
              </w:rPr>
            </w:pPr>
            <w:r>
              <w:rPr>
                <w:rFonts w:hint="eastAsia" w:ascii="仿宋" w:hAnsi="仿宋" w:eastAsia="仿宋" w:cs="仿宋"/>
                <w:color w:val="auto"/>
                <w:sz w:val="24"/>
                <w:szCs w:val="24"/>
                <w:lang w:val="en-US" w:eastAsia="zh-CN"/>
              </w:rPr>
              <w:t>2.3拟派项目组成员中具有通过由人社部门或住建部门备案的第三方评价机构或企业职业技能培训考试并取得了职业技能等级证书：通风工</w:t>
            </w:r>
            <w:r>
              <w:rPr>
                <w:rFonts w:hint="eastAsia" w:ascii="仿宋" w:hAnsi="仿宋" w:eastAsia="仿宋" w:cs="仿宋"/>
                <w:color w:val="auto"/>
                <w:sz w:val="24"/>
                <w:szCs w:val="24"/>
                <w:highlight w:val="none"/>
                <w:lang w:val="en-US" w:eastAsia="zh-CN"/>
              </w:rPr>
              <w:t>职业技能等级</w:t>
            </w:r>
            <w:r>
              <w:rPr>
                <w:rFonts w:hint="eastAsia" w:ascii="仿宋" w:hAnsi="仿宋" w:eastAsia="仿宋" w:cs="仿宋"/>
                <w:color w:val="auto"/>
                <w:sz w:val="24"/>
                <w:szCs w:val="24"/>
                <w:lang w:val="en-US" w:eastAsia="zh-CN"/>
              </w:rPr>
              <w:t>证书（注：该证书须在技能人才评价证书全国联网查询系统可查），每人得1分，满分2分。</w:t>
            </w:r>
          </w:p>
          <w:p w14:paraId="2D93827F">
            <w:pPr>
              <w:keepNext w:val="0"/>
              <w:keepLines w:val="0"/>
              <w:pageBreakBefore w:val="0"/>
              <w:widowControl w:val="0"/>
              <w:tabs>
                <w:tab w:val="left" w:pos="4866"/>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2.4潜水人员具有中国潜水打捞行业协会（市政工程）证书并具有密闭空间操作证的得2分。</w:t>
            </w:r>
          </w:p>
          <w:p w14:paraId="261F53CD">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zh-TW"/>
              </w:rPr>
              <w:t>提供相关人员证书扫描件及由本单位为其缴纳的近三个月（</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zh-TW"/>
              </w:rPr>
              <w:t>的社保缴纳证明</w:t>
            </w:r>
            <w:r>
              <w:rPr>
                <w:rFonts w:hint="eastAsia" w:ascii="仿宋" w:hAnsi="仿宋" w:eastAsia="仿宋" w:cs="仿宋"/>
                <w:color w:val="auto"/>
                <w:sz w:val="24"/>
                <w:szCs w:val="24"/>
                <w:highlight w:val="none"/>
                <w:lang w:val="zh-TW" w:eastAsia="zh-CN"/>
              </w:rPr>
              <w:t>复印件</w:t>
            </w:r>
            <w:r>
              <w:rPr>
                <w:rFonts w:hint="eastAsia" w:ascii="仿宋" w:hAnsi="仿宋" w:eastAsia="仿宋" w:cs="仿宋"/>
                <w:color w:val="auto"/>
                <w:sz w:val="24"/>
                <w:szCs w:val="24"/>
                <w:highlight w:val="none"/>
                <w:lang w:val="zh-TW"/>
              </w:rPr>
              <w:t>加盖</w:t>
            </w:r>
            <w:r>
              <w:rPr>
                <w:rFonts w:hint="eastAsia" w:ascii="仿宋" w:hAnsi="仿宋" w:eastAsia="仿宋" w:cs="仿宋"/>
                <w:color w:val="auto"/>
                <w:sz w:val="24"/>
                <w:szCs w:val="24"/>
                <w:highlight w:val="none"/>
                <w:lang w:val="zh-TW" w:eastAsia="zh-CN"/>
              </w:rPr>
              <w:t>投标人</w:t>
            </w:r>
            <w:r>
              <w:rPr>
                <w:rFonts w:hint="eastAsia" w:ascii="仿宋" w:hAnsi="仿宋" w:eastAsia="仿宋" w:cs="仿宋"/>
                <w:color w:val="auto"/>
                <w:sz w:val="24"/>
                <w:szCs w:val="24"/>
                <w:highlight w:val="none"/>
                <w:lang w:val="zh-TW"/>
              </w:rPr>
              <w:t>公章，否则不得分。</w:t>
            </w:r>
          </w:p>
        </w:tc>
        <w:tc>
          <w:tcPr>
            <w:tcW w:w="723" w:type="dxa"/>
            <w:noWrap w:val="0"/>
            <w:tcMar>
              <w:left w:w="28" w:type="dxa"/>
              <w:right w:w="28" w:type="dxa"/>
            </w:tcMar>
            <w:vAlign w:val="center"/>
          </w:tcPr>
          <w:p w14:paraId="49174A13">
            <w:pPr>
              <w:keepNext w:val="0"/>
              <w:keepLines w:val="0"/>
              <w:pageBreakBefore w:val="0"/>
              <w:widowControl w:val="0"/>
              <w:numPr>
                <w:ilvl w:val="0"/>
                <w:numId w:val="0"/>
              </w:numPr>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8</w:t>
            </w:r>
          </w:p>
        </w:tc>
        <w:tc>
          <w:tcPr>
            <w:tcW w:w="723" w:type="dxa"/>
            <w:noWrap w:val="0"/>
            <w:tcMar>
              <w:left w:w="28" w:type="dxa"/>
              <w:right w:w="28" w:type="dxa"/>
            </w:tcMar>
            <w:vAlign w:val="center"/>
          </w:tcPr>
          <w:p w14:paraId="1D29E65E">
            <w:pPr>
              <w:keepNext w:val="0"/>
              <w:keepLines w:val="0"/>
              <w:pageBreakBefore w:val="0"/>
              <w:widowControl w:val="0"/>
              <w:numPr>
                <w:ilvl w:val="0"/>
                <w:numId w:val="0"/>
              </w:numPr>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pacing w:val="0"/>
                <w:w w:val="100"/>
                <w:position w:val="0"/>
                <w:sz w:val="24"/>
                <w:szCs w:val="24"/>
                <w:highlight w:val="none"/>
                <w:lang w:val="en-US" w:eastAsia="zh-CN"/>
              </w:rPr>
              <w:t>客观分</w:t>
            </w:r>
          </w:p>
        </w:tc>
      </w:tr>
      <w:tr w14:paraId="639B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03" w:hRule="atLeast"/>
          <w:jc w:val="center"/>
        </w:trPr>
        <w:tc>
          <w:tcPr>
            <w:tcW w:w="898" w:type="dxa"/>
            <w:vMerge w:val="continue"/>
            <w:noWrap w:val="0"/>
            <w:tcMar>
              <w:left w:w="28" w:type="dxa"/>
              <w:right w:w="28" w:type="dxa"/>
            </w:tcMar>
            <w:vAlign w:val="center"/>
          </w:tcPr>
          <w:p w14:paraId="2CEB6D7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rPr>
            </w:pPr>
          </w:p>
        </w:tc>
        <w:tc>
          <w:tcPr>
            <w:tcW w:w="1193" w:type="dxa"/>
            <w:gridSpan w:val="2"/>
            <w:vMerge w:val="continue"/>
            <w:noWrap w:val="0"/>
            <w:tcMar>
              <w:left w:w="28" w:type="dxa"/>
              <w:right w:w="28" w:type="dxa"/>
            </w:tcMar>
            <w:vAlign w:val="center"/>
          </w:tcPr>
          <w:p w14:paraId="2C2ADB1F">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kern w:val="2"/>
                <w:sz w:val="24"/>
                <w:szCs w:val="24"/>
                <w:highlight w:val="none"/>
                <w:lang w:val="en-US" w:eastAsia="zh-CN" w:bidi="ar-SA"/>
              </w:rPr>
            </w:pPr>
          </w:p>
        </w:tc>
        <w:tc>
          <w:tcPr>
            <w:tcW w:w="6552" w:type="dxa"/>
            <w:noWrap w:val="0"/>
            <w:tcMar>
              <w:left w:w="28" w:type="dxa"/>
              <w:right w:w="28" w:type="dxa"/>
            </w:tcMar>
            <w:vAlign w:val="center"/>
          </w:tcPr>
          <w:p w14:paraId="2B19D951">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人员、班组配置（除项目负责人）：针对投标人提供的拟投入本项目的施工人员、班组配备（如管道检测人员、有限空间操作证、潜水员，安全员等），根据拟投入人员专业素质、技术能力、相关经验进行综合评议（特别是对潜水员、有限空间作业人员要有较高要求）；</w:t>
            </w:r>
          </w:p>
          <w:p w14:paraId="692AF37F">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班组配备齐全、专业素质及技术能力强、经验丰富，完全满足招标需求的得8-6分；人员、班组配备较齐全、专业素质及技术能力较强、经验较丰富，基本满足招标需求的得5-3分；人员、班组配备一般、专业素质及技术能力一般、经验一般的得2-1分；不满足招标需求、</w:t>
            </w:r>
            <w:r>
              <w:rPr>
                <w:rFonts w:hint="eastAsia" w:ascii="仿宋" w:hAnsi="仿宋" w:eastAsia="仿宋" w:cs="仿宋"/>
                <w:b w:val="0"/>
                <w:bCs w:val="0"/>
                <w:color w:val="auto"/>
                <w:kern w:val="2"/>
                <w:sz w:val="24"/>
                <w:szCs w:val="24"/>
                <w:highlight w:val="none"/>
                <w:lang w:val="en-US" w:eastAsia="zh-CN" w:bidi="ar-SA"/>
              </w:rPr>
              <w:t>影响项目正常实施</w:t>
            </w:r>
            <w:r>
              <w:rPr>
                <w:rFonts w:hint="eastAsia" w:ascii="仿宋" w:hAnsi="仿宋" w:eastAsia="仿宋" w:cs="仿宋"/>
                <w:color w:val="auto"/>
                <w:sz w:val="24"/>
                <w:szCs w:val="24"/>
                <w:highlight w:val="none"/>
                <w:lang w:val="en-US" w:eastAsia="zh-CN"/>
              </w:rPr>
              <w:t>的得0分。</w:t>
            </w:r>
          </w:p>
          <w:p w14:paraId="58B75CA1">
            <w:pPr>
              <w:keepNext w:val="0"/>
              <w:keepLines w:val="0"/>
              <w:pageBreakBefore w:val="0"/>
              <w:widowControl w:val="0"/>
              <w:tabs>
                <w:tab w:val="left" w:pos="4866"/>
              </w:tabs>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注：投标文件中提供人员证书及社保部门出具的至少包含2025年3月-2025年5月期间任意一个月的投标单位为其缴纳社保证明扫描件加盖投标人公章，否则以上相应条款不得分。</w:t>
            </w:r>
          </w:p>
        </w:tc>
        <w:tc>
          <w:tcPr>
            <w:tcW w:w="723" w:type="dxa"/>
            <w:noWrap w:val="0"/>
            <w:tcMar>
              <w:left w:w="28" w:type="dxa"/>
              <w:right w:w="28" w:type="dxa"/>
            </w:tcMar>
            <w:vAlign w:val="center"/>
          </w:tcPr>
          <w:p w14:paraId="6DFD7BCD">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8</w:t>
            </w:r>
          </w:p>
        </w:tc>
        <w:tc>
          <w:tcPr>
            <w:tcW w:w="723" w:type="dxa"/>
            <w:noWrap w:val="0"/>
            <w:tcMar>
              <w:left w:w="28" w:type="dxa"/>
              <w:right w:w="28" w:type="dxa"/>
            </w:tcMar>
            <w:vAlign w:val="center"/>
          </w:tcPr>
          <w:p w14:paraId="47382D1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0"/>
                <w:w w:val="100"/>
                <w:position w:val="0"/>
                <w:sz w:val="24"/>
                <w:szCs w:val="24"/>
                <w:highlight w:val="none"/>
                <w:lang w:val="en-US" w:eastAsia="zh-CN"/>
              </w:rPr>
              <w:t>主观分</w:t>
            </w:r>
          </w:p>
        </w:tc>
      </w:tr>
      <w:tr w14:paraId="2200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0"/>
            <w:tcMar>
              <w:left w:w="28" w:type="dxa"/>
              <w:right w:w="28" w:type="dxa"/>
            </w:tcMar>
            <w:vAlign w:val="center"/>
          </w:tcPr>
          <w:p w14:paraId="35287A79">
            <w:pPr>
              <w:pStyle w:val="36"/>
              <w:keepLines w:val="0"/>
              <w:pageBreakBefore w:val="0"/>
              <w:wordWrap/>
              <w:overflowPunct/>
              <w:topLinePunct w:val="0"/>
              <w:autoSpaceDE/>
              <w:autoSpaceDN/>
              <w:bidi w:val="0"/>
              <w:adjustRightInd w:val="0"/>
              <w:snapToGrid w:val="0"/>
              <w:spacing w:after="0" w:afterLines="0" w:line="240" w:lineRule="auto"/>
              <w:ind w:left="0" w:lef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3" w:type="dxa"/>
            <w:gridSpan w:val="2"/>
            <w:noWrap w:val="0"/>
            <w:tcMar>
              <w:left w:w="28" w:type="dxa"/>
              <w:right w:w="28" w:type="dxa"/>
            </w:tcMar>
            <w:vAlign w:val="center"/>
          </w:tcPr>
          <w:p w14:paraId="2671EB68">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设备工具</w:t>
            </w:r>
          </w:p>
          <w:p w14:paraId="1CE7BF6C">
            <w:pPr>
              <w:keepLines w:val="0"/>
              <w:pageBreakBefore w:val="0"/>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配备情况</w:t>
            </w:r>
          </w:p>
        </w:tc>
        <w:tc>
          <w:tcPr>
            <w:tcW w:w="6552" w:type="dxa"/>
            <w:noWrap w:val="0"/>
            <w:tcMar>
              <w:left w:w="28" w:type="dxa"/>
              <w:right w:w="28" w:type="dxa"/>
            </w:tcMar>
            <w:vAlign w:val="center"/>
          </w:tcPr>
          <w:p w14:paraId="1A2D46E2">
            <w:pPr>
              <w:pStyle w:val="38"/>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针对投标人提供的拟投入本项目的项目设施设备，配备根据设备配备等情况进行综合评议；基本设备配置要求：</w:t>
            </w:r>
            <w:r>
              <w:rPr>
                <w:rFonts w:hint="eastAsia" w:ascii="仿宋" w:hAnsi="仿宋" w:eastAsia="仿宋" w:cs="仿宋"/>
                <w:color w:val="auto"/>
                <w:sz w:val="24"/>
                <w:szCs w:val="24"/>
                <w:lang w:val="en-US" w:eastAsia="zh-CN"/>
              </w:rPr>
              <w:t>1.配置管道高压冲洗车、真空吸污车、污泥清运车或具有疏通清洗、真空吸污、污泥自卸自排功能的一体式工程车2辆及以上；2.配备管道修复设备：紫外光固化整体修复车、FIPP热塑成型修复车、碎（破）裂管法修复设备、离心喷涂修复设备、注浆修复设备，前述各种工艺各配置2套及以上；3.配备移动电源设备：移动电源车（功率≥50kw）或者搭载静音式发电机（功率≥50kw）的厢式运输车配置2辆及以上；4.配备防汛抗洪排涝设备：移动电源泵车（排水能力≥500m³/h）或者排水能力≥500m³/h的防汛强排泵的厢式运输车配置2辆及以上；5.配备管道检测设备：管道检测机器人（CCTV）、潜望镜设备（QV）配置2套及以上；6.配备井下作业安全保障设备，包含： 四合一泵吸式气体检测报</w:t>
            </w:r>
            <w:r>
              <w:rPr>
                <w:rFonts w:hint="eastAsia" w:ascii="仿宋" w:hAnsi="仿宋" w:eastAsia="仿宋" w:cs="仿宋"/>
                <w:b w:val="0"/>
                <w:bCs w:val="0"/>
                <w:color w:val="auto"/>
                <w:sz w:val="24"/>
                <w:szCs w:val="24"/>
                <w:lang w:val="en-US" w:eastAsia="zh-CN"/>
              </w:rPr>
              <w:t>警仪（气体：一氧化碳、硫化氢、甲烷、氧气）、长管式强制送风设备、正压式空气呼吸器，配置2套及以上。</w:t>
            </w:r>
          </w:p>
          <w:p w14:paraId="14463CCD">
            <w:pPr>
              <w:pStyle w:val="38"/>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设施设备配置更齐全、设备更先进、合理、完全满足招标需求的得12</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kern w:val="2"/>
                <w:sz w:val="24"/>
                <w:szCs w:val="24"/>
                <w:highlight w:val="none"/>
                <w:lang w:val="en-US" w:eastAsia="zh-CN" w:bidi="ar-SA"/>
              </w:rPr>
              <w:t xml:space="preserve">分；设施设备配置较齐全、设备较先进、合理、完全满足招标需求的得7-5分，设施设备配置一般、基本合理、基本满足招标需求的得4-1分；不满足基本设备配置或未提供的得0分。 </w:t>
            </w:r>
          </w:p>
          <w:p w14:paraId="1D3907A7">
            <w:pPr>
              <w:keepLines w:val="0"/>
              <w:pageBreakBefore w:val="0"/>
              <w:kinsoku w:val="0"/>
              <w:wordWrap/>
              <w:overflowPunct/>
              <w:topLinePunct w:val="0"/>
              <w:autoSpaceDE/>
              <w:autoSpaceDN/>
              <w:bidi w:val="0"/>
              <w:adjustRightInd w:val="0"/>
              <w:snapToGrid w:val="0"/>
              <w:spacing w:line="240" w:lineRule="auto"/>
              <w:ind w:left="0" w:leftChars="0"/>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注：提供设备的购置发票和设备照片，车辆还另需提供带车牌的车体照片及行驶证；如为租赁的还需提供设备出租方购买该设备的购置合同、转账凭证及购置发票，和能覆盖本项目工期的租赁合同、设备租赁费用的转账凭证及租赁发票；未提供或提供不完整的不得分。</w:t>
            </w:r>
          </w:p>
        </w:tc>
        <w:tc>
          <w:tcPr>
            <w:tcW w:w="723" w:type="dxa"/>
            <w:noWrap w:val="0"/>
            <w:tcMar>
              <w:left w:w="28" w:type="dxa"/>
              <w:right w:w="28" w:type="dxa"/>
            </w:tcMar>
            <w:vAlign w:val="center"/>
          </w:tcPr>
          <w:p w14:paraId="32BEE8C0">
            <w:pPr>
              <w:keepLines w:val="0"/>
              <w:pageBreakBefore w:val="0"/>
              <w:wordWrap/>
              <w:overflowPunct/>
              <w:topLinePunct w:val="0"/>
              <w:autoSpaceDE/>
              <w:autoSpaceDN/>
              <w:bidi w:val="0"/>
              <w:adjustRightInd w:val="0"/>
              <w:snapToGrid w:val="0"/>
              <w:spacing w:line="240" w:lineRule="auto"/>
              <w:ind w:left="0"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23" w:type="dxa"/>
            <w:noWrap w:val="0"/>
            <w:tcMar>
              <w:left w:w="28" w:type="dxa"/>
              <w:right w:w="28" w:type="dxa"/>
            </w:tcMar>
            <w:vAlign w:val="center"/>
          </w:tcPr>
          <w:p w14:paraId="0651C382">
            <w:pPr>
              <w:keepLines w:val="0"/>
              <w:pageBreakBefore w:val="0"/>
              <w:wordWrap/>
              <w:overflowPunct/>
              <w:topLinePunct w:val="0"/>
              <w:autoSpaceDE/>
              <w:autoSpaceDN/>
              <w:bidi w:val="0"/>
              <w:adjustRightInd w:val="0"/>
              <w:snapToGrid w:val="0"/>
              <w:spacing w:line="240" w:lineRule="auto"/>
              <w:ind w:left="0"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071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0"/>
            <w:tcMar>
              <w:left w:w="28" w:type="dxa"/>
              <w:right w:w="28" w:type="dxa"/>
            </w:tcMar>
            <w:vAlign w:val="center"/>
          </w:tcPr>
          <w:p w14:paraId="4448C01E">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1193" w:type="dxa"/>
            <w:gridSpan w:val="2"/>
            <w:vMerge w:val="restart"/>
            <w:noWrap w:val="0"/>
            <w:tcMar>
              <w:left w:w="28" w:type="dxa"/>
              <w:right w:w="28" w:type="dxa"/>
            </w:tcMar>
            <w:vAlign w:val="center"/>
          </w:tcPr>
          <w:p w14:paraId="0907BB7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商务资信</w:t>
            </w:r>
          </w:p>
        </w:tc>
        <w:tc>
          <w:tcPr>
            <w:tcW w:w="6552" w:type="dxa"/>
            <w:noWrap w:val="0"/>
            <w:tcMar>
              <w:left w:w="28" w:type="dxa"/>
              <w:right w:w="28" w:type="dxa"/>
            </w:tcMar>
            <w:vAlign w:val="center"/>
          </w:tcPr>
          <w:p w14:paraId="37F3D513">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w w:val="100"/>
                <w:sz w:val="24"/>
                <w:szCs w:val="24"/>
                <w:highlight w:val="none"/>
                <w:lang w:val="en-US" w:eastAsia="zh-CN"/>
              </w:rPr>
              <w:t>1.投标人具有有效期期内的质量管理体系认证、环境管理体系认证、职业健康安全管理体系认证（上述证书认证范围须包含市政管道维护、疏通、清淤、吸污、非开挖修复、检测与评估服务）的每提供一个得2分，本项最高6分。</w:t>
            </w:r>
          </w:p>
        </w:tc>
        <w:tc>
          <w:tcPr>
            <w:tcW w:w="723" w:type="dxa"/>
            <w:noWrap w:val="0"/>
            <w:tcMar>
              <w:left w:w="28" w:type="dxa"/>
              <w:right w:w="28" w:type="dxa"/>
            </w:tcMar>
            <w:vAlign w:val="center"/>
          </w:tcPr>
          <w:p w14:paraId="4A31836A">
            <w:pPr>
              <w:keepNext w:val="0"/>
              <w:keepLines w:val="0"/>
              <w:pageBreakBefore w:val="0"/>
              <w:widowControl w:val="0"/>
              <w:tabs>
                <w:tab w:val="left" w:pos="4866"/>
              </w:tabs>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w:t>
            </w:r>
          </w:p>
        </w:tc>
        <w:tc>
          <w:tcPr>
            <w:tcW w:w="723" w:type="dxa"/>
            <w:noWrap w:val="0"/>
            <w:tcMar>
              <w:left w:w="28" w:type="dxa"/>
              <w:right w:w="28" w:type="dxa"/>
            </w:tcMar>
            <w:vAlign w:val="center"/>
          </w:tcPr>
          <w:p w14:paraId="3250BB34">
            <w:pPr>
              <w:keepNext w:val="0"/>
              <w:keepLines w:val="0"/>
              <w:pageBreakBefore w:val="0"/>
              <w:widowControl w:val="0"/>
              <w:tabs>
                <w:tab w:val="left" w:pos="4866"/>
              </w:tabs>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客观分</w:t>
            </w:r>
          </w:p>
        </w:tc>
      </w:tr>
      <w:tr w14:paraId="79AC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noWrap w:val="0"/>
            <w:tcMar>
              <w:left w:w="28" w:type="dxa"/>
              <w:right w:w="28" w:type="dxa"/>
            </w:tcMar>
            <w:vAlign w:val="center"/>
          </w:tcPr>
          <w:p w14:paraId="1D99649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1193" w:type="dxa"/>
            <w:gridSpan w:val="2"/>
            <w:vMerge w:val="continue"/>
            <w:noWrap w:val="0"/>
            <w:tcMar>
              <w:left w:w="28" w:type="dxa"/>
              <w:right w:w="28" w:type="dxa"/>
            </w:tcMar>
            <w:vAlign w:val="center"/>
          </w:tcPr>
          <w:p w14:paraId="792DF8A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highlight w:val="none"/>
              </w:rPr>
            </w:pPr>
          </w:p>
        </w:tc>
        <w:tc>
          <w:tcPr>
            <w:tcW w:w="6552" w:type="dxa"/>
            <w:noWrap w:val="0"/>
            <w:tcMar>
              <w:left w:w="28" w:type="dxa"/>
              <w:right w:w="28" w:type="dxa"/>
            </w:tcMar>
            <w:vAlign w:val="center"/>
          </w:tcPr>
          <w:p w14:paraId="2CEB7F84">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default" w:ascii="仿宋" w:hAnsi="仿宋" w:eastAsia="仿宋" w:cs="仿宋"/>
                <w:b/>
                <w:bCs/>
                <w:color w:val="auto"/>
                <w:w w:val="100"/>
                <w:sz w:val="24"/>
                <w:szCs w:val="24"/>
                <w:highlight w:val="none"/>
                <w:lang w:val="en-US" w:eastAsia="zh-CN"/>
              </w:rPr>
            </w:pPr>
            <w:r>
              <w:rPr>
                <w:rFonts w:hint="eastAsia" w:ascii="仿宋" w:hAnsi="仿宋" w:eastAsia="仿宋" w:cs="仿宋"/>
                <w:b w:val="0"/>
                <w:bCs w:val="0"/>
                <w:color w:val="auto"/>
                <w:w w:val="100"/>
                <w:sz w:val="24"/>
                <w:szCs w:val="24"/>
                <w:highlight w:val="none"/>
                <w:lang w:val="en-US" w:eastAsia="zh-CN"/>
              </w:rPr>
              <w:t>2.</w:t>
            </w:r>
            <w:r>
              <w:rPr>
                <w:rFonts w:hint="eastAsia" w:ascii="仿宋" w:hAnsi="仿宋" w:eastAsia="仿宋" w:cs="仿宋"/>
                <w:b w:val="0"/>
                <w:bCs w:val="0"/>
                <w:color w:val="auto"/>
                <w:w w:val="100"/>
                <w:sz w:val="24"/>
                <w:szCs w:val="24"/>
                <w:highlight w:val="none"/>
              </w:rPr>
              <w:t>自202</w:t>
            </w:r>
            <w:r>
              <w:rPr>
                <w:rFonts w:hint="eastAsia" w:ascii="仿宋" w:hAnsi="仿宋" w:eastAsia="仿宋" w:cs="仿宋"/>
                <w:b w:val="0"/>
                <w:bCs w:val="0"/>
                <w:color w:val="auto"/>
                <w:w w:val="100"/>
                <w:sz w:val="24"/>
                <w:szCs w:val="24"/>
                <w:highlight w:val="none"/>
                <w:lang w:val="en-US" w:eastAsia="zh-CN"/>
              </w:rPr>
              <w:t>1</w:t>
            </w:r>
            <w:r>
              <w:rPr>
                <w:rFonts w:hint="eastAsia" w:ascii="仿宋" w:hAnsi="仿宋" w:eastAsia="仿宋" w:cs="仿宋"/>
                <w:b w:val="0"/>
                <w:bCs w:val="0"/>
                <w:color w:val="auto"/>
                <w:w w:val="100"/>
                <w:sz w:val="24"/>
                <w:szCs w:val="24"/>
                <w:highlight w:val="none"/>
              </w:rPr>
              <w:t>年1月1日（以合同签订时间为准）至今，承担过</w:t>
            </w:r>
            <w:r>
              <w:rPr>
                <w:rFonts w:hint="eastAsia" w:ascii="仿宋" w:hAnsi="仿宋" w:eastAsia="仿宋" w:cs="仿宋"/>
                <w:b w:val="0"/>
                <w:bCs w:val="0"/>
                <w:color w:val="auto"/>
                <w:w w:val="100"/>
                <w:sz w:val="24"/>
                <w:szCs w:val="24"/>
                <w:highlight w:val="none"/>
                <w:lang w:eastAsia="zh-CN"/>
              </w:rPr>
              <w:t>市政污</w:t>
            </w:r>
            <w:r>
              <w:rPr>
                <w:rFonts w:hint="eastAsia" w:ascii="仿宋" w:hAnsi="仿宋" w:eastAsia="仿宋" w:cs="仿宋"/>
                <w:b w:val="0"/>
                <w:bCs w:val="0"/>
                <w:color w:val="auto"/>
                <w:w w:val="100"/>
                <w:sz w:val="24"/>
                <w:szCs w:val="24"/>
                <w:highlight w:val="none"/>
              </w:rPr>
              <w:t>水管道疏通检测</w:t>
            </w:r>
            <w:r>
              <w:rPr>
                <w:rFonts w:hint="eastAsia" w:ascii="仿宋" w:hAnsi="仿宋" w:eastAsia="仿宋" w:cs="仿宋"/>
                <w:b w:val="0"/>
                <w:bCs w:val="0"/>
                <w:color w:val="auto"/>
                <w:w w:val="100"/>
                <w:sz w:val="24"/>
                <w:szCs w:val="24"/>
                <w:highlight w:val="none"/>
                <w:lang w:eastAsia="zh-CN"/>
              </w:rPr>
              <w:t>修复</w:t>
            </w:r>
            <w:r>
              <w:rPr>
                <w:rFonts w:hint="eastAsia" w:ascii="仿宋" w:hAnsi="仿宋" w:eastAsia="仿宋" w:cs="仿宋"/>
                <w:b w:val="0"/>
                <w:bCs w:val="0"/>
                <w:color w:val="auto"/>
                <w:w w:val="100"/>
                <w:sz w:val="24"/>
                <w:szCs w:val="24"/>
                <w:highlight w:val="none"/>
              </w:rPr>
              <w:t>的项目</w:t>
            </w:r>
            <w:r>
              <w:rPr>
                <w:rFonts w:hint="eastAsia" w:ascii="仿宋" w:hAnsi="仿宋" w:eastAsia="仿宋" w:cs="仿宋"/>
                <w:b w:val="0"/>
                <w:bCs w:val="0"/>
                <w:color w:val="auto"/>
                <w:w w:val="100"/>
                <w:sz w:val="24"/>
                <w:szCs w:val="24"/>
                <w:highlight w:val="none"/>
                <w:lang w:eastAsia="zh-CN"/>
              </w:rPr>
              <w:t>，单个</w:t>
            </w:r>
            <w:r>
              <w:rPr>
                <w:rFonts w:hint="eastAsia" w:ascii="仿宋" w:hAnsi="仿宋" w:eastAsia="仿宋" w:cs="仿宋"/>
                <w:b w:val="0"/>
                <w:bCs w:val="0"/>
                <w:color w:val="auto"/>
                <w:w w:val="100"/>
                <w:sz w:val="24"/>
                <w:szCs w:val="24"/>
                <w:highlight w:val="none"/>
                <w:lang w:val="en-US" w:eastAsia="zh-CN"/>
              </w:rPr>
              <w:t>250万元以上（含）</w:t>
            </w:r>
            <w:r>
              <w:rPr>
                <w:rFonts w:hint="eastAsia" w:ascii="仿宋" w:hAnsi="仿宋" w:eastAsia="仿宋" w:cs="仿宋"/>
                <w:b w:val="0"/>
                <w:bCs w:val="0"/>
                <w:color w:val="auto"/>
                <w:w w:val="100"/>
                <w:sz w:val="24"/>
                <w:szCs w:val="24"/>
                <w:highlight w:val="none"/>
              </w:rPr>
              <w:t>每提供一个得</w:t>
            </w:r>
            <w:r>
              <w:rPr>
                <w:rFonts w:hint="eastAsia" w:ascii="仿宋" w:hAnsi="仿宋" w:eastAsia="仿宋" w:cs="仿宋"/>
                <w:b w:val="0"/>
                <w:bCs w:val="0"/>
                <w:color w:val="auto"/>
                <w:w w:val="100"/>
                <w:sz w:val="24"/>
                <w:szCs w:val="24"/>
                <w:highlight w:val="none"/>
                <w:lang w:val="en-US" w:eastAsia="zh-CN"/>
              </w:rPr>
              <w:t>2</w:t>
            </w:r>
            <w:r>
              <w:rPr>
                <w:rFonts w:hint="eastAsia" w:ascii="仿宋" w:hAnsi="仿宋" w:eastAsia="仿宋" w:cs="仿宋"/>
                <w:b w:val="0"/>
                <w:bCs w:val="0"/>
                <w:color w:val="auto"/>
                <w:w w:val="100"/>
                <w:sz w:val="24"/>
                <w:szCs w:val="24"/>
                <w:highlight w:val="none"/>
              </w:rPr>
              <w:t>分，</w:t>
            </w:r>
            <w:r>
              <w:rPr>
                <w:rFonts w:hint="eastAsia" w:ascii="仿宋" w:hAnsi="仿宋" w:eastAsia="仿宋" w:cs="仿宋"/>
                <w:b w:val="0"/>
                <w:bCs w:val="0"/>
                <w:color w:val="auto"/>
                <w:w w:val="100"/>
                <w:sz w:val="24"/>
                <w:szCs w:val="24"/>
                <w:highlight w:val="none"/>
                <w:lang w:eastAsia="zh-CN"/>
              </w:rPr>
              <w:t>单个</w:t>
            </w:r>
            <w:r>
              <w:rPr>
                <w:rFonts w:hint="eastAsia" w:ascii="仿宋" w:hAnsi="仿宋" w:eastAsia="仿宋" w:cs="仿宋"/>
                <w:b w:val="0"/>
                <w:bCs w:val="0"/>
                <w:color w:val="auto"/>
                <w:w w:val="100"/>
                <w:sz w:val="24"/>
                <w:szCs w:val="24"/>
                <w:highlight w:val="none"/>
                <w:lang w:val="en-US" w:eastAsia="zh-CN"/>
              </w:rPr>
              <w:t>100万元以上含100万的</w:t>
            </w:r>
            <w:r>
              <w:rPr>
                <w:rFonts w:hint="eastAsia" w:ascii="仿宋" w:hAnsi="仿宋" w:eastAsia="仿宋" w:cs="仿宋"/>
                <w:b w:val="0"/>
                <w:bCs w:val="0"/>
                <w:color w:val="auto"/>
                <w:w w:val="100"/>
                <w:sz w:val="24"/>
                <w:szCs w:val="24"/>
                <w:highlight w:val="none"/>
              </w:rPr>
              <w:t>每提供一个得</w:t>
            </w:r>
            <w:r>
              <w:rPr>
                <w:rFonts w:hint="eastAsia" w:ascii="仿宋" w:hAnsi="仿宋" w:eastAsia="仿宋" w:cs="仿宋"/>
                <w:b w:val="0"/>
                <w:bCs w:val="0"/>
                <w:color w:val="auto"/>
                <w:w w:val="100"/>
                <w:sz w:val="24"/>
                <w:szCs w:val="24"/>
                <w:highlight w:val="none"/>
                <w:lang w:val="en-US" w:eastAsia="zh-CN"/>
              </w:rPr>
              <w:t>1</w:t>
            </w:r>
            <w:r>
              <w:rPr>
                <w:rFonts w:hint="eastAsia" w:ascii="仿宋" w:hAnsi="仿宋" w:eastAsia="仿宋" w:cs="仿宋"/>
                <w:b w:val="0"/>
                <w:bCs w:val="0"/>
                <w:color w:val="auto"/>
                <w:w w:val="100"/>
                <w:sz w:val="24"/>
                <w:szCs w:val="24"/>
                <w:highlight w:val="none"/>
              </w:rPr>
              <w:t>分</w:t>
            </w:r>
            <w:r>
              <w:rPr>
                <w:rFonts w:hint="eastAsia" w:ascii="仿宋" w:hAnsi="仿宋" w:eastAsia="仿宋" w:cs="仿宋"/>
                <w:b w:val="0"/>
                <w:bCs w:val="0"/>
                <w:color w:val="auto"/>
                <w:w w:val="100"/>
                <w:sz w:val="24"/>
                <w:szCs w:val="24"/>
                <w:highlight w:val="none"/>
                <w:lang w:eastAsia="zh-CN"/>
              </w:rPr>
              <w:t>，</w:t>
            </w:r>
            <w:r>
              <w:rPr>
                <w:rFonts w:hint="eastAsia" w:ascii="仿宋" w:hAnsi="仿宋" w:eastAsia="仿宋" w:cs="仿宋"/>
                <w:b/>
                <w:bCs/>
                <w:color w:val="auto"/>
                <w:w w:val="100"/>
                <w:sz w:val="24"/>
                <w:szCs w:val="24"/>
                <w:highlight w:val="none"/>
                <w:lang w:val="en-US" w:eastAsia="zh-CN"/>
              </w:rPr>
              <w:t>本项最多只记取</w:t>
            </w:r>
            <w:r>
              <w:rPr>
                <w:rFonts w:hint="default" w:ascii="仿宋" w:hAnsi="仿宋" w:eastAsia="仿宋" w:cs="仿宋"/>
                <w:b/>
                <w:bCs/>
                <w:color w:val="auto"/>
                <w:w w:val="100"/>
                <w:sz w:val="24"/>
                <w:szCs w:val="24"/>
                <w:highlight w:val="none"/>
                <w:lang w:val="en-US" w:eastAsia="zh-CN"/>
              </w:rPr>
              <w:t>3</w:t>
            </w:r>
            <w:r>
              <w:rPr>
                <w:rFonts w:hint="eastAsia" w:ascii="仿宋" w:hAnsi="仿宋" w:eastAsia="仿宋" w:cs="仿宋"/>
                <w:b/>
                <w:bCs/>
                <w:color w:val="auto"/>
                <w:w w:val="100"/>
                <w:sz w:val="24"/>
                <w:szCs w:val="24"/>
                <w:highlight w:val="none"/>
                <w:lang w:val="en-US" w:eastAsia="zh-CN"/>
              </w:rPr>
              <w:t>个业绩。</w:t>
            </w:r>
          </w:p>
          <w:p w14:paraId="781EEAFF">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b w:val="0"/>
                <w:bCs w:val="0"/>
                <w:color w:val="auto"/>
                <w:w w:val="100"/>
                <w:sz w:val="24"/>
                <w:szCs w:val="24"/>
                <w:highlight w:val="none"/>
                <w:lang w:eastAsia="zh-CN"/>
              </w:rPr>
            </w:pPr>
            <w:r>
              <w:rPr>
                <w:rFonts w:hint="eastAsia" w:ascii="仿宋" w:hAnsi="仿宋" w:eastAsia="仿宋" w:cs="仿宋"/>
                <w:b w:val="0"/>
                <w:bCs w:val="0"/>
                <w:color w:val="auto"/>
                <w:w w:val="100"/>
                <w:sz w:val="24"/>
                <w:szCs w:val="24"/>
                <w:highlight w:val="none"/>
              </w:rPr>
              <w:t>注：投标文件提供合同及中标通知书的扫描件并加盖公章；合同</w:t>
            </w:r>
            <w:r>
              <w:rPr>
                <w:rFonts w:hint="eastAsia" w:ascii="仿宋" w:hAnsi="仿宋" w:eastAsia="仿宋" w:cs="仿宋"/>
                <w:b w:val="0"/>
                <w:bCs w:val="0"/>
                <w:color w:val="auto"/>
                <w:w w:val="100"/>
                <w:sz w:val="24"/>
                <w:szCs w:val="24"/>
                <w:highlight w:val="none"/>
                <w:lang w:eastAsia="zh-CN"/>
              </w:rPr>
              <w:t>内容能反映该项目工程内容为管道检测及非开挖修复。</w:t>
            </w:r>
            <w:r>
              <w:rPr>
                <w:rFonts w:hint="eastAsia" w:ascii="仿宋" w:hAnsi="仿宋" w:eastAsia="仿宋" w:cs="仿宋"/>
                <w:b w:val="0"/>
                <w:bCs w:val="0"/>
                <w:color w:val="auto"/>
                <w:w w:val="100"/>
                <w:sz w:val="24"/>
                <w:szCs w:val="24"/>
                <w:highlight w:val="none"/>
              </w:rPr>
              <w:t>同一业主同一项目的</w:t>
            </w:r>
            <w:r>
              <w:rPr>
                <w:rFonts w:hint="eastAsia" w:ascii="仿宋" w:hAnsi="仿宋" w:eastAsia="仿宋" w:cs="仿宋"/>
                <w:b w:val="0"/>
                <w:bCs w:val="0"/>
                <w:color w:val="auto"/>
                <w:w w:val="100"/>
                <w:sz w:val="24"/>
                <w:szCs w:val="24"/>
                <w:highlight w:val="none"/>
                <w:lang w:eastAsia="zh-CN"/>
              </w:rPr>
              <w:t>续签合同</w:t>
            </w:r>
            <w:r>
              <w:rPr>
                <w:rFonts w:hint="eastAsia" w:ascii="仿宋" w:hAnsi="仿宋" w:eastAsia="仿宋" w:cs="仿宋"/>
                <w:b w:val="0"/>
                <w:bCs w:val="0"/>
                <w:color w:val="auto"/>
                <w:w w:val="100"/>
                <w:sz w:val="24"/>
                <w:szCs w:val="24"/>
                <w:highlight w:val="none"/>
              </w:rPr>
              <w:t>业绩不累计得分</w:t>
            </w:r>
            <w:r>
              <w:rPr>
                <w:rFonts w:hint="eastAsia" w:ascii="仿宋" w:hAnsi="仿宋" w:eastAsia="仿宋" w:cs="仿宋"/>
                <w:b w:val="0"/>
                <w:bCs w:val="0"/>
                <w:color w:val="auto"/>
                <w:w w:val="100"/>
                <w:sz w:val="24"/>
                <w:szCs w:val="24"/>
                <w:highlight w:val="none"/>
                <w:lang w:eastAsia="zh-CN"/>
              </w:rPr>
              <w:t>，按一份计算。</w:t>
            </w:r>
          </w:p>
          <w:p w14:paraId="5F3D1AE7">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b w:val="0"/>
                <w:bCs w:val="0"/>
                <w:color w:val="auto"/>
                <w:w w:val="100"/>
                <w:sz w:val="24"/>
                <w:szCs w:val="24"/>
                <w:highlight w:val="none"/>
                <w:lang w:eastAsia="zh-CN"/>
              </w:rPr>
            </w:pPr>
            <w:r>
              <w:rPr>
                <w:rFonts w:hint="eastAsia" w:ascii="仿宋" w:hAnsi="仿宋" w:eastAsia="仿宋" w:cs="仿宋"/>
                <w:b w:val="0"/>
                <w:bCs w:val="0"/>
                <w:color w:val="auto"/>
                <w:w w:val="100"/>
                <w:sz w:val="24"/>
                <w:szCs w:val="24"/>
                <w:highlight w:val="none"/>
                <w:lang w:eastAsia="zh-CN"/>
              </w:rPr>
              <w:t>注：</w:t>
            </w:r>
            <w:r>
              <w:rPr>
                <w:rFonts w:hint="eastAsia" w:ascii="仿宋" w:hAnsi="仿宋" w:eastAsia="仿宋" w:cs="仿宋"/>
                <w:b w:val="0"/>
                <w:bCs w:val="0"/>
                <w:color w:val="auto"/>
                <w:w w:val="100"/>
                <w:sz w:val="24"/>
                <w:szCs w:val="24"/>
                <w:highlight w:val="none"/>
              </w:rPr>
              <w:t>投标文件中提供合同复印件并加盖公章</w:t>
            </w:r>
            <w:r>
              <w:rPr>
                <w:rFonts w:hint="eastAsia" w:ascii="仿宋" w:hAnsi="仿宋" w:eastAsia="仿宋" w:cs="仿宋"/>
                <w:b w:val="0"/>
                <w:bCs w:val="0"/>
                <w:color w:val="auto"/>
                <w:w w:val="100"/>
                <w:sz w:val="24"/>
                <w:szCs w:val="24"/>
                <w:highlight w:val="none"/>
                <w:lang w:eastAsia="zh-CN"/>
              </w:rPr>
              <w:t>。</w:t>
            </w:r>
          </w:p>
        </w:tc>
        <w:tc>
          <w:tcPr>
            <w:tcW w:w="723" w:type="dxa"/>
            <w:noWrap w:val="0"/>
            <w:tcMar>
              <w:left w:w="28" w:type="dxa"/>
              <w:right w:w="28" w:type="dxa"/>
            </w:tcMar>
            <w:vAlign w:val="center"/>
          </w:tcPr>
          <w:p w14:paraId="3A388B8A">
            <w:pPr>
              <w:keepNext w:val="0"/>
              <w:keepLines w:val="0"/>
              <w:pageBreakBefore w:val="0"/>
              <w:widowControl w:val="0"/>
              <w:tabs>
                <w:tab w:val="left" w:pos="4866"/>
              </w:tabs>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w:t>
            </w:r>
          </w:p>
        </w:tc>
        <w:tc>
          <w:tcPr>
            <w:tcW w:w="723" w:type="dxa"/>
            <w:noWrap w:val="0"/>
            <w:tcMar>
              <w:left w:w="28" w:type="dxa"/>
              <w:right w:w="28" w:type="dxa"/>
            </w:tcMar>
            <w:vAlign w:val="center"/>
          </w:tcPr>
          <w:p w14:paraId="3565E5A5">
            <w:pPr>
              <w:keepNext w:val="0"/>
              <w:keepLines w:val="0"/>
              <w:pageBreakBefore w:val="0"/>
              <w:widowControl w:val="0"/>
              <w:tabs>
                <w:tab w:val="left" w:pos="4866"/>
              </w:tabs>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客观分</w:t>
            </w:r>
          </w:p>
        </w:tc>
      </w:tr>
    </w:tbl>
    <w:p w14:paraId="3D695A11">
      <w:pPr>
        <w:spacing w:line="360" w:lineRule="auto"/>
        <w:rPr>
          <w:rFonts w:hint="eastAsia" w:ascii="仿宋" w:hAnsi="仿宋" w:eastAsia="仿宋" w:cs="仿宋"/>
          <w:b/>
          <w:color w:val="auto"/>
          <w:sz w:val="24"/>
          <w:highlight w:val="none"/>
        </w:rPr>
      </w:pPr>
    </w:p>
    <w:p w14:paraId="492BB7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对供应商提供的证明资料要求为原件的，另行提出。</w:t>
      </w:r>
    </w:p>
    <w:p w14:paraId="3910FE5B">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响应文件</w:t>
      </w:r>
      <w:r>
        <w:rPr>
          <w:rFonts w:hint="eastAsia" w:ascii="仿宋" w:hAnsi="仿宋" w:eastAsia="仿宋" w:cs="仿宋"/>
          <w:b/>
          <w:color w:val="auto"/>
          <w:sz w:val="24"/>
          <w:highlight w:val="none"/>
        </w:rPr>
        <w:t>中如附有外文资料，必须逐一对应翻译成中文并加盖供应商公章后附在相关外文资料后面，否则外文资料不予认可。翻译的中文资料与外文资料不符的，均不予认可。翻译严重错误的，将视同提供虚假资料。</w:t>
      </w:r>
    </w:p>
    <w:p w14:paraId="5EBFE017">
      <w:pPr>
        <w:numPr>
          <w:ilvl w:val="0"/>
          <w:numId w:val="5"/>
        </w:num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价格评分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40</w:t>
      </w:r>
      <w:r>
        <w:rPr>
          <w:rFonts w:hint="eastAsia" w:ascii="仿宋" w:hAnsi="仿宋" w:eastAsia="仿宋" w:cs="仿宋"/>
          <w:b/>
          <w:color w:val="auto"/>
          <w:sz w:val="24"/>
          <w:highlight w:val="none"/>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B33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69" w:type="dxa"/>
            <w:vAlign w:val="center"/>
          </w:tcPr>
          <w:p w14:paraId="15E2595B">
            <w:pPr>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6905" w:type="dxa"/>
            <w:vAlign w:val="center"/>
          </w:tcPr>
          <w:p w14:paraId="74FD76D2">
            <w:pPr>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    算    方    法</w:t>
            </w:r>
          </w:p>
        </w:tc>
      </w:tr>
      <w:tr w14:paraId="7DFE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9" w:type="dxa"/>
            <w:vAlign w:val="center"/>
          </w:tcPr>
          <w:p w14:paraId="42704B75">
            <w:pPr>
              <w:adjustRightInd/>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4</w:t>
            </w:r>
          </w:p>
        </w:tc>
        <w:tc>
          <w:tcPr>
            <w:tcW w:w="6905" w:type="dxa"/>
            <w:vAlign w:val="center"/>
          </w:tcPr>
          <w:p w14:paraId="236DA3A4">
            <w:pPr>
              <w:pStyle w:val="7"/>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有效响应</w:t>
            </w:r>
            <w:r>
              <w:rPr>
                <w:rFonts w:hint="eastAsia" w:ascii="仿宋" w:hAnsi="仿宋" w:eastAsia="仿宋" w:cs="仿宋"/>
                <w:color w:val="auto"/>
                <w:sz w:val="24"/>
                <w:szCs w:val="24"/>
                <w:highlight w:val="none"/>
                <w:lang w:eastAsia="zh-CN"/>
              </w:rPr>
              <w:t>优惠率</w:t>
            </w:r>
            <w:r>
              <w:rPr>
                <w:rFonts w:hint="eastAsia" w:ascii="仿宋" w:hAnsi="仿宋" w:eastAsia="仿宋" w:cs="仿宋"/>
                <w:color w:val="auto"/>
                <w:sz w:val="24"/>
                <w:szCs w:val="24"/>
                <w:highlight w:val="none"/>
              </w:rPr>
              <w:t>为评标基准</w:t>
            </w:r>
            <w:r>
              <w:rPr>
                <w:rFonts w:hint="eastAsia" w:ascii="仿宋" w:hAnsi="仿宋" w:eastAsia="仿宋" w:cs="仿宋"/>
                <w:color w:val="auto"/>
                <w:sz w:val="24"/>
                <w:szCs w:val="24"/>
                <w:highlight w:val="none"/>
                <w:lang w:eastAsia="zh-CN"/>
              </w:rPr>
              <w:t>优惠率。</w:t>
            </w:r>
          </w:p>
          <w:p w14:paraId="6278BCBA">
            <w:pPr>
              <w:adjustRightInd/>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评标基准</w:t>
            </w:r>
            <w:r>
              <w:rPr>
                <w:rFonts w:hint="eastAsia" w:ascii="仿宋" w:hAnsi="仿宋" w:eastAsia="仿宋" w:cs="仿宋"/>
                <w:color w:val="auto"/>
                <w:sz w:val="24"/>
                <w:szCs w:val="24"/>
                <w:highlight w:val="none"/>
                <w:lang w:eastAsia="zh-CN"/>
              </w:rPr>
              <w:t>优惠率）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eastAsia="zh-CN"/>
              </w:rPr>
              <w:t>优惠率）</w:t>
            </w:r>
            <w:r>
              <w:rPr>
                <w:rFonts w:hint="eastAsia" w:ascii="仿宋" w:hAnsi="仿宋" w:eastAsia="仿宋" w:cs="仿宋"/>
                <w:color w:val="auto"/>
                <w:sz w:val="24"/>
                <w:szCs w:val="24"/>
                <w:highlight w:val="none"/>
              </w:rPr>
              <w:t>×价格权值×100</w:t>
            </w:r>
          </w:p>
          <w:p w14:paraId="06C85E17">
            <w:pPr>
              <w:adjustRightInd/>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r>
    </w:tbl>
    <w:p w14:paraId="4DE74508">
      <w:pPr>
        <w:rPr>
          <w:rFonts w:hint="eastAsia" w:ascii="仿宋" w:hAnsi="仿宋" w:eastAsia="仿宋" w:cs="仿宋"/>
          <w:color w:val="auto"/>
          <w:highlight w:val="none"/>
        </w:rPr>
      </w:pPr>
    </w:p>
    <w:p w14:paraId="6984A0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投标报价以人民币为结算货币。此费用应包含但不限于</w:t>
      </w:r>
      <w:r>
        <w:rPr>
          <w:rFonts w:hint="eastAsia" w:ascii="仿宋" w:hAnsi="仿宋" w:eastAsia="仿宋" w:cs="仿宋"/>
          <w:color w:val="auto"/>
          <w:sz w:val="24"/>
          <w:szCs w:val="24"/>
          <w:highlight w:val="none"/>
          <w:lang w:eastAsia="zh-CN"/>
        </w:rPr>
        <w:t>污水</w:t>
      </w:r>
      <w:r>
        <w:rPr>
          <w:rFonts w:hint="eastAsia" w:ascii="仿宋" w:hAnsi="仿宋" w:eastAsia="仿宋" w:cs="仿宋"/>
          <w:color w:val="auto"/>
          <w:sz w:val="24"/>
          <w:szCs w:val="24"/>
          <w:highlight w:val="none"/>
        </w:rPr>
        <w:t>管网</w:t>
      </w:r>
      <w:r>
        <w:rPr>
          <w:rFonts w:hint="eastAsia" w:ascii="仿宋" w:hAnsi="仿宋" w:eastAsia="仿宋" w:cs="仿宋"/>
          <w:color w:val="auto"/>
          <w:sz w:val="24"/>
          <w:szCs w:val="24"/>
          <w:highlight w:val="none"/>
          <w:lang w:eastAsia="zh-CN"/>
        </w:rPr>
        <w:t>检测、清淤疏通、修复</w:t>
      </w:r>
      <w:r>
        <w:rPr>
          <w:rFonts w:hint="eastAsia" w:ascii="仿宋" w:hAnsi="仿宋" w:eastAsia="仿宋" w:cs="仿宋"/>
          <w:color w:val="auto"/>
          <w:sz w:val="24"/>
          <w:szCs w:val="24"/>
          <w:highlight w:val="none"/>
        </w:rPr>
        <w:t>等（详见服务需求）所产生如设备的进退场费用、人工费、机械费、管理费、利润及各种规费、税费、水</w:t>
      </w:r>
      <w:r>
        <w:rPr>
          <w:rFonts w:hint="eastAsia" w:ascii="仿宋" w:hAnsi="仿宋" w:eastAsia="仿宋" w:cs="仿宋"/>
          <w:color w:val="auto"/>
          <w:sz w:val="24"/>
          <w:szCs w:val="24"/>
          <w:highlight w:val="none"/>
          <w:lang w:eastAsia="zh-CN"/>
        </w:rPr>
        <w:t>电</w:t>
      </w:r>
      <w:r>
        <w:rPr>
          <w:rFonts w:hint="eastAsia" w:ascii="仿宋" w:hAnsi="仿宋" w:eastAsia="仿宋" w:cs="仿宋"/>
          <w:color w:val="auto"/>
          <w:sz w:val="24"/>
          <w:szCs w:val="24"/>
          <w:highlight w:val="none"/>
        </w:rPr>
        <w:t>费、安全文明施工费等其他所有完成项目养护工作的一切费用。</w:t>
      </w:r>
    </w:p>
    <w:p w14:paraId="157542B6">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一、交易方法</w:t>
      </w:r>
    </w:p>
    <w:p w14:paraId="43B16005">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综合评分法，是指响应文件满足交易文件全部实质性要求，且按照评审因素的量化指标评审得分最高的供应商为成交候选人的评标方法。</w:t>
      </w:r>
    </w:p>
    <w:p w14:paraId="7C72788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二、交易标准</w:t>
      </w:r>
    </w:p>
    <w:p w14:paraId="3E97F077">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见交易办法前附表。</w:t>
      </w:r>
    </w:p>
    <w:p w14:paraId="727890A0">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highlight w:val="none"/>
        </w:rPr>
        <w:t>交易程序</w:t>
      </w:r>
    </w:p>
    <w:bookmarkEnd w:id="15"/>
    <w:p w14:paraId="0E36C5E4">
      <w:pPr>
        <w:spacing w:line="360" w:lineRule="auto"/>
        <w:ind w:firstLine="472" w:firstLineChars="196"/>
        <w:rPr>
          <w:rFonts w:hint="eastAsia" w:ascii="仿宋" w:hAnsi="仿宋" w:eastAsia="仿宋" w:cs="仿宋"/>
          <w:color w:val="auto"/>
          <w:kern w:val="0"/>
          <w:sz w:val="24"/>
          <w:highlight w:val="none"/>
        </w:rPr>
      </w:pPr>
      <w:bookmarkStart w:id="382" w:name="第五部分"/>
      <w:bookmarkStart w:id="383" w:name="_Toc86217003"/>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0FFB577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评标委员会应当按照交易文件中规定的评标方法和标准，对符合性审查合格的响应文件进行商务和技术评估，综合比较与评价。</w:t>
      </w:r>
    </w:p>
    <w:p w14:paraId="70A4049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评标委员会各成员应当独立对每个供应商的商务和技术文件进行评价，并汇总商务技术得分情况。</w:t>
      </w:r>
    </w:p>
    <w:p w14:paraId="521C78B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5686EF4">
      <w:pPr>
        <w:pStyle w:val="26"/>
        <w:spacing w:before="0" w:line="570" w:lineRule="exact"/>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4757FB1E">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3C243B4A">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08F45F6D">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38A825D6">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605254E4">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w:t>
      </w:r>
    </w:p>
    <w:p w14:paraId="58C798D0">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3.4.2响应文件出现不是唯一的、有选择性交易报价的，交易无效。</w:t>
      </w:r>
    </w:p>
    <w:p w14:paraId="6B9A440F">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3.4.3交易报价超过交易文件中规定的预算金额或者最高限价的，交易无效。</w:t>
      </w:r>
    </w:p>
    <w:p w14:paraId="7A82007A">
      <w:pPr>
        <w:pStyle w:val="26"/>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3.4.4评标委员会认为供应商的报价明显低于其他通过符合性审查供应商的报价，</w:t>
      </w:r>
      <w:r>
        <w:rPr>
          <w:rFonts w:hint="eastAsia" w:ascii="仿宋" w:hAnsi="仿宋" w:eastAsia="仿宋" w:cs="仿宋"/>
          <w:color w:val="auto"/>
          <w:kern w:val="0"/>
          <w:szCs w:val="24"/>
          <w:lang w:eastAsia="zh-CN"/>
        </w:rPr>
        <w:t>或者存在明显不平衡报价等行为，</w:t>
      </w:r>
      <w:r>
        <w:rPr>
          <w:rFonts w:hint="eastAsia" w:ascii="仿宋" w:hAnsi="仿宋" w:eastAsia="仿宋" w:cs="仿宋"/>
          <w:color w:val="auto"/>
          <w:kern w:val="0"/>
          <w:szCs w:val="24"/>
        </w:rPr>
        <w:t>有可能影响</w:t>
      </w:r>
      <w:r>
        <w:rPr>
          <w:rFonts w:hint="eastAsia" w:ascii="仿宋" w:hAnsi="仿宋" w:eastAsia="仿宋" w:cs="仿宋"/>
          <w:color w:val="auto"/>
          <w:kern w:val="0"/>
          <w:szCs w:val="24"/>
          <w:lang w:eastAsia="zh-CN"/>
        </w:rPr>
        <w:t>服务</w:t>
      </w:r>
      <w:r>
        <w:rPr>
          <w:rFonts w:hint="eastAsia" w:ascii="仿宋" w:hAnsi="仿宋" w:eastAsia="仿宋" w:cs="仿宋"/>
          <w:color w:val="auto"/>
          <w:kern w:val="0"/>
          <w:szCs w:val="24"/>
        </w:rPr>
        <w:t>质量或者不能诚信履约的，应当要求其在合理的时间内提供书面说明，必要时提交相关证明材料;供应商不能证明其报价合理性的，评标委员会应当将其作为无效响应处理。</w:t>
      </w:r>
    </w:p>
    <w:p w14:paraId="0183AAB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0E17209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DC3EB6">
      <w:pPr>
        <w:widowControl/>
        <w:shd w:val="clear" w:color="auto" w:fill="FFFFFF"/>
        <w:adjustRightInd/>
        <w:spacing w:after="0"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C22CC07">
      <w:pPr>
        <w:pStyle w:val="26"/>
        <w:spacing w:before="0" w:line="360" w:lineRule="auto"/>
        <w:ind w:firstLine="482" w:firstLineChars="20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4.1供应商澄清、说明或者补正。</w:t>
      </w:r>
    </w:p>
    <w:p w14:paraId="5B603FAF">
      <w:pPr>
        <w:pStyle w:val="26"/>
        <w:spacing w:before="0"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F79D7D">
      <w:pPr>
        <w:pStyle w:val="9"/>
        <w:spacing w:line="360" w:lineRule="auto"/>
        <w:ind w:left="0" w:leftChars="0" w:firstLine="482" w:firstLineChars="20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4.2交易无效。</w:t>
      </w:r>
    </w:p>
    <w:p w14:paraId="232200CB">
      <w:pPr>
        <w:pStyle w:val="9"/>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有下列情形之一的，交易无效：</w:t>
      </w:r>
    </w:p>
    <w:p w14:paraId="773638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219A8F5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4.2.2响应文件未按照交易文件要求签署、盖章的；</w:t>
      </w:r>
    </w:p>
    <w:p w14:paraId="03B71E8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14:paraId="60A03E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4.2.4响应文件含有交易人不能接受的附加条件的；</w:t>
      </w:r>
    </w:p>
    <w:p w14:paraId="6DD527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4.2.5响应文件中承诺的交易有效期少于交易文件中载明的交易有效期的；</w:t>
      </w:r>
    </w:p>
    <w:p w14:paraId="2C4D1F74">
      <w:pPr>
        <w:snapToGri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4.2.6响应文件出现不是唯一的、有选择性交易报价的</w:t>
      </w:r>
      <w:r>
        <w:rPr>
          <w:rFonts w:hint="eastAsia" w:ascii="仿宋" w:hAnsi="仿宋" w:eastAsia="仿宋" w:cs="仿宋"/>
          <w:color w:val="auto"/>
          <w:kern w:val="0"/>
          <w:sz w:val="24"/>
          <w:highlight w:val="none"/>
          <w:lang w:eastAsia="zh-CN"/>
        </w:rPr>
        <w:t>；</w:t>
      </w:r>
    </w:p>
    <w:p w14:paraId="34FA7638">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4.2.7交易报价超过交易文件中规定的预算金额或者最高限价的</w:t>
      </w:r>
      <w:r>
        <w:rPr>
          <w:rFonts w:hint="eastAsia" w:ascii="仿宋" w:hAnsi="仿宋" w:eastAsia="仿宋" w:cs="仿宋"/>
          <w:color w:val="auto"/>
          <w:kern w:val="0"/>
          <w:sz w:val="24"/>
          <w:highlight w:val="none"/>
          <w:lang w:eastAsia="zh-CN"/>
        </w:rPr>
        <w:t>；</w:t>
      </w:r>
    </w:p>
    <w:p w14:paraId="64F30AB0">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highlight w:val="none"/>
          <w:lang w:eastAsia="zh-CN"/>
        </w:rPr>
        <w:t>；</w:t>
      </w:r>
    </w:p>
    <w:p w14:paraId="4EA77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2B95AF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153985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4.2.11供应商有恶意串通、妨碍其他供应商的竞争行为、损害交易人或者其他供应商的合法权益情形的；</w:t>
      </w:r>
    </w:p>
    <w:p w14:paraId="2A43947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4.2.12供应商未在电子交易平台传输递交响应文件的，交易无效；</w:t>
      </w:r>
    </w:p>
    <w:p w14:paraId="6483BD85">
      <w:pPr>
        <w:pStyle w:val="2"/>
        <w:spacing w:line="360" w:lineRule="auto"/>
        <w:ind w:left="0" w:leftChars="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4.2.13响应文件不满足交易文件的其它实质性要求的；</w:t>
      </w:r>
    </w:p>
    <w:p w14:paraId="51EF75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B5C846E">
      <w:pPr>
        <w:pStyle w:val="9"/>
        <w:numPr>
          <w:ilvl w:val="0"/>
          <w:numId w:val="6"/>
        </w:numPr>
        <w:snapToGrid w:val="0"/>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废标。</w:t>
      </w:r>
      <w:r>
        <w:rPr>
          <w:rFonts w:hint="eastAsia" w:ascii="仿宋" w:hAnsi="仿宋" w:eastAsia="仿宋" w:cs="仿宋"/>
          <w:color w:val="auto"/>
          <w:highlight w:val="none"/>
        </w:rPr>
        <w:t>根据《中华人民共和国政府采购法》第三十六条之规定，在采购中，出现下列情形之一的，应予废标：</w:t>
      </w:r>
    </w:p>
    <w:p w14:paraId="225B2EE8">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79B0ACEE">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F8F4D45">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5.3供应商的报价均超过了采购预算，交易人不能支付的；</w:t>
      </w:r>
    </w:p>
    <w:p w14:paraId="40F26604">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B56F190">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41CF7E2F">
      <w:pPr>
        <w:pStyle w:val="9"/>
        <w:numPr>
          <w:ilvl w:val="0"/>
          <w:numId w:val="6"/>
        </w:numPr>
        <w:snapToGrid w:val="0"/>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修改交易文件，重新组织采购活动。</w:t>
      </w:r>
    </w:p>
    <w:p w14:paraId="554141AF">
      <w:pPr>
        <w:pStyle w:val="9"/>
        <w:numPr>
          <w:ilvl w:val="-1"/>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3A9945AD">
      <w:pPr>
        <w:pStyle w:val="9"/>
        <w:numPr>
          <w:ilvl w:val="0"/>
          <w:numId w:val="7"/>
        </w:numPr>
        <w:snapToGrid w:val="0"/>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kern w:val="0"/>
          <w:highlight w:val="none"/>
        </w:rPr>
        <w:t>重新开展交易。</w:t>
      </w:r>
      <w:r>
        <w:rPr>
          <w:rFonts w:hint="eastAsia" w:ascii="仿宋" w:hAnsi="仿宋" w:eastAsia="仿宋" w:cs="仿宋"/>
          <w:color w:val="auto"/>
          <w:highlight w:val="none"/>
        </w:rPr>
        <w:t>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、成交结果的，依照下列规定处理：</w:t>
      </w:r>
    </w:p>
    <w:p w14:paraId="0E4CC904">
      <w:pPr>
        <w:pStyle w:val="9"/>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或者成交人的，终止本次交易活动，重新开展交易活动。</w:t>
      </w:r>
    </w:p>
    <w:p w14:paraId="6DA137DF">
      <w:pPr>
        <w:pStyle w:val="9"/>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或者成交人但尚未签订合同的，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4793C53A">
      <w:pPr>
        <w:pStyle w:val="9"/>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2DE3FCA9">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7.4采购合同已经履行，给交易人、供应商造成损失的，由责任人承担赔偿责任。</w:t>
      </w:r>
    </w:p>
    <w:p w14:paraId="42F2AC0D">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、成交无效的，依照7.1-7.4规定处理。</w:t>
      </w:r>
    </w:p>
    <w:p w14:paraId="32C5B8F5">
      <w:pPr>
        <w:pStyle w:val="4"/>
        <w:rPr>
          <w:rFonts w:hint="eastAsia" w:ascii="仿宋" w:hAnsi="仿宋" w:eastAsia="仿宋" w:cs="仿宋"/>
          <w:color w:val="auto"/>
          <w:highlight w:val="none"/>
        </w:rPr>
      </w:pPr>
    </w:p>
    <w:p w14:paraId="0A84567B">
      <w:pPr>
        <w:pStyle w:val="4"/>
        <w:rPr>
          <w:rFonts w:hint="eastAsia" w:ascii="仿宋" w:hAnsi="仿宋" w:eastAsia="仿宋" w:cs="仿宋"/>
          <w:color w:val="auto"/>
          <w:highlight w:val="none"/>
        </w:rPr>
      </w:pPr>
    </w:p>
    <w:p w14:paraId="0E9E95FE">
      <w:pPr>
        <w:pStyle w:val="4"/>
        <w:rPr>
          <w:rFonts w:hint="eastAsia" w:ascii="仿宋" w:hAnsi="仿宋" w:eastAsia="仿宋" w:cs="仿宋"/>
          <w:color w:val="auto"/>
          <w:highlight w:val="none"/>
        </w:rPr>
      </w:pPr>
    </w:p>
    <w:p w14:paraId="5991A21D">
      <w:pPr>
        <w:pStyle w:val="4"/>
        <w:rPr>
          <w:rFonts w:hint="eastAsia" w:ascii="仿宋" w:hAnsi="仿宋" w:eastAsia="仿宋" w:cs="仿宋"/>
          <w:color w:val="auto"/>
          <w:highlight w:val="none"/>
        </w:rPr>
      </w:pPr>
    </w:p>
    <w:p w14:paraId="6D0FF375">
      <w:pPr>
        <w:pStyle w:val="4"/>
        <w:rPr>
          <w:rFonts w:hint="eastAsia" w:ascii="仿宋" w:hAnsi="仿宋" w:eastAsia="仿宋" w:cs="仿宋"/>
          <w:color w:val="auto"/>
          <w:highlight w:val="none"/>
        </w:rPr>
      </w:pPr>
    </w:p>
    <w:p w14:paraId="3D9F7AA2">
      <w:pPr>
        <w:pStyle w:val="4"/>
        <w:rPr>
          <w:rFonts w:hint="eastAsia" w:ascii="仿宋" w:hAnsi="仿宋" w:eastAsia="仿宋" w:cs="仿宋"/>
          <w:color w:val="auto"/>
          <w:highlight w:val="none"/>
        </w:rPr>
      </w:pPr>
    </w:p>
    <w:p w14:paraId="35B8BE7C">
      <w:pPr>
        <w:pStyle w:val="4"/>
        <w:rPr>
          <w:rFonts w:hint="eastAsia" w:ascii="仿宋" w:hAnsi="仿宋" w:eastAsia="仿宋" w:cs="仿宋"/>
          <w:color w:val="auto"/>
          <w:highlight w:val="none"/>
        </w:rPr>
      </w:pPr>
    </w:p>
    <w:p w14:paraId="3BDDBB6D">
      <w:pPr>
        <w:pStyle w:val="4"/>
        <w:rPr>
          <w:rFonts w:hint="eastAsia" w:ascii="仿宋" w:hAnsi="仿宋" w:eastAsia="仿宋" w:cs="仿宋"/>
          <w:color w:val="auto"/>
          <w:highlight w:val="none"/>
        </w:rPr>
      </w:pPr>
    </w:p>
    <w:p w14:paraId="1E724835">
      <w:pPr>
        <w:pStyle w:val="4"/>
        <w:rPr>
          <w:rFonts w:hint="eastAsia" w:ascii="仿宋" w:hAnsi="仿宋" w:eastAsia="仿宋" w:cs="仿宋"/>
          <w:color w:val="auto"/>
          <w:highlight w:val="none"/>
        </w:rPr>
      </w:pPr>
    </w:p>
    <w:p w14:paraId="7E4191FA">
      <w:pPr>
        <w:pStyle w:val="4"/>
        <w:rPr>
          <w:rFonts w:hint="eastAsia" w:ascii="仿宋" w:hAnsi="仿宋" w:eastAsia="仿宋" w:cs="仿宋"/>
          <w:color w:val="auto"/>
          <w:highlight w:val="none"/>
        </w:rPr>
      </w:pPr>
    </w:p>
    <w:p w14:paraId="4240B732">
      <w:pPr>
        <w:pStyle w:val="4"/>
        <w:rPr>
          <w:rFonts w:hint="eastAsia" w:ascii="仿宋" w:hAnsi="仿宋" w:eastAsia="仿宋" w:cs="仿宋"/>
          <w:color w:val="auto"/>
          <w:highlight w:val="none"/>
        </w:rPr>
      </w:pPr>
    </w:p>
    <w:p w14:paraId="2FE4D59C">
      <w:pPr>
        <w:pStyle w:val="4"/>
        <w:rPr>
          <w:rFonts w:hint="eastAsia" w:ascii="仿宋" w:hAnsi="仿宋" w:eastAsia="仿宋" w:cs="仿宋"/>
          <w:color w:val="auto"/>
          <w:highlight w:val="none"/>
        </w:rPr>
      </w:pPr>
    </w:p>
    <w:p w14:paraId="20868F1F">
      <w:pPr>
        <w:pStyle w:val="4"/>
        <w:rPr>
          <w:rFonts w:hint="eastAsia" w:ascii="仿宋" w:hAnsi="仿宋" w:eastAsia="仿宋" w:cs="仿宋"/>
          <w:color w:val="auto"/>
          <w:highlight w:val="none"/>
        </w:rPr>
      </w:pPr>
    </w:p>
    <w:p w14:paraId="0EBB0E82">
      <w:pPr>
        <w:pStyle w:val="4"/>
        <w:rPr>
          <w:rFonts w:hint="eastAsia" w:ascii="仿宋" w:hAnsi="仿宋" w:eastAsia="仿宋" w:cs="仿宋"/>
          <w:color w:val="auto"/>
          <w:highlight w:val="none"/>
        </w:rPr>
      </w:pPr>
    </w:p>
    <w:p w14:paraId="5E3C525E">
      <w:pPr>
        <w:pStyle w:val="4"/>
        <w:rPr>
          <w:rFonts w:hint="eastAsia" w:ascii="仿宋" w:hAnsi="仿宋" w:eastAsia="仿宋" w:cs="仿宋"/>
          <w:color w:val="auto"/>
          <w:highlight w:val="none"/>
        </w:rPr>
      </w:pPr>
    </w:p>
    <w:p w14:paraId="56CCD6B0">
      <w:pPr>
        <w:pStyle w:val="4"/>
        <w:rPr>
          <w:rFonts w:hint="eastAsia" w:ascii="仿宋" w:hAnsi="仿宋" w:eastAsia="仿宋" w:cs="仿宋"/>
          <w:color w:val="auto"/>
          <w:highlight w:val="none"/>
        </w:rPr>
      </w:pPr>
    </w:p>
    <w:p w14:paraId="1C395197">
      <w:pPr>
        <w:pStyle w:val="4"/>
        <w:rPr>
          <w:rFonts w:hint="eastAsia" w:ascii="仿宋" w:hAnsi="仿宋" w:eastAsia="仿宋" w:cs="仿宋"/>
          <w:color w:val="auto"/>
          <w:highlight w:val="none"/>
        </w:rPr>
      </w:pPr>
    </w:p>
    <w:p w14:paraId="02B77935">
      <w:pPr>
        <w:pStyle w:val="4"/>
        <w:rPr>
          <w:rFonts w:hint="eastAsia" w:ascii="仿宋" w:hAnsi="仿宋" w:eastAsia="仿宋" w:cs="仿宋"/>
          <w:color w:val="auto"/>
          <w:highlight w:val="none"/>
        </w:rPr>
      </w:pPr>
    </w:p>
    <w:p w14:paraId="55BB149A">
      <w:pPr>
        <w:pStyle w:val="10"/>
        <w:rPr>
          <w:rFonts w:hint="eastAsia" w:ascii="仿宋" w:hAnsi="仿宋" w:eastAsia="仿宋" w:cs="仿宋"/>
          <w:color w:val="auto"/>
          <w:highlight w:val="none"/>
        </w:rPr>
      </w:pPr>
    </w:p>
    <w:p w14:paraId="4BEA68F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DF12D7B">
      <w:pPr>
        <w:pStyle w:val="9"/>
        <w:numPr>
          <w:ilvl w:val="0"/>
          <w:numId w:val="8"/>
        </w:numPr>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77DCEE59">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（本合同为合同样稿，最终稿由甲乙双方协商后确定）</w:t>
      </w:r>
    </w:p>
    <w:p w14:paraId="58D09708">
      <w:pPr>
        <w:pStyle w:val="11"/>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污水管道非开挖修复及CCTV检测</w:t>
      </w:r>
      <w:r>
        <w:rPr>
          <w:rFonts w:hint="eastAsia" w:ascii="仿宋" w:hAnsi="仿宋" w:eastAsia="仿宋" w:cs="仿宋"/>
          <w:b/>
          <w:color w:val="auto"/>
          <w:sz w:val="36"/>
          <w:szCs w:val="36"/>
          <w:highlight w:val="none"/>
          <w:lang w:eastAsia="zh-CN"/>
        </w:rPr>
        <w:t>年度</w:t>
      </w:r>
      <w:r>
        <w:rPr>
          <w:rFonts w:hint="eastAsia" w:ascii="仿宋" w:hAnsi="仿宋" w:eastAsia="仿宋" w:cs="仿宋"/>
          <w:b/>
          <w:color w:val="auto"/>
          <w:sz w:val="36"/>
          <w:szCs w:val="36"/>
          <w:highlight w:val="none"/>
          <w:lang w:eastAsia="zh-CN"/>
        </w:rPr>
        <w:t>服务采购项目</w:t>
      </w:r>
    </w:p>
    <w:p w14:paraId="026B2D6B">
      <w:pPr>
        <w:pStyle w:val="11"/>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合  同</w:t>
      </w:r>
    </w:p>
    <w:p w14:paraId="69284378">
      <w:pPr>
        <w:spacing w:line="360" w:lineRule="auto"/>
        <w:rPr>
          <w:rFonts w:hint="eastAsia" w:ascii="仿宋" w:hAnsi="仿宋" w:eastAsia="仿宋" w:cs="仿宋"/>
          <w:color w:val="auto"/>
          <w:sz w:val="28"/>
          <w:szCs w:val="28"/>
          <w:highlight w:val="none"/>
        </w:rPr>
      </w:pPr>
    </w:p>
    <w:p w14:paraId="7E1D0C7E">
      <w:pPr>
        <w:spacing w:line="360" w:lineRule="auto"/>
        <w:ind w:firstLine="700" w:firstLineChars="2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杭州萧山污水处理有限公司</w:t>
      </w:r>
    </w:p>
    <w:p w14:paraId="1ED63645">
      <w:pPr>
        <w:spacing w:line="360" w:lineRule="auto"/>
        <w:rPr>
          <w:rFonts w:hint="eastAsia" w:ascii="仿宋" w:hAnsi="仿宋" w:eastAsia="仿宋" w:cs="仿宋"/>
          <w:color w:val="auto"/>
          <w:sz w:val="28"/>
          <w:szCs w:val="28"/>
          <w:highlight w:val="none"/>
        </w:rPr>
      </w:pPr>
    </w:p>
    <w:p w14:paraId="68E822D3">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14:paraId="394E0660">
      <w:pPr>
        <w:spacing w:line="360" w:lineRule="auto"/>
        <w:rPr>
          <w:rFonts w:hint="eastAsia" w:ascii="仿宋" w:hAnsi="仿宋" w:eastAsia="仿宋" w:cs="仿宋"/>
          <w:color w:val="auto"/>
          <w:sz w:val="28"/>
          <w:szCs w:val="28"/>
          <w:highlight w:val="none"/>
        </w:rPr>
      </w:pPr>
    </w:p>
    <w:p w14:paraId="5914423F">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    年  月  日</w:t>
      </w:r>
    </w:p>
    <w:p w14:paraId="61EF832A">
      <w:pPr>
        <w:spacing w:line="360" w:lineRule="auto"/>
        <w:ind w:firstLine="700" w:firstLineChars="250"/>
        <w:rPr>
          <w:rFonts w:hint="eastAsia" w:ascii="仿宋" w:hAnsi="仿宋" w:eastAsia="仿宋" w:cs="仿宋"/>
          <w:color w:val="auto"/>
          <w:sz w:val="28"/>
          <w:szCs w:val="28"/>
          <w:highlight w:val="none"/>
        </w:rPr>
      </w:pPr>
    </w:p>
    <w:p w14:paraId="1347AD84">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签署地点：</w:t>
      </w:r>
    </w:p>
    <w:p w14:paraId="35AB733C">
      <w:pPr>
        <w:spacing w:line="360" w:lineRule="auto"/>
        <w:ind w:firstLine="700" w:firstLineChars="250"/>
        <w:rPr>
          <w:rFonts w:hint="eastAsia" w:ascii="仿宋" w:hAnsi="仿宋" w:eastAsia="仿宋" w:cs="仿宋"/>
          <w:color w:val="auto"/>
          <w:sz w:val="28"/>
          <w:szCs w:val="28"/>
          <w:highlight w:val="none"/>
        </w:rPr>
      </w:pPr>
    </w:p>
    <w:p w14:paraId="287EE831">
      <w:pPr>
        <w:spacing w:line="360" w:lineRule="auto"/>
        <w:ind w:firstLine="700" w:firstLineChars="250"/>
        <w:rPr>
          <w:rFonts w:hint="eastAsia" w:ascii="仿宋" w:hAnsi="仿宋" w:eastAsia="仿宋" w:cs="仿宋"/>
          <w:color w:val="auto"/>
          <w:sz w:val="28"/>
          <w:szCs w:val="28"/>
          <w:highlight w:val="none"/>
        </w:rPr>
      </w:pPr>
    </w:p>
    <w:p w14:paraId="65807A0C">
      <w:pPr>
        <w:spacing w:line="360" w:lineRule="auto"/>
        <w:ind w:firstLine="700" w:firstLineChars="250"/>
        <w:jc w:val="center"/>
        <w:rPr>
          <w:rFonts w:hint="eastAsia" w:ascii="仿宋" w:hAnsi="仿宋" w:eastAsia="仿宋" w:cs="仿宋"/>
          <w:color w:val="auto"/>
          <w:sz w:val="28"/>
          <w:szCs w:val="28"/>
          <w:highlight w:val="none"/>
        </w:rPr>
      </w:pPr>
    </w:p>
    <w:p w14:paraId="22B09EEB">
      <w:pPr>
        <w:spacing w:line="360" w:lineRule="auto"/>
        <w:ind w:firstLine="700" w:firstLineChars="250"/>
        <w:jc w:val="center"/>
        <w:rPr>
          <w:rFonts w:hint="eastAsia" w:ascii="仿宋" w:hAnsi="仿宋" w:eastAsia="仿宋" w:cs="仿宋"/>
          <w:color w:val="auto"/>
          <w:sz w:val="28"/>
          <w:szCs w:val="28"/>
          <w:highlight w:val="none"/>
        </w:rPr>
      </w:pPr>
    </w:p>
    <w:p w14:paraId="5774F4A9">
      <w:pPr>
        <w:spacing w:line="360" w:lineRule="auto"/>
        <w:ind w:firstLine="700" w:firstLineChars="250"/>
        <w:jc w:val="center"/>
        <w:rPr>
          <w:rFonts w:hint="eastAsia" w:ascii="仿宋" w:hAnsi="仿宋" w:eastAsia="仿宋" w:cs="仿宋"/>
          <w:color w:val="auto"/>
          <w:sz w:val="28"/>
          <w:szCs w:val="28"/>
          <w:highlight w:val="none"/>
        </w:rPr>
      </w:pPr>
    </w:p>
    <w:p w14:paraId="4B199A1F">
      <w:pPr>
        <w:spacing w:line="360" w:lineRule="auto"/>
        <w:ind w:firstLine="700" w:firstLineChars="250"/>
        <w:jc w:val="center"/>
        <w:rPr>
          <w:rFonts w:hint="eastAsia" w:ascii="仿宋" w:hAnsi="仿宋" w:eastAsia="仿宋" w:cs="仿宋"/>
          <w:color w:val="auto"/>
          <w:sz w:val="28"/>
          <w:szCs w:val="28"/>
          <w:highlight w:val="none"/>
        </w:rPr>
      </w:pPr>
    </w:p>
    <w:p w14:paraId="7B67E15A">
      <w:pPr>
        <w:spacing w:line="360" w:lineRule="auto"/>
        <w:ind w:firstLine="700" w:firstLineChars="250"/>
        <w:jc w:val="center"/>
        <w:rPr>
          <w:rFonts w:hint="eastAsia" w:ascii="仿宋" w:hAnsi="仿宋" w:eastAsia="仿宋" w:cs="仿宋"/>
          <w:color w:val="auto"/>
          <w:sz w:val="28"/>
          <w:szCs w:val="28"/>
          <w:highlight w:val="none"/>
        </w:rPr>
      </w:pPr>
    </w:p>
    <w:p w14:paraId="51FBB1BC">
      <w:pPr>
        <w:spacing w:line="360" w:lineRule="auto"/>
        <w:ind w:firstLine="700" w:firstLineChars="250"/>
        <w:jc w:val="center"/>
        <w:rPr>
          <w:rFonts w:hint="eastAsia" w:ascii="仿宋" w:hAnsi="仿宋" w:eastAsia="仿宋" w:cs="仿宋"/>
          <w:color w:val="auto"/>
          <w:sz w:val="28"/>
          <w:szCs w:val="28"/>
          <w:highlight w:val="none"/>
        </w:rPr>
      </w:pPr>
    </w:p>
    <w:p w14:paraId="28CEA51B">
      <w:pPr>
        <w:spacing w:line="360" w:lineRule="auto"/>
        <w:ind w:firstLine="700" w:firstLineChars="250"/>
        <w:jc w:val="center"/>
        <w:rPr>
          <w:rFonts w:hint="eastAsia" w:ascii="仿宋" w:hAnsi="仿宋" w:eastAsia="仿宋" w:cs="仿宋"/>
          <w:color w:val="auto"/>
          <w:sz w:val="28"/>
          <w:szCs w:val="28"/>
          <w:highlight w:val="none"/>
        </w:rPr>
      </w:pPr>
    </w:p>
    <w:p w14:paraId="08F5E4BB">
      <w:pPr>
        <w:spacing w:line="360" w:lineRule="auto"/>
        <w:ind w:firstLine="700" w:firstLineChars="250"/>
        <w:jc w:val="center"/>
        <w:rPr>
          <w:rFonts w:hint="eastAsia" w:ascii="仿宋" w:hAnsi="仿宋" w:eastAsia="仿宋" w:cs="仿宋"/>
          <w:color w:val="auto"/>
          <w:sz w:val="28"/>
          <w:szCs w:val="28"/>
          <w:highlight w:val="none"/>
        </w:rPr>
      </w:pPr>
    </w:p>
    <w:p w14:paraId="2AC63061">
      <w:pPr>
        <w:spacing w:line="360" w:lineRule="auto"/>
        <w:ind w:firstLine="700" w:firstLineChars="250"/>
        <w:jc w:val="center"/>
        <w:rPr>
          <w:rFonts w:hint="eastAsia" w:ascii="仿宋" w:hAnsi="仿宋" w:eastAsia="仿宋" w:cs="仿宋"/>
          <w:color w:val="auto"/>
          <w:sz w:val="28"/>
          <w:szCs w:val="28"/>
          <w:highlight w:val="none"/>
        </w:rPr>
      </w:pPr>
    </w:p>
    <w:p w14:paraId="261EE63D">
      <w:pPr>
        <w:spacing w:line="360" w:lineRule="auto"/>
        <w:ind w:firstLine="700" w:firstLineChars="250"/>
        <w:jc w:val="center"/>
        <w:rPr>
          <w:rFonts w:hint="eastAsia" w:ascii="仿宋" w:hAnsi="仿宋" w:eastAsia="仿宋" w:cs="仿宋"/>
          <w:color w:val="auto"/>
          <w:sz w:val="28"/>
          <w:szCs w:val="28"/>
          <w:highlight w:val="none"/>
        </w:rPr>
      </w:pPr>
    </w:p>
    <w:p w14:paraId="1BF3A12C">
      <w:pPr>
        <w:spacing w:line="360" w:lineRule="auto"/>
        <w:ind w:firstLine="700" w:firstLineChars="250"/>
        <w:jc w:val="center"/>
        <w:rPr>
          <w:rFonts w:hint="eastAsia" w:ascii="仿宋" w:hAnsi="仿宋" w:eastAsia="仿宋" w:cs="仿宋"/>
          <w:color w:val="auto"/>
          <w:sz w:val="28"/>
          <w:szCs w:val="28"/>
          <w:highlight w:val="none"/>
        </w:rPr>
      </w:pPr>
    </w:p>
    <w:p w14:paraId="3F0ACD69">
      <w:pPr>
        <w:spacing w:line="360" w:lineRule="auto"/>
        <w:ind w:firstLine="0" w:firstLineChars="0"/>
        <w:rPr>
          <w:rFonts w:hint="eastAsia" w:ascii="仿宋" w:hAnsi="仿宋" w:eastAsia="仿宋" w:cs="仿宋"/>
          <w:color w:val="auto"/>
          <w:sz w:val="28"/>
          <w:szCs w:val="28"/>
          <w:highlight w:val="none"/>
        </w:rPr>
      </w:pPr>
    </w:p>
    <w:p w14:paraId="1FDB77C2">
      <w:pPr>
        <w:spacing w:line="360" w:lineRule="auto"/>
        <w:ind w:firstLine="0" w:firstLineChars="0"/>
        <w:rPr>
          <w:rFonts w:hint="eastAsia" w:ascii="仿宋" w:hAnsi="仿宋" w:eastAsia="仿宋" w:cs="仿宋"/>
          <w:color w:val="auto"/>
          <w:sz w:val="28"/>
          <w:szCs w:val="28"/>
          <w:highlight w:val="none"/>
        </w:rPr>
      </w:pPr>
    </w:p>
    <w:p w14:paraId="117D6444">
      <w:pPr>
        <w:snapToGrid/>
        <w:spacing w:before="0" w:beforeLines="-2147483648" w:after="0" w:afterLines="-2147483648" w:line="360" w:lineRule="auto"/>
        <w:ind w:firstLine="753" w:firstLineChars="250"/>
        <w:jc w:val="center"/>
        <w:rPr>
          <w:rFonts w:hint="eastAsia" w:ascii="仿宋" w:hAnsi="仿宋" w:eastAsia="仿宋" w:cs="仿宋"/>
          <w:b/>
          <w:color w:val="auto"/>
          <w:sz w:val="30"/>
          <w:szCs w:val="32"/>
          <w:highlight w:val="none"/>
          <w:lang w:eastAsia="zh-CN"/>
        </w:rPr>
      </w:pPr>
      <w:r>
        <w:rPr>
          <w:rFonts w:hint="eastAsia" w:ascii="仿宋" w:hAnsi="仿宋" w:eastAsia="仿宋" w:cs="仿宋"/>
          <w:b/>
          <w:color w:val="auto"/>
          <w:sz w:val="30"/>
          <w:szCs w:val="30"/>
          <w:highlight w:val="none"/>
          <w:lang w:eastAsia="zh-CN"/>
        </w:rPr>
        <w:t>污水管道非开挖修复及CCTV检测年度服务采购项目</w:t>
      </w:r>
      <w:r>
        <w:rPr>
          <w:rFonts w:hint="eastAsia" w:ascii="仿宋" w:hAnsi="仿宋" w:eastAsia="仿宋" w:cs="仿宋"/>
          <w:b/>
          <w:color w:val="auto"/>
          <w:sz w:val="30"/>
          <w:szCs w:val="32"/>
          <w:highlight w:val="none"/>
          <w:lang w:eastAsia="zh-CN"/>
        </w:rPr>
        <w:t>合同</w:t>
      </w:r>
    </w:p>
    <w:p w14:paraId="3B7009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杭州萧山污水处理有限公司</w:t>
      </w:r>
    </w:p>
    <w:p w14:paraId="1E370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p>
    <w:p w14:paraId="14D8E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污水管道非开挖修复及CCTV检测年度服务采购项目</w:t>
      </w:r>
      <w:r>
        <w:rPr>
          <w:rFonts w:hint="eastAsia" w:ascii="仿宋" w:hAnsi="仿宋" w:eastAsia="仿宋" w:cs="仿宋"/>
          <w:color w:val="auto"/>
          <w:sz w:val="24"/>
          <w:szCs w:val="24"/>
          <w:highlight w:val="none"/>
        </w:rPr>
        <w:t>（招标编号：   ）经过公开招标，确定由乙方中标。按照《中华人民共和国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》的有关规定，在自愿、平等、公平、诚信的基础上，经双方协商一致，签订本合同。</w:t>
      </w:r>
    </w:p>
    <w:p w14:paraId="41A2A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一、项目名称、服务期限</w:t>
      </w:r>
    </w:p>
    <w:p w14:paraId="68894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1.1项目名称：</w:t>
      </w:r>
      <w:r>
        <w:rPr>
          <w:rFonts w:hint="eastAsia" w:ascii="仿宋" w:hAnsi="仿宋" w:eastAsia="仿宋" w:cs="仿宋"/>
          <w:color w:val="auto"/>
          <w:sz w:val="24"/>
          <w:szCs w:val="24"/>
          <w:highlight w:val="none"/>
          <w:lang w:eastAsia="zh-CN"/>
        </w:rPr>
        <w:t>污水管道非开挖修复及CCTV检测年度服务采购项目</w:t>
      </w:r>
    </w:p>
    <w:p w14:paraId="3E69A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1.2项目服务</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24个月。</w:t>
      </w:r>
    </w:p>
    <w:p w14:paraId="015E4AE9">
      <w:pPr>
        <w:pStyle w:val="6"/>
        <w:ind w:left="959" w:leftChars="228" w:hanging="480" w:hangingChars="2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kern w:val="0"/>
          <w:sz w:val="24"/>
          <w:szCs w:val="24"/>
          <w:highlight w:val="none"/>
          <w:lang w:val="en-US" w:eastAsia="zh-CN"/>
        </w:rPr>
        <w:t>项目服务限额：390万元。服务周期内服务金额不得超过390万元（不含），若在服务期内成交人合计已承接项目的预算价总额达到390万元即终止合同</w:t>
      </w:r>
      <w:r>
        <w:rPr>
          <w:rFonts w:hint="eastAsia" w:ascii="仿宋" w:hAnsi="仿宋" w:eastAsia="仿宋" w:cs="仿宋"/>
          <w:color w:val="auto"/>
          <w:kern w:val="0"/>
          <w:sz w:val="24"/>
          <w:szCs w:val="24"/>
          <w:highlight w:val="none"/>
          <w:lang w:eastAsia="zh-CN"/>
        </w:rPr>
        <w:t>。</w:t>
      </w:r>
    </w:p>
    <w:p w14:paraId="4632A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章  招标内容与技术需求》的服务内容要求。</w:t>
      </w:r>
    </w:p>
    <w:p w14:paraId="2826D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三、合同金额</w:t>
      </w:r>
    </w:p>
    <w:p w14:paraId="4EDE0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3.1污水管网</w:t>
      </w:r>
      <w:r>
        <w:rPr>
          <w:rFonts w:hint="eastAsia" w:ascii="仿宋" w:hAnsi="仿宋" w:eastAsia="仿宋" w:cs="仿宋"/>
          <w:color w:val="auto"/>
          <w:sz w:val="24"/>
          <w:szCs w:val="24"/>
          <w:highlight w:val="none"/>
          <w:lang w:eastAsia="zh-CN"/>
        </w:rPr>
        <w:t>检测疏通</w:t>
      </w:r>
      <w:r>
        <w:rPr>
          <w:rFonts w:hint="eastAsia" w:ascii="仿宋" w:hAnsi="仿宋" w:eastAsia="仿宋" w:cs="仿宋"/>
          <w:color w:val="auto"/>
          <w:sz w:val="24"/>
          <w:szCs w:val="24"/>
          <w:highlight w:val="none"/>
        </w:rPr>
        <w:t>服务采购项目</w:t>
      </w:r>
      <w:r>
        <w:rPr>
          <w:rFonts w:hint="eastAsia" w:ascii="仿宋" w:hAnsi="仿宋" w:eastAsia="仿宋" w:cs="仿宋"/>
          <w:color w:val="auto"/>
          <w:sz w:val="24"/>
          <w:szCs w:val="24"/>
          <w:highlight w:val="none"/>
          <w:lang w:eastAsia="zh-CN"/>
        </w:rPr>
        <w:t>中标优惠率为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优惠后</w:t>
      </w:r>
      <w:r>
        <w:rPr>
          <w:rFonts w:hint="eastAsia" w:ascii="仿宋" w:hAnsi="仿宋" w:eastAsia="仿宋" w:cs="仿宋"/>
          <w:color w:val="auto"/>
          <w:sz w:val="24"/>
          <w:szCs w:val="24"/>
          <w:highlight w:val="none"/>
        </w:rPr>
        <w:t>具体分项价</w:t>
      </w:r>
      <w:r>
        <w:rPr>
          <w:rFonts w:hint="eastAsia" w:ascii="仿宋" w:hAnsi="仿宋" w:eastAsia="仿宋" w:cs="仿宋"/>
          <w:color w:val="auto"/>
          <w:sz w:val="24"/>
          <w:szCs w:val="24"/>
          <w:highlight w:val="none"/>
          <w:lang w:eastAsia="zh-CN"/>
        </w:rPr>
        <w:t>格</w:t>
      </w:r>
      <w:r>
        <w:rPr>
          <w:rFonts w:hint="eastAsia" w:ascii="仿宋" w:hAnsi="仿宋" w:eastAsia="仿宋" w:cs="仿宋"/>
          <w:color w:val="auto"/>
          <w:sz w:val="24"/>
          <w:szCs w:val="24"/>
          <w:highlight w:val="none"/>
        </w:rPr>
        <w:t>如下：</w:t>
      </w:r>
    </w:p>
    <w:tbl>
      <w:tblPr>
        <w:tblStyle w:val="18"/>
        <w:tblpPr w:leftFromText="180" w:rightFromText="180" w:vertAnchor="page" w:horzAnchor="page" w:tblpX="1583" w:tblpY="1487"/>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910"/>
        <w:gridCol w:w="1846"/>
        <w:gridCol w:w="2545"/>
        <w:gridCol w:w="1260"/>
      </w:tblGrid>
      <w:tr w14:paraId="5D2E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04" w:type="dxa"/>
            <w:noWrap w:val="0"/>
            <w:vAlign w:val="center"/>
          </w:tcPr>
          <w:p w14:paraId="367018C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内容</w:t>
            </w:r>
          </w:p>
        </w:tc>
        <w:tc>
          <w:tcPr>
            <w:tcW w:w="910" w:type="dxa"/>
            <w:noWrap w:val="0"/>
            <w:vAlign w:val="center"/>
          </w:tcPr>
          <w:p w14:paraId="20BE8DD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46" w:type="dxa"/>
            <w:noWrap w:val="0"/>
            <w:vAlign w:val="center"/>
          </w:tcPr>
          <w:p w14:paraId="7BFBCEF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含税管费</w:t>
            </w:r>
            <w:r>
              <w:rPr>
                <w:rFonts w:hint="eastAsia" w:ascii="仿宋" w:hAnsi="仿宋" w:eastAsia="仿宋" w:cs="仿宋"/>
                <w:color w:val="auto"/>
                <w:sz w:val="24"/>
                <w:szCs w:val="24"/>
                <w:highlight w:val="none"/>
                <w:lang w:eastAsia="zh-CN"/>
              </w:rPr>
              <w:t>）</w:t>
            </w:r>
          </w:p>
        </w:tc>
        <w:tc>
          <w:tcPr>
            <w:tcW w:w="2545" w:type="dxa"/>
            <w:noWrap w:val="0"/>
            <w:vAlign w:val="center"/>
          </w:tcPr>
          <w:p w14:paraId="35642C9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260" w:type="dxa"/>
            <w:noWrap w:val="0"/>
            <w:vAlign w:val="center"/>
          </w:tcPr>
          <w:p w14:paraId="0ADD9C6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r>
      <w:tr w14:paraId="217F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344DF43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val="en-US" w:eastAsia="zh-CN"/>
              </w:rPr>
              <w:t>CCTV</w:t>
            </w:r>
            <w:r>
              <w:rPr>
                <w:rFonts w:hint="eastAsia" w:ascii="仿宋" w:hAnsi="仿宋" w:eastAsia="仿宋" w:cs="仿宋"/>
                <w:color w:val="auto"/>
                <w:sz w:val="24"/>
                <w:szCs w:val="24"/>
                <w:highlight w:val="none"/>
                <w:lang w:eastAsia="zh-CN"/>
              </w:rPr>
              <w:t>检测</w:t>
            </w:r>
          </w:p>
        </w:tc>
        <w:tc>
          <w:tcPr>
            <w:tcW w:w="910" w:type="dxa"/>
            <w:noWrap w:val="0"/>
            <w:vAlign w:val="center"/>
          </w:tcPr>
          <w:p w14:paraId="3897DAF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33392EB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389D43F8">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260" w:type="dxa"/>
            <w:vMerge w:val="restart"/>
            <w:noWrap w:val="0"/>
            <w:vAlign w:val="center"/>
          </w:tcPr>
          <w:p w14:paraId="2165922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24个月</w:t>
            </w:r>
          </w:p>
        </w:tc>
      </w:tr>
      <w:tr w14:paraId="3BC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601D9E2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Qv镜检测</w:t>
            </w:r>
          </w:p>
        </w:tc>
        <w:tc>
          <w:tcPr>
            <w:tcW w:w="910" w:type="dxa"/>
            <w:noWrap w:val="0"/>
            <w:vAlign w:val="center"/>
          </w:tcPr>
          <w:p w14:paraId="72B4B08A">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1米</w:t>
            </w:r>
          </w:p>
        </w:tc>
        <w:tc>
          <w:tcPr>
            <w:tcW w:w="1846" w:type="dxa"/>
            <w:noWrap w:val="0"/>
            <w:vAlign w:val="center"/>
          </w:tcPr>
          <w:p w14:paraId="31A69D70">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360CD941">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260" w:type="dxa"/>
            <w:vMerge w:val="continue"/>
            <w:noWrap w:val="0"/>
            <w:vAlign w:val="center"/>
          </w:tcPr>
          <w:p w14:paraId="297102D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p>
        </w:tc>
      </w:tr>
      <w:tr w14:paraId="3E52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04" w:type="dxa"/>
            <w:noWrap w:val="0"/>
            <w:vAlign w:val="center"/>
          </w:tcPr>
          <w:p w14:paraId="06865EB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910" w:type="dxa"/>
            <w:noWrap w:val="0"/>
            <w:vAlign w:val="center"/>
          </w:tcPr>
          <w:p w14:paraId="1DC04F9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34DA041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0195156C">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污水管道清淤疏通DN800以下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260" w:type="dxa"/>
            <w:vMerge w:val="continue"/>
            <w:noWrap w:val="0"/>
            <w:vAlign w:val="center"/>
          </w:tcPr>
          <w:p w14:paraId="1436EC9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3DB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04" w:type="dxa"/>
            <w:noWrap w:val="0"/>
            <w:vAlign w:val="center"/>
          </w:tcPr>
          <w:p w14:paraId="3F7426E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910" w:type="dxa"/>
            <w:noWrap w:val="0"/>
            <w:vAlign w:val="center"/>
          </w:tcPr>
          <w:p w14:paraId="12598A1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1846" w:type="dxa"/>
            <w:noWrap w:val="0"/>
            <w:vAlign w:val="center"/>
          </w:tcPr>
          <w:p w14:paraId="7437CB7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0A8F267B">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污水管道清淤疏通DN800及以上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260" w:type="dxa"/>
            <w:vMerge w:val="continue"/>
            <w:noWrap w:val="0"/>
            <w:vAlign w:val="center"/>
          </w:tcPr>
          <w:p w14:paraId="3163F07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584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C4976C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DN300管道整体内衬修复（光固化）</w:t>
            </w:r>
          </w:p>
        </w:tc>
        <w:tc>
          <w:tcPr>
            <w:tcW w:w="910" w:type="dxa"/>
            <w:noWrap w:val="0"/>
            <w:vAlign w:val="center"/>
          </w:tcPr>
          <w:p w14:paraId="3583EB3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65A584A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050D492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57BA427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28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7BAD9D9F">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DN400管道整体内衬修复（光固化）</w:t>
            </w:r>
          </w:p>
        </w:tc>
        <w:tc>
          <w:tcPr>
            <w:tcW w:w="910" w:type="dxa"/>
            <w:noWrap w:val="0"/>
            <w:vAlign w:val="center"/>
          </w:tcPr>
          <w:p w14:paraId="4B907AC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9D2675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67A9ECE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AAEBE8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6D5F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204" w:type="dxa"/>
            <w:noWrap w:val="0"/>
            <w:vAlign w:val="center"/>
          </w:tcPr>
          <w:p w14:paraId="77614B6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DN500管道整体内衬修复（光固化）</w:t>
            </w:r>
          </w:p>
        </w:tc>
        <w:tc>
          <w:tcPr>
            <w:tcW w:w="910" w:type="dxa"/>
            <w:noWrap w:val="0"/>
            <w:vAlign w:val="center"/>
          </w:tcPr>
          <w:p w14:paraId="2A3AB67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CA31E6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4B9842C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F53FCC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A3E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B1383C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DN600管道整体内衬修复（光固化）</w:t>
            </w:r>
          </w:p>
        </w:tc>
        <w:tc>
          <w:tcPr>
            <w:tcW w:w="910" w:type="dxa"/>
            <w:noWrap w:val="0"/>
            <w:vAlign w:val="center"/>
          </w:tcPr>
          <w:p w14:paraId="628F7C10">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7CDC8C0D">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2DD8A2B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3F41F5A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11C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204" w:type="dxa"/>
            <w:noWrap w:val="0"/>
            <w:vAlign w:val="center"/>
          </w:tcPr>
          <w:p w14:paraId="152D466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DN800管道整体内衬修复（光固化）</w:t>
            </w:r>
          </w:p>
        </w:tc>
        <w:tc>
          <w:tcPr>
            <w:tcW w:w="910" w:type="dxa"/>
            <w:noWrap w:val="0"/>
            <w:vAlign w:val="center"/>
          </w:tcPr>
          <w:p w14:paraId="6191E237">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1E1BB8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16EA073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787B12D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99A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6955BC5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DN1000管道整体内衬修复（光固化）</w:t>
            </w:r>
          </w:p>
        </w:tc>
        <w:tc>
          <w:tcPr>
            <w:tcW w:w="910" w:type="dxa"/>
            <w:noWrap w:val="0"/>
            <w:vAlign w:val="center"/>
          </w:tcPr>
          <w:p w14:paraId="72C72412">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012C7D0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1AE3573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743AEC7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1B9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79C87B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DN300管道局部内衬修复</w:t>
            </w:r>
          </w:p>
        </w:tc>
        <w:tc>
          <w:tcPr>
            <w:tcW w:w="910" w:type="dxa"/>
            <w:noWrap w:val="0"/>
            <w:vAlign w:val="center"/>
          </w:tcPr>
          <w:p w14:paraId="0A79A50D">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222DAFD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29349C6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3B66C92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1D69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7B8E2FF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DN400管道局部内衬修复</w:t>
            </w:r>
          </w:p>
        </w:tc>
        <w:tc>
          <w:tcPr>
            <w:tcW w:w="910" w:type="dxa"/>
            <w:noWrap w:val="0"/>
            <w:vAlign w:val="center"/>
          </w:tcPr>
          <w:p w14:paraId="7998B236">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21E60E4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0D60562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350823E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60EA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71231A2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DN500管道局部内衬修复</w:t>
            </w:r>
          </w:p>
        </w:tc>
        <w:tc>
          <w:tcPr>
            <w:tcW w:w="910" w:type="dxa"/>
            <w:noWrap w:val="0"/>
            <w:vAlign w:val="center"/>
          </w:tcPr>
          <w:p w14:paraId="7B57DE72">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04F587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10663F2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65B8264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C84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391D6C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DN600管道局部内衬修复</w:t>
            </w:r>
          </w:p>
        </w:tc>
        <w:tc>
          <w:tcPr>
            <w:tcW w:w="910" w:type="dxa"/>
            <w:noWrap w:val="0"/>
            <w:vAlign w:val="center"/>
          </w:tcPr>
          <w:p w14:paraId="1AAEBC18">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2A6FFC68">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7C5C354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0BB39B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0A97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04" w:type="dxa"/>
            <w:noWrap w:val="0"/>
            <w:vAlign w:val="center"/>
          </w:tcPr>
          <w:p w14:paraId="1B2FEF3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DN800管道局部内衬修复</w:t>
            </w:r>
          </w:p>
        </w:tc>
        <w:tc>
          <w:tcPr>
            <w:tcW w:w="910" w:type="dxa"/>
            <w:noWrap w:val="0"/>
            <w:vAlign w:val="center"/>
          </w:tcPr>
          <w:p w14:paraId="20FCE7BF">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571FC60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17164A2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2D7A4F1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14B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04" w:type="dxa"/>
            <w:noWrap w:val="0"/>
            <w:vAlign w:val="center"/>
          </w:tcPr>
          <w:p w14:paraId="27344AC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DN1000管道局部内衬修复</w:t>
            </w:r>
          </w:p>
        </w:tc>
        <w:tc>
          <w:tcPr>
            <w:tcW w:w="910" w:type="dxa"/>
            <w:noWrap w:val="0"/>
            <w:vAlign w:val="center"/>
          </w:tcPr>
          <w:p w14:paraId="248C5532">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854742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32200BC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E69CDA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0A4E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B0E995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DN1200管道局部内衬修复</w:t>
            </w:r>
          </w:p>
        </w:tc>
        <w:tc>
          <w:tcPr>
            <w:tcW w:w="910" w:type="dxa"/>
            <w:noWrap w:val="0"/>
            <w:vAlign w:val="center"/>
          </w:tcPr>
          <w:p w14:paraId="2AD50EC5">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46C01D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3618883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3399BB5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839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50F6E32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DN300管道胀管修复</w:t>
            </w:r>
          </w:p>
        </w:tc>
        <w:tc>
          <w:tcPr>
            <w:tcW w:w="910" w:type="dxa"/>
            <w:noWrap w:val="0"/>
            <w:vAlign w:val="center"/>
          </w:tcPr>
          <w:p w14:paraId="644F19A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03B9FC6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22CC9C4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225D852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467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1C2204F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DN400管道胀管修复</w:t>
            </w:r>
          </w:p>
        </w:tc>
        <w:tc>
          <w:tcPr>
            <w:tcW w:w="910" w:type="dxa"/>
            <w:noWrap w:val="0"/>
            <w:vAlign w:val="center"/>
          </w:tcPr>
          <w:p w14:paraId="3E865426">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0B688E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5E94E60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2BC2D2E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65B5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4329CB7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DN500管道胀管修复</w:t>
            </w:r>
          </w:p>
        </w:tc>
        <w:tc>
          <w:tcPr>
            <w:tcW w:w="910" w:type="dxa"/>
            <w:noWrap w:val="0"/>
            <w:vAlign w:val="center"/>
          </w:tcPr>
          <w:p w14:paraId="34FFF7B7">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105DE43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5487333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4FAAEC1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299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04" w:type="dxa"/>
            <w:noWrap w:val="0"/>
            <w:vAlign w:val="center"/>
          </w:tcPr>
          <w:p w14:paraId="5FE8B36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DN600管道胀管修复</w:t>
            </w:r>
          </w:p>
        </w:tc>
        <w:tc>
          <w:tcPr>
            <w:tcW w:w="910" w:type="dxa"/>
            <w:noWrap w:val="0"/>
            <w:vAlign w:val="center"/>
          </w:tcPr>
          <w:p w14:paraId="244E778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6" w:type="dxa"/>
            <w:noWrap w:val="0"/>
            <w:vAlign w:val="center"/>
          </w:tcPr>
          <w:p w14:paraId="3A47215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2545" w:type="dxa"/>
            <w:noWrap w:val="0"/>
            <w:vAlign w:val="center"/>
          </w:tcPr>
          <w:p w14:paraId="5E4D563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260" w:type="dxa"/>
            <w:vMerge w:val="continue"/>
            <w:noWrap w:val="0"/>
            <w:vAlign w:val="center"/>
          </w:tcPr>
          <w:p w14:paraId="16A0B1D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3ED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505" w:type="dxa"/>
            <w:gridSpan w:val="4"/>
            <w:noWrap w:val="0"/>
            <w:vAlign w:val="center"/>
          </w:tcPr>
          <w:p w14:paraId="0242C4B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lang w:val="en-US" w:eastAsia="zh-CN"/>
              </w:rPr>
              <w:t>服务限额390万元。若在服务周期内，成交人合计已承接项目的预算价总额达到390万元即提前终止合同</w:t>
            </w:r>
          </w:p>
        </w:tc>
        <w:tc>
          <w:tcPr>
            <w:tcW w:w="1260" w:type="dxa"/>
            <w:vMerge w:val="continue"/>
            <w:noWrap w:val="0"/>
            <w:vAlign w:val="center"/>
          </w:tcPr>
          <w:p w14:paraId="7D51051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bl>
    <w:p w14:paraId="167E79C9">
      <w:pPr>
        <w:pStyle w:val="11"/>
        <w:rPr>
          <w:rFonts w:hint="eastAsia"/>
          <w:color w:val="auto"/>
        </w:rPr>
      </w:pPr>
    </w:p>
    <w:p w14:paraId="07727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3.2服务项目中综合单价应包含各类管网</w:t>
      </w:r>
      <w:r>
        <w:rPr>
          <w:rFonts w:hint="eastAsia" w:ascii="仿宋" w:hAnsi="仿宋" w:eastAsia="仿宋" w:cs="仿宋"/>
          <w:color w:val="auto"/>
          <w:sz w:val="24"/>
          <w:szCs w:val="24"/>
          <w:highlight w:val="none"/>
          <w:lang w:eastAsia="zh-CN"/>
        </w:rPr>
        <w:t>检测、清淤疏通、修复</w:t>
      </w:r>
      <w:r>
        <w:rPr>
          <w:rFonts w:hint="eastAsia" w:ascii="仿宋" w:hAnsi="仿宋" w:eastAsia="仿宋" w:cs="仿宋"/>
          <w:color w:val="auto"/>
          <w:sz w:val="24"/>
          <w:szCs w:val="24"/>
          <w:highlight w:val="none"/>
        </w:rPr>
        <w:t>等（详见服务需求）所产生如设备的进退场费用、人工费、机械费、管理费、利润及各种规费、税费、水</w:t>
      </w:r>
      <w:r>
        <w:rPr>
          <w:rFonts w:hint="eastAsia" w:ascii="仿宋" w:hAnsi="仿宋" w:eastAsia="仿宋" w:cs="仿宋"/>
          <w:color w:val="auto"/>
          <w:sz w:val="24"/>
          <w:szCs w:val="24"/>
          <w:highlight w:val="none"/>
          <w:lang w:eastAsia="zh-CN"/>
        </w:rPr>
        <w:t>电</w:t>
      </w:r>
      <w:r>
        <w:rPr>
          <w:rFonts w:hint="eastAsia" w:ascii="仿宋" w:hAnsi="仿宋" w:eastAsia="仿宋" w:cs="仿宋"/>
          <w:color w:val="auto"/>
          <w:sz w:val="24"/>
          <w:szCs w:val="24"/>
          <w:highlight w:val="none"/>
        </w:rPr>
        <w:t>费、安全文明施工费等其他所有完成项目工作的一切费用。</w:t>
      </w:r>
    </w:p>
    <w:p w14:paraId="4E7EE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3.3为确保</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污泥处置去向清晰，本项目合同签订前</w:t>
      </w:r>
      <w:r>
        <w:rPr>
          <w:rFonts w:hint="eastAsia" w:ascii="仿宋" w:hAnsi="仿宋" w:eastAsia="仿宋" w:cs="仿宋"/>
          <w:color w:val="auto"/>
          <w:sz w:val="24"/>
          <w:szCs w:val="24"/>
          <w:highlight w:val="none"/>
          <w:lang w:eastAsia="zh-CN"/>
        </w:rPr>
        <w:t>乙方需向甲方</w:t>
      </w:r>
      <w:r>
        <w:rPr>
          <w:rFonts w:hint="eastAsia" w:ascii="仿宋" w:hAnsi="仿宋" w:eastAsia="仿宋" w:cs="仿宋"/>
          <w:color w:val="auto"/>
          <w:sz w:val="24"/>
          <w:szCs w:val="24"/>
          <w:highlight w:val="none"/>
        </w:rPr>
        <w:t>提供污泥处置正式合同</w:t>
      </w:r>
      <w:r>
        <w:rPr>
          <w:rFonts w:hint="eastAsia" w:ascii="仿宋" w:hAnsi="仿宋" w:eastAsia="仿宋" w:cs="仿宋"/>
          <w:color w:val="auto"/>
          <w:sz w:val="24"/>
          <w:szCs w:val="24"/>
          <w:highlight w:val="none"/>
          <w:lang w:eastAsia="zh-CN"/>
        </w:rPr>
        <w:t>。</w:t>
      </w:r>
    </w:p>
    <w:p w14:paraId="174E8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b/>
          <w:bCs/>
          <w:color w:val="auto"/>
          <w:sz w:val="24"/>
          <w:szCs w:val="24"/>
          <w:highlight w:val="none"/>
        </w:rPr>
        <w:t>本项目采用固定综合单价</w:t>
      </w:r>
      <w:r>
        <w:rPr>
          <w:rFonts w:hint="eastAsia" w:ascii="仿宋" w:hAnsi="仿宋" w:eastAsia="仿宋" w:cs="仿宋"/>
          <w:b/>
          <w:bCs/>
          <w:color w:val="auto"/>
          <w:sz w:val="24"/>
          <w:szCs w:val="24"/>
          <w:highlight w:val="none"/>
          <w:lang w:eastAsia="zh-CN"/>
        </w:rPr>
        <w:t>计费按实结算，</w:t>
      </w:r>
      <w:r>
        <w:rPr>
          <w:rFonts w:hint="eastAsia" w:ascii="仿宋" w:hAnsi="仿宋" w:eastAsia="仿宋" w:cs="仿宋"/>
          <w:b/>
          <w:bCs/>
          <w:color w:val="auto"/>
          <w:sz w:val="24"/>
          <w:szCs w:val="24"/>
          <w:highlight w:val="none"/>
          <w:lang w:val="en-US" w:eastAsia="zh-CN"/>
        </w:rPr>
        <w:t>服务中未考虑到的项目单价，根据业主签证实际工作内容组价，工程量按实结算，优惠率参照本次中标优惠率。</w:t>
      </w:r>
    </w:p>
    <w:p w14:paraId="1894D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在合同履行期间，乙方承诺的投标综合单价不因市场因素、政策因素、</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的变动而调整，同时甲方有权对服务项目的数量进行删减或增加</w:t>
      </w:r>
      <w:r>
        <w:rPr>
          <w:rFonts w:hint="eastAsia" w:ascii="仿宋" w:hAnsi="仿宋" w:eastAsia="仿宋" w:cs="仿宋"/>
          <w:color w:val="auto"/>
          <w:sz w:val="24"/>
          <w:szCs w:val="24"/>
          <w:highlight w:val="none"/>
          <w:lang w:eastAsia="zh-CN"/>
        </w:rPr>
        <w:t>，乙方不得因此提出索赔</w:t>
      </w:r>
      <w:r>
        <w:rPr>
          <w:rFonts w:hint="eastAsia" w:ascii="仿宋" w:hAnsi="仿宋" w:eastAsia="仿宋" w:cs="仿宋"/>
          <w:color w:val="auto"/>
          <w:sz w:val="24"/>
          <w:szCs w:val="24"/>
          <w:highlight w:val="none"/>
        </w:rPr>
        <w:t>。四、履约保证金</w:t>
      </w:r>
    </w:p>
    <w:p w14:paraId="32FB28E3">
      <w:pPr>
        <w:pStyle w:val="35"/>
        <w:keepNext w:val="0"/>
        <w:keepLines w:val="0"/>
        <w:pageBreakBefore w:val="0"/>
        <w:tabs>
          <w:tab w:val="left" w:pos="1440"/>
        </w:tabs>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val="0"/>
          <w:color w:val="auto"/>
          <w:kern w:val="2"/>
          <w:sz w:val="24"/>
          <w:szCs w:val="24"/>
          <w:highlight w:val="none"/>
        </w:rPr>
      </w:pPr>
      <w:r>
        <w:rPr>
          <w:rFonts w:hint="eastAsia" w:ascii="仿宋" w:hAnsi="仿宋" w:eastAsia="仿宋" w:cs="仿宋"/>
          <w:color w:val="auto"/>
          <w:sz w:val="24"/>
          <w:szCs w:val="24"/>
          <w:highlight w:val="none"/>
        </w:rPr>
        <w:t>4.1 履约</w:t>
      </w:r>
      <w:r>
        <w:rPr>
          <w:rFonts w:hint="eastAsia" w:ascii="仿宋" w:hAnsi="仿宋" w:eastAsia="仿宋" w:cs="仿宋"/>
          <w:color w:val="auto"/>
          <w:sz w:val="24"/>
          <w:szCs w:val="24"/>
          <w:highlight w:val="none"/>
          <w:lang w:eastAsia="zh-CN"/>
        </w:rPr>
        <w:t>保证金金额：</w:t>
      </w:r>
      <w:r>
        <w:rPr>
          <w:rFonts w:hint="eastAsia" w:ascii="仿宋" w:hAnsi="仿宋" w:eastAsia="仿宋" w:cs="仿宋"/>
          <w:b w:val="0"/>
          <w:color w:val="auto"/>
          <w:kern w:val="2"/>
          <w:sz w:val="24"/>
          <w:szCs w:val="24"/>
          <w:highlight w:val="none"/>
        </w:rPr>
        <w:t>履约保证金须在签订合同</w:t>
      </w:r>
      <w:r>
        <w:rPr>
          <w:rFonts w:hint="eastAsia" w:ascii="仿宋" w:hAnsi="仿宋" w:eastAsia="仿宋" w:cs="仿宋"/>
          <w:b w:val="0"/>
          <w:color w:val="auto"/>
          <w:kern w:val="2"/>
          <w:sz w:val="24"/>
          <w:szCs w:val="24"/>
          <w:highlight w:val="none"/>
          <w:lang w:eastAsia="zh-CN"/>
        </w:rPr>
        <w:t>后</w:t>
      </w:r>
      <w:r>
        <w:rPr>
          <w:rFonts w:hint="eastAsia" w:ascii="仿宋" w:hAnsi="仿宋" w:eastAsia="仿宋" w:cs="仿宋"/>
          <w:b w:val="0"/>
          <w:color w:val="auto"/>
          <w:kern w:val="2"/>
          <w:sz w:val="24"/>
          <w:szCs w:val="24"/>
          <w:highlight w:val="none"/>
          <w:lang w:val="en-US" w:eastAsia="zh-CN"/>
        </w:rPr>
        <w:t>7天内</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szCs w:val="24"/>
          <w:highlight w:val="none"/>
        </w:rPr>
        <w:t>乙方交纳人民币         元（小写：       ）作为本合同的履约保证金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b w:val="0"/>
          <w:color w:val="auto"/>
          <w:kern w:val="2"/>
          <w:sz w:val="24"/>
          <w:szCs w:val="24"/>
          <w:highlight w:val="none"/>
        </w:rPr>
        <w:t>履约保证金形式：可以支票、汇票、本票或者金融机构、保险公司、担保机构出具的保函/保险（可在政采云平台购买）等非现金形式提交。</w:t>
      </w:r>
    </w:p>
    <w:p w14:paraId="39EBE5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24"/>
          <w:highlight w:val="none"/>
        </w:rPr>
        <w:t>履约保证金（扣除各种扣款的余款）在合同履行完毕（实施期满且所承担的所有单项项目均验收合格）后退回</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无息</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szCs w:val="24"/>
          <w:highlight w:val="none"/>
        </w:rPr>
        <w:t>。</w:t>
      </w:r>
    </w:p>
    <w:p w14:paraId="3D60A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五、转包或分包</w:t>
      </w:r>
    </w:p>
    <w:p w14:paraId="55F0D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5.1本合同范围的服务，应由乙方直接提供，不得转让他人；</w:t>
      </w:r>
    </w:p>
    <w:p w14:paraId="0BB2E5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除非得到甲方的书面同意，乙方不得分包给他人。</w:t>
      </w:r>
    </w:p>
    <w:p w14:paraId="015CF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5.3如有转让和未经需方同意的分包行为，甲方有权给予终止合同。</w:t>
      </w:r>
    </w:p>
    <w:p w14:paraId="523F1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六、付款方法</w:t>
      </w:r>
    </w:p>
    <w:p w14:paraId="24ED1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6.1结算办法：</w:t>
      </w:r>
    </w:p>
    <w:p w14:paraId="0430A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合同履行期间，费用按</w:t>
      </w:r>
      <w:r>
        <w:rPr>
          <w:rFonts w:hint="eastAsia" w:ascii="仿宋" w:hAnsi="仿宋" w:eastAsia="仿宋" w:cs="仿宋"/>
          <w:color w:val="auto"/>
          <w:sz w:val="24"/>
          <w:szCs w:val="24"/>
          <w:highlight w:val="none"/>
          <w:lang w:eastAsia="zh-CN"/>
        </w:rPr>
        <w:t>实际产</w:t>
      </w:r>
      <w:r>
        <w:rPr>
          <w:rFonts w:hint="eastAsia" w:ascii="仿宋" w:hAnsi="仿宋" w:eastAsia="仿宋" w:cs="仿宋"/>
          <w:color w:val="auto"/>
          <w:sz w:val="24"/>
          <w:szCs w:val="24"/>
          <w:highlight w:val="none"/>
        </w:rPr>
        <w:t>生的作业任务及服务</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量，以甲方出具的签证单上数量作为结算依据</w:t>
      </w:r>
      <w:r>
        <w:rPr>
          <w:rFonts w:hint="eastAsia" w:ascii="仿宋" w:hAnsi="仿宋" w:eastAsia="仿宋" w:cs="仿宋"/>
          <w:color w:val="auto"/>
          <w:sz w:val="24"/>
          <w:szCs w:val="24"/>
          <w:highlight w:val="none"/>
          <w:lang w:eastAsia="zh-CN"/>
        </w:rPr>
        <w:t>按实结算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每六</w:t>
      </w:r>
      <w:r>
        <w:rPr>
          <w:rFonts w:hint="eastAsia" w:ascii="仿宋" w:hAnsi="仿宋" w:eastAsia="仿宋" w:cs="仿宋"/>
          <w:color w:val="auto"/>
          <w:sz w:val="24"/>
          <w:szCs w:val="24"/>
          <w:highlight w:val="none"/>
        </w:rPr>
        <w:t>个月支付</w:t>
      </w:r>
      <w:r>
        <w:rPr>
          <w:rFonts w:hint="eastAsia" w:ascii="仿宋" w:hAnsi="仿宋" w:eastAsia="仿宋" w:cs="仿宋"/>
          <w:color w:val="auto"/>
          <w:sz w:val="24"/>
          <w:szCs w:val="24"/>
          <w:highlight w:val="none"/>
          <w:lang w:val="en-US" w:eastAsia="zh-CN"/>
        </w:rPr>
        <w:t>结算审核价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六个月之后付至结算审核价的90%，一年质保期满后付清余款</w:t>
      </w:r>
      <w:r>
        <w:rPr>
          <w:rFonts w:hint="eastAsia" w:ascii="仿宋" w:hAnsi="仿宋" w:eastAsia="仿宋" w:cs="仿宋"/>
          <w:color w:val="auto"/>
          <w:sz w:val="24"/>
          <w:szCs w:val="24"/>
          <w:highlight w:val="none"/>
        </w:rPr>
        <w:t>。</w:t>
      </w:r>
    </w:p>
    <w:p w14:paraId="49C30C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此合同项目下所产生的应收账款不得质押、转让。</w:t>
      </w:r>
    </w:p>
    <w:p w14:paraId="42C6D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6.2支付方式：</w:t>
      </w:r>
    </w:p>
    <w:p w14:paraId="02931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合同履行期间，费用按</w:t>
      </w:r>
      <w:r>
        <w:rPr>
          <w:rFonts w:hint="eastAsia" w:ascii="仿宋" w:hAnsi="仿宋" w:eastAsia="仿宋" w:cs="仿宋"/>
          <w:color w:val="auto"/>
          <w:sz w:val="24"/>
          <w:szCs w:val="24"/>
          <w:highlight w:val="none"/>
          <w:lang w:eastAsia="zh-CN"/>
        </w:rPr>
        <w:t>实际产</w:t>
      </w:r>
      <w:r>
        <w:rPr>
          <w:rFonts w:hint="eastAsia" w:ascii="仿宋" w:hAnsi="仿宋" w:eastAsia="仿宋" w:cs="仿宋"/>
          <w:color w:val="auto"/>
          <w:sz w:val="24"/>
          <w:szCs w:val="24"/>
          <w:highlight w:val="none"/>
        </w:rPr>
        <w:t>生的作业任务及服务</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量，以甲方出具的签证单上数量作为结算依据</w:t>
      </w:r>
      <w:r>
        <w:rPr>
          <w:rFonts w:hint="eastAsia" w:ascii="仿宋" w:hAnsi="仿宋" w:eastAsia="仿宋" w:cs="仿宋"/>
          <w:color w:val="auto"/>
          <w:sz w:val="24"/>
          <w:szCs w:val="24"/>
          <w:highlight w:val="none"/>
          <w:lang w:eastAsia="zh-CN"/>
        </w:rPr>
        <w:t>按实结算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每六</w:t>
      </w:r>
      <w:r>
        <w:rPr>
          <w:rFonts w:hint="eastAsia" w:ascii="仿宋" w:hAnsi="仿宋" w:eastAsia="仿宋" w:cs="仿宋"/>
          <w:color w:val="auto"/>
          <w:sz w:val="24"/>
          <w:szCs w:val="24"/>
          <w:highlight w:val="none"/>
        </w:rPr>
        <w:t>个月支付</w:t>
      </w:r>
      <w:r>
        <w:rPr>
          <w:rFonts w:hint="eastAsia" w:ascii="仿宋" w:hAnsi="仿宋" w:eastAsia="仿宋" w:cs="仿宋"/>
          <w:color w:val="auto"/>
          <w:sz w:val="24"/>
          <w:szCs w:val="24"/>
          <w:highlight w:val="none"/>
          <w:lang w:val="en-US" w:eastAsia="zh-CN"/>
        </w:rPr>
        <w:t>结算审核价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六个月之后付至结算审核价的90%，一年质保期满后付清余款</w:t>
      </w:r>
      <w:r>
        <w:rPr>
          <w:rFonts w:hint="eastAsia" w:ascii="仿宋" w:hAnsi="仿宋" w:eastAsia="仿宋" w:cs="仿宋"/>
          <w:color w:val="auto"/>
          <w:sz w:val="24"/>
          <w:szCs w:val="24"/>
          <w:highlight w:val="none"/>
        </w:rPr>
        <w:t>。</w:t>
      </w:r>
    </w:p>
    <w:p w14:paraId="0341B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6.3质保期</w:t>
      </w:r>
    </w:p>
    <w:p w14:paraId="4DAEC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本项目质保期一年</w:t>
      </w:r>
    </w:p>
    <w:p w14:paraId="15CC5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6.4质量要求：</w:t>
      </w:r>
    </w:p>
    <w:p w14:paraId="436C8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项目施工质量由甲方属地管理部门负责监管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如施工质量不符合规范要求，经反工后仍不符合规范要求的，</w:t>
      </w:r>
      <w:r>
        <w:rPr>
          <w:rFonts w:hint="eastAsia" w:ascii="仿宋" w:hAnsi="仿宋" w:eastAsia="仿宋" w:cs="仿宋"/>
          <w:color w:val="auto"/>
          <w:sz w:val="24"/>
          <w:szCs w:val="24"/>
          <w:highlight w:val="none"/>
        </w:rPr>
        <w:t>则</w:t>
      </w:r>
      <w:r>
        <w:rPr>
          <w:rFonts w:hint="eastAsia" w:ascii="仿宋" w:hAnsi="仿宋" w:eastAsia="仿宋" w:cs="仿宋"/>
          <w:color w:val="auto"/>
          <w:sz w:val="24"/>
          <w:szCs w:val="24"/>
          <w:highlight w:val="none"/>
          <w:lang w:eastAsia="zh-CN"/>
        </w:rPr>
        <w:t>甲方有权</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rPr>
        <w:t>合同,扣除履约保证金，且全部责任由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w:t>
      </w:r>
    </w:p>
    <w:p w14:paraId="7E7AB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lang w:eastAsia="zh-CN"/>
        </w:rPr>
        <w:t xml:space="preserve"> 若发生人员死亡安全事故，甲方有权</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rPr>
        <w:t>合同,扣除履约保证金，且全部责任由中</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人承担。</w:t>
      </w:r>
    </w:p>
    <w:p w14:paraId="27AE9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注：本项目的</w:t>
      </w:r>
      <w:r>
        <w:rPr>
          <w:rFonts w:hint="eastAsia" w:ascii="仿宋" w:hAnsi="仿宋" w:eastAsia="仿宋" w:cs="仿宋"/>
          <w:color w:val="auto"/>
          <w:sz w:val="24"/>
          <w:szCs w:val="24"/>
          <w:highlight w:val="none"/>
          <w:lang w:eastAsia="zh-CN"/>
        </w:rPr>
        <w:t>施工质量要求参照排水管道检测疏通修复规范要求</w:t>
      </w:r>
      <w:r>
        <w:rPr>
          <w:rFonts w:hint="eastAsia" w:ascii="仿宋" w:hAnsi="仿宋" w:eastAsia="仿宋" w:cs="仿宋"/>
          <w:color w:val="auto"/>
          <w:sz w:val="24"/>
          <w:szCs w:val="24"/>
          <w:highlight w:val="none"/>
        </w:rPr>
        <w:t>解释权归甲方所有；甲方</w:t>
      </w:r>
      <w:r>
        <w:rPr>
          <w:rFonts w:hint="eastAsia" w:ascii="仿宋" w:hAnsi="仿宋" w:eastAsia="仿宋" w:cs="仿宋"/>
          <w:color w:val="auto"/>
          <w:sz w:val="24"/>
          <w:szCs w:val="24"/>
          <w:highlight w:val="none"/>
          <w:lang w:eastAsia="zh-CN"/>
        </w:rPr>
        <w:t>需在施工前提前</w:t>
      </w:r>
      <w:r>
        <w:rPr>
          <w:rFonts w:hint="eastAsia" w:ascii="仿宋" w:hAnsi="仿宋" w:eastAsia="仿宋" w:cs="仿宋"/>
          <w:color w:val="auto"/>
          <w:sz w:val="24"/>
          <w:szCs w:val="24"/>
          <w:highlight w:val="none"/>
        </w:rPr>
        <w:t>通知乙方，乙方必须无条件服从。</w:t>
      </w:r>
    </w:p>
    <w:p w14:paraId="11C2B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七、税</w:t>
      </w:r>
    </w:p>
    <w:p w14:paraId="61C98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7.1本合同执行中相关的一切税费均由乙方负担。</w:t>
      </w:r>
    </w:p>
    <w:p w14:paraId="7D5B52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八、违约责任</w:t>
      </w:r>
    </w:p>
    <w:p w14:paraId="43D49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乙方逾期提供服务的，</w:t>
      </w:r>
      <w:r>
        <w:rPr>
          <w:rFonts w:hint="eastAsia" w:ascii="仿宋" w:hAnsi="仿宋" w:eastAsia="仿宋" w:cs="仿宋"/>
          <w:color w:val="auto"/>
          <w:sz w:val="24"/>
          <w:szCs w:val="24"/>
          <w:highlight w:val="none"/>
          <w:lang w:val="en-US" w:eastAsia="zh-CN"/>
        </w:rPr>
        <w:t>第一</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val="en-US" w:eastAsia="zh-CN"/>
        </w:rPr>
        <w:t>逾期，</w:t>
      </w:r>
      <w:r>
        <w:rPr>
          <w:rFonts w:hint="eastAsia" w:ascii="仿宋" w:hAnsi="仿宋" w:eastAsia="仿宋" w:cs="仿宋"/>
          <w:color w:val="auto"/>
          <w:sz w:val="24"/>
          <w:szCs w:val="24"/>
          <w:highlight w:val="none"/>
        </w:rPr>
        <w:t>乙方向甲方支付</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元的违约金，</w:t>
      </w:r>
      <w:r>
        <w:rPr>
          <w:rFonts w:hint="eastAsia" w:ascii="仿宋" w:hAnsi="仿宋" w:eastAsia="仿宋" w:cs="仿宋"/>
          <w:color w:val="auto"/>
          <w:sz w:val="24"/>
          <w:szCs w:val="24"/>
          <w:highlight w:val="none"/>
          <w:lang w:val="en-US" w:eastAsia="zh-CN"/>
        </w:rPr>
        <w:t>第二次逾期，</w:t>
      </w:r>
      <w:r>
        <w:rPr>
          <w:rFonts w:hint="eastAsia" w:ascii="仿宋" w:hAnsi="仿宋" w:eastAsia="仿宋" w:cs="仿宋"/>
          <w:color w:val="auto"/>
          <w:sz w:val="24"/>
          <w:szCs w:val="24"/>
          <w:highlight w:val="none"/>
        </w:rPr>
        <w:t>乙方向甲方支付</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元的违约金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后续每次逾期违约金翻倍处罚，</w:t>
      </w:r>
      <w:r>
        <w:rPr>
          <w:rFonts w:hint="eastAsia" w:ascii="仿宋" w:hAnsi="仿宋" w:eastAsia="仿宋" w:cs="仿宋"/>
          <w:color w:val="auto"/>
          <w:sz w:val="24"/>
          <w:szCs w:val="24"/>
          <w:highlight w:val="none"/>
        </w:rPr>
        <w:t xml:space="preserve">逾期提供服务超过5次的，甲方有权单方面解除合同。乙方因逾期交付或因其他违约行为导致甲方解除合同的，甲方有权没收乙方交纳的全部履约保证金，如造成甲方损失超过履约保证金金额的，超出部分由乙方继续承担赔偿责任。 </w:t>
      </w:r>
    </w:p>
    <w:p w14:paraId="6A4B5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九、不可抗力事件处理</w:t>
      </w:r>
    </w:p>
    <w:p w14:paraId="3EB02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在合同有效期内，任何一方因不可抗力事件导致不能履行合同，则合同履行期可延长，其延长期与不可抗力影响期相同。</w:t>
      </w:r>
    </w:p>
    <w:p w14:paraId="61D7D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不可抗力事件发生后，应立即通知对方，并寄送有关权威机构出具的证明。</w:t>
      </w:r>
    </w:p>
    <w:p w14:paraId="180AA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不可抗力事件延续120天以上，双方应通过友好协商，确定是否继续履行合同。</w:t>
      </w:r>
    </w:p>
    <w:p w14:paraId="0CC964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十、诉讼</w:t>
      </w:r>
    </w:p>
    <w:p w14:paraId="30A43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双方在执行合同中所发生的一切争议，应通过协商解决。如协商不成，可向合同签订地法院起诉。</w:t>
      </w:r>
    </w:p>
    <w:p w14:paraId="0C4AD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十一、合同生效及其它</w:t>
      </w:r>
    </w:p>
    <w:p w14:paraId="0B34E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合同经双方法定代表人或授权委托代理人签字并加盖单位公章后生效。</w:t>
      </w:r>
    </w:p>
    <w:p w14:paraId="57BFC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》有关条文执行。</w:t>
      </w:r>
    </w:p>
    <w:p w14:paraId="5CBC7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本合同正本一式</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 xml:space="preserve">份，具有同等法律效力，甲乙双方各执一份；副本   份。 </w:t>
      </w:r>
      <w:r>
        <w:rPr>
          <w:rFonts w:hint="eastAsia" w:ascii="仿宋" w:hAnsi="仿宋" w:eastAsia="仿宋" w:cs="仿宋"/>
          <w:color w:val="auto"/>
          <w:sz w:val="21"/>
          <w:szCs w:val="21"/>
          <w:highlight w:val="none"/>
        </w:rPr>
        <w:t xml:space="preserve"> </w:t>
      </w:r>
    </w:p>
    <w:p w14:paraId="7DB357F7">
      <w:pPr>
        <w:spacing w:line="360" w:lineRule="exact"/>
        <w:ind w:firstLine="640"/>
        <w:rPr>
          <w:rFonts w:hint="eastAsia" w:ascii="仿宋" w:hAnsi="仿宋" w:eastAsia="仿宋" w:cs="仿宋"/>
          <w:color w:val="auto"/>
          <w:szCs w:val="21"/>
          <w:highlight w:val="none"/>
        </w:rPr>
      </w:pPr>
    </w:p>
    <w:p w14:paraId="134A691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    方：______________________  乙    方：________________________</w:t>
      </w:r>
    </w:p>
    <w:p w14:paraId="4F5AC1D8">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址：______________________  地    址：________________________</w:t>
      </w:r>
    </w:p>
    <w:p w14:paraId="0B5DF863">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法定代表人：____________________  法定代表人：______________________</w:t>
      </w:r>
    </w:p>
    <w:p w14:paraId="528C15CB">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授权代表：______________________  授权代表：________________________</w:t>
      </w:r>
    </w:p>
    <w:p w14:paraId="1135515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话：______________________  电    话：________________________</w:t>
      </w:r>
    </w:p>
    <w:p w14:paraId="0F86887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账户名称：______________________  账户名称：________________________</w:t>
      </w:r>
    </w:p>
    <w:p w14:paraId="66877993">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开户银行：______________________  开户银行：________________________</w:t>
      </w:r>
    </w:p>
    <w:p w14:paraId="2667B8F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账</w:t>
      </w:r>
      <w:r>
        <w:rPr>
          <w:rFonts w:hint="eastAsia" w:ascii="仿宋" w:hAnsi="仿宋" w:eastAsia="仿宋" w:cs="仿宋"/>
          <w:color w:val="auto"/>
          <w:szCs w:val="21"/>
          <w:highlight w:val="none"/>
        </w:rPr>
        <w:t xml:space="preserve">    号：______________________  </w:t>
      </w:r>
      <w:r>
        <w:rPr>
          <w:rFonts w:hint="eastAsia" w:ascii="仿宋" w:hAnsi="仿宋" w:eastAsia="仿宋" w:cs="仿宋"/>
          <w:color w:val="auto"/>
          <w:szCs w:val="21"/>
          <w:highlight w:val="none"/>
          <w:lang w:eastAsia="zh-CN"/>
        </w:rPr>
        <w:t>账</w:t>
      </w:r>
      <w:r>
        <w:rPr>
          <w:rFonts w:hint="eastAsia" w:ascii="仿宋" w:hAnsi="仿宋" w:eastAsia="仿宋" w:cs="仿宋"/>
          <w:color w:val="auto"/>
          <w:szCs w:val="21"/>
          <w:highlight w:val="none"/>
        </w:rPr>
        <w:t xml:space="preserve">    号：_______________________</w:t>
      </w:r>
    </w:p>
    <w:p w14:paraId="5F1BD44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签约时间：______________________  签约地点：_______________________</w:t>
      </w:r>
    </w:p>
    <w:p w14:paraId="33CA630E">
      <w:pPr>
        <w:pStyle w:val="2"/>
        <w:tabs>
          <w:tab w:val="left" w:pos="578"/>
          <w:tab w:val="clear" w:pos="432"/>
        </w:tabs>
        <w:rPr>
          <w:rFonts w:hint="eastAsia" w:ascii="仿宋" w:hAnsi="仿宋" w:eastAsia="仿宋" w:cs="仿宋"/>
          <w:color w:val="auto"/>
          <w:highlight w:val="none"/>
        </w:rPr>
      </w:pPr>
    </w:p>
    <w:p w14:paraId="6279431C">
      <w:pPr>
        <w:rPr>
          <w:rFonts w:hint="eastAsia" w:ascii="仿宋" w:hAnsi="仿宋" w:eastAsia="仿宋" w:cs="仿宋"/>
          <w:color w:val="auto"/>
          <w:highlight w:val="none"/>
        </w:rPr>
      </w:pPr>
    </w:p>
    <w:p w14:paraId="2EC0CCD1">
      <w:pPr>
        <w:pStyle w:val="11"/>
        <w:rPr>
          <w:rFonts w:hint="eastAsia" w:ascii="仿宋" w:hAnsi="仿宋" w:eastAsia="仿宋" w:cs="仿宋"/>
          <w:color w:val="auto"/>
          <w:highlight w:val="none"/>
        </w:rPr>
      </w:pPr>
    </w:p>
    <w:p w14:paraId="59218D6E">
      <w:pPr>
        <w:pStyle w:val="11"/>
        <w:rPr>
          <w:rFonts w:hint="eastAsia" w:ascii="仿宋" w:hAnsi="仿宋" w:eastAsia="仿宋" w:cs="仿宋"/>
          <w:color w:val="auto"/>
          <w:highlight w:val="none"/>
        </w:rPr>
      </w:pPr>
    </w:p>
    <w:p w14:paraId="634A170F">
      <w:pPr>
        <w:pStyle w:val="11"/>
        <w:rPr>
          <w:rFonts w:hint="eastAsia" w:ascii="仿宋" w:hAnsi="仿宋" w:eastAsia="仿宋" w:cs="仿宋"/>
          <w:color w:val="auto"/>
          <w:highlight w:val="none"/>
        </w:rPr>
      </w:pPr>
    </w:p>
    <w:p w14:paraId="7A0F9BCF">
      <w:pPr>
        <w:pStyle w:val="29"/>
        <w:rPr>
          <w:rFonts w:hint="eastAsia" w:ascii="仿宋" w:hAnsi="仿宋" w:eastAsia="仿宋" w:cs="仿宋"/>
          <w:color w:val="auto"/>
          <w:highlight w:val="none"/>
        </w:rPr>
      </w:pPr>
    </w:p>
    <w:p w14:paraId="1F6A9BFD">
      <w:pPr>
        <w:spacing w:line="360" w:lineRule="auto"/>
        <w:ind w:left="720" w:firstLine="723" w:firstLineChars="200"/>
        <w:outlineLvl w:val="0"/>
        <w:rPr>
          <w:rFonts w:hint="eastAsia" w:ascii="仿宋" w:hAnsi="仿宋" w:eastAsia="仿宋" w:cs="仿宋"/>
          <w:b/>
          <w:color w:val="auto"/>
          <w:sz w:val="36"/>
          <w:szCs w:val="20"/>
          <w:highlight w:val="none"/>
        </w:rPr>
      </w:pPr>
    </w:p>
    <w:p w14:paraId="1B0A9C96">
      <w:pPr>
        <w:spacing w:line="360" w:lineRule="auto"/>
        <w:ind w:left="720" w:firstLine="723" w:firstLineChars="200"/>
        <w:outlineLvl w:val="0"/>
        <w:rPr>
          <w:rFonts w:hint="eastAsia" w:ascii="仿宋" w:hAnsi="仿宋" w:eastAsia="仿宋" w:cs="仿宋"/>
          <w:b/>
          <w:color w:val="auto"/>
          <w:sz w:val="36"/>
          <w:szCs w:val="20"/>
          <w:highlight w:val="none"/>
        </w:rPr>
      </w:pPr>
    </w:p>
    <w:p w14:paraId="1405E93D">
      <w:pPr>
        <w:spacing w:line="360" w:lineRule="auto"/>
        <w:ind w:left="720" w:firstLine="723" w:firstLineChars="200"/>
        <w:outlineLvl w:val="0"/>
        <w:rPr>
          <w:rFonts w:hint="eastAsia" w:ascii="仿宋" w:hAnsi="仿宋" w:eastAsia="仿宋" w:cs="仿宋"/>
          <w:b/>
          <w:color w:val="auto"/>
          <w:sz w:val="36"/>
          <w:szCs w:val="20"/>
          <w:highlight w:val="none"/>
        </w:rPr>
      </w:pPr>
    </w:p>
    <w:p w14:paraId="753BA48E">
      <w:pPr>
        <w:spacing w:line="360" w:lineRule="auto"/>
        <w:ind w:left="720" w:firstLine="723" w:firstLineChars="200"/>
        <w:outlineLvl w:val="0"/>
        <w:rPr>
          <w:rFonts w:hint="eastAsia" w:ascii="仿宋" w:hAnsi="仿宋" w:eastAsia="仿宋" w:cs="仿宋"/>
          <w:b/>
          <w:color w:val="auto"/>
          <w:sz w:val="36"/>
          <w:szCs w:val="20"/>
          <w:highlight w:val="none"/>
        </w:rPr>
      </w:pPr>
    </w:p>
    <w:p w14:paraId="19765212">
      <w:pPr>
        <w:spacing w:line="360" w:lineRule="auto"/>
        <w:ind w:left="720" w:firstLine="723" w:firstLineChars="200"/>
        <w:outlineLvl w:val="0"/>
        <w:rPr>
          <w:rFonts w:hint="eastAsia" w:ascii="仿宋" w:hAnsi="仿宋" w:eastAsia="仿宋" w:cs="仿宋"/>
          <w:b/>
          <w:color w:val="auto"/>
          <w:sz w:val="36"/>
          <w:szCs w:val="20"/>
          <w:highlight w:val="none"/>
        </w:rPr>
      </w:pPr>
    </w:p>
    <w:p w14:paraId="451C6E0C">
      <w:pPr>
        <w:spacing w:line="360" w:lineRule="auto"/>
        <w:ind w:left="720" w:firstLine="723" w:firstLineChars="200"/>
        <w:outlineLvl w:val="0"/>
        <w:rPr>
          <w:rFonts w:hint="eastAsia" w:ascii="仿宋" w:hAnsi="仿宋" w:eastAsia="仿宋" w:cs="仿宋"/>
          <w:b/>
          <w:color w:val="auto"/>
          <w:sz w:val="36"/>
          <w:szCs w:val="20"/>
          <w:highlight w:val="none"/>
        </w:rPr>
      </w:pPr>
    </w:p>
    <w:p w14:paraId="66DF3FE7">
      <w:pPr>
        <w:spacing w:line="360" w:lineRule="auto"/>
        <w:ind w:left="720" w:firstLine="723" w:firstLineChars="200"/>
        <w:outlineLvl w:val="0"/>
        <w:rPr>
          <w:rFonts w:hint="eastAsia" w:ascii="仿宋" w:hAnsi="仿宋" w:eastAsia="仿宋" w:cs="仿宋"/>
          <w:b/>
          <w:color w:val="auto"/>
          <w:sz w:val="36"/>
          <w:szCs w:val="20"/>
          <w:highlight w:val="none"/>
        </w:rPr>
      </w:pPr>
    </w:p>
    <w:p w14:paraId="1827C0E7">
      <w:pPr>
        <w:spacing w:line="360" w:lineRule="auto"/>
        <w:ind w:left="720" w:firstLine="723" w:firstLineChars="200"/>
        <w:outlineLvl w:val="0"/>
        <w:rPr>
          <w:rFonts w:hint="eastAsia" w:ascii="仿宋" w:hAnsi="仿宋" w:eastAsia="仿宋" w:cs="仿宋"/>
          <w:b/>
          <w:color w:val="auto"/>
          <w:sz w:val="36"/>
          <w:szCs w:val="20"/>
          <w:highlight w:val="none"/>
        </w:rPr>
      </w:pPr>
    </w:p>
    <w:p w14:paraId="69A29EC6">
      <w:pPr>
        <w:spacing w:line="360" w:lineRule="auto"/>
        <w:ind w:left="720" w:firstLine="723" w:firstLineChars="200"/>
        <w:outlineLvl w:val="0"/>
        <w:rPr>
          <w:rFonts w:hint="eastAsia" w:ascii="仿宋" w:hAnsi="仿宋" w:eastAsia="仿宋" w:cs="仿宋"/>
          <w:b/>
          <w:color w:val="auto"/>
          <w:sz w:val="36"/>
          <w:szCs w:val="20"/>
          <w:highlight w:val="none"/>
        </w:rPr>
      </w:pPr>
    </w:p>
    <w:p w14:paraId="0D525AE3">
      <w:pPr>
        <w:spacing w:line="360" w:lineRule="auto"/>
        <w:ind w:left="720" w:firstLine="723" w:firstLineChars="200"/>
        <w:outlineLvl w:val="0"/>
        <w:rPr>
          <w:rFonts w:hint="eastAsia" w:ascii="仿宋" w:hAnsi="仿宋" w:eastAsia="仿宋" w:cs="仿宋"/>
          <w:b/>
          <w:color w:val="auto"/>
          <w:sz w:val="36"/>
          <w:szCs w:val="20"/>
          <w:highlight w:val="none"/>
        </w:rPr>
      </w:pPr>
    </w:p>
    <w:p w14:paraId="5C18985E">
      <w:pPr>
        <w:spacing w:line="360" w:lineRule="auto"/>
        <w:ind w:left="720" w:firstLine="723" w:firstLineChars="200"/>
        <w:outlineLvl w:val="0"/>
        <w:rPr>
          <w:rFonts w:hint="eastAsia" w:ascii="仿宋" w:hAnsi="仿宋" w:eastAsia="仿宋" w:cs="仿宋"/>
          <w:b/>
          <w:color w:val="auto"/>
          <w:sz w:val="36"/>
          <w:szCs w:val="20"/>
          <w:highlight w:val="none"/>
        </w:rPr>
      </w:pPr>
    </w:p>
    <w:p w14:paraId="0EE4D226">
      <w:pPr>
        <w:spacing w:line="360" w:lineRule="auto"/>
        <w:ind w:left="720" w:firstLine="723" w:firstLineChars="200"/>
        <w:outlineLvl w:val="0"/>
        <w:rPr>
          <w:rFonts w:hint="eastAsia" w:ascii="仿宋" w:hAnsi="仿宋" w:eastAsia="仿宋" w:cs="仿宋"/>
          <w:b/>
          <w:color w:val="auto"/>
          <w:sz w:val="36"/>
          <w:szCs w:val="20"/>
          <w:highlight w:val="none"/>
        </w:rPr>
      </w:pPr>
    </w:p>
    <w:p w14:paraId="4181511D">
      <w:pPr>
        <w:spacing w:line="360" w:lineRule="auto"/>
        <w:ind w:left="720" w:firstLine="723" w:firstLineChars="200"/>
        <w:outlineLvl w:val="0"/>
        <w:rPr>
          <w:rFonts w:hint="eastAsia" w:ascii="仿宋" w:hAnsi="仿宋" w:eastAsia="仿宋" w:cs="仿宋"/>
          <w:b/>
          <w:color w:val="auto"/>
          <w:sz w:val="36"/>
          <w:szCs w:val="20"/>
          <w:highlight w:val="none"/>
        </w:rPr>
      </w:pPr>
    </w:p>
    <w:p w14:paraId="2F376FA5">
      <w:pPr>
        <w:spacing w:line="360" w:lineRule="auto"/>
        <w:ind w:left="720" w:firstLine="723" w:firstLineChars="200"/>
        <w:outlineLvl w:val="0"/>
        <w:rPr>
          <w:rFonts w:hint="eastAsia" w:ascii="仿宋" w:hAnsi="仿宋" w:eastAsia="仿宋" w:cs="仿宋"/>
          <w:b/>
          <w:color w:val="auto"/>
          <w:sz w:val="36"/>
          <w:szCs w:val="20"/>
          <w:highlight w:val="none"/>
        </w:rPr>
      </w:pPr>
    </w:p>
    <w:p w14:paraId="0B8F75AF">
      <w:pPr>
        <w:spacing w:line="360" w:lineRule="auto"/>
        <w:ind w:left="720" w:firstLine="723" w:firstLineChars="200"/>
        <w:outlineLvl w:val="0"/>
        <w:rPr>
          <w:rFonts w:hint="eastAsia" w:ascii="仿宋" w:hAnsi="仿宋" w:eastAsia="仿宋" w:cs="仿宋"/>
          <w:b/>
          <w:color w:val="auto"/>
          <w:sz w:val="36"/>
          <w:szCs w:val="20"/>
          <w:highlight w:val="none"/>
        </w:rPr>
      </w:pPr>
    </w:p>
    <w:p w14:paraId="6A0031BC">
      <w:pPr>
        <w:spacing w:line="360" w:lineRule="auto"/>
        <w:ind w:left="0" w:firstLine="0" w:firstLineChars="0"/>
        <w:outlineLvl w:val="0"/>
        <w:rPr>
          <w:rFonts w:hint="eastAsia" w:ascii="仿宋" w:hAnsi="仿宋" w:eastAsia="仿宋" w:cs="仿宋"/>
          <w:b/>
          <w:color w:val="auto"/>
          <w:sz w:val="36"/>
          <w:szCs w:val="20"/>
          <w:highlight w:val="none"/>
        </w:rPr>
      </w:pPr>
    </w:p>
    <w:p w14:paraId="0C565E5A">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14:paraId="50A26AD1">
      <w:pPr>
        <w:spacing w:line="360" w:lineRule="auto"/>
        <w:jc w:val="center"/>
        <w:outlineLvl w:val="0"/>
        <w:rPr>
          <w:rFonts w:hint="eastAsia" w:ascii="仿宋" w:hAnsi="仿宋" w:eastAsia="仿宋" w:cs="仿宋"/>
          <w:b/>
          <w:color w:val="auto"/>
          <w:kern w:val="0"/>
          <w:sz w:val="36"/>
          <w:szCs w:val="36"/>
          <w:highlight w:val="none"/>
        </w:rPr>
      </w:pPr>
    </w:p>
    <w:p w14:paraId="3FAFE72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BC58A3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CCE833">
      <w:pPr>
        <w:spacing w:line="360" w:lineRule="auto"/>
        <w:jc w:val="center"/>
        <w:outlineLvl w:val="0"/>
        <w:rPr>
          <w:rFonts w:hint="eastAsia" w:ascii="仿宋" w:hAnsi="仿宋" w:eastAsia="仿宋" w:cs="仿宋"/>
          <w:b/>
          <w:color w:val="auto"/>
          <w:kern w:val="0"/>
          <w:sz w:val="36"/>
          <w:szCs w:val="36"/>
          <w:highlight w:val="none"/>
        </w:rPr>
      </w:pPr>
    </w:p>
    <w:p w14:paraId="53A5D5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（1）符合参加交易活动应当具备的一般条件的承诺函…………………（页码）</w:t>
      </w:r>
    </w:p>
    <w:p w14:paraId="36BEB678">
      <w:pPr>
        <w:snapToGrid w:val="0"/>
        <w:spacing w:line="360" w:lineRule="auto"/>
        <w:ind w:firstLine="480" w:firstLineChars="200"/>
        <w:rPr>
          <w:rFonts w:hint="eastAsia" w:ascii="仿宋" w:hAnsi="仿宋" w:eastAsia="仿宋" w:cs="仿宋"/>
          <w:color w:val="auto"/>
          <w:sz w:val="24"/>
          <w:highlight w:val="none"/>
        </w:rPr>
      </w:pPr>
    </w:p>
    <w:p w14:paraId="601FE8DE">
      <w:pPr>
        <w:spacing w:line="360" w:lineRule="auto"/>
        <w:ind w:firstLine="480" w:firstLineChars="200"/>
        <w:rPr>
          <w:rFonts w:hint="eastAsia" w:ascii="仿宋" w:hAnsi="仿宋" w:eastAsia="仿宋" w:cs="仿宋"/>
          <w:color w:val="auto"/>
          <w:sz w:val="24"/>
          <w:highlight w:val="none"/>
        </w:rPr>
      </w:pPr>
    </w:p>
    <w:p w14:paraId="372F448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符合参加交易活动应当具备的一般条件的承诺函</w:t>
      </w:r>
    </w:p>
    <w:p w14:paraId="4CA7C09D">
      <w:pPr>
        <w:snapToGrid w:val="0"/>
        <w:spacing w:line="360" w:lineRule="auto"/>
        <w:rPr>
          <w:rFonts w:hint="eastAsia" w:ascii="仿宋" w:hAnsi="仿宋" w:eastAsia="仿宋" w:cs="仿宋"/>
          <w:color w:val="auto"/>
          <w:sz w:val="24"/>
          <w:highlight w:val="none"/>
        </w:rPr>
      </w:pPr>
    </w:p>
    <w:p w14:paraId="42AC596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（交易人）、（采购机构）：</w:t>
      </w:r>
    </w:p>
    <w:p w14:paraId="504B8E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    】</w:t>
      </w:r>
      <w:r>
        <w:rPr>
          <w:rFonts w:hint="eastAsia" w:ascii="仿宋" w:hAnsi="仿宋" w:eastAsia="仿宋" w:cs="仿宋"/>
          <w:color w:val="auto"/>
          <w:sz w:val="24"/>
          <w:highlight w:val="none"/>
        </w:rPr>
        <w:t>交易活动，郑重承诺：</w:t>
      </w:r>
    </w:p>
    <w:p w14:paraId="06EF604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48C048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6380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4FD73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EBA48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3619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35D0DB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3771592">
      <w:pPr>
        <w:snapToGrid w:val="0"/>
        <w:spacing w:line="360" w:lineRule="auto"/>
        <w:ind w:firstLine="5520" w:firstLineChars="2300"/>
        <w:rPr>
          <w:rFonts w:hint="eastAsia" w:ascii="仿宋" w:hAnsi="仿宋" w:eastAsia="仿宋" w:cs="仿宋"/>
          <w:color w:val="auto"/>
          <w:kern w:val="0"/>
          <w:sz w:val="24"/>
          <w:highlight w:val="none"/>
          <w:lang w:val="zh-CN"/>
        </w:rPr>
      </w:pPr>
    </w:p>
    <w:p w14:paraId="152AEE9F">
      <w:pPr>
        <w:snapToGrid w:val="0"/>
        <w:spacing w:line="360" w:lineRule="auto"/>
        <w:ind w:firstLine="5520" w:firstLineChars="2300"/>
        <w:rPr>
          <w:rFonts w:hint="eastAsia" w:ascii="仿宋" w:hAnsi="仿宋" w:eastAsia="仿宋" w:cs="仿宋"/>
          <w:color w:val="auto"/>
          <w:kern w:val="0"/>
          <w:sz w:val="24"/>
          <w:highlight w:val="none"/>
          <w:lang w:val="zh-CN"/>
        </w:rPr>
      </w:pPr>
    </w:p>
    <w:p w14:paraId="4489F463">
      <w:pPr>
        <w:snapToGrid w:val="0"/>
        <w:spacing w:line="360" w:lineRule="auto"/>
        <w:ind w:firstLine="5520" w:firstLineChars="2300"/>
        <w:rPr>
          <w:rFonts w:hint="eastAsia" w:ascii="仿宋" w:hAnsi="仿宋" w:eastAsia="仿宋" w:cs="仿宋"/>
          <w:color w:val="auto"/>
          <w:kern w:val="0"/>
          <w:sz w:val="24"/>
          <w:highlight w:val="none"/>
          <w:lang w:val="zh-CN"/>
        </w:rPr>
      </w:pPr>
    </w:p>
    <w:p w14:paraId="1F224DCD">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D4C8B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417B9D4">
      <w:pPr>
        <w:snapToGrid w:val="0"/>
        <w:spacing w:line="360" w:lineRule="auto"/>
        <w:ind w:right="480"/>
        <w:jc w:val="center"/>
        <w:rPr>
          <w:rFonts w:hint="eastAsia" w:ascii="仿宋" w:hAnsi="仿宋" w:eastAsia="仿宋" w:cs="仿宋"/>
          <w:b/>
          <w:color w:val="auto"/>
          <w:kern w:val="0"/>
          <w:sz w:val="32"/>
          <w:szCs w:val="32"/>
          <w:highlight w:val="none"/>
        </w:rPr>
      </w:pPr>
    </w:p>
    <w:p w14:paraId="2787FA8E">
      <w:pPr>
        <w:snapToGrid w:val="0"/>
        <w:spacing w:line="360" w:lineRule="auto"/>
        <w:ind w:right="480"/>
        <w:jc w:val="center"/>
        <w:rPr>
          <w:rFonts w:hint="eastAsia" w:ascii="仿宋" w:hAnsi="仿宋" w:eastAsia="仿宋" w:cs="仿宋"/>
          <w:b/>
          <w:color w:val="auto"/>
          <w:kern w:val="0"/>
          <w:sz w:val="32"/>
          <w:szCs w:val="32"/>
          <w:highlight w:val="none"/>
        </w:rPr>
      </w:pPr>
    </w:p>
    <w:p w14:paraId="6E7383CB">
      <w:pPr>
        <w:snapToGrid w:val="0"/>
        <w:spacing w:line="360" w:lineRule="auto"/>
        <w:ind w:right="480"/>
        <w:jc w:val="center"/>
        <w:rPr>
          <w:rFonts w:hint="eastAsia" w:ascii="仿宋" w:hAnsi="仿宋" w:eastAsia="仿宋" w:cs="仿宋"/>
          <w:b/>
          <w:color w:val="auto"/>
          <w:kern w:val="0"/>
          <w:sz w:val="32"/>
          <w:szCs w:val="32"/>
          <w:highlight w:val="none"/>
        </w:rPr>
      </w:pPr>
    </w:p>
    <w:p w14:paraId="3AC808F2">
      <w:pPr>
        <w:rPr>
          <w:rFonts w:hint="eastAsia" w:ascii="仿宋" w:hAnsi="仿宋" w:eastAsia="仿宋" w:cs="仿宋"/>
          <w:color w:val="auto"/>
          <w:highlight w:val="none"/>
        </w:rPr>
      </w:pPr>
    </w:p>
    <w:p w14:paraId="5E5AB09E">
      <w:pPr>
        <w:snapToGrid w:val="0"/>
        <w:spacing w:line="360" w:lineRule="auto"/>
        <w:ind w:right="480"/>
        <w:jc w:val="center"/>
        <w:rPr>
          <w:rFonts w:hint="eastAsia" w:ascii="仿宋" w:hAnsi="仿宋" w:eastAsia="仿宋" w:cs="仿宋"/>
          <w:b/>
          <w:color w:val="auto"/>
          <w:kern w:val="0"/>
          <w:sz w:val="32"/>
          <w:szCs w:val="32"/>
          <w:highlight w:val="none"/>
        </w:rPr>
      </w:pPr>
    </w:p>
    <w:p w14:paraId="1CDA58F4">
      <w:pPr>
        <w:snapToGrid w:val="0"/>
        <w:spacing w:line="360" w:lineRule="auto"/>
        <w:ind w:right="480"/>
        <w:jc w:val="center"/>
        <w:rPr>
          <w:rFonts w:hint="eastAsia" w:ascii="仿宋" w:hAnsi="仿宋" w:eastAsia="仿宋" w:cs="仿宋"/>
          <w:b/>
          <w:color w:val="auto"/>
          <w:kern w:val="0"/>
          <w:sz w:val="32"/>
          <w:szCs w:val="32"/>
          <w:highlight w:val="none"/>
        </w:rPr>
      </w:pPr>
    </w:p>
    <w:p w14:paraId="200F3AB1">
      <w:pPr>
        <w:snapToGrid w:val="0"/>
        <w:spacing w:line="360" w:lineRule="auto"/>
        <w:ind w:right="480"/>
        <w:jc w:val="center"/>
        <w:rPr>
          <w:rFonts w:hint="eastAsia" w:ascii="仿宋" w:hAnsi="仿宋" w:eastAsia="仿宋" w:cs="仿宋"/>
          <w:b/>
          <w:color w:val="auto"/>
          <w:kern w:val="0"/>
          <w:sz w:val="32"/>
          <w:szCs w:val="32"/>
          <w:highlight w:val="none"/>
        </w:rPr>
      </w:pPr>
    </w:p>
    <w:p w14:paraId="5DA8FBA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BAE67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1A0907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7215B26C">
      <w:pPr>
        <w:spacing w:line="360" w:lineRule="auto"/>
        <w:jc w:val="center"/>
        <w:rPr>
          <w:rFonts w:hint="eastAsia" w:ascii="仿宋" w:hAnsi="仿宋" w:eastAsia="仿宋" w:cs="仿宋"/>
          <w:color w:val="auto"/>
          <w:kern w:val="0"/>
          <w:sz w:val="24"/>
          <w:highlight w:val="none"/>
          <w:lang w:val="zh-CN"/>
        </w:rPr>
      </w:pPr>
    </w:p>
    <w:p w14:paraId="7A6FBB25">
      <w:pPr>
        <w:widowControl/>
        <w:spacing w:line="360" w:lineRule="auto"/>
        <w:ind w:left="150"/>
        <w:jc w:val="center"/>
        <w:rPr>
          <w:rFonts w:hint="eastAsia" w:ascii="仿宋" w:hAnsi="仿宋" w:eastAsia="仿宋" w:cs="仿宋"/>
          <w:b/>
          <w:color w:val="auto"/>
          <w:kern w:val="0"/>
          <w:sz w:val="32"/>
          <w:szCs w:val="32"/>
          <w:highlight w:val="none"/>
        </w:rPr>
      </w:pPr>
    </w:p>
    <w:p w14:paraId="28246136">
      <w:pPr>
        <w:rPr>
          <w:rFonts w:hint="eastAsia" w:ascii="仿宋" w:hAnsi="仿宋" w:eastAsia="仿宋" w:cs="仿宋"/>
          <w:color w:val="auto"/>
          <w:highlight w:val="none"/>
        </w:rPr>
      </w:pPr>
    </w:p>
    <w:p w14:paraId="5694E869">
      <w:pPr>
        <w:snapToGrid w:val="0"/>
        <w:spacing w:line="360" w:lineRule="auto"/>
        <w:ind w:right="480"/>
        <w:jc w:val="center"/>
        <w:rPr>
          <w:rFonts w:hint="eastAsia" w:ascii="仿宋" w:hAnsi="仿宋" w:eastAsia="仿宋" w:cs="仿宋"/>
          <w:b/>
          <w:color w:val="auto"/>
          <w:kern w:val="0"/>
          <w:sz w:val="32"/>
          <w:szCs w:val="32"/>
          <w:highlight w:val="none"/>
        </w:rPr>
      </w:pPr>
    </w:p>
    <w:p w14:paraId="38AA2005">
      <w:pPr>
        <w:snapToGrid w:val="0"/>
        <w:spacing w:line="360" w:lineRule="auto"/>
        <w:ind w:right="480"/>
        <w:jc w:val="center"/>
        <w:rPr>
          <w:rFonts w:hint="eastAsia" w:ascii="仿宋" w:hAnsi="仿宋" w:eastAsia="仿宋" w:cs="仿宋"/>
          <w:b/>
          <w:color w:val="auto"/>
          <w:kern w:val="0"/>
          <w:sz w:val="32"/>
          <w:szCs w:val="32"/>
          <w:highlight w:val="none"/>
        </w:rPr>
      </w:pPr>
    </w:p>
    <w:p w14:paraId="6C17C2FA">
      <w:pPr>
        <w:snapToGrid w:val="0"/>
        <w:spacing w:line="360" w:lineRule="auto"/>
        <w:ind w:right="480"/>
        <w:jc w:val="center"/>
        <w:rPr>
          <w:rFonts w:hint="eastAsia" w:ascii="仿宋" w:hAnsi="仿宋" w:eastAsia="仿宋" w:cs="仿宋"/>
          <w:b/>
          <w:color w:val="auto"/>
          <w:kern w:val="0"/>
          <w:sz w:val="32"/>
          <w:szCs w:val="32"/>
          <w:highlight w:val="none"/>
        </w:rPr>
      </w:pPr>
    </w:p>
    <w:p w14:paraId="7E7C876B">
      <w:pPr>
        <w:snapToGrid w:val="0"/>
        <w:spacing w:line="360" w:lineRule="auto"/>
        <w:ind w:right="480"/>
        <w:jc w:val="center"/>
        <w:rPr>
          <w:rFonts w:hint="eastAsia" w:ascii="仿宋" w:hAnsi="仿宋" w:eastAsia="仿宋" w:cs="仿宋"/>
          <w:b/>
          <w:color w:val="auto"/>
          <w:kern w:val="0"/>
          <w:sz w:val="32"/>
          <w:szCs w:val="32"/>
          <w:highlight w:val="none"/>
        </w:rPr>
      </w:pPr>
    </w:p>
    <w:p w14:paraId="0BDEB028">
      <w:pPr>
        <w:snapToGrid w:val="0"/>
        <w:spacing w:line="360" w:lineRule="auto"/>
        <w:ind w:right="480"/>
        <w:jc w:val="center"/>
        <w:rPr>
          <w:rFonts w:hint="eastAsia" w:ascii="仿宋" w:hAnsi="仿宋" w:eastAsia="仿宋" w:cs="仿宋"/>
          <w:b/>
          <w:color w:val="auto"/>
          <w:kern w:val="0"/>
          <w:sz w:val="32"/>
          <w:szCs w:val="32"/>
          <w:highlight w:val="none"/>
        </w:rPr>
      </w:pPr>
    </w:p>
    <w:p w14:paraId="6EEDAE28">
      <w:pPr>
        <w:snapToGrid w:val="0"/>
        <w:spacing w:line="360" w:lineRule="auto"/>
        <w:ind w:right="480"/>
        <w:jc w:val="center"/>
        <w:rPr>
          <w:rFonts w:hint="eastAsia" w:ascii="仿宋" w:hAnsi="仿宋" w:eastAsia="仿宋" w:cs="仿宋"/>
          <w:b/>
          <w:color w:val="auto"/>
          <w:kern w:val="0"/>
          <w:sz w:val="32"/>
          <w:szCs w:val="32"/>
          <w:highlight w:val="none"/>
        </w:rPr>
      </w:pPr>
    </w:p>
    <w:p w14:paraId="041A0D66">
      <w:pPr>
        <w:spacing w:line="360" w:lineRule="auto"/>
        <w:jc w:val="center"/>
        <w:outlineLvl w:val="0"/>
        <w:rPr>
          <w:rFonts w:hint="eastAsia" w:ascii="仿宋" w:hAnsi="仿宋" w:eastAsia="仿宋" w:cs="仿宋"/>
          <w:b/>
          <w:color w:val="auto"/>
          <w:kern w:val="0"/>
          <w:sz w:val="36"/>
          <w:szCs w:val="36"/>
          <w:highlight w:val="none"/>
        </w:rPr>
      </w:pPr>
    </w:p>
    <w:p w14:paraId="192A818C">
      <w:pPr>
        <w:snapToGrid w:val="0"/>
        <w:spacing w:line="360" w:lineRule="auto"/>
        <w:ind w:right="480"/>
        <w:jc w:val="center"/>
        <w:rPr>
          <w:rFonts w:hint="eastAsia" w:ascii="仿宋" w:hAnsi="仿宋" w:eastAsia="仿宋" w:cs="仿宋"/>
          <w:b/>
          <w:color w:val="auto"/>
          <w:kern w:val="0"/>
          <w:sz w:val="32"/>
          <w:szCs w:val="32"/>
          <w:highlight w:val="none"/>
        </w:rPr>
      </w:pPr>
    </w:p>
    <w:p w14:paraId="4F1455FB">
      <w:pPr>
        <w:spacing w:line="360" w:lineRule="auto"/>
        <w:jc w:val="center"/>
        <w:outlineLvl w:val="0"/>
        <w:rPr>
          <w:rFonts w:hint="eastAsia" w:ascii="仿宋" w:hAnsi="仿宋" w:eastAsia="仿宋" w:cs="仿宋"/>
          <w:b/>
          <w:color w:val="auto"/>
          <w:kern w:val="0"/>
          <w:sz w:val="36"/>
          <w:szCs w:val="36"/>
          <w:highlight w:val="none"/>
        </w:rPr>
      </w:pPr>
    </w:p>
    <w:p w14:paraId="4D304BED">
      <w:pPr>
        <w:snapToGrid w:val="0"/>
        <w:spacing w:line="360" w:lineRule="auto"/>
        <w:ind w:right="480"/>
        <w:jc w:val="center"/>
        <w:rPr>
          <w:rFonts w:hint="eastAsia" w:ascii="仿宋" w:hAnsi="仿宋" w:eastAsia="仿宋" w:cs="仿宋"/>
          <w:b/>
          <w:color w:val="auto"/>
          <w:kern w:val="0"/>
          <w:sz w:val="32"/>
          <w:szCs w:val="32"/>
          <w:highlight w:val="none"/>
        </w:rPr>
      </w:pPr>
    </w:p>
    <w:p w14:paraId="665560C1">
      <w:pPr>
        <w:spacing w:line="360" w:lineRule="auto"/>
        <w:jc w:val="center"/>
        <w:outlineLvl w:val="0"/>
        <w:rPr>
          <w:rFonts w:hint="eastAsia" w:ascii="仿宋" w:hAnsi="仿宋" w:eastAsia="仿宋" w:cs="仿宋"/>
          <w:b/>
          <w:color w:val="auto"/>
          <w:kern w:val="0"/>
          <w:sz w:val="36"/>
          <w:szCs w:val="36"/>
          <w:highlight w:val="none"/>
        </w:rPr>
      </w:pPr>
    </w:p>
    <w:p w14:paraId="02647146">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D4C17C6">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A6480D1">
      <w:pPr>
        <w:spacing w:line="360" w:lineRule="auto"/>
        <w:jc w:val="center"/>
        <w:outlineLvl w:val="0"/>
        <w:rPr>
          <w:rFonts w:hint="eastAsia" w:ascii="仿宋" w:hAnsi="仿宋" w:eastAsia="仿宋" w:cs="仿宋"/>
          <w:b/>
          <w:color w:val="auto"/>
          <w:kern w:val="0"/>
          <w:sz w:val="24"/>
          <w:highlight w:val="none"/>
        </w:rPr>
      </w:pPr>
    </w:p>
    <w:p w14:paraId="6318D80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8BE369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3E519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（3）营业执照</w:t>
      </w:r>
      <w:r>
        <w:rPr>
          <w:rFonts w:hint="eastAsia" w:ascii="仿宋" w:hAnsi="仿宋" w:eastAsia="仿宋" w:cs="仿宋"/>
          <w:color w:val="auto"/>
          <w:highlight w:val="none"/>
        </w:rPr>
        <w:t>………………………………………………………………………………（页码）</w:t>
      </w:r>
    </w:p>
    <w:p w14:paraId="4CF6387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A295C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E17DA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2AA3F4BB">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3C7B6BBE">
      <w:pPr>
        <w:snapToGrid w:val="0"/>
        <w:spacing w:line="360" w:lineRule="auto"/>
        <w:jc w:val="center"/>
        <w:rPr>
          <w:rFonts w:hint="eastAsia" w:ascii="仿宋" w:hAnsi="仿宋" w:eastAsia="仿宋" w:cs="仿宋"/>
          <w:b/>
          <w:color w:val="auto"/>
          <w:kern w:val="0"/>
          <w:sz w:val="32"/>
          <w:szCs w:val="32"/>
          <w:highlight w:val="none"/>
          <w:lang w:val="zh-CN"/>
        </w:rPr>
      </w:pPr>
    </w:p>
    <w:p w14:paraId="50FAE035">
      <w:pPr>
        <w:snapToGrid w:val="0"/>
        <w:spacing w:line="360" w:lineRule="auto"/>
        <w:jc w:val="center"/>
        <w:rPr>
          <w:rFonts w:hint="eastAsia" w:ascii="仿宋" w:hAnsi="仿宋" w:eastAsia="仿宋" w:cs="仿宋"/>
          <w:b/>
          <w:color w:val="auto"/>
          <w:kern w:val="0"/>
          <w:sz w:val="32"/>
          <w:szCs w:val="32"/>
          <w:highlight w:val="none"/>
          <w:lang w:val="zh-CN"/>
        </w:rPr>
      </w:pPr>
    </w:p>
    <w:p w14:paraId="5477FBFA">
      <w:pPr>
        <w:snapToGrid w:val="0"/>
        <w:spacing w:line="360" w:lineRule="auto"/>
        <w:jc w:val="center"/>
        <w:rPr>
          <w:rFonts w:hint="eastAsia" w:ascii="仿宋" w:hAnsi="仿宋" w:eastAsia="仿宋" w:cs="仿宋"/>
          <w:b/>
          <w:color w:val="auto"/>
          <w:kern w:val="0"/>
          <w:sz w:val="32"/>
          <w:szCs w:val="32"/>
          <w:highlight w:val="none"/>
          <w:lang w:val="zh-CN"/>
        </w:rPr>
      </w:pPr>
    </w:p>
    <w:p w14:paraId="5D9A8002">
      <w:pPr>
        <w:snapToGrid w:val="0"/>
        <w:spacing w:line="360" w:lineRule="auto"/>
        <w:jc w:val="center"/>
        <w:rPr>
          <w:rFonts w:hint="eastAsia" w:ascii="仿宋" w:hAnsi="仿宋" w:eastAsia="仿宋" w:cs="仿宋"/>
          <w:b/>
          <w:color w:val="auto"/>
          <w:kern w:val="0"/>
          <w:sz w:val="32"/>
          <w:szCs w:val="32"/>
          <w:highlight w:val="none"/>
          <w:lang w:val="zh-CN"/>
        </w:rPr>
      </w:pPr>
    </w:p>
    <w:p w14:paraId="71F6B32D">
      <w:pPr>
        <w:snapToGrid w:val="0"/>
        <w:spacing w:line="360" w:lineRule="auto"/>
        <w:jc w:val="center"/>
        <w:rPr>
          <w:rFonts w:hint="eastAsia" w:ascii="仿宋" w:hAnsi="仿宋" w:eastAsia="仿宋" w:cs="仿宋"/>
          <w:b/>
          <w:color w:val="auto"/>
          <w:kern w:val="0"/>
          <w:sz w:val="32"/>
          <w:szCs w:val="32"/>
          <w:highlight w:val="none"/>
          <w:lang w:val="zh-CN"/>
        </w:rPr>
      </w:pPr>
    </w:p>
    <w:p w14:paraId="2C7CEED7">
      <w:pPr>
        <w:snapToGrid w:val="0"/>
        <w:spacing w:line="360" w:lineRule="auto"/>
        <w:jc w:val="center"/>
        <w:outlineLvl w:val="0"/>
        <w:rPr>
          <w:rFonts w:hint="eastAsia" w:ascii="仿宋" w:hAnsi="仿宋" w:eastAsia="仿宋" w:cs="仿宋"/>
          <w:b/>
          <w:color w:val="auto"/>
          <w:kern w:val="0"/>
          <w:sz w:val="32"/>
          <w:szCs w:val="32"/>
          <w:highlight w:val="none"/>
        </w:rPr>
      </w:pPr>
    </w:p>
    <w:p w14:paraId="07601BF3">
      <w:pPr>
        <w:snapToGrid w:val="0"/>
        <w:spacing w:line="360" w:lineRule="auto"/>
        <w:jc w:val="center"/>
        <w:outlineLvl w:val="0"/>
        <w:rPr>
          <w:rFonts w:hint="eastAsia" w:ascii="仿宋" w:hAnsi="仿宋" w:eastAsia="仿宋" w:cs="仿宋"/>
          <w:b/>
          <w:color w:val="auto"/>
          <w:kern w:val="0"/>
          <w:sz w:val="32"/>
          <w:szCs w:val="32"/>
          <w:highlight w:val="none"/>
        </w:rPr>
      </w:pPr>
    </w:p>
    <w:p w14:paraId="2C0BE75C">
      <w:pPr>
        <w:rPr>
          <w:rFonts w:hint="eastAsia" w:ascii="仿宋" w:hAnsi="仿宋" w:eastAsia="仿宋" w:cs="仿宋"/>
          <w:color w:val="auto"/>
          <w:highlight w:val="none"/>
        </w:rPr>
      </w:pPr>
    </w:p>
    <w:p w14:paraId="5D3BA621">
      <w:pPr>
        <w:snapToGrid w:val="0"/>
        <w:spacing w:line="360" w:lineRule="auto"/>
        <w:jc w:val="center"/>
        <w:outlineLvl w:val="0"/>
        <w:rPr>
          <w:rFonts w:hint="eastAsia" w:ascii="仿宋" w:hAnsi="仿宋" w:eastAsia="仿宋" w:cs="仿宋"/>
          <w:b/>
          <w:color w:val="auto"/>
          <w:kern w:val="0"/>
          <w:sz w:val="32"/>
          <w:szCs w:val="32"/>
          <w:highlight w:val="none"/>
        </w:rPr>
      </w:pPr>
    </w:p>
    <w:p w14:paraId="35E11099">
      <w:pPr>
        <w:snapToGrid w:val="0"/>
        <w:spacing w:line="360" w:lineRule="auto"/>
        <w:jc w:val="center"/>
        <w:outlineLvl w:val="0"/>
        <w:rPr>
          <w:rFonts w:hint="eastAsia" w:ascii="仿宋" w:hAnsi="仿宋" w:eastAsia="仿宋" w:cs="仿宋"/>
          <w:b/>
          <w:color w:val="auto"/>
          <w:kern w:val="0"/>
          <w:sz w:val="32"/>
          <w:szCs w:val="32"/>
          <w:highlight w:val="none"/>
        </w:rPr>
      </w:pPr>
    </w:p>
    <w:p w14:paraId="664DFD7B">
      <w:pPr>
        <w:snapToGrid w:val="0"/>
        <w:spacing w:line="360" w:lineRule="auto"/>
        <w:jc w:val="center"/>
        <w:outlineLvl w:val="0"/>
        <w:rPr>
          <w:rFonts w:hint="eastAsia" w:ascii="仿宋" w:hAnsi="仿宋" w:eastAsia="仿宋" w:cs="仿宋"/>
          <w:b/>
          <w:color w:val="auto"/>
          <w:kern w:val="0"/>
          <w:sz w:val="32"/>
          <w:szCs w:val="32"/>
          <w:highlight w:val="none"/>
        </w:rPr>
      </w:pPr>
    </w:p>
    <w:p w14:paraId="64CA4D8B">
      <w:pPr>
        <w:snapToGrid w:val="0"/>
        <w:spacing w:line="360" w:lineRule="auto"/>
        <w:jc w:val="center"/>
        <w:outlineLvl w:val="0"/>
        <w:rPr>
          <w:rFonts w:hint="eastAsia" w:ascii="仿宋" w:hAnsi="仿宋" w:eastAsia="仿宋" w:cs="仿宋"/>
          <w:b/>
          <w:color w:val="auto"/>
          <w:kern w:val="0"/>
          <w:sz w:val="32"/>
          <w:szCs w:val="32"/>
          <w:highlight w:val="none"/>
        </w:rPr>
      </w:pPr>
    </w:p>
    <w:p w14:paraId="5CA5F345">
      <w:pPr>
        <w:snapToGrid w:val="0"/>
        <w:spacing w:line="360" w:lineRule="auto"/>
        <w:jc w:val="center"/>
        <w:outlineLvl w:val="0"/>
        <w:rPr>
          <w:rFonts w:hint="eastAsia" w:ascii="仿宋" w:hAnsi="仿宋" w:eastAsia="仿宋" w:cs="仿宋"/>
          <w:b/>
          <w:color w:val="auto"/>
          <w:kern w:val="0"/>
          <w:sz w:val="32"/>
          <w:szCs w:val="32"/>
          <w:highlight w:val="none"/>
        </w:rPr>
      </w:pPr>
    </w:p>
    <w:p w14:paraId="5B58CC57">
      <w:pPr>
        <w:snapToGrid w:val="0"/>
        <w:spacing w:line="360" w:lineRule="auto"/>
        <w:jc w:val="center"/>
        <w:outlineLvl w:val="0"/>
        <w:rPr>
          <w:rFonts w:hint="eastAsia" w:ascii="仿宋" w:hAnsi="仿宋" w:eastAsia="仿宋" w:cs="仿宋"/>
          <w:b/>
          <w:color w:val="auto"/>
          <w:kern w:val="0"/>
          <w:sz w:val="32"/>
          <w:szCs w:val="32"/>
          <w:highlight w:val="none"/>
        </w:rPr>
      </w:pPr>
    </w:p>
    <w:p w14:paraId="321D588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F5389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14:paraId="4C00899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（交易人）、（采购代理机构）：</w:t>
      </w:r>
    </w:p>
    <w:p w14:paraId="0F84FD2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sz w:val="24"/>
          <w:highlight w:val="none"/>
        </w:rPr>
        <w:t>招标的有关活动，并对此项目进行投标。为此：</w:t>
      </w:r>
    </w:p>
    <w:p w14:paraId="18D55E0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33B2CA5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21FAA56E">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66E9B7F">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BABC7AA">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14:paraId="5EF94265">
      <w:pPr>
        <w:snapToGrid w:val="0"/>
        <w:spacing w:line="44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4FAE84">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2.2.1交易函；</w:t>
      </w:r>
      <w:r>
        <w:rPr>
          <w:rFonts w:hint="eastAsia" w:ascii="仿宋" w:hAnsi="仿宋" w:eastAsia="仿宋" w:cs="仿宋"/>
          <w:color w:val="auto"/>
          <w:sz w:val="24"/>
          <w:highlight w:val="none"/>
          <w:lang w:val="zh-CN"/>
        </w:rPr>
        <w:t xml:space="preserve"> </w:t>
      </w:r>
    </w:p>
    <w:p w14:paraId="52734DA5">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2E8DA5B">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2.2.3营业执照；</w:t>
      </w:r>
    </w:p>
    <w:p w14:paraId="3CDAECDC">
      <w:pPr>
        <w:snapToGrid w:val="0"/>
        <w:spacing w:line="44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2.2.4符合性审查资料；</w:t>
      </w:r>
    </w:p>
    <w:p w14:paraId="4BE0D461">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1C451CA">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3E8601F6">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供应商廉洁自律承诺书</w:t>
      </w:r>
    </w:p>
    <w:p w14:paraId="28F3E4A7">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AC34D00">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52CB2E0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75D3422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0EB2BF0F">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5E46039">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B4EA2FA">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19DABF48">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D725128">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7D84D1">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93C71C1">
      <w:pPr>
        <w:spacing w:line="440" w:lineRule="exact"/>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1468799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621176">
      <w:pPr>
        <w:pStyle w:val="7"/>
        <w:rPr>
          <w:rFonts w:hint="eastAsia" w:ascii="仿宋" w:hAnsi="仿宋" w:eastAsia="仿宋" w:cs="仿宋"/>
          <w:color w:val="auto"/>
          <w:highlight w:val="none"/>
          <w:lang w:val="en-US"/>
        </w:rPr>
      </w:pPr>
    </w:p>
    <w:p w14:paraId="7DAEA5A2">
      <w:pPr>
        <w:jc w:val="center"/>
        <w:rPr>
          <w:rFonts w:hint="eastAsia" w:ascii="仿宋" w:hAnsi="仿宋" w:eastAsia="仿宋" w:cs="仿宋"/>
          <w:b/>
          <w:color w:val="auto"/>
          <w:kern w:val="0"/>
          <w:sz w:val="32"/>
          <w:szCs w:val="32"/>
          <w:highlight w:val="none"/>
        </w:rPr>
      </w:pPr>
    </w:p>
    <w:p w14:paraId="2D19590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07782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29F999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15CCFC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14:paraId="018CF7A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采购投标的一切事项，其法律后果由我方承担。</w:t>
      </w:r>
    </w:p>
    <w:p w14:paraId="36AE28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5A2A4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3609E4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76C945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5C702E0">
      <w:pPr>
        <w:snapToGrid w:val="0"/>
        <w:spacing w:line="360" w:lineRule="auto"/>
        <w:rPr>
          <w:rFonts w:hint="eastAsia" w:ascii="仿宋" w:hAnsi="仿宋" w:eastAsia="仿宋" w:cs="仿宋"/>
          <w:color w:val="auto"/>
          <w:sz w:val="24"/>
          <w:highlight w:val="none"/>
        </w:rPr>
      </w:pPr>
    </w:p>
    <w:p w14:paraId="39B3BAB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6B0C0D8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的身份证明（适用于法定代表人、单位负责人或者自然人本人代表供应商参加投标）</w:t>
      </w:r>
    </w:p>
    <w:p w14:paraId="136A4C98">
      <w:pPr>
        <w:pStyle w:val="3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0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14:paraId="712B049D">
            <w:pPr>
              <w:pStyle w:val="3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1A23E1">
            <w:pPr>
              <w:pStyle w:val="31"/>
              <w:adjustRightInd w:val="0"/>
              <w:spacing w:line="360" w:lineRule="auto"/>
              <w:rPr>
                <w:rFonts w:hint="eastAsia" w:ascii="仿宋" w:hAnsi="仿宋" w:eastAsia="仿宋" w:cs="仿宋"/>
                <w:bCs/>
                <w:color w:val="auto"/>
                <w:sz w:val="24"/>
                <w:highlight w:val="none"/>
              </w:rPr>
            </w:pPr>
          </w:p>
        </w:tc>
      </w:tr>
    </w:tbl>
    <w:p w14:paraId="1B15119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6A79B2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418741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BEAFBA1">
      <w:pPr>
        <w:jc w:val="center"/>
        <w:rPr>
          <w:rFonts w:hint="eastAsia" w:ascii="仿宋" w:hAnsi="仿宋" w:eastAsia="仿宋" w:cs="仿宋"/>
          <w:b/>
          <w:color w:val="auto"/>
          <w:kern w:val="0"/>
          <w:sz w:val="32"/>
          <w:szCs w:val="32"/>
          <w:highlight w:val="none"/>
        </w:rPr>
      </w:pPr>
    </w:p>
    <w:p w14:paraId="1C9C973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三、营业执照</w:t>
      </w:r>
    </w:p>
    <w:p w14:paraId="1910EEB4">
      <w:pPr>
        <w:jc w:val="center"/>
        <w:rPr>
          <w:rFonts w:hint="eastAsia" w:ascii="仿宋" w:hAnsi="仿宋" w:eastAsia="仿宋" w:cs="仿宋"/>
          <w:b/>
          <w:color w:val="auto"/>
          <w:kern w:val="0"/>
          <w:sz w:val="32"/>
          <w:szCs w:val="32"/>
          <w:highlight w:val="none"/>
        </w:rPr>
      </w:pP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FA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14:paraId="1B7665E0">
            <w:pPr>
              <w:pStyle w:val="31"/>
              <w:adjustRightInd w:val="0"/>
              <w:spacing w:line="360" w:lineRule="auto"/>
              <w:rPr>
                <w:rFonts w:hint="eastAsia" w:ascii="仿宋" w:hAnsi="仿宋" w:eastAsia="仿宋" w:cs="仿宋"/>
                <w:bCs/>
                <w:color w:val="auto"/>
                <w:sz w:val="24"/>
                <w:highlight w:val="none"/>
              </w:rPr>
            </w:pPr>
          </w:p>
        </w:tc>
      </w:tr>
    </w:tbl>
    <w:p w14:paraId="6DEA56D7">
      <w:pPr>
        <w:snapToGrid w:val="0"/>
        <w:spacing w:line="360" w:lineRule="auto"/>
        <w:ind w:firstLine="576"/>
        <w:jc w:val="center"/>
        <w:rPr>
          <w:rFonts w:hint="eastAsia" w:ascii="仿宋" w:hAnsi="仿宋" w:eastAsia="仿宋" w:cs="仿宋"/>
          <w:color w:val="auto"/>
          <w:kern w:val="0"/>
          <w:sz w:val="24"/>
          <w:highlight w:val="none"/>
          <w:lang w:val="zh-CN"/>
        </w:rPr>
      </w:pPr>
    </w:p>
    <w:p w14:paraId="33D697A2">
      <w:pPr>
        <w:snapToGrid w:val="0"/>
        <w:spacing w:line="360" w:lineRule="auto"/>
        <w:ind w:firstLine="576"/>
        <w:jc w:val="center"/>
        <w:rPr>
          <w:rFonts w:hint="eastAsia" w:ascii="仿宋" w:hAnsi="仿宋" w:eastAsia="仿宋" w:cs="仿宋"/>
          <w:color w:val="auto"/>
          <w:kern w:val="0"/>
          <w:sz w:val="24"/>
          <w:highlight w:val="none"/>
          <w:lang w:val="zh-CN"/>
        </w:rPr>
      </w:pPr>
    </w:p>
    <w:p w14:paraId="0E2367B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1D606BC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1BD283">
      <w:pPr>
        <w:jc w:val="center"/>
        <w:rPr>
          <w:rFonts w:hint="eastAsia" w:ascii="仿宋" w:hAnsi="仿宋" w:eastAsia="仿宋" w:cs="仿宋"/>
          <w:b/>
          <w:color w:val="auto"/>
          <w:kern w:val="0"/>
          <w:sz w:val="32"/>
          <w:szCs w:val="32"/>
          <w:highlight w:val="none"/>
        </w:rPr>
      </w:pPr>
    </w:p>
    <w:p w14:paraId="35C5F27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45B1018">
      <w:pPr>
        <w:jc w:val="center"/>
        <w:rPr>
          <w:rFonts w:hint="eastAsia" w:ascii="仿宋" w:hAnsi="仿宋" w:eastAsia="仿宋" w:cs="仿宋"/>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306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61440B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noWrap w:val="0"/>
            <w:vAlign w:val="center"/>
          </w:tcPr>
          <w:p w14:paraId="385DD6F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noWrap w:val="0"/>
            <w:vAlign w:val="center"/>
          </w:tcPr>
          <w:p w14:paraId="1F43228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noWrap w:val="0"/>
            <w:vAlign w:val="center"/>
          </w:tcPr>
          <w:p w14:paraId="08923F6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4E37394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B89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64443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noWrap w:val="0"/>
            <w:vAlign w:val="center"/>
          </w:tcPr>
          <w:p w14:paraId="724BEB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566" w:type="dxa"/>
            <w:noWrap w:val="0"/>
            <w:vAlign w:val="center"/>
          </w:tcPr>
          <w:p w14:paraId="25B6A6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noWrap w:val="0"/>
            <w:vAlign w:val="center"/>
          </w:tcPr>
          <w:p w14:paraId="4BEC56B7">
            <w:pPr>
              <w:jc w:val="center"/>
              <w:rPr>
                <w:rFonts w:hint="eastAsia" w:ascii="仿宋" w:hAnsi="仿宋" w:eastAsia="仿宋" w:cs="仿宋"/>
                <w:color w:val="auto"/>
                <w:sz w:val="24"/>
                <w:highlight w:val="none"/>
              </w:rPr>
            </w:pPr>
          </w:p>
          <w:p w14:paraId="3BD678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3977795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1A8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0443D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noWrap w:val="0"/>
            <w:vAlign w:val="center"/>
          </w:tcPr>
          <w:p w14:paraId="3E28F3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566" w:type="dxa"/>
            <w:noWrap w:val="0"/>
            <w:vAlign w:val="center"/>
          </w:tcPr>
          <w:p w14:paraId="7C56E8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noWrap w:val="0"/>
            <w:vAlign w:val="center"/>
          </w:tcPr>
          <w:p w14:paraId="2008F846">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83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CC74C0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noWrap w:val="0"/>
            <w:vAlign w:val="center"/>
          </w:tcPr>
          <w:p w14:paraId="5B8D9D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566" w:type="dxa"/>
            <w:noWrap w:val="0"/>
            <w:vAlign w:val="center"/>
          </w:tcPr>
          <w:p w14:paraId="53144E8E">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noWrap w:val="0"/>
            <w:vAlign w:val="center"/>
          </w:tcPr>
          <w:p w14:paraId="70087DC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B5A05E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D0C249">
      <w:pPr>
        <w:jc w:val="center"/>
        <w:rPr>
          <w:rFonts w:hint="eastAsia" w:ascii="仿宋" w:hAnsi="仿宋" w:eastAsia="仿宋" w:cs="仿宋"/>
          <w:b/>
          <w:color w:val="auto"/>
          <w:kern w:val="0"/>
          <w:sz w:val="32"/>
          <w:szCs w:val="32"/>
          <w:highlight w:val="none"/>
        </w:rPr>
      </w:pPr>
    </w:p>
    <w:p w14:paraId="55831A8E">
      <w:pPr>
        <w:jc w:val="center"/>
        <w:rPr>
          <w:rFonts w:hint="eastAsia" w:ascii="仿宋" w:hAnsi="仿宋" w:eastAsia="仿宋" w:cs="仿宋"/>
          <w:b/>
          <w:color w:val="auto"/>
          <w:kern w:val="0"/>
          <w:sz w:val="32"/>
          <w:szCs w:val="32"/>
          <w:highlight w:val="none"/>
        </w:rPr>
      </w:pPr>
    </w:p>
    <w:p w14:paraId="7EA9C427">
      <w:pPr>
        <w:jc w:val="center"/>
        <w:rPr>
          <w:rFonts w:hint="eastAsia" w:ascii="仿宋" w:hAnsi="仿宋" w:eastAsia="仿宋" w:cs="仿宋"/>
          <w:b/>
          <w:color w:val="auto"/>
          <w:kern w:val="0"/>
          <w:sz w:val="32"/>
          <w:szCs w:val="32"/>
          <w:highlight w:val="none"/>
        </w:rPr>
      </w:pPr>
    </w:p>
    <w:p w14:paraId="68CB2DD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C168FD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（按交易文件第四部分交易办法前附表中“响应文件中评标标准相应的商务技术资料目录”提供资料。）</w:t>
      </w:r>
    </w:p>
    <w:p w14:paraId="674662F7">
      <w:pPr>
        <w:jc w:val="center"/>
        <w:rPr>
          <w:rFonts w:hint="eastAsia" w:ascii="仿宋" w:hAnsi="仿宋" w:eastAsia="仿宋" w:cs="仿宋"/>
          <w:b/>
          <w:color w:val="auto"/>
          <w:kern w:val="0"/>
          <w:sz w:val="32"/>
          <w:szCs w:val="32"/>
          <w:highlight w:val="none"/>
        </w:rPr>
      </w:pPr>
    </w:p>
    <w:p w14:paraId="0072C2DC">
      <w:pPr>
        <w:jc w:val="center"/>
        <w:rPr>
          <w:rFonts w:hint="eastAsia" w:ascii="仿宋" w:hAnsi="仿宋" w:eastAsia="仿宋" w:cs="仿宋"/>
          <w:b/>
          <w:color w:val="auto"/>
          <w:kern w:val="0"/>
          <w:sz w:val="32"/>
          <w:szCs w:val="32"/>
          <w:highlight w:val="none"/>
        </w:rPr>
      </w:pPr>
    </w:p>
    <w:p w14:paraId="276A83CF">
      <w:pPr>
        <w:jc w:val="center"/>
        <w:rPr>
          <w:rFonts w:hint="eastAsia" w:ascii="仿宋" w:hAnsi="仿宋" w:eastAsia="仿宋" w:cs="仿宋"/>
          <w:b/>
          <w:color w:val="auto"/>
          <w:kern w:val="0"/>
          <w:sz w:val="32"/>
          <w:szCs w:val="32"/>
          <w:highlight w:val="none"/>
        </w:rPr>
      </w:pPr>
    </w:p>
    <w:p w14:paraId="6328FF03">
      <w:pPr>
        <w:jc w:val="center"/>
        <w:rPr>
          <w:rFonts w:hint="eastAsia" w:ascii="仿宋" w:hAnsi="仿宋" w:eastAsia="仿宋" w:cs="仿宋"/>
          <w:b/>
          <w:color w:val="auto"/>
          <w:kern w:val="0"/>
          <w:sz w:val="32"/>
          <w:szCs w:val="32"/>
          <w:highlight w:val="none"/>
        </w:rPr>
      </w:pPr>
    </w:p>
    <w:p w14:paraId="015A8A9B">
      <w:pPr>
        <w:jc w:val="center"/>
        <w:rPr>
          <w:rFonts w:hint="eastAsia" w:ascii="仿宋" w:hAnsi="仿宋" w:eastAsia="仿宋" w:cs="仿宋"/>
          <w:b/>
          <w:color w:val="auto"/>
          <w:kern w:val="0"/>
          <w:sz w:val="32"/>
          <w:szCs w:val="32"/>
          <w:highlight w:val="none"/>
        </w:rPr>
      </w:pPr>
    </w:p>
    <w:p w14:paraId="582E2ECF">
      <w:pPr>
        <w:pStyle w:val="17"/>
        <w:rPr>
          <w:rFonts w:hint="eastAsia" w:ascii="仿宋" w:hAnsi="仿宋" w:eastAsia="仿宋" w:cs="仿宋"/>
          <w:b/>
          <w:color w:val="auto"/>
          <w:kern w:val="0"/>
          <w:sz w:val="32"/>
          <w:szCs w:val="32"/>
          <w:highlight w:val="none"/>
        </w:rPr>
      </w:pPr>
    </w:p>
    <w:p w14:paraId="594900E4">
      <w:pPr>
        <w:pStyle w:val="15"/>
        <w:rPr>
          <w:rFonts w:hint="eastAsia" w:ascii="仿宋" w:hAnsi="仿宋" w:eastAsia="仿宋" w:cs="仿宋"/>
          <w:color w:val="auto"/>
          <w:highlight w:val="none"/>
        </w:rPr>
      </w:pPr>
    </w:p>
    <w:p w14:paraId="63EB5E8C">
      <w:pPr>
        <w:jc w:val="center"/>
        <w:rPr>
          <w:rFonts w:hint="eastAsia" w:ascii="仿宋" w:hAnsi="仿宋" w:eastAsia="仿宋" w:cs="仿宋"/>
          <w:b/>
          <w:color w:val="auto"/>
          <w:kern w:val="0"/>
          <w:sz w:val="32"/>
          <w:szCs w:val="32"/>
          <w:highlight w:val="none"/>
        </w:rPr>
      </w:pPr>
    </w:p>
    <w:p w14:paraId="68B74C90">
      <w:pPr>
        <w:jc w:val="center"/>
        <w:rPr>
          <w:rFonts w:hint="eastAsia" w:ascii="仿宋" w:hAnsi="仿宋" w:eastAsia="仿宋" w:cs="仿宋"/>
          <w:b/>
          <w:color w:val="auto"/>
          <w:kern w:val="0"/>
          <w:sz w:val="32"/>
          <w:szCs w:val="32"/>
          <w:highlight w:val="none"/>
        </w:rPr>
      </w:pPr>
    </w:p>
    <w:p w14:paraId="23ED0B38">
      <w:pPr>
        <w:jc w:val="center"/>
        <w:rPr>
          <w:rFonts w:hint="eastAsia" w:ascii="仿宋" w:hAnsi="仿宋" w:eastAsia="仿宋" w:cs="仿宋"/>
          <w:b/>
          <w:color w:val="auto"/>
          <w:kern w:val="0"/>
          <w:sz w:val="32"/>
          <w:szCs w:val="32"/>
          <w:highlight w:val="none"/>
        </w:rPr>
      </w:pPr>
    </w:p>
    <w:p w14:paraId="12FFF646">
      <w:pPr>
        <w:jc w:val="center"/>
        <w:rPr>
          <w:rFonts w:hint="eastAsia" w:ascii="仿宋" w:hAnsi="仿宋" w:eastAsia="仿宋" w:cs="仿宋"/>
          <w:b/>
          <w:color w:val="auto"/>
          <w:kern w:val="0"/>
          <w:sz w:val="32"/>
          <w:szCs w:val="32"/>
          <w:highlight w:val="none"/>
        </w:rPr>
      </w:pPr>
    </w:p>
    <w:p w14:paraId="1292FB03">
      <w:pPr>
        <w:spacing w:line="360" w:lineRule="auto"/>
        <w:ind w:right="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1F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A404A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top"/>
          </w:tcPr>
          <w:p w14:paraId="2ABD83F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noWrap w:val="0"/>
            <w:vAlign w:val="top"/>
          </w:tcPr>
          <w:p w14:paraId="05BCFB3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noWrap w:val="0"/>
            <w:vAlign w:val="top"/>
          </w:tcPr>
          <w:p w14:paraId="7654A07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D8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A6D554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top"/>
          </w:tcPr>
          <w:p w14:paraId="0E53A8D0">
            <w:pPr>
              <w:jc w:val="center"/>
              <w:rPr>
                <w:rFonts w:hint="eastAsia" w:ascii="仿宋" w:hAnsi="仿宋" w:eastAsia="仿宋" w:cs="仿宋"/>
                <w:b/>
                <w:color w:val="auto"/>
                <w:kern w:val="0"/>
                <w:sz w:val="32"/>
                <w:szCs w:val="32"/>
                <w:highlight w:val="none"/>
              </w:rPr>
            </w:pPr>
          </w:p>
        </w:tc>
        <w:tc>
          <w:tcPr>
            <w:tcW w:w="3546" w:type="dxa"/>
            <w:noWrap w:val="0"/>
            <w:vAlign w:val="top"/>
          </w:tcPr>
          <w:p w14:paraId="48398D91">
            <w:pPr>
              <w:jc w:val="center"/>
              <w:rPr>
                <w:rFonts w:hint="eastAsia" w:ascii="仿宋" w:hAnsi="仿宋" w:eastAsia="仿宋" w:cs="仿宋"/>
                <w:b/>
                <w:color w:val="auto"/>
                <w:kern w:val="0"/>
                <w:sz w:val="32"/>
                <w:szCs w:val="32"/>
                <w:highlight w:val="none"/>
              </w:rPr>
            </w:pPr>
          </w:p>
        </w:tc>
        <w:tc>
          <w:tcPr>
            <w:tcW w:w="1276" w:type="dxa"/>
            <w:noWrap w:val="0"/>
            <w:vAlign w:val="top"/>
          </w:tcPr>
          <w:p w14:paraId="45A0A4CD">
            <w:pPr>
              <w:jc w:val="center"/>
              <w:rPr>
                <w:rFonts w:hint="eastAsia" w:ascii="仿宋" w:hAnsi="仿宋" w:eastAsia="仿宋" w:cs="仿宋"/>
                <w:b/>
                <w:color w:val="auto"/>
                <w:kern w:val="0"/>
                <w:sz w:val="32"/>
                <w:szCs w:val="32"/>
                <w:highlight w:val="none"/>
              </w:rPr>
            </w:pPr>
          </w:p>
        </w:tc>
      </w:tr>
      <w:tr w14:paraId="2154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D0B0AB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top"/>
          </w:tcPr>
          <w:p w14:paraId="584ACC45">
            <w:pPr>
              <w:jc w:val="center"/>
              <w:rPr>
                <w:rFonts w:hint="eastAsia" w:ascii="仿宋" w:hAnsi="仿宋" w:eastAsia="仿宋" w:cs="仿宋"/>
                <w:b/>
                <w:color w:val="auto"/>
                <w:kern w:val="0"/>
                <w:sz w:val="32"/>
                <w:szCs w:val="32"/>
                <w:highlight w:val="none"/>
              </w:rPr>
            </w:pPr>
          </w:p>
        </w:tc>
        <w:tc>
          <w:tcPr>
            <w:tcW w:w="3546" w:type="dxa"/>
            <w:noWrap w:val="0"/>
            <w:vAlign w:val="top"/>
          </w:tcPr>
          <w:p w14:paraId="48922DA4">
            <w:pPr>
              <w:jc w:val="center"/>
              <w:rPr>
                <w:rFonts w:hint="eastAsia" w:ascii="仿宋" w:hAnsi="仿宋" w:eastAsia="仿宋" w:cs="仿宋"/>
                <w:b/>
                <w:color w:val="auto"/>
                <w:kern w:val="0"/>
                <w:sz w:val="32"/>
                <w:szCs w:val="32"/>
                <w:highlight w:val="none"/>
              </w:rPr>
            </w:pPr>
          </w:p>
        </w:tc>
        <w:tc>
          <w:tcPr>
            <w:tcW w:w="1276" w:type="dxa"/>
            <w:noWrap w:val="0"/>
            <w:vAlign w:val="top"/>
          </w:tcPr>
          <w:p w14:paraId="6E9CC021">
            <w:pPr>
              <w:jc w:val="center"/>
              <w:rPr>
                <w:rFonts w:hint="eastAsia" w:ascii="仿宋" w:hAnsi="仿宋" w:eastAsia="仿宋" w:cs="仿宋"/>
                <w:b/>
                <w:color w:val="auto"/>
                <w:kern w:val="0"/>
                <w:sz w:val="32"/>
                <w:szCs w:val="32"/>
                <w:highlight w:val="none"/>
              </w:rPr>
            </w:pPr>
          </w:p>
        </w:tc>
      </w:tr>
      <w:tr w14:paraId="6C70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39ABE9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top"/>
          </w:tcPr>
          <w:p w14:paraId="7E29AFC5">
            <w:pPr>
              <w:jc w:val="center"/>
              <w:rPr>
                <w:rFonts w:hint="eastAsia" w:ascii="仿宋" w:hAnsi="仿宋" w:eastAsia="仿宋" w:cs="仿宋"/>
                <w:b/>
                <w:color w:val="auto"/>
                <w:kern w:val="0"/>
                <w:sz w:val="32"/>
                <w:szCs w:val="32"/>
                <w:highlight w:val="none"/>
              </w:rPr>
            </w:pPr>
          </w:p>
        </w:tc>
        <w:tc>
          <w:tcPr>
            <w:tcW w:w="3546" w:type="dxa"/>
            <w:noWrap w:val="0"/>
            <w:vAlign w:val="top"/>
          </w:tcPr>
          <w:p w14:paraId="3C79935D">
            <w:pPr>
              <w:jc w:val="center"/>
              <w:rPr>
                <w:rFonts w:hint="eastAsia" w:ascii="仿宋" w:hAnsi="仿宋" w:eastAsia="仿宋" w:cs="仿宋"/>
                <w:b/>
                <w:color w:val="auto"/>
                <w:kern w:val="0"/>
                <w:sz w:val="32"/>
                <w:szCs w:val="32"/>
                <w:highlight w:val="none"/>
              </w:rPr>
            </w:pPr>
          </w:p>
        </w:tc>
        <w:tc>
          <w:tcPr>
            <w:tcW w:w="1276" w:type="dxa"/>
            <w:noWrap w:val="0"/>
            <w:vAlign w:val="top"/>
          </w:tcPr>
          <w:p w14:paraId="24C51B3A">
            <w:pPr>
              <w:jc w:val="center"/>
              <w:rPr>
                <w:rFonts w:hint="eastAsia" w:ascii="仿宋" w:hAnsi="仿宋" w:eastAsia="仿宋" w:cs="仿宋"/>
                <w:b/>
                <w:color w:val="auto"/>
                <w:kern w:val="0"/>
                <w:sz w:val="32"/>
                <w:szCs w:val="32"/>
                <w:highlight w:val="none"/>
              </w:rPr>
            </w:pPr>
          </w:p>
        </w:tc>
      </w:tr>
    </w:tbl>
    <w:p w14:paraId="75F1DA2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709EA524">
      <w:pPr>
        <w:jc w:val="center"/>
        <w:rPr>
          <w:rFonts w:hint="eastAsia" w:ascii="仿宋" w:hAnsi="仿宋" w:eastAsia="仿宋" w:cs="仿宋"/>
          <w:b/>
          <w:color w:val="auto"/>
          <w:kern w:val="0"/>
          <w:sz w:val="32"/>
          <w:szCs w:val="32"/>
          <w:highlight w:val="none"/>
        </w:rPr>
      </w:pPr>
    </w:p>
    <w:p w14:paraId="343708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31BA2E">
      <w:pPr>
        <w:jc w:val="center"/>
        <w:rPr>
          <w:rFonts w:hint="eastAsia" w:ascii="仿宋" w:hAnsi="仿宋" w:eastAsia="仿宋" w:cs="仿宋"/>
          <w:b/>
          <w:color w:val="auto"/>
          <w:kern w:val="0"/>
          <w:sz w:val="32"/>
          <w:szCs w:val="32"/>
          <w:highlight w:val="none"/>
        </w:rPr>
      </w:pPr>
    </w:p>
    <w:p w14:paraId="1DBC6ECD">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4D238E4">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44195824">
      <w:pPr>
        <w:snapToGrid w:val="0"/>
        <w:spacing w:line="360" w:lineRule="auto"/>
        <w:rPr>
          <w:rFonts w:hint="eastAsia" w:ascii="仿宋" w:hAnsi="仿宋" w:eastAsia="仿宋" w:cs="仿宋"/>
          <w:color w:val="auto"/>
          <w:sz w:val="24"/>
          <w:highlight w:val="none"/>
        </w:rPr>
      </w:pPr>
    </w:p>
    <w:p w14:paraId="32F70A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14:paraId="1E7DAED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后，我们将严格遵守国家法律法规要求，并郑重承诺：</w:t>
      </w:r>
    </w:p>
    <w:p w14:paraId="32064B4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EA0F5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D261D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0C3C6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958DBB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FC566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623234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5F9ED1A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217367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A58A85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F4803F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276FCF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CFC600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A911A41">
      <w:pPr>
        <w:spacing w:line="360" w:lineRule="auto"/>
        <w:jc w:val="center"/>
        <w:rPr>
          <w:rFonts w:hint="eastAsia" w:ascii="仿宋" w:hAnsi="仿宋" w:eastAsia="仿宋" w:cs="仿宋"/>
          <w:b/>
          <w:bCs/>
          <w:color w:val="auto"/>
          <w:sz w:val="24"/>
          <w:highlight w:val="none"/>
        </w:rPr>
      </w:pPr>
    </w:p>
    <w:p w14:paraId="329D81A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CC092A">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6DBD16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2D4A70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97CA327">
      <w:pPr>
        <w:spacing w:line="360" w:lineRule="auto"/>
        <w:jc w:val="center"/>
        <w:outlineLvl w:val="0"/>
        <w:rPr>
          <w:rFonts w:hint="eastAsia" w:ascii="仿宋" w:hAnsi="仿宋" w:eastAsia="仿宋" w:cs="仿宋"/>
          <w:b/>
          <w:color w:val="auto"/>
          <w:kern w:val="0"/>
          <w:sz w:val="36"/>
          <w:szCs w:val="36"/>
          <w:highlight w:val="none"/>
        </w:rPr>
      </w:pPr>
    </w:p>
    <w:p w14:paraId="61E1A0E7">
      <w:pPr>
        <w:numPr>
          <w:ilvl w:val="0"/>
          <w:numId w:val="9"/>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交易一览表（报价表）…………………………………………………………（页码）</w:t>
      </w:r>
    </w:p>
    <w:p w14:paraId="082A2913">
      <w:pPr>
        <w:snapToGrid w:val="0"/>
        <w:spacing w:line="360" w:lineRule="auto"/>
        <w:ind w:right="480"/>
        <w:jc w:val="center"/>
        <w:rPr>
          <w:rFonts w:hint="eastAsia" w:ascii="仿宋" w:hAnsi="仿宋" w:eastAsia="仿宋" w:cs="仿宋"/>
          <w:b/>
          <w:color w:val="auto"/>
          <w:kern w:val="0"/>
          <w:sz w:val="32"/>
          <w:szCs w:val="32"/>
          <w:highlight w:val="none"/>
        </w:rPr>
      </w:pPr>
    </w:p>
    <w:p w14:paraId="19C12ED4">
      <w:pPr>
        <w:snapToGrid w:val="0"/>
        <w:spacing w:line="360" w:lineRule="auto"/>
        <w:ind w:right="480"/>
        <w:jc w:val="center"/>
        <w:rPr>
          <w:rFonts w:hint="eastAsia" w:ascii="仿宋" w:hAnsi="仿宋" w:eastAsia="仿宋" w:cs="仿宋"/>
          <w:b/>
          <w:color w:val="auto"/>
          <w:kern w:val="0"/>
          <w:sz w:val="32"/>
          <w:szCs w:val="32"/>
          <w:highlight w:val="none"/>
        </w:rPr>
      </w:pPr>
    </w:p>
    <w:p w14:paraId="4B65E3C9">
      <w:pPr>
        <w:snapToGrid w:val="0"/>
        <w:spacing w:line="360" w:lineRule="auto"/>
        <w:ind w:right="480"/>
        <w:jc w:val="center"/>
        <w:rPr>
          <w:rFonts w:hint="eastAsia" w:ascii="仿宋" w:hAnsi="仿宋" w:eastAsia="仿宋" w:cs="仿宋"/>
          <w:b/>
          <w:color w:val="auto"/>
          <w:kern w:val="0"/>
          <w:sz w:val="32"/>
          <w:szCs w:val="32"/>
          <w:highlight w:val="none"/>
        </w:rPr>
      </w:pPr>
    </w:p>
    <w:p w14:paraId="03B8E2F0">
      <w:pPr>
        <w:snapToGrid w:val="0"/>
        <w:spacing w:line="360" w:lineRule="auto"/>
        <w:ind w:right="480"/>
        <w:jc w:val="center"/>
        <w:rPr>
          <w:rFonts w:hint="eastAsia" w:ascii="仿宋" w:hAnsi="仿宋" w:eastAsia="仿宋" w:cs="仿宋"/>
          <w:b/>
          <w:color w:val="auto"/>
          <w:kern w:val="0"/>
          <w:sz w:val="32"/>
          <w:szCs w:val="32"/>
          <w:highlight w:val="none"/>
        </w:rPr>
      </w:pPr>
    </w:p>
    <w:p w14:paraId="6653D0E4">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14:paraId="64DE8E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14576AD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按你方公开竞争文件要求，我们，本响应文件签字方，谨此向你方发出要约如下：如你方接受本响应，我方承诺按照如下交易一览表（报价表）的价格完成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B2C49AD">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交易一览表（报价表）(单位均为人民币元)</w:t>
      </w:r>
    </w:p>
    <w:p w14:paraId="7D48B5B4">
      <w:pPr>
        <w:snapToGrid w:val="0"/>
        <w:spacing w:line="360" w:lineRule="auto"/>
        <w:ind w:right="480"/>
        <w:jc w:val="center"/>
        <w:rPr>
          <w:rFonts w:hint="eastAsia" w:ascii="仿宋" w:hAnsi="仿宋" w:eastAsia="仿宋" w:cs="仿宋"/>
          <w:b/>
          <w:color w:val="auto"/>
          <w:kern w:val="0"/>
          <w:sz w:val="32"/>
          <w:szCs w:val="32"/>
          <w:highlight w:val="none"/>
        </w:rPr>
      </w:pPr>
    </w:p>
    <w:p w14:paraId="458CB88B">
      <w:pPr>
        <w:snapToGrid w:val="0"/>
        <w:spacing w:line="360" w:lineRule="auto"/>
        <w:ind w:right="480"/>
        <w:jc w:val="center"/>
        <w:rPr>
          <w:rFonts w:hint="eastAsia" w:ascii="仿宋" w:hAnsi="仿宋" w:eastAsia="仿宋" w:cs="仿宋"/>
          <w:b/>
          <w:color w:val="auto"/>
          <w:kern w:val="0"/>
          <w:sz w:val="32"/>
          <w:szCs w:val="32"/>
          <w:highlight w:val="none"/>
        </w:rPr>
      </w:pPr>
    </w:p>
    <w:p w14:paraId="3DFEEDC8">
      <w:pPr>
        <w:snapToGrid w:val="0"/>
        <w:spacing w:line="360" w:lineRule="auto"/>
        <w:ind w:right="480"/>
        <w:jc w:val="center"/>
        <w:rPr>
          <w:rFonts w:hint="eastAsia" w:ascii="仿宋" w:hAnsi="仿宋" w:eastAsia="仿宋" w:cs="仿宋"/>
          <w:b/>
          <w:color w:val="auto"/>
          <w:kern w:val="0"/>
          <w:sz w:val="32"/>
          <w:szCs w:val="32"/>
          <w:highlight w:val="none"/>
        </w:rPr>
      </w:pPr>
    </w:p>
    <w:p w14:paraId="4E80EDD0">
      <w:pPr>
        <w:snapToGrid w:val="0"/>
        <w:spacing w:line="360" w:lineRule="auto"/>
        <w:ind w:right="480"/>
        <w:jc w:val="center"/>
        <w:rPr>
          <w:rFonts w:hint="eastAsia" w:ascii="仿宋" w:hAnsi="仿宋" w:eastAsia="仿宋" w:cs="仿宋"/>
          <w:b/>
          <w:color w:val="auto"/>
          <w:kern w:val="0"/>
          <w:sz w:val="32"/>
          <w:szCs w:val="32"/>
          <w:highlight w:val="none"/>
        </w:rPr>
      </w:pPr>
    </w:p>
    <w:p w14:paraId="3D6983D7">
      <w:pPr>
        <w:snapToGrid w:val="0"/>
        <w:spacing w:line="360" w:lineRule="auto"/>
        <w:ind w:right="480"/>
        <w:jc w:val="center"/>
        <w:rPr>
          <w:rFonts w:hint="eastAsia" w:ascii="仿宋" w:hAnsi="仿宋" w:eastAsia="仿宋" w:cs="仿宋"/>
          <w:b/>
          <w:color w:val="auto"/>
          <w:kern w:val="0"/>
          <w:sz w:val="32"/>
          <w:szCs w:val="32"/>
          <w:highlight w:val="none"/>
        </w:rPr>
      </w:pPr>
    </w:p>
    <w:p w14:paraId="13B21907">
      <w:pPr>
        <w:snapToGrid w:val="0"/>
        <w:spacing w:line="360" w:lineRule="auto"/>
        <w:ind w:right="480"/>
        <w:jc w:val="center"/>
        <w:rPr>
          <w:rFonts w:hint="eastAsia" w:ascii="仿宋" w:hAnsi="仿宋" w:eastAsia="仿宋" w:cs="仿宋"/>
          <w:b/>
          <w:color w:val="auto"/>
          <w:kern w:val="0"/>
          <w:sz w:val="32"/>
          <w:szCs w:val="32"/>
          <w:highlight w:val="none"/>
        </w:rPr>
      </w:pPr>
    </w:p>
    <w:p w14:paraId="10C1617B">
      <w:pPr>
        <w:snapToGrid w:val="0"/>
        <w:spacing w:line="360" w:lineRule="auto"/>
        <w:ind w:right="480"/>
        <w:jc w:val="center"/>
        <w:rPr>
          <w:rFonts w:hint="eastAsia" w:ascii="仿宋" w:hAnsi="仿宋" w:eastAsia="仿宋" w:cs="仿宋"/>
          <w:b/>
          <w:color w:val="auto"/>
          <w:kern w:val="0"/>
          <w:sz w:val="32"/>
          <w:szCs w:val="32"/>
          <w:highlight w:val="none"/>
        </w:rPr>
      </w:pPr>
    </w:p>
    <w:p w14:paraId="2DF46D90">
      <w:pPr>
        <w:snapToGrid w:val="0"/>
        <w:spacing w:line="360" w:lineRule="auto"/>
        <w:ind w:right="480"/>
        <w:jc w:val="center"/>
        <w:rPr>
          <w:rFonts w:hint="eastAsia" w:ascii="仿宋" w:hAnsi="仿宋" w:eastAsia="仿宋" w:cs="仿宋"/>
          <w:b/>
          <w:color w:val="auto"/>
          <w:kern w:val="0"/>
          <w:sz w:val="32"/>
          <w:szCs w:val="32"/>
          <w:highlight w:val="none"/>
        </w:rPr>
      </w:pPr>
    </w:p>
    <w:p w14:paraId="2BEEE57E">
      <w:pPr>
        <w:snapToGrid w:val="0"/>
        <w:spacing w:line="360" w:lineRule="auto"/>
        <w:ind w:right="480"/>
        <w:jc w:val="center"/>
        <w:rPr>
          <w:rFonts w:hint="eastAsia" w:ascii="仿宋" w:hAnsi="仿宋" w:eastAsia="仿宋" w:cs="仿宋"/>
          <w:b/>
          <w:color w:val="auto"/>
          <w:kern w:val="0"/>
          <w:sz w:val="32"/>
          <w:szCs w:val="32"/>
          <w:highlight w:val="none"/>
        </w:rPr>
      </w:pPr>
    </w:p>
    <w:p w14:paraId="1033DFDB">
      <w:pPr>
        <w:snapToGrid w:val="0"/>
        <w:spacing w:line="360" w:lineRule="auto"/>
        <w:ind w:right="480"/>
        <w:jc w:val="center"/>
        <w:rPr>
          <w:rFonts w:hint="eastAsia" w:ascii="仿宋" w:hAnsi="仿宋" w:eastAsia="仿宋" w:cs="仿宋"/>
          <w:b/>
          <w:color w:val="auto"/>
          <w:kern w:val="0"/>
          <w:sz w:val="32"/>
          <w:szCs w:val="32"/>
          <w:highlight w:val="none"/>
        </w:rPr>
      </w:pPr>
    </w:p>
    <w:p w14:paraId="4D61E1A8">
      <w:pPr>
        <w:snapToGrid w:val="0"/>
        <w:spacing w:line="360" w:lineRule="auto"/>
        <w:ind w:right="480"/>
        <w:jc w:val="center"/>
        <w:rPr>
          <w:rFonts w:hint="eastAsia" w:ascii="仿宋" w:hAnsi="仿宋" w:eastAsia="仿宋" w:cs="仿宋"/>
          <w:b/>
          <w:color w:val="auto"/>
          <w:kern w:val="0"/>
          <w:sz w:val="32"/>
          <w:szCs w:val="32"/>
          <w:highlight w:val="none"/>
        </w:rPr>
      </w:pPr>
    </w:p>
    <w:p w14:paraId="2A6E9565">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18"/>
        <w:tblpPr w:leftFromText="180" w:rightFromText="180" w:vertAnchor="page" w:horzAnchor="page" w:tblpX="1583" w:tblpY="1487"/>
        <w:tblOverlap w:val="never"/>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825"/>
        <w:gridCol w:w="2858"/>
        <w:gridCol w:w="4764"/>
        <w:gridCol w:w="1845"/>
        <w:tblGridChange w:id="0">
          <w:tblGrid>
            <w:gridCol w:w="3793"/>
            <w:gridCol w:w="107"/>
            <w:gridCol w:w="718"/>
            <w:gridCol w:w="107"/>
            <w:gridCol w:w="2751"/>
            <w:gridCol w:w="4764"/>
            <w:gridCol w:w="1845"/>
          </w:tblGrid>
        </w:tblGridChange>
      </w:tblGrid>
      <w:tr w14:paraId="617B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793" w:type="dxa"/>
            <w:noWrap w:val="0"/>
            <w:vAlign w:val="center"/>
          </w:tcPr>
          <w:p w14:paraId="5FE9B41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内容</w:t>
            </w:r>
          </w:p>
        </w:tc>
        <w:tc>
          <w:tcPr>
            <w:tcW w:w="825" w:type="dxa"/>
            <w:noWrap w:val="0"/>
            <w:vAlign w:val="center"/>
          </w:tcPr>
          <w:p w14:paraId="1923830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858" w:type="dxa"/>
            <w:noWrap w:val="0"/>
            <w:vAlign w:val="center"/>
          </w:tcPr>
          <w:p w14:paraId="216D979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含税管费</w:t>
            </w:r>
            <w:r>
              <w:rPr>
                <w:rFonts w:hint="eastAsia" w:ascii="仿宋" w:hAnsi="仿宋" w:eastAsia="仿宋" w:cs="仿宋"/>
                <w:color w:val="auto"/>
                <w:sz w:val="24"/>
                <w:szCs w:val="24"/>
                <w:highlight w:val="none"/>
                <w:lang w:eastAsia="zh-CN"/>
              </w:rPr>
              <w:t>）</w:t>
            </w:r>
          </w:p>
        </w:tc>
        <w:tc>
          <w:tcPr>
            <w:tcW w:w="4764" w:type="dxa"/>
            <w:noWrap w:val="0"/>
            <w:vAlign w:val="center"/>
          </w:tcPr>
          <w:p w14:paraId="73D5880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845" w:type="dxa"/>
            <w:noWrap w:val="0"/>
            <w:vAlign w:val="center"/>
          </w:tcPr>
          <w:p w14:paraId="1C65F39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r>
      <w:tr w14:paraId="2FC8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93" w:type="dxa"/>
            <w:noWrap w:val="0"/>
            <w:vAlign w:val="center"/>
          </w:tcPr>
          <w:p w14:paraId="2720C13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val="en-US" w:eastAsia="zh-CN"/>
              </w:rPr>
              <w:t>CCTV</w:t>
            </w:r>
            <w:r>
              <w:rPr>
                <w:rFonts w:hint="eastAsia" w:ascii="仿宋" w:hAnsi="仿宋" w:eastAsia="仿宋" w:cs="仿宋"/>
                <w:color w:val="auto"/>
                <w:sz w:val="24"/>
                <w:szCs w:val="24"/>
                <w:highlight w:val="none"/>
                <w:lang w:eastAsia="zh-CN"/>
              </w:rPr>
              <w:t>检测</w:t>
            </w:r>
          </w:p>
        </w:tc>
        <w:tc>
          <w:tcPr>
            <w:tcW w:w="825" w:type="dxa"/>
            <w:noWrap w:val="0"/>
            <w:vAlign w:val="center"/>
          </w:tcPr>
          <w:p w14:paraId="5C981DD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2858" w:type="dxa"/>
            <w:noWrap w:val="0"/>
            <w:vAlign w:val="center"/>
          </w:tcPr>
          <w:p w14:paraId="5AE62B9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1382A527">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845" w:type="dxa"/>
            <w:vMerge w:val="restart"/>
            <w:noWrap w:val="0"/>
            <w:vAlign w:val="center"/>
          </w:tcPr>
          <w:p w14:paraId="4A9BA91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24个月</w:t>
            </w:r>
          </w:p>
        </w:tc>
      </w:tr>
      <w:tr w14:paraId="64B7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93" w:type="dxa"/>
            <w:noWrap w:val="0"/>
            <w:vAlign w:val="center"/>
          </w:tcPr>
          <w:p w14:paraId="39CC449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Qv镜检测</w:t>
            </w:r>
          </w:p>
        </w:tc>
        <w:tc>
          <w:tcPr>
            <w:tcW w:w="825" w:type="dxa"/>
            <w:noWrap w:val="0"/>
            <w:vAlign w:val="center"/>
          </w:tcPr>
          <w:p w14:paraId="3BBBED88">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1米</w:t>
            </w:r>
          </w:p>
        </w:tc>
        <w:tc>
          <w:tcPr>
            <w:tcW w:w="2858" w:type="dxa"/>
            <w:noWrap w:val="0"/>
            <w:vAlign w:val="center"/>
          </w:tcPr>
          <w:p w14:paraId="250D267B">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1DAB7919">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lang w:eastAsia="zh-CN"/>
              </w:rPr>
            </w:pPr>
          </w:p>
        </w:tc>
        <w:tc>
          <w:tcPr>
            <w:tcW w:w="1845" w:type="dxa"/>
            <w:vMerge w:val="continue"/>
            <w:noWrap w:val="0"/>
            <w:vAlign w:val="center"/>
          </w:tcPr>
          <w:p w14:paraId="02EC547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p>
        </w:tc>
      </w:tr>
      <w:tr w14:paraId="219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93" w:type="dxa"/>
            <w:noWrap w:val="0"/>
            <w:vAlign w:val="center"/>
          </w:tcPr>
          <w:p w14:paraId="57EE8EE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825" w:type="dxa"/>
            <w:noWrap w:val="0"/>
            <w:vAlign w:val="center"/>
          </w:tcPr>
          <w:p w14:paraId="77983E3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2858" w:type="dxa"/>
            <w:noWrap w:val="0"/>
            <w:vAlign w:val="center"/>
          </w:tcPr>
          <w:p w14:paraId="1B39A85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311D2B56">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污水管道清淤疏通DN800以下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845" w:type="dxa"/>
            <w:vMerge w:val="continue"/>
            <w:noWrap w:val="0"/>
            <w:vAlign w:val="center"/>
          </w:tcPr>
          <w:p w14:paraId="7A8C020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95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93" w:type="dxa"/>
            <w:noWrap w:val="0"/>
            <w:vAlign w:val="center"/>
          </w:tcPr>
          <w:p w14:paraId="5ECFD1F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污水管道</w:t>
            </w:r>
            <w:r>
              <w:rPr>
                <w:rFonts w:hint="eastAsia" w:ascii="仿宋" w:hAnsi="仿宋" w:eastAsia="仿宋" w:cs="仿宋"/>
                <w:color w:val="auto"/>
                <w:sz w:val="24"/>
                <w:szCs w:val="24"/>
                <w:highlight w:val="none"/>
                <w:lang w:eastAsia="zh-CN"/>
              </w:rPr>
              <w:t>疏通</w:t>
            </w:r>
          </w:p>
        </w:tc>
        <w:tc>
          <w:tcPr>
            <w:tcW w:w="825" w:type="dxa"/>
            <w:noWrap w:val="0"/>
            <w:vAlign w:val="center"/>
          </w:tcPr>
          <w:p w14:paraId="0A6E2B5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米</w:t>
            </w:r>
          </w:p>
        </w:tc>
        <w:tc>
          <w:tcPr>
            <w:tcW w:w="2858" w:type="dxa"/>
            <w:noWrap w:val="0"/>
            <w:vAlign w:val="center"/>
          </w:tcPr>
          <w:p w14:paraId="49EF144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161373C3">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污水管道清淤疏通DN800及以上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含气囊封堵拆除及需要设置的有限空间作业</w:t>
            </w:r>
            <w:r>
              <w:rPr>
                <w:rFonts w:hint="eastAsia" w:ascii="仿宋" w:hAnsi="仿宋" w:eastAsia="仿宋" w:cs="仿宋"/>
                <w:color w:val="auto"/>
                <w:sz w:val="24"/>
                <w:szCs w:val="24"/>
                <w:highlight w:val="none"/>
                <w:lang w:eastAsia="zh-CN"/>
              </w:rPr>
              <w:t>）</w:t>
            </w:r>
          </w:p>
        </w:tc>
        <w:tc>
          <w:tcPr>
            <w:tcW w:w="1845" w:type="dxa"/>
            <w:vMerge w:val="continue"/>
            <w:noWrap w:val="0"/>
            <w:vAlign w:val="center"/>
          </w:tcPr>
          <w:p w14:paraId="214EA90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72D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11E040B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DN300管道整体内衬修复（光固化）</w:t>
            </w:r>
          </w:p>
        </w:tc>
        <w:tc>
          <w:tcPr>
            <w:tcW w:w="825" w:type="dxa"/>
            <w:noWrap w:val="0"/>
            <w:vAlign w:val="center"/>
          </w:tcPr>
          <w:p w14:paraId="7145C41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7F2291F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1934AB8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3E85527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D4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7E9C51AC">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DN400管道整体内衬修复（光固化）</w:t>
            </w:r>
          </w:p>
        </w:tc>
        <w:tc>
          <w:tcPr>
            <w:tcW w:w="825" w:type="dxa"/>
            <w:noWrap w:val="0"/>
            <w:vAlign w:val="center"/>
          </w:tcPr>
          <w:p w14:paraId="7294D4E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7B863F02">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03CEFD8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0DB3A95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1CEB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3793" w:type="dxa"/>
            <w:noWrap w:val="0"/>
            <w:vAlign w:val="center"/>
          </w:tcPr>
          <w:p w14:paraId="2A8EC45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DN500管道整体内衬修复（光固化）</w:t>
            </w:r>
          </w:p>
        </w:tc>
        <w:tc>
          <w:tcPr>
            <w:tcW w:w="825" w:type="dxa"/>
            <w:noWrap w:val="0"/>
            <w:vAlign w:val="center"/>
          </w:tcPr>
          <w:p w14:paraId="53E13F2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75E5622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060F884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7EB6CE3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A55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0EC8629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DN600管道整体内衬修复（光固化）</w:t>
            </w:r>
          </w:p>
        </w:tc>
        <w:tc>
          <w:tcPr>
            <w:tcW w:w="825" w:type="dxa"/>
            <w:noWrap w:val="0"/>
            <w:vAlign w:val="center"/>
          </w:tcPr>
          <w:p w14:paraId="3A00DC6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7E2D3E2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30B0B9D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289F8CB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4B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793" w:type="dxa"/>
            <w:noWrap w:val="0"/>
            <w:vAlign w:val="center"/>
          </w:tcPr>
          <w:p w14:paraId="2CB3F3FC">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DN800管道整体内衬修复（光固化）</w:t>
            </w:r>
          </w:p>
        </w:tc>
        <w:tc>
          <w:tcPr>
            <w:tcW w:w="825" w:type="dxa"/>
            <w:noWrap w:val="0"/>
            <w:vAlign w:val="center"/>
          </w:tcPr>
          <w:p w14:paraId="7EBE14C2">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1AEA247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4B25EF4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2D45835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F5B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431BD32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DN1000管道整体内衬修复（光固化）</w:t>
            </w:r>
          </w:p>
        </w:tc>
        <w:tc>
          <w:tcPr>
            <w:tcW w:w="825" w:type="dxa"/>
            <w:noWrap w:val="0"/>
            <w:vAlign w:val="center"/>
          </w:tcPr>
          <w:p w14:paraId="140CFEA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15CD10B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066AF10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6148E2B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4970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558D837E">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DN300管道局部内衬修复</w:t>
            </w:r>
          </w:p>
        </w:tc>
        <w:tc>
          <w:tcPr>
            <w:tcW w:w="825" w:type="dxa"/>
            <w:noWrap w:val="0"/>
            <w:vAlign w:val="center"/>
          </w:tcPr>
          <w:p w14:paraId="602D8F1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3153EF9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4AE7F4F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6599371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98E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048ECE5B">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DN400管道局部内衬修复</w:t>
            </w:r>
          </w:p>
        </w:tc>
        <w:tc>
          <w:tcPr>
            <w:tcW w:w="825" w:type="dxa"/>
            <w:noWrap w:val="0"/>
            <w:vAlign w:val="center"/>
          </w:tcPr>
          <w:p w14:paraId="6DB98EF8">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0A6454D1">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57510BA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285751D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0F5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2B0188D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DN500管道局部内衬修复</w:t>
            </w:r>
          </w:p>
        </w:tc>
        <w:tc>
          <w:tcPr>
            <w:tcW w:w="825" w:type="dxa"/>
            <w:noWrap w:val="0"/>
            <w:vAlign w:val="center"/>
          </w:tcPr>
          <w:p w14:paraId="345209BC">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23E68D3F">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5B09E41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1BF707E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A9D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770E56E3">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DN600管道局部内衬修复</w:t>
            </w:r>
          </w:p>
        </w:tc>
        <w:tc>
          <w:tcPr>
            <w:tcW w:w="825" w:type="dxa"/>
            <w:noWrap w:val="0"/>
            <w:vAlign w:val="center"/>
          </w:tcPr>
          <w:p w14:paraId="455ECABC">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7C1F6CF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3F97EFF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1E31F8C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347B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93" w:type="dxa"/>
            <w:noWrap w:val="0"/>
            <w:vAlign w:val="center"/>
          </w:tcPr>
          <w:p w14:paraId="6AB15CC0">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DN800管道局部内衬修复</w:t>
            </w:r>
          </w:p>
        </w:tc>
        <w:tc>
          <w:tcPr>
            <w:tcW w:w="825" w:type="dxa"/>
            <w:noWrap w:val="0"/>
            <w:vAlign w:val="center"/>
          </w:tcPr>
          <w:p w14:paraId="2A2DE3C0">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3B1379E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333736B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30F1502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1F2C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93" w:type="dxa"/>
            <w:noWrap w:val="0"/>
            <w:vAlign w:val="center"/>
          </w:tcPr>
          <w:p w14:paraId="79DA7EE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DN1000管道局部内衬修复</w:t>
            </w:r>
          </w:p>
        </w:tc>
        <w:tc>
          <w:tcPr>
            <w:tcW w:w="825" w:type="dxa"/>
            <w:noWrap w:val="0"/>
            <w:vAlign w:val="center"/>
          </w:tcPr>
          <w:p w14:paraId="606C61E6">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11B313C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03E3482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4D2ED85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3B0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4A85D8A8">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DN1200管道局部内衬修复</w:t>
            </w:r>
          </w:p>
        </w:tc>
        <w:tc>
          <w:tcPr>
            <w:tcW w:w="825" w:type="dxa"/>
            <w:noWrap w:val="0"/>
            <w:vAlign w:val="center"/>
          </w:tcPr>
          <w:p w14:paraId="5BFF6CC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225B3C46">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5856438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7A3BC74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0FC5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24BE0D5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DN300管道胀管修复</w:t>
            </w:r>
          </w:p>
        </w:tc>
        <w:tc>
          <w:tcPr>
            <w:tcW w:w="825" w:type="dxa"/>
            <w:noWrap w:val="0"/>
            <w:vAlign w:val="center"/>
          </w:tcPr>
          <w:p w14:paraId="0D3EC7F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4B066D1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6D4FE2A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2BD145F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4A5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37C27D2A">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DN400管道胀管修复</w:t>
            </w:r>
          </w:p>
        </w:tc>
        <w:tc>
          <w:tcPr>
            <w:tcW w:w="825" w:type="dxa"/>
            <w:noWrap w:val="0"/>
            <w:vAlign w:val="center"/>
          </w:tcPr>
          <w:p w14:paraId="62952291">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05BBB617">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01635EE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333C619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529C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28CEACE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DN500管道胀管修复</w:t>
            </w:r>
          </w:p>
        </w:tc>
        <w:tc>
          <w:tcPr>
            <w:tcW w:w="825" w:type="dxa"/>
            <w:noWrap w:val="0"/>
            <w:vAlign w:val="center"/>
          </w:tcPr>
          <w:p w14:paraId="20B22C5A">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589979F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4EF5A6C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578909E3">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7C7B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793" w:type="dxa"/>
            <w:noWrap w:val="0"/>
            <w:vAlign w:val="center"/>
          </w:tcPr>
          <w:p w14:paraId="60FED965">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lang w:bidi="ar"/>
              </w:rPr>
              <w:t>DN600管道胀管修复</w:t>
            </w:r>
          </w:p>
        </w:tc>
        <w:tc>
          <w:tcPr>
            <w:tcW w:w="825" w:type="dxa"/>
            <w:noWrap w:val="0"/>
            <w:vAlign w:val="center"/>
          </w:tcPr>
          <w:p w14:paraId="11F327E4">
            <w:pPr>
              <w:keepNext w:val="0"/>
              <w:keepLines w:val="0"/>
              <w:pageBreakBefore w:val="0"/>
              <w:widowControl/>
              <w:kinsoku/>
              <w:wordWrap/>
              <w:overflowPunct/>
              <w:topLinePunct w:val="0"/>
              <w:autoSpaceDE/>
              <w:autoSpaceDN/>
              <w:bidi w:val="0"/>
              <w:snapToGrid/>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58" w:type="dxa"/>
            <w:noWrap w:val="0"/>
            <w:vAlign w:val="center"/>
          </w:tcPr>
          <w:p w14:paraId="51241829">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元/米</w:t>
            </w:r>
          </w:p>
        </w:tc>
        <w:tc>
          <w:tcPr>
            <w:tcW w:w="4764" w:type="dxa"/>
            <w:noWrap w:val="0"/>
            <w:vAlign w:val="center"/>
          </w:tcPr>
          <w:p w14:paraId="20AD3E7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暂定值</w:t>
            </w:r>
          </w:p>
        </w:tc>
        <w:tc>
          <w:tcPr>
            <w:tcW w:w="1845" w:type="dxa"/>
            <w:vMerge w:val="continue"/>
            <w:noWrap w:val="0"/>
            <w:vAlign w:val="center"/>
          </w:tcPr>
          <w:p w14:paraId="2D47322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r w14:paraId="226F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2240" w:type="dxa"/>
            <w:gridSpan w:val="4"/>
            <w:noWrap w:val="0"/>
            <w:vAlign w:val="center"/>
          </w:tcPr>
          <w:p w14:paraId="1B1E7D0C">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响应优惠率</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w:t>
            </w:r>
          </w:p>
        </w:tc>
        <w:tc>
          <w:tcPr>
            <w:tcW w:w="1845" w:type="dxa"/>
            <w:vMerge w:val="continue"/>
            <w:noWrap w:val="0"/>
            <w:vAlign w:val="center"/>
          </w:tcPr>
          <w:p w14:paraId="2C4FCED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p>
        </w:tc>
      </w:tr>
    </w:tbl>
    <w:p w14:paraId="247C8586">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p>
    <w:p w14:paraId="791907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1、有关本项目实施所涉及的一切费用均计入报价。</w:t>
      </w:r>
      <w:r>
        <w:rPr>
          <w:rFonts w:hint="eastAsia" w:ascii="仿宋" w:hAnsi="仿宋" w:eastAsia="仿宋" w:cs="仿宋"/>
          <w:b/>
          <w:color w:val="auto"/>
          <w:kern w:val="0"/>
          <w:sz w:val="24"/>
          <w:highlight w:val="none"/>
          <w:lang w:val="zh-CN"/>
        </w:rPr>
        <w:t>交易发起人将以合同形式有偿取得货物或服务，不接受响应人给予的赠品、回扣或者与交易无关的其他商品、服务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响应文件含有交易发起人不能接受的附加条件的，交易无效</w:t>
      </w:r>
      <w:r>
        <w:rPr>
          <w:rFonts w:hint="eastAsia" w:ascii="仿宋" w:hAnsi="仿宋" w:eastAsia="仿宋" w:cs="仿宋"/>
          <w:b/>
          <w:color w:val="auto"/>
          <w:kern w:val="0"/>
          <w:sz w:val="24"/>
          <w:highlight w:val="none"/>
          <w:lang w:val="zh-CN"/>
        </w:rPr>
        <w:t>；交易内容未包含在《交易一览表（报价表）》名称栏中，响应人不能作出合理解释的，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响应文件含有交易发起人不能接受的附加条件的，交易无效。</w:t>
      </w:r>
    </w:p>
    <w:p w14:paraId="259A82F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FE8D3D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4、特别提示：代理机构将对项目名称和项目编号，成交响应人名称、地址和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金额等予以公示。</w:t>
      </w:r>
    </w:p>
    <w:p w14:paraId="5B669DFE">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
          <w:bCs/>
          <w:color w:val="FF0000"/>
          <w:kern w:val="0"/>
          <w:sz w:val="24"/>
          <w:szCs w:val="24"/>
          <w:u w:val="none"/>
          <w:lang w:val="en-US" w:eastAsia="zh-CN"/>
        </w:rPr>
      </w:pPr>
      <w:r>
        <w:rPr>
          <w:rFonts w:hint="eastAsia" w:ascii="仿宋" w:hAnsi="仿宋" w:eastAsia="仿宋" w:cs="仿宋"/>
          <w:i w:val="0"/>
          <w:iCs w:val="0"/>
          <w:color w:val="auto"/>
          <w:kern w:val="0"/>
          <w:sz w:val="24"/>
          <w:highlight w:val="none"/>
          <w:u w:val="none"/>
          <w:lang w:val="en-US" w:eastAsia="zh-CN"/>
        </w:rPr>
        <w:t>5、单项</w:t>
      </w:r>
      <w:r>
        <w:rPr>
          <w:rFonts w:hint="eastAsia" w:ascii="宋体" w:hAnsi="宋体" w:eastAsia="宋体" w:cs="宋体"/>
          <w:spacing w:val="-1"/>
          <w:lang w:val="en-US" w:eastAsia="zh-CN"/>
        </w:rPr>
        <w:t>报价</w:t>
      </w:r>
      <w:r>
        <w:rPr>
          <w:rFonts w:hint="eastAsia" w:ascii="宋体" w:hAnsi="宋体" w:eastAsia="宋体" w:cs="宋体"/>
          <w:spacing w:val="-1"/>
          <w:lang w:eastAsia="zh-CN"/>
        </w:rPr>
        <w:t>和响应优惠率不一致时以响应优惠率为准，调整单项报价；</w:t>
      </w:r>
      <w:r>
        <w:rPr>
          <w:rFonts w:hint="eastAsia" w:ascii="仿宋" w:hAnsi="仿宋" w:eastAsia="仿宋" w:cs="仿宋"/>
          <w:b/>
          <w:bCs/>
          <w:color w:val="auto"/>
          <w:kern w:val="0"/>
          <w:sz w:val="24"/>
          <w:szCs w:val="24"/>
          <w:u w:val="none"/>
          <w:lang w:val="en-US" w:eastAsia="zh-CN"/>
        </w:rPr>
        <w:t>若报价清单中单项报价高于最高限价单价时，作无效标处理。</w:t>
      </w:r>
    </w:p>
    <w:p w14:paraId="5AF8AFCF">
      <w:pPr>
        <w:snapToGrid w:val="0"/>
        <w:spacing w:line="360" w:lineRule="auto"/>
        <w:ind w:firstLine="480" w:firstLineChars="200"/>
        <w:jc w:val="left"/>
        <w:rPr>
          <w:rFonts w:hint="default" w:ascii="仿宋" w:hAnsi="仿宋" w:eastAsia="仿宋" w:cs="仿宋"/>
          <w:i w:val="0"/>
          <w:iCs w:val="0"/>
          <w:color w:val="auto"/>
          <w:kern w:val="0"/>
          <w:sz w:val="24"/>
          <w:highlight w:val="none"/>
          <w:u w:val="none"/>
          <w:lang w:val="en-US" w:eastAsia="zh-CN"/>
        </w:rPr>
      </w:pPr>
      <w:r>
        <w:rPr>
          <w:rFonts w:hint="eastAsia" w:ascii="仿宋" w:hAnsi="仿宋" w:eastAsia="仿宋" w:cs="仿宋"/>
          <w:i w:val="0"/>
          <w:iCs w:val="0"/>
          <w:color w:val="auto"/>
          <w:kern w:val="0"/>
          <w:sz w:val="24"/>
          <w:highlight w:val="none"/>
          <w:u w:val="none"/>
          <w:lang w:val="en-US" w:eastAsia="zh-CN"/>
        </w:rPr>
        <w:t>各单项投标报价及响应优惠率均保留两位小数。</w:t>
      </w:r>
    </w:p>
    <w:p w14:paraId="600FD54F">
      <w:pPr>
        <w:spacing w:line="360" w:lineRule="auto"/>
        <w:ind w:firstLine="482" w:firstLineChars="200"/>
        <w:rPr>
          <w:rFonts w:hint="eastAsia" w:ascii="仿宋" w:hAnsi="仿宋" w:eastAsia="仿宋" w:cs="仿宋"/>
          <w:b/>
          <w:color w:val="auto"/>
          <w:kern w:val="0"/>
          <w:sz w:val="24"/>
          <w:highlight w:val="none"/>
        </w:rPr>
      </w:pPr>
    </w:p>
    <w:p w14:paraId="1EAF58ED">
      <w:pPr>
        <w:autoSpaceDE w:val="0"/>
        <w:autoSpaceDN w:val="0"/>
        <w:spacing w:line="360" w:lineRule="auto"/>
        <w:ind w:left="2" w:leftChars="1" w:right="1120" w:firstLine="7680" w:firstLineChars="3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0FC0377">
      <w:pPr>
        <w:autoSpaceDE w:val="0"/>
        <w:autoSpaceDN w:val="0"/>
        <w:spacing w:line="360" w:lineRule="auto"/>
        <w:ind w:left="2" w:leftChars="1" w:right="1120" w:firstLine="7680" w:firstLineChars="3200"/>
        <w:jc w:val="left"/>
        <w:rPr>
          <w:rFonts w:hint="eastAsia" w:ascii="仿宋" w:hAnsi="仿宋" w:eastAsia="仿宋" w:cs="仿宋"/>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年月日</w:t>
      </w:r>
    </w:p>
    <w:p w14:paraId="2D87427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430ED9E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FABAE5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0FA39F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67C85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F2409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A3E1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A5FF7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3466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08431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F568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D7364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8DA33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2B01CA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A49ED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0950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4A1BF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2C26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6FE1B7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F23BB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6E4D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172BE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2772BF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816D1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81A11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45C2C0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330816">
      <w:pPr>
        <w:spacing w:line="360" w:lineRule="auto"/>
        <w:jc w:val="center"/>
        <w:rPr>
          <w:rFonts w:hint="eastAsia" w:ascii="仿宋" w:hAnsi="仿宋" w:eastAsia="仿宋" w:cs="仿宋"/>
          <w:b/>
          <w:bCs/>
          <w:color w:val="auto"/>
          <w:sz w:val="24"/>
          <w:highlight w:val="none"/>
        </w:rPr>
      </w:pPr>
    </w:p>
    <w:p w14:paraId="530C43D9">
      <w:pPr>
        <w:spacing w:line="360" w:lineRule="auto"/>
        <w:rPr>
          <w:rFonts w:hint="eastAsia" w:ascii="仿宋" w:hAnsi="仿宋" w:eastAsia="仿宋" w:cs="仿宋"/>
          <w:b/>
          <w:color w:val="auto"/>
          <w:sz w:val="24"/>
          <w:highlight w:val="none"/>
        </w:rPr>
      </w:pPr>
    </w:p>
    <w:p w14:paraId="5CE4E953">
      <w:pPr>
        <w:spacing w:line="360" w:lineRule="auto"/>
        <w:rPr>
          <w:rFonts w:hint="eastAsia" w:ascii="仿宋" w:hAnsi="仿宋" w:eastAsia="仿宋" w:cs="仿宋"/>
          <w:b/>
          <w:color w:val="auto"/>
          <w:sz w:val="24"/>
          <w:highlight w:val="none"/>
        </w:rPr>
      </w:pPr>
    </w:p>
    <w:p w14:paraId="4AB397AC">
      <w:pPr>
        <w:spacing w:line="360" w:lineRule="auto"/>
        <w:rPr>
          <w:rFonts w:hint="eastAsia" w:ascii="仿宋" w:hAnsi="仿宋" w:eastAsia="仿宋" w:cs="仿宋"/>
          <w:b/>
          <w:color w:val="auto"/>
          <w:sz w:val="24"/>
          <w:highlight w:val="none"/>
        </w:rPr>
      </w:pPr>
    </w:p>
    <w:p w14:paraId="7DF37E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C582A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21D25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8494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C194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D2628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6DFA7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00FE2A">
      <w:pPr>
        <w:widowControl/>
        <w:spacing w:line="360" w:lineRule="auto"/>
        <w:ind w:firstLine="600" w:firstLineChars="200"/>
        <w:jc w:val="left"/>
        <w:rPr>
          <w:rFonts w:hint="eastAsia" w:ascii="仿宋" w:hAnsi="仿宋" w:eastAsia="仿宋" w:cs="仿宋"/>
          <w:color w:val="auto"/>
          <w:sz w:val="30"/>
          <w:szCs w:val="30"/>
          <w:highlight w:val="none"/>
        </w:rPr>
      </w:pPr>
    </w:p>
    <w:p w14:paraId="6BA90073">
      <w:pPr>
        <w:spacing w:line="360" w:lineRule="auto"/>
        <w:jc w:val="center"/>
        <w:rPr>
          <w:rFonts w:hint="eastAsia" w:ascii="仿宋" w:hAnsi="仿宋" w:eastAsia="仿宋" w:cs="仿宋"/>
          <w:b/>
          <w:color w:val="auto"/>
          <w:spacing w:val="6"/>
          <w:sz w:val="32"/>
          <w:szCs w:val="32"/>
          <w:highlight w:val="none"/>
        </w:rPr>
      </w:pPr>
    </w:p>
    <w:p w14:paraId="51D08256">
      <w:pPr>
        <w:spacing w:line="360" w:lineRule="auto"/>
        <w:jc w:val="center"/>
        <w:rPr>
          <w:rFonts w:hint="eastAsia" w:ascii="仿宋" w:hAnsi="仿宋" w:eastAsia="仿宋" w:cs="仿宋"/>
          <w:b/>
          <w:color w:val="auto"/>
          <w:spacing w:val="6"/>
          <w:sz w:val="32"/>
          <w:szCs w:val="32"/>
          <w:highlight w:val="none"/>
        </w:rPr>
      </w:pPr>
    </w:p>
    <w:p w14:paraId="23744683">
      <w:pPr>
        <w:spacing w:line="360" w:lineRule="auto"/>
        <w:jc w:val="center"/>
        <w:rPr>
          <w:rFonts w:hint="eastAsia" w:ascii="仿宋" w:hAnsi="仿宋" w:eastAsia="仿宋" w:cs="仿宋"/>
          <w:b/>
          <w:color w:val="auto"/>
          <w:spacing w:val="6"/>
          <w:sz w:val="32"/>
          <w:szCs w:val="32"/>
          <w:highlight w:val="none"/>
        </w:rPr>
      </w:pPr>
    </w:p>
    <w:p w14:paraId="6F5FBF1E">
      <w:pPr>
        <w:spacing w:line="360" w:lineRule="auto"/>
        <w:jc w:val="center"/>
        <w:rPr>
          <w:rFonts w:hint="eastAsia" w:ascii="仿宋" w:hAnsi="仿宋" w:eastAsia="仿宋" w:cs="仿宋"/>
          <w:b/>
          <w:color w:val="auto"/>
          <w:spacing w:val="6"/>
          <w:sz w:val="32"/>
          <w:szCs w:val="32"/>
          <w:highlight w:val="none"/>
        </w:rPr>
      </w:pPr>
    </w:p>
    <w:p w14:paraId="516350AF">
      <w:pPr>
        <w:spacing w:line="360" w:lineRule="auto"/>
        <w:jc w:val="center"/>
        <w:rPr>
          <w:rFonts w:hint="eastAsia" w:ascii="仿宋" w:hAnsi="仿宋" w:eastAsia="仿宋" w:cs="仿宋"/>
          <w:b/>
          <w:color w:val="auto"/>
          <w:spacing w:val="6"/>
          <w:sz w:val="32"/>
          <w:szCs w:val="32"/>
          <w:highlight w:val="none"/>
        </w:rPr>
      </w:pPr>
    </w:p>
    <w:p w14:paraId="1F0B44E6">
      <w:pPr>
        <w:spacing w:line="360" w:lineRule="auto"/>
        <w:jc w:val="center"/>
        <w:rPr>
          <w:rFonts w:hint="eastAsia" w:ascii="仿宋" w:hAnsi="仿宋" w:eastAsia="仿宋" w:cs="仿宋"/>
          <w:b/>
          <w:color w:val="auto"/>
          <w:spacing w:val="6"/>
          <w:sz w:val="32"/>
          <w:szCs w:val="32"/>
          <w:highlight w:val="none"/>
        </w:rPr>
      </w:pPr>
    </w:p>
    <w:p w14:paraId="15AC6544">
      <w:pPr>
        <w:spacing w:line="360" w:lineRule="auto"/>
        <w:jc w:val="center"/>
        <w:rPr>
          <w:rFonts w:hint="eastAsia" w:ascii="仿宋" w:hAnsi="仿宋" w:eastAsia="仿宋" w:cs="仿宋"/>
          <w:b/>
          <w:color w:val="auto"/>
          <w:spacing w:val="6"/>
          <w:sz w:val="32"/>
          <w:szCs w:val="32"/>
          <w:highlight w:val="none"/>
        </w:rPr>
      </w:pPr>
    </w:p>
    <w:p w14:paraId="72EAA7CC">
      <w:pPr>
        <w:spacing w:line="360" w:lineRule="auto"/>
        <w:jc w:val="center"/>
        <w:rPr>
          <w:rFonts w:hint="eastAsia" w:ascii="仿宋" w:hAnsi="仿宋" w:eastAsia="仿宋" w:cs="仿宋"/>
          <w:b/>
          <w:color w:val="auto"/>
          <w:spacing w:val="6"/>
          <w:sz w:val="32"/>
          <w:szCs w:val="32"/>
          <w:highlight w:val="none"/>
        </w:rPr>
      </w:pPr>
    </w:p>
    <w:p w14:paraId="11D24757">
      <w:pPr>
        <w:spacing w:line="360" w:lineRule="auto"/>
        <w:jc w:val="center"/>
        <w:rPr>
          <w:rFonts w:hint="eastAsia" w:ascii="仿宋" w:hAnsi="仿宋" w:eastAsia="仿宋" w:cs="仿宋"/>
          <w:b/>
          <w:color w:val="auto"/>
          <w:spacing w:val="6"/>
          <w:sz w:val="32"/>
          <w:szCs w:val="32"/>
          <w:highlight w:val="none"/>
        </w:rPr>
      </w:pPr>
    </w:p>
    <w:p w14:paraId="02FB307E">
      <w:pPr>
        <w:spacing w:line="360" w:lineRule="auto"/>
        <w:jc w:val="center"/>
        <w:rPr>
          <w:rFonts w:hint="eastAsia" w:ascii="仿宋" w:hAnsi="仿宋" w:eastAsia="仿宋" w:cs="仿宋"/>
          <w:b/>
          <w:color w:val="auto"/>
          <w:spacing w:val="6"/>
          <w:sz w:val="32"/>
          <w:szCs w:val="32"/>
          <w:highlight w:val="none"/>
        </w:rPr>
      </w:pPr>
    </w:p>
    <w:p w14:paraId="530B7269">
      <w:pPr>
        <w:spacing w:line="360" w:lineRule="auto"/>
        <w:jc w:val="center"/>
        <w:rPr>
          <w:rFonts w:hint="eastAsia" w:ascii="仿宋" w:hAnsi="仿宋" w:eastAsia="仿宋" w:cs="仿宋"/>
          <w:b/>
          <w:color w:val="auto"/>
          <w:spacing w:val="6"/>
          <w:sz w:val="32"/>
          <w:szCs w:val="32"/>
          <w:highlight w:val="none"/>
        </w:rPr>
      </w:pPr>
    </w:p>
    <w:p w14:paraId="0DADC632">
      <w:pPr>
        <w:spacing w:line="360" w:lineRule="auto"/>
        <w:jc w:val="center"/>
        <w:rPr>
          <w:rFonts w:hint="eastAsia" w:ascii="仿宋" w:hAnsi="仿宋" w:eastAsia="仿宋" w:cs="仿宋"/>
          <w:b/>
          <w:color w:val="auto"/>
          <w:spacing w:val="6"/>
          <w:sz w:val="32"/>
          <w:szCs w:val="32"/>
          <w:highlight w:val="none"/>
        </w:rPr>
      </w:pPr>
    </w:p>
    <w:p w14:paraId="09BC83AD">
      <w:pPr>
        <w:spacing w:line="360" w:lineRule="auto"/>
        <w:jc w:val="left"/>
        <w:rPr>
          <w:rFonts w:hint="eastAsia" w:ascii="仿宋" w:hAnsi="仿宋" w:eastAsia="仿宋" w:cs="仿宋"/>
          <w:b/>
          <w:color w:val="auto"/>
          <w:spacing w:val="6"/>
          <w:sz w:val="32"/>
          <w:szCs w:val="32"/>
          <w:highlight w:val="none"/>
        </w:rPr>
      </w:pPr>
    </w:p>
    <w:p w14:paraId="588C3716">
      <w:pPr>
        <w:spacing w:line="360" w:lineRule="auto"/>
        <w:jc w:val="left"/>
        <w:rPr>
          <w:rFonts w:hint="eastAsia" w:ascii="仿宋" w:hAnsi="仿宋" w:eastAsia="仿宋" w:cs="仿宋"/>
          <w:b/>
          <w:color w:val="auto"/>
          <w:spacing w:val="6"/>
          <w:sz w:val="32"/>
          <w:szCs w:val="32"/>
          <w:highlight w:val="none"/>
        </w:rPr>
      </w:pPr>
    </w:p>
    <w:p w14:paraId="2DDEF243">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5A4DE9A6">
      <w:pPr>
        <w:autoSpaceDE w:val="0"/>
        <w:autoSpaceDN w:val="0"/>
        <w:jc w:val="center"/>
        <w:rPr>
          <w:rFonts w:hint="eastAsia" w:ascii="仿宋" w:hAnsi="仿宋" w:eastAsia="仿宋" w:cs="仿宋"/>
          <w:b/>
          <w:bCs/>
          <w:color w:val="auto"/>
          <w:sz w:val="32"/>
          <w:szCs w:val="32"/>
          <w:highlight w:val="none"/>
        </w:rPr>
      </w:pPr>
    </w:p>
    <w:p w14:paraId="77D4726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3BD664D3">
      <w:pPr>
        <w:spacing w:line="360" w:lineRule="auto"/>
        <w:rPr>
          <w:rFonts w:hint="eastAsia" w:ascii="仿宋" w:hAnsi="仿宋" w:eastAsia="仿宋" w:cs="仿宋"/>
          <w:color w:val="auto"/>
          <w:sz w:val="24"/>
          <w:highlight w:val="none"/>
          <w:u w:val="single"/>
        </w:rPr>
      </w:pPr>
    </w:p>
    <w:p w14:paraId="2DF229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（交易人）、（采购代理机构）</w:t>
      </w:r>
    </w:p>
    <w:p w14:paraId="6C813A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7299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F07F248">
      <w:pPr>
        <w:spacing w:line="360" w:lineRule="auto"/>
        <w:ind w:firstLine="494"/>
        <w:rPr>
          <w:rFonts w:hint="eastAsia" w:ascii="仿宋" w:hAnsi="仿宋" w:eastAsia="仿宋" w:cs="仿宋"/>
          <w:color w:val="auto"/>
          <w:sz w:val="24"/>
          <w:highlight w:val="none"/>
        </w:rPr>
      </w:pPr>
    </w:p>
    <w:p w14:paraId="7BA9867C">
      <w:pPr>
        <w:spacing w:line="360" w:lineRule="auto"/>
        <w:ind w:firstLine="494"/>
        <w:rPr>
          <w:rFonts w:hint="eastAsia" w:ascii="仿宋" w:hAnsi="仿宋" w:eastAsia="仿宋" w:cs="仿宋"/>
          <w:color w:val="auto"/>
          <w:sz w:val="24"/>
          <w:highlight w:val="none"/>
        </w:rPr>
      </w:pPr>
    </w:p>
    <w:p w14:paraId="32CDB36B">
      <w:pPr>
        <w:spacing w:line="360" w:lineRule="auto"/>
        <w:ind w:firstLine="494"/>
        <w:rPr>
          <w:rFonts w:hint="eastAsia" w:ascii="仿宋" w:hAnsi="仿宋" w:eastAsia="仿宋" w:cs="仿宋"/>
          <w:color w:val="auto"/>
          <w:sz w:val="24"/>
          <w:highlight w:val="none"/>
        </w:rPr>
      </w:pPr>
    </w:p>
    <w:p w14:paraId="21F5584B">
      <w:pPr>
        <w:spacing w:line="360" w:lineRule="auto"/>
        <w:ind w:firstLine="494"/>
        <w:rPr>
          <w:rFonts w:hint="eastAsia" w:ascii="仿宋" w:hAnsi="仿宋" w:eastAsia="仿宋" w:cs="仿宋"/>
          <w:color w:val="auto"/>
          <w:sz w:val="24"/>
          <w:highlight w:val="none"/>
        </w:rPr>
      </w:pPr>
    </w:p>
    <w:p w14:paraId="6759A72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26F1B3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E328A7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31106DD">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D12119E">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1D12119E">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14696EB8">
      <w:pPr>
        <w:autoSpaceDE w:val="0"/>
        <w:autoSpaceDN w:val="0"/>
        <w:jc w:val="center"/>
        <w:rPr>
          <w:rFonts w:hint="eastAsia" w:ascii="仿宋" w:hAnsi="仿宋" w:eastAsia="仿宋" w:cs="仿宋"/>
          <w:b/>
          <w:color w:val="auto"/>
          <w:spacing w:val="6"/>
          <w:sz w:val="32"/>
          <w:szCs w:val="32"/>
          <w:highlight w:val="none"/>
        </w:rPr>
      </w:pPr>
    </w:p>
    <w:p w14:paraId="3F74DB24">
      <w:pPr>
        <w:autoSpaceDE w:val="0"/>
        <w:autoSpaceDN w:val="0"/>
        <w:jc w:val="center"/>
        <w:rPr>
          <w:rFonts w:hint="eastAsia" w:ascii="仿宋" w:hAnsi="仿宋" w:eastAsia="仿宋" w:cs="仿宋"/>
          <w:b/>
          <w:color w:val="auto"/>
          <w:spacing w:val="6"/>
          <w:sz w:val="32"/>
          <w:szCs w:val="32"/>
          <w:highlight w:val="none"/>
        </w:rPr>
      </w:pPr>
    </w:p>
    <w:p w14:paraId="06078102">
      <w:pPr>
        <w:autoSpaceDE w:val="0"/>
        <w:autoSpaceDN w:val="0"/>
        <w:jc w:val="center"/>
        <w:rPr>
          <w:rFonts w:hint="eastAsia" w:ascii="仿宋" w:hAnsi="仿宋" w:eastAsia="仿宋" w:cs="仿宋"/>
          <w:b/>
          <w:color w:val="auto"/>
          <w:spacing w:val="6"/>
          <w:sz w:val="32"/>
          <w:szCs w:val="32"/>
          <w:highlight w:val="none"/>
        </w:rPr>
      </w:pPr>
    </w:p>
    <w:p w14:paraId="16D427C7">
      <w:pPr>
        <w:autoSpaceDE w:val="0"/>
        <w:autoSpaceDN w:val="0"/>
        <w:jc w:val="center"/>
        <w:rPr>
          <w:rFonts w:hint="eastAsia" w:ascii="仿宋" w:hAnsi="仿宋" w:eastAsia="仿宋" w:cs="仿宋"/>
          <w:b/>
          <w:color w:val="auto"/>
          <w:spacing w:val="6"/>
          <w:sz w:val="32"/>
          <w:szCs w:val="32"/>
          <w:highlight w:val="none"/>
        </w:rPr>
      </w:pPr>
    </w:p>
    <w:p w14:paraId="0AC40AED">
      <w:pPr>
        <w:autoSpaceDE w:val="0"/>
        <w:autoSpaceDN w:val="0"/>
        <w:jc w:val="center"/>
        <w:rPr>
          <w:rFonts w:hint="eastAsia" w:ascii="仿宋" w:hAnsi="仿宋" w:eastAsia="仿宋" w:cs="仿宋"/>
          <w:b/>
          <w:color w:val="auto"/>
          <w:spacing w:val="6"/>
          <w:sz w:val="32"/>
          <w:szCs w:val="32"/>
          <w:highlight w:val="none"/>
        </w:rPr>
      </w:pPr>
    </w:p>
    <w:p w14:paraId="75967DFB">
      <w:pPr>
        <w:autoSpaceDE w:val="0"/>
        <w:autoSpaceDN w:val="0"/>
        <w:jc w:val="center"/>
        <w:rPr>
          <w:rFonts w:hint="eastAsia" w:ascii="仿宋" w:hAnsi="仿宋" w:eastAsia="仿宋" w:cs="仿宋"/>
          <w:b/>
          <w:color w:val="auto"/>
          <w:spacing w:val="6"/>
          <w:sz w:val="32"/>
          <w:szCs w:val="32"/>
          <w:highlight w:val="none"/>
        </w:rPr>
      </w:pPr>
    </w:p>
    <w:p w14:paraId="2918F6E9">
      <w:pPr>
        <w:autoSpaceDE w:val="0"/>
        <w:autoSpaceDN w:val="0"/>
        <w:jc w:val="center"/>
        <w:rPr>
          <w:rFonts w:hint="eastAsia" w:ascii="仿宋" w:hAnsi="仿宋" w:eastAsia="仿宋" w:cs="仿宋"/>
          <w:b/>
          <w:color w:val="auto"/>
          <w:spacing w:val="6"/>
          <w:sz w:val="32"/>
          <w:szCs w:val="32"/>
          <w:highlight w:val="none"/>
        </w:rPr>
      </w:pPr>
    </w:p>
    <w:p w14:paraId="60E197D1">
      <w:pPr>
        <w:autoSpaceDE w:val="0"/>
        <w:autoSpaceDN w:val="0"/>
        <w:jc w:val="center"/>
        <w:rPr>
          <w:rFonts w:hint="eastAsia" w:ascii="仿宋" w:hAnsi="仿宋" w:eastAsia="仿宋" w:cs="仿宋"/>
          <w:b/>
          <w:color w:val="auto"/>
          <w:spacing w:val="6"/>
          <w:sz w:val="32"/>
          <w:szCs w:val="32"/>
          <w:highlight w:val="none"/>
        </w:rPr>
      </w:pPr>
    </w:p>
    <w:p w14:paraId="44A70D1B">
      <w:pPr>
        <w:autoSpaceDE w:val="0"/>
        <w:autoSpaceDN w:val="0"/>
        <w:jc w:val="center"/>
        <w:rPr>
          <w:rFonts w:hint="eastAsia" w:ascii="仿宋" w:hAnsi="仿宋" w:eastAsia="仿宋" w:cs="仿宋"/>
          <w:b/>
          <w:color w:val="auto"/>
          <w:spacing w:val="6"/>
          <w:sz w:val="32"/>
          <w:szCs w:val="32"/>
          <w:highlight w:val="none"/>
        </w:rPr>
      </w:pPr>
    </w:p>
    <w:p w14:paraId="764B3E1D">
      <w:pPr>
        <w:autoSpaceDE w:val="0"/>
        <w:autoSpaceDN w:val="0"/>
        <w:jc w:val="center"/>
        <w:rPr>
          <w:rFonts w:hint="eastAsia" w:ascii="仿宋" w:hAnsi="仿宋" w:eastAsia="仿宋" w:cs="仿宋"/>
          <w:b/>
          <w:color w:val="auto"/>
          <w:spacing w:val="6"/>
          <w:sz w:val="32"/>
          <w:szCs w:val="32"/>
          <w:highlight w:val="none"/>
        </w:rPr>
      </w:pPr>
    </w:p>
    <w:p w14:paraId="4A2D2523">
      <w:pPr>
        <w:autoSpaceDE w:val="0"/>
        <w:autoSpaceDN w:val="0"/>
        <w:jc w:val="center"/>
        <w:rPr>
          <w:rFonts w:hint="eastAsia" w:ascii="仿宋" w:hAnsi="仿宋" w:eastAsia="仿宋" w:cs="仿宋"/>
          <w:b/>
          <w:color w:val="auto"/>
          <w:spacing w:val="6"/>
          <w:sz w:val="32"/>
          <w:szCs w:val="32"/>
          <w:highlight w:val="none"/>
        </w:rPr>
      </w:pPr>
    </w:p>
    <w:p w14:paraId="600C750F">
      <w:pPr>
        <w:autoSpaceDE w:val="0"/>
        <w:autoSpaceDN w:val="0"/>
        <w:jc w:val="center"/>
        <w:rPr>
          <w:rFonts w:hint="eastAsia" w:ascii="仿宋" w:hAnsi="仿宋" w:eastAsia="仿宋" w:cs="仿宋"/>
          <w:b/>
          <w:color w:val="auto"/>
          <w:spacing w:val="6"/>
          <w:sz w:val="32"/>
          <w:szCs w:val="32"/>
          <w:highlight w:val="none"/>
        </w:rPr>
      </w:pPr>
    </w:p>
    <w:p w14:paraId="2B319D44">
      <w:pPr>
        <w:autoSpaceDE w:val="0"/>
        <w:autoSpaceDN w:val="0"/>
        <w:jc w:val="center"/>
        <w:rPr>
          <w:rFonts w:hint="eastAsia" w:ascii="仿宋" w:hAnsi="仿宋" w:eastAsia="仿宋" w:cs="仿宋"/>
          <w:b/>
          <w:color w:val="auto"/>
          <w:spacing w:val="6"/>
          <w:sz w:val="32"/>
          <w:szCs w:val="32"/>
          <w:highlight w:val="none"/>
        </w:rPr>
      </w:pPr>
    </w:p>
    <w:p w14:paraId="66C3883C">
      <w:pPr>
        <w:autoSpaceDE w:val="0"/>
        <w:autoSpaceDN w:val="0"/>
        <w:jc w:val="center"/>
        <w:rPr>
          <w:rFonts w:hint="eastAsia" w:ascii="仿宋" w:hAnsi="仿宋" w:eastAsia="仿宋" w:cs="仿宋"/>
          <w:b/>
          <w:color w:val="auto"/>
          <w:spacing w:val="6"/>
          <w:sz w:val="32"/>
          <w:szCs w:val="32"/>
          <w:highlight w:val="none"/>
        </w:rPr>
      </w:pPr>
    </w:p>
    <w:p w14:paraId="1EAA52AB">
      <w:pPr>
        <w:pStyle w:val="9"/>
        <w:ind w:firstLine="667"/>
        <w:rPr>
          <w:rFonts w:hint="eastAsia" w:ascii="仿宋" w:hAnsi="仿宋" w:eastAsia="仿宋" w:cs="仿宋"/>
          <w:b/>
          <w:color w:val="auto"/>
          <w:spacing w:val="6"/>
          <w:sz w:val="32"/>
          <w:szCs w:val="32"/>
          <w:highlight w:val="none"/>
        </w:rPr>
      </w:pPr>
    </w:p>
    <w:p w14:paraId="5C2D45D6">
      <w:pPr>
        <w:pStyle w:val="2"/>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3</w:t>
      </w:r>
      <w:r>
        <w:rPr>
          <w:rFonts w:hint="eastAsia" w:ascii="仿宋" w:hAnsi="仿宋" w:eastAsia="仿宋" w:cs="仿宋"/>
          <w:color w:val="auto"/>
          <w:highlight w:val="none"/>
        </w:rPr>
        <w:t>样品（演示）授权委托书</w:t>
      </w:r>
    </w:p>
    <w:p w14:paraId="650DED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样品（演示）授权委托书</w:t>
      </w:r>
    </w:p>
    <w:p w14:paraId="43037A93">
      <w:pPr>
        <w:jc w:val="center"/>
        <w:rPr>
          <w:rFonts w:hint="eastAsia" w:ascii="仿宋" w:hAnsi="仿宋" w:eastAsia="仿宋" w:cs="仿宋"/>
          <w:color w:val="auto"/>
          <w:sz w:val="24"/>
          <w:highlight w:val="none"/>
        </w:rPr>
      </w:pPr>
    </w:p>
    <w:p w14:paraId="182927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sz w:val="24"/>
          <w:highlight w:val="none"/>
          <w:lang w:val="zh-CN"/>
        </w:rPr>
        <w:t>：</w:t>
      </w:r>
    </w:p>
    <w:p w14:paraId="5EC90D0F">
      <w:pPr>
        <w:snapToGrid w:val="0"/>
        <w:spacing w:line="360" w:lineRule="auto"/>
        <w:ind w:left="254" w:leftChars="121"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兹委派</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先生/女士，身份证号：</w:t>
      </w:r>
      <w:r>
        <w:rPr>
          <w:rFonts w:hint="eastAsia" w:ascii="仿宋" w:hAnsi="仿宋" w:eastAsia="仿宋" w:cs="仿宋"/>
          <w:color w:val="auto"/>
          <w:sz w:val="24"/>
          <w:highlight w:val="none"/>
          <w:u w:val="single"/>
          <w:lang w:val="zh-CN"/>
        </w:rPr>
        <w:t xml:space="preserve">                   </w:t>
      </w:r>
    </w:p>
    <w:p w14:paraId="3D0D4B56">
      <w:pPr>
        <w:snapToGrid w:val="0"/>
        <w:spacing w:line="360" w:lineRule="auto"/>
        <w:ind w:left="254" w:leftChars="12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，代表我公司前来递交</w:t>
      </w:r>
      <w:r>
        <w:rPr>
          <w:rFonts w:hint="eastAsia" w:ascii="仿宋" w:hAnsi="仿宋" w:eastAsia="仿宋" w:cs="仿宋"/>
          <w:color w:val="auto"/>
          <w:sz w:val="24"/>
          <w:highlight w:val="none"/>
          <w:u w:val="single"/>
          <w:lang w:val="zh-CN"/>
        </w:rPr>
        <w:t xml:space="preserve">                           采购项目</w:t>
      </w:r>
      <w:r>
        <w:rPr>
          <w:rFonts w:hint="eastAsia" w:ascii="仿宋" w:hAnsi="仿宋" w:eastAsia="仿宋" w:cs="仿宋"/>
          <w:color w:val="auto"/>
          <w:sz w:val="24"/>
          <w:highlight w:val="none"/>
          <w:lang w:val="zh-CN"/>
        </w:rPr>
        <w:t>【项目编号：              】（标项号：  ）投标样品或参加演示，并全权负责标后取回样品等其他处理事宜。</w:t>
      </w:r>
    </w:p>
    <w:p w14:paraId="5195A89F">
      <w:pPr>
        <w:snapToGrid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7EE223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特此告知。</w:t>
      </w:r>
    </w:p>
    <w:p w14:paraId="2D94FA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投标人名称（公章）：</w:t>
      </w:r>
    </w:p>
    <w:p w14:paraId="4E750F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2EA24086">
      <w:pPr>
        <w:snapToGrid w:val="0"/>
        <w:spacing w:line="360" w:lineRule="auto"/>
        <w:ind w:right="240"/>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签发日期：  年  月   日</w:t>
      </w:r>
    </w:p>
    <w:p w14:paraId="41F82F26">
      <w:pPr>
        <w:snapToGrid w:val="0"/>
        <w:spacing w:line="360" w:lineRule="auto"/>
        <w:ind w:right="240"/>
        <w:jc w:val="right"/>
        <w:rPr>
          <w:rFonts w:hint="eastAsia" w:ascii="仿宋" w:hAnsi="仿宋" w:eastAsia="仿宋" w:cs="仿宋"/>
          <w:color w:val="auto"/>
          <w:highlight w:val="none"/>
          <w:lang w:val="zh-CN"/>
        </w:rPr>
      </w:pPr>
    </w:p>
    <w:p w14:paraId="0463BBAC">
      <w:pPr>
        <w:snapToGrid w:val="0"/>
        <w:spacing w:line="360" w:lineRule="auto"/>
        <w:ind w:right="1920"/>
        <w:rPr>
          <w:rFonts w:hint="eastAsia" w:ascii="仿宋" w:hAnsi="仿宋" w:eastAsia="仿宋" w:cs="仿宋"/>
          <w:color w:val="auto"/>
          <w:highlight w:val="none"/>
          <w:lang w:val="zh-CN"/>
        </w:rPr>
      </w:pPr>
    </w:p>
    <w:p w14:paraId="58BB43BA">
      <w:pPr>
        <w:rPr>
          <w:rFonts w:hint="eastAsia" w:ascii="仿宋" w:hAnsi="仿宋" w:eastAsia="仿宋" w:cs="仿宋"/>
          <w:color w:val="auto"/>
          <w:highlight w:val="none"/>
        </w:rPr>
      </w:pPr>
    </w:p>
    <w:p w14:paraId="19C58C4A">
      <w:pPr>
        <w:rPr>
          <w:rFonts w:hint="eastAsia" w:ascii="仿宋" w:hAnsi="仿宋" w:eastAsia="仿宋" w:cs="仿宋"/>
          <w:color w:val="auto"/>
          <w:highlight w:val="none"/>
        </w:rPr>
      </w:pPr>
    </w:p>
    <w:p w14:paraId="315F7598">
      <w:pPr>
        <w:pStyle w:val="3"/>
        <w:rPr>
          <w:rFonts w:hint="eastAsia" w:ascii="仿宋" w:hAnsi="仿宋" w:eastAsia="仿宋" w:cs="仿宋"/>
          <w:color w:val="auto"/>
          <w:highlight w:val="none"/>
        </w:rPr>
      </w:pPr>
    </w:p>
    <w:p w14:paraId="2901A931">
      <w:pPr>
        <w:rPr>
          <w:rFonts w:hint="eastAsia" w:ascii="仿宋" w:hAnsi="仿宋" w:eastAsia="仿宋" w:cs="仿宋"/>
          <w:color w:val="auto"/>
          <w:highlight w:val="none"/>
        </w:rPr>
      </w:pPr>
    </w:p>
    <w:p w14:paraId="597172D5">
      <w:pPr>
        <w:pStyle w:val="3"/>
        <w:rPr>
          <w:rFonts w:hint="eastAsia" w:ascii="仿宋" w:hAnsi="仿宋" w:eastAsia="仿宋" w:cs="仿宋"/>
          <w:color w:val="auto"/>
          <w:highlight w:val="none"/>
        </w:rPr>
      </w:pPr>
    </w:p>
    <w:p w14:paraId="474F3460">
      <w:pPr>
        <w:rPr>
          <w:rFonts w:hint="eastAsia" w:ascii="仿宋" w:hAnsi="仿宋" w:eastAsia="仿宋" w:cs="仿宋"/>
          <w:color w:val="auto"/>
          <w:highlight w:val="none"/>
        </w:rPr>
      </w:pPr>
    </w:p>
    <w:p w14:paraId="615A93AE">
      <w:pPr>
        <w:pStyle w:val="3"/>
        <w:rPr>
          <w:rFonts w:hint="eastAsia" w:ascii="仿宋" w:hAnsi="仿宋" w:eastAsia="仿宋" w:cs="仿宋"/>
          <w:color w:val="auto"/>
          <w:highlight w:val="none"/>
        </w:rPr>
      </w:pPr>
    </w:p>
    <w:p w14:paraId="4C064BEA">
      <w:pPr>
        <w:rPr>
          <w:rFonts w:hint="eastAsia" w:ascii="仿宋" w:hAnsi="仿宋" w:eastAsia="仿宋" w:cs="仿宋"/>
          <w:color w:val="auto"/>
          <w:highlight w:val="none"/>
        </w:rPr>
      </w:pPr>
    </w:p>
    <w:p w14:paraId="22D64816">
      <w:pPr>
        <w:pStyle w:val="3"/>
        <w:ind w:left="0" w:leftChars="0" w:firstLine="0" w:firstLineChars="0"/>
        <w:rPr>
          <w:rFonts w:hint="eastAsia" w:ascii="仿宋" w:hAnsi="仿宋" w:eastAsia="仿宋" w:cs="仿宋"/>
          <w:color w:val="auto"/>
          <w:highlight w:val="none"/>
        </w:rPr>
      </w:pPr>
    </w:p>
    <w:p w14:paraId="03B54C53">
      <w:pPr>
        <w:rPr>
          <w:rFonts w:hint="eastAsia" w:ascii="仿宋" w:hAnsi="仿宋" w:eastAsia="仿宋" w:cs="仿宋"/>
          <w:color w:val="auto"/>
          <w:highlight w:val="none"/>
        </w:rPr>
      </w:pPr>
    </w:p>
    <w:p w14:paraId="640D14D2">
      <w:pPr>
        <w:rPr>
          <w:rFonts w:hint="eastAsia" w:ascii="仿宋" w:hAnsi="仿宋" w:eastAsia="仿宋" w:cs="仿宋"/>
          <w:color w:val="auto"/>
          <w:highlight w:val="none"/>
        </w:rPr>
      </w:pPr>
    </w:p>
    <w:p w14:paraId="13DE3117">
      <w:pPr>
        <w:rPr>
          <w:rFonts w:hint="eastAsia" w:ascii="仿宋" w:hAnsi="仿宋" w:eastAsia="仿宋" w:cs="仿宋"/>
          <w:color w:val="auto"/>
          <w:highlight w:val="none"/>
        </w:rPr>
      </w:pPr>
    </w:p>
    <w:p w14:paraId="379E55E8">
      <w:pPr>
        <w:spacing w:line="360" w:lineRule="auto"/>
        <w:ind w:right="420"/>
        <w:rPr>
          <w:rFonts w:hint="eastAsia" w:ascii="仿宋" w:hAnsi="仿宋" w:eastAsia="仿宋" w:cs="仿宋"/>
          <w:color w:val="auto"/>
          <w:sz w:val="24"/>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176E">
    <w:pPr>
      <w:pStyle w:val="1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7A22DA">
                          <w:pPr>
                            <w:pStyle w:val="1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097A22DA">
                    <w:pPr>
                      <w:pStyle w:val="1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2DD052B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A1FD">
    <w:pPr>
      <w:pStyle w:val="1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510407">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8510407">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580EB3C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EE23">
    <w:pPr>
      <w:pStyle w:val="1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770FAA">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5770FAA">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p w14:paraId="5DD2D57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8D62">
    <w:pPr>
      <w:pStyle w:val="1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E841FF">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7E841FF">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p w14:paraId="28B9C5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A280">
    <w:pPr>
      <w:pStyle w:val="1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B9E805">
                          <w:pPr>
                            <w:pStyle w:val="1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1B9E805">
                    <w:pPr>
                      <w:pStyle w:val="1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9E79">
    <w:pPr>
      <w:pStyle w:val="12"/>
      <w:framePr w:wrap="around" w:vAnchor="text" w:hAnchor="margin" w:xAlign="right" w:y="1"/>
      <w:rPr>
        <w:rStyle w:val="21"/>
      </w:rPr>
    </w:pPr>
    <w:r>
      <w:fldChar w:fldCharType="begin"/>
    </w:r>
    <w:r>
      <w:rPr>
        <w:rStyle w:val="21"/>
      </w:rPr>
      <w:instrText xml:space="preserve">PAGE  </w:instrText>
    </w:r>
    <w:r>
      <w:fldChar w:fldCharType="end"/>
    </w:r>
  </w:p>
  <w:p w14:paraId="6814B527">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B582">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2A4336">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02A4336">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DA15">
    <w:pPr>
      <w:pStyle w:val="13"/>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7765">
    <w:pPr>
      <w:pStyle w:val="13"/>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66A0">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FAD9">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CC2E">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417D">
    <w:pPr>
      <w:pStyle w:val="13"/>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7CF9D"/>
    <w:multiLevelType w:val="singleLevel"/>
    <w:tmpl w:val="9847CF9D"/>
    <w:lvl w:ilvl="0" w:tentative="0">
      <w:start w:val="7"/>
      <w:numFmt w:val="decimal"/>
      <w:lvlText w:val="%1."/>
      <w:lvlJc w:val="left"/>
      <w:pPr>
        <w:tabs>
          <w:tab w:val="left" w:pos="312"/>
        </w:tabs>
      </w:pPr>
    </w:lvl>
  </w:abstractNum>
  <w:abstractNum w:abstractNumId="1">
    <w:nsid w:val="E7824246"/>
    <w:multiLevelType w:val="singleLevel"/>
    <w:tmpl w:val="E7824246"/>
    <w:lvl w:ilvl="0" w:tentative="0">
      <w:start w:val="4"/>
      <w:numFmt w:val="chineseCounting"/>
      <w:suff w:val="space"/>
      <w:lvlText w:val="第%1部分"/>
      <w:lvlJc w:val="left"/>
      <w:rPr>
        <w:rFonts w:hint="eastAsia"/>
      </w:rPr>
    </w:lvl>
  </w:abstractNum>
  <w:abstractNum w:abstractNumId="2">
    <w:nsid w:val="F01910C5"/>
    <w:multiLevelType w:val="singleLevel"/>
    <w:tmpl w:val="F01910C5"/>
    <w:lvl w:ilvl="0" w:tentative="0">
      <w:start w:val="5"/>
      <w:numFmt w:val="chineseCounting"/>
      <w:suff w:val="space"/>
      <w:lvlText w:val="第%1部分"/>
      <w:lvlJc w:val="left"/>
      <w:rPr>
        <w:rFonts w:hint="eastAsia"/>
      </w:rPr>
    </w:lvl>
  </w:abstractNum>
  <w:abstractNum w:abstractNumId="3">
    <w:nsid w:val="F405BB24"/>
    <w:multiLevelType w:val="singleLevel"/>
    <w:tmpl w:val="F405BB24"/>
    <w:lvl w:ilvl="0" w:tentative="0">
      <w:start w:val="1"/>
      <w:numFmt w:val="decimal"/>
      <w:suff w:val="nothing"/>
      <w:lvlText w:val="（%1）"/>
      <w:lvlJc w:val="left"/>
    </w:lvl>
  </w:abstractNum>
  <w:abstractNum w:abstractNumId="4">
    <w:nsid w:val="1329D5F3"/>
    <w:multiLevelType w:val="singleLevel"/>
    <w:tmpl w:val="1329D5F3"/>
    <w:lvl w:ilvl="0" w:tentative="0">
      <w:start w:val="5"/>
      <w:numFmt w:val="decimal"/>
      <w:lvlText w:val="%1."/>
      <w:lvlJc w:val="left"/>
      <w:pPr>
        <w:tabs>
          <w:tab w:val="left" w:pos="312"/>
        </w:tabs>
      </w:pPr>
    </w:lvl>
  </w:abstractNum>
  <w:abstractNum w:abstractNumId="5">
    <w:nsid w:val="2C05CB8A"/>
    <w:multiLevelType w:val="singleLevel"/>
    <w:tmpl w:val="2C05CB8A"/>
    <w:lvl w:ilvl="0" w:tentative="0">
      <w:start w:val="1"/>
      <w:numFmt w:val="chineseCounting"/>
      <w:suff w:val="space"/>
      <w:lvlText w:val="第%1部分"/>
      <w:lvlJc w:val="left"/>
      <w:rPr>
        <w:rFonts w:hint="eastAsia"/>
      </w:r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531F19E2"/>
    <w:multiLevelType w:val="singleLevel"/>
    <w:tmpl w:val="531F19E2"/>
    <w:lvl w:ilvl="0" w:tentative="0">
      <w:start w:val="1"/>
      <w:numFmt w:val="decimal"/>
      <w:suff w:val="nothing"/>
      <w:lvlText w:val="%1、"/>
      <w:lvlJc w:val="left"/>
    </w:lvl>
  </w:abstractNum>
  <w:abstractNum w:abstractNumId="8">
    <w:nsid w:val="5559833E"/>
    <w:multiLevelType w:val="singleLevel"/>
    <w:tmpl w:val="5559833E"/>
    <w:lvl w:ilvl="0" w:tentative="0">
      <w:start w:val="1"/>
      <w:numFmt w:val="chineseCounting"/>
      <w:suff w:val="nothing"/>
      <w:lvlText w:val="%1、"/>
      <w:lvlJc w:val="left"/>
      <w:pPr>
        <w:ind w:left="0" w:firstLine="0"/>
      </w:pPr>
    </w:lvl>
  </w:abstractNum>
  <w:num w:numId="1">
    <w:abstractNumId w:val="5"/>
  </w:num>
  <w:num w:numId="2">
    <w:abstractNumId w:val="6"/>
  </w:num>
  <w:num w:numId="3">
    <w:abstractNumId w:val="8"/>
    <w:lvlOverride w:ilvl="0">
      <w:startOverride w:val="1"/>
    </w:lvlOverride>
  </w:num>
  <w:num w:numId="4">
    <w:abstractNumId w:val="1"/>
  </w:num>
  <w:num w:numId="5">
    <w:abstractNumId w:val="7"/>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jMyOTdmYzZlM2IyOGQzOGVlNWJkYWI3YmQyZjUifQ=="/>
    <w:docVar w:name="KSO_WPS_MARK_KEY" w:val="225a6021-4420-4f96-a789-75664f5cd7ec"/>
  </w:docVars>
  <w:rsids>
    <w:rsidRoot w:val="00000000"/>
    <w:rsid w:val="0047196A"/>
    <w:rsid w:val="012375FA"/>
    <w:rsid w:val="01542D3D"/>
    <w:rsid w:val="0213533D"/>
    <w:rsid w:val="024535A0"/>
    <w:rsid w:val="02B7624C"/>
    <w:rsid w:val="04A16CCA"/>
    <w:rsid w:val="05D47115"/>
    <w:rsid w:val="06CA36A8"/>
    <w:rsid w:val="073643A3"/>
    <w:rsid w:val="076B0FF4"/>
    <w:rsid w:val="07B82182"/>
    <w:rsid w:val="08065698"/>
    <w:rsid w:val="08250678"/>
    <w:rsid w:val="089974B1"/>
    <w:rsid w:val="08B13DFB"/>
    <w:rsid w:val="098470A4"/>
    <w:rsid w:val="09A807FD"/>
    <w:rsid w:val="09AB27FB"/>
    <w:rsid w:val="0A5D1719"/>
    <w:rsid w:val="0AD57BB7"/>
    <w:rsid w:val="0AE278DF"/>
    <w:rsid w:val="0B133839"/>
    <w:rsid w:val="0B260754"/>
    <w:rsid w:val="0C565C76"/>
    <w:rsid w:val="0C70352D"/>
    <w:rsid w:val="0CD463A3"/>
    <w:rsid w:val="0DDC5995"/>
    <w:rsid w:val="0E14673A"/>
    <w:rsid w:val="0E327AE2"/>
    <w:rsid w:val="0E552DBD"/>
    <w:rsid w:val="0F7F00F1"/>
    <w:rsid w:val="113900E2"/>
    <w:rsid w:val="113E3FDC"/>
    <w:rsid w:val="11A1220E"/>
    <w:rsid w:val="12A81B36"/>
    <w:rsid w:val="13123F02"/>
    <w:rsid w:val="136046DE"/>
    <w:rsid w:val="137B1A3A"/>
    <w:rsid w:val="1385332D"/>
    <w:rsid w:val="139B5D37"/>
    <w:rsid w:val="13C364F9"/>
    <w:rsid w:val="14637FDF"/>
    <w:rsid w:val="15114249"/>
    <w:rsid w:val="1534765E"/>
    <w:rsid w:val="1537004E"/>
    <w:rsid w:val="15792CC0"/>
    <w:rsid w:val="168E1277"/>
    <w:rsid w:val="169448CF"/>
    <w:rsid w:val="16E010AE"/>
    <w:rsid w:val="17A35E42"/>
    <w:rsid w:val="17F21810"/>
    <w:rsid w:val="18561C0B"/>
    <w:rsid w:val="191D2361"/>
    <w:rsid w:val="195200C9"/>
    <w:rsid w:val="19A67FBB"/>
    <w:rsid w:val="19AE24B7"/>
    <w:rsid w:val="19F257B0"/>
    <w:rsid w:val="1A0B537D"/>
    <w:rsid w:val="1ADC6D40"/>
    <w:rsid w:val="1B6F4616"/>
    <w:rsid w:val="1B982DF7"/>
    <w:rsid w:val="1BE649E3"/>
    <w:rsid w:val="1C9F39A1"/>
    <w:rsid w:val="1D1F7DEC"/>
    <w:rsid w:val="1F05243E"/>
    <w:rsid w:val="1F190477"/>
    <w:rsid w:val="1F770002"/>
    <w:rsid w:val="20741056"/>
    <w:rsid w:val="20940F8A"/>
    <w:rsid w:val="20A46E1E"/>
    <w:rsid w:val="21A244F3"/>
    <w:rsid w:val="21D449BD"/>
    <w:rsid w:val="223631D9"/>
    <w:rsid w:val="2260523D"/>
    <w:rsid w:val="229133C9"/>
    <w:rsid w:val="22CE210D"/>
    <w:rsid w:val="23747728"/>
    <w:rsid w:val="252A348D"/>
    <w:rsid w:val="259C6A59"/>
    <w:rsid w:val="25B17D54"/>
    <w:rsid w:val="26634D0A"/>
    <w:rsid w:val="26C74A53"/>
    <w:rsid w:val="27681423"/>
    <w:rsid w:val="27C07778"/>
    <w:rsid w:val="28656AB1"/>
    <w:rsid w:val="29607382"/>
    <w:rsid w:val="296166CA"/>
    <w:rsid w:val="2A0D0CC4"/>
    <w:rsid w:val="2A14198E"/>
    <w:rsid w:val="2E0F246F"/>
    <w:rsid w:val="30937A49"/>
    <w:rsid w:val="30EF1191"/>
    <w:rsid w:val="31206BCB"/>
    <w:rsid w:val="312B03B5"/>
    <w:rsid w:val="315E22E5"/>
    <w:rsid w:val="32FD659C"/>
    <w:rsid w:val="33095A2D"/>
    <w:rsid w:val="33EE3ACD"/>
    <w:rsid w:val="34452D8A"/>
    <w:rsid w:val="34FF74ED"/>
    <w:rsid w:val="35A10512"/>
    <w:rsid w:val="35BF1F03"/>
    <w:rsid w:val="377909F8"/>
    <w:rsid w:val="381D3C67"/>
    <w:rsid w:val="387501CE"/>
    <w:rsid w:val="38B61FE1"/>
    <w:rsid w:val="39FE6E2E"/>
    <w:rsid w:val="3A02427D"/>
    <w:rsid w:val="3A04292A"/>
    <w:rsid w:val="3A0D61B7"/>
    <w:rsid w:val="3BC9416E"/>
    <w:rsid w:val="3BD31203"/>
    <w:rsid w:val="3C30488C"/>
    <w:rsid w:val="3DB70A95"/>
    <w:rsid w:val="3DCF3A0B"/>
    <w:rsid w:val="3DEB5CC1"/>
    <w:rsid w:val="3ECC5115"/>
    <w:rsid w:val="3EFF0992"/>
    <w:rsid w:val="3F18458B"/>
    <w:rsid w:val="3F6E4932"/>
    <w:rsid w:val="3FFB5B40"/>
    <w:rsid w:val="406178BC"/>
    <w:rsid w:val="410C5A8C"/>
    <w:rsid w:val="44AF063D"/>
    <w:rsid w:val="44D6506C"/>
    <w:rsid w:val="46CC17C1"/>
    <w:rsid w:val="47625CE9"/>
    <w:rsid w:val="484C0B6F"/>
    <w:rsid w:val="48FD385A"/>
    <w:rsid w:val="4A56790A"/>
    <w:rsid w:val="4B34193A"/>
    <w:rsid w:val="4B88557F"/>
    <w:rsid w:val="4C615416"/>
    <w:rsid w:val="4C6A4559"/>
    <w:rsid w:val="4C6C0C96"/>
    <w:rsid w:val="4CAC31E8"/>
    <w:rsid w:val="4CAC5CC3"/>
    <w:rsid w:val="4D317F76"/>
    <w:rsid w:val="4D4C0EA2"/>
    <w:rsid w:val="4D720B9D"/>
    <w:rsid w:val="4D8F10CB"/>
    <w:rsid w:val="4E516B22"/>
    <w:rsid w:val="4E800227"/>
    <w:rsid w:val="4F423AAD"/>
    <w:rsid w:val="4F5F0DCA"/>
    <w:rsid w:val="4F9E7430"/>
    <w:rsid w:val="505C17FC"/>
    <w:rsid w:val="51324101"/>
    <w:rsid w:val="51B00EBC"/>
    <w:rsid w:val="51C501B2"/>
    <w:rsid w:val="532808BC"/>
    <w:rsid w:val="539F3A10"/>
    <w:rsid w:val="53BB4A3D"/>
    <w:rsid w:val="53F50DBC"/>
    <w:rsid w:val="544F398C"/>
    <w:rsid w:val="56164C0B"/>
    <w:rsid w:val="569B359B"/>
    <w:rsid w:val="589B4956"/>
    <w:rsid w:val="58F45865"/>
    <w:rsid w:val="59A66644"/>
    <w:rsid w:val="5A153E47"/>
    <w:rsid w:val="5E0C0BDB"/>
    <w:rsid w:val="5E2720DC"/>
    <w:rsid w:val="5E7A2B3A"/>
    <w:rsid w:val="5F01203D"/>
    <w:rsid w:val="5F1B32A0"/>
    <w:rsid w:val="5F626B4C"/>
    <w:rsid w:val="606B47C4"/>
    <w:rsid w:val="61425A64"/>
    <w:rsid w:val="614B7400"/>
    <w:rsid w:val="634D6BF7"/>
    <w:rsid w:val="63644700"/>
    <w:rsid w:val="637117E7"/>
    <w:rsid w:val="63A41DF7"/>
    <w:rsid w:val="63D57E6F"/>
    <w:rsid w:val="64374F64"/>
    <w:rsid w:val="649A1507"/>
    <w:rsid w:val="64CC5473"/>
    <w:rsid w:val="64FB113D"/>
    <w:rsid w:val="65CA056E"/>
    <w:rsid w:val="65D17A4C"/>
    <w:rsid w:val="66387A43"/>
    <w:rsid w:val="674A6A84"/>
    <w:rsid w:val="681F4A2C"/>
    <w:rsid w:val="68B30E4C"/>
    <w:rsid w:val="68C734B5"/>
    <w:rsid w:val="69912BBF"/>
    <w:rsid w:val="69CC7739"/>
    <w:rsid w:val="6A072428"/>
    <w:rsid w:val="6AF64881"/>
    <w:rsid w:val="6B161942"/>
    <w:rsid w:val="6B430AD6"/>
    <w:rsid w:val="6B900B99"/>
    <w:rsid w:val="6E2154FF"/>
    <w:rsid w:val="6E643868"/>
    <w:rsid w:val="6F0F7210"/>
    <w:rsid w:val="705C3D92"/>
    <w:rsid w:val="706F75C6"/>
    <w:rsid w:val="71510070"/>
    <w:rsid w:val="71E00993"/>
    <w:rsid w:val="72F86293"/>
    <w:rsid w:val="7375002D"/>
    <w:rsid w:val="7534160A"/>
    <w:rsid w:val="755E62FC"/>
    <w:rsid w:val="76E52486"/>
    <w:rsid w:val="774626EC"/>
    <w:rsid w:val="780F3744"/>
    <w:rsid w:val="79E00C47"/>
    <w:rsid w:val="7AB55730"/>
    <w:rsid w:val="7AFB3BDC"/>
    <w:rsid w:val="7B5B7248"/>
    <w:rsid w:val="7B6978D2"/>
    <w:rsid w:val="7B6F62E1"/>
    <w:rsid w:val="7CB27156"/>
    <w:rsid w:val="7DCF4ABD"/>
    <w:rsid w:val="7E171C98"/>
    <w:rsid w:val="7F8E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color w:val="000000"/>
      <w:kern w:val="28"/>
      <w:sz w:val="28"/>
      <w:szCs w:val="20"/>
    </w:rPr>
  </w:style>
  <w:style w:type="paragraph" w:styleId="5">
    <w:name w:val="annotation text"/>
    <w:basedOn w:val="1"/>
    <w:qFormat/>
    <w:uiPriority w:val="0"/>
    <w:pPr>
      <w:jc w:val="left"/>
    </w:pPr>
  </w:style>
  <w:style w:type="paragraph" w:styleId="6">
    <w:name w:val="Body Text 3"/>
    <w:basedOn w:val="1"/>
    <w:qFormat/>
    <w:uiPriority w:val="0"/>
    <w:pPr>
      <w:jc w:val="center"/>
    </w:pPr>
    <w:rPr>
      <w:szCs w:val="20"/>
    </w:rPr>
  </w:style>
  <w:style w:type="paragraph" w:styleId="7">
    <w:name w:val="Body Text"/>
    <w:basedOn w:val="1"/>
    <w:next w:val="8"/>
    <w:qFormat/>
    <w:uiPriority w:val="0"/>
    <w:pPr>
      <w:autoSpaceDE w:val="0"/>
      <w:autoSpaceDN w:val="0"/>
      <w:spacing w:line="360" w:lineRule="auto"/>
    </w:pPr>
    <w:rPr>
      <w:rFonts w:ascii="宋体" w:hAnsi="Arial" w:cs="Arial"/>
      <w:snapToGrid/>
      <w:sz w:val="24"/>
      <w:szCs w:val="21"/>
      <w:lang w:val="zh-CN"/>
    </w:rPr>
  </w:style>
  <w:style w:type="paragraph" w:styleId="8">
    <w:name w:val="toc 2"/>
    <w:basedOn w:val="1"/>
    <w:next w:val="1"/>
    <w:qFormat/>
    <w:uiPriority w:val="39"/>
    <w:pPr>
      <w:ind w:left="210"/>
      <w:jc w:val="left"/>
    </w:pPr>
    <w:rPr>
      <w:smallCaps/>
      <w:sz w:val="20"/>
    </w:r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customStyle="1" w:styleId="10">
    <w:name w:val="正文文本首行缩进 21"/>
    <w:basedOn w:val="9"/>
    <w:qFormat/>
    <w:uiPriority w:val="99"/>
    <w:pPr>
      <w:spacing w:line="200" w:lineRule="atLeast"/>
      <w:ind w:firstLine="420"/>
    </w:pPr>
    <w:rPr>
      <w:rFonts w:hAnsi="Courier New"/>
      <w:spacing w:val="-4"/>
      <w:sz w:val="18"/>
    </w:rPr>
  </w:style>
  <w:style w:type="paragraph" w:styleId="11">
    <w:name w:val="Plain Text"/>
    <w:basedOn w:val="1"/>
    <w:qFormat/>
    <w:uiPriority w:val="99"/>
    <w:rPr>
      <w:rFonts w:ascii="宋体" w:hAnsi="Courier New" w:cs="Arial"/>
      <w:snapToGrid/>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6"/>
    <w:basedOn w:val="1"/>
    <w:next w:val="1"/>
    <w:qFormat/>
    <w:uiPriority w:val="0"/>
    <w:pPr>
      <w:ind w:left="2100" w:leftChars="1000"/>
    </w:pPr>
  </w:style>
  <w:style w:type="paragraph" w:styleId="16">
    <w:name w:val="Normal (Web)"/>
    <w:basedOn w:val="1"/>
    <w:qFormat/>
    <w:uiPriority w:val="99"/>
    <w:pPr>
      <w:widowControl/>
      <w:spacing w:before="100" w:beforeAutospacing="1" w:after="100" w:afterAutospacing="1" w:line="300" w:lineRule="atLeast"/>
      <w:jc w:val="left"/>
    </w:pPr>
    <w:rPr>
      <w:rFonts w:ascii="宋体" w:hAnsi="宋体"/>
      <w:kern w:val="0"/>
      <w:sz w:val="24"/>
      <w:szCs w:val="24"/>
    </w:rPr>
  </w:style>
  <w:style w:type="paragraph" w:styleId="17">
    <w:name w:val="Body Text First Indent"/>
    <w:basedOn w:val="7"/>
    <w:next w:val="1"/>
    <w:qFormat/>
    <w:uiPriority w:val="0"/>
    <w:pPr>
      <w:ind w:firstLine="420"/>
    </w:pPr>
    <w:rPr>
      <w:rFonts w:hAnsi="Calibri" w:cs="Times New Roman"/>
      <w:snapToGrid/>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Arial" w:hAnsi="Arial" w:eastAsia="黑体" w:cs="Arial"/>
      <w:snapToGrid/>
      <w:kern w:val="0"/>
      <w:szCs w:val="21"/>
    </w:rPr>
  </w:style>
  <w:style w:type="character" w:styleId="22">
    <w:name w:val="Hyperlink"/>
    <w:qFormat/>
    <w:uiPriority w:val="99"/>
    <w:rPr>
      <w:rFonts w:ascii="Arial" w:hAnsi="Arial" w:eastAsia="黑体" w:cs="Arial"/>
      <w:snapToGrid/>
      <w:color w:val="000000"/>
      <w:kern w:val="0"/>
      <w:sz w:val="18"/>
      <w:szCs w:val="18"/>
      <w:u w:val="none"/>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List Paragraph"/>
    <w:basedOn w:val="1"/>
    <w:qFormat/>
    <w:uiPriority w:val="0"/>
    <w:pPr>
      <w:autoSpaceDE w:val="0"/>
      <w:autoSpaceDN w:val="0"/>
      <w:adjustRightInd/>
      <w:spacing w:before="100" w:beforeAutospacing="1" w:after="100" w:afterAutospacing="1" w:line="360" w:lineRule="auto"/>
      <w:ind w:right="-186" w:firstLine="420" w:firstLineChars="200"/>
      <w:jc w:val="left"/>
    </w:pPr>
    <w:rPr>
      <w:sz w:val="24"/>
    </w:rPr>
  </w:style>
  <w:style w:type="paragraph" w:customStyle="1" w:styleId="29">
    <w:name w:val="Default"/>
    <w:next w:val="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正文文本 31"/>
    <w:basedOn w:val="1"/>
    <w:qFormat/>
    <w:uiPriority w:val="0"/>
    <w:pPr>
      <w:spacing w:after="120"/>
    </w:pPr>
    <w:rPr>
      <w:sz w:val="16"/>
      <w:szCs w:val="16"/>
    </w:rPr>
  </w:style>
  <w:style w:type="paragraph" w:customStyle="1" w:styleId="35">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36">
    <w:name w:val="Body Text First Indent 21"/>
    <w:basedOn w:val="37"/>
    <w:qFormat/>
    <w:uiPriority w:val="0"/>
    <w:pPr>
      <w:spacing w:after="120" w:afterLines="0" w:line="240" w:lineRule="auto"/>
      <w:ind w:left="420" w:leftChars="200" w:firstLine="420"/>
    </w:pPr>
    <w:rPr>
      <w:rFonts w:cs="宋体"/>
    </w:rPr>
  </w:style>
  <w:style w:type="paragraph" w:customStyle="1" w:styleId="37">
    <w:name w:val="Body Text Indent1"/>
    <w:basedOn w:val="1"/>
    <w:next w:val="1"/>
    <w:qFormat/>
    <w:uiPriority w:val="0"/>
    <w:pPr>
      <w:spacing w:after="120" w:afterLines="0"/>
      <w:ind w:left="420" w:leftChars="200"/>
    </w:pPr>
  </w:style>
  <w:style w:type="paragraph" w:customStyle="1" w:styleId="38">
    <w:name w:val="Fließtext"/>
    <w:basedOn w:val="1"/>
    <w:qFormat/>
    <w:uiPriority w:val="0"/>
    <w:pPr>
      <w:overflowPunct w:val="0"/>
      <w:autoSpaceDE w:val="0"/>
      <w:autoSpaceDN w:val="0"/>
      <w:adjustRightInd w:val="0"/>
      <w:textAlignment w:val="baseline"/>
    </w:pPr>
    <w:rPr>
      <w:kern w:val="28"/>
      <w:szCs w:val="20"/>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7892</Words>
  <Characters>8713</Characters>
  <Lines>0</Lines>
  <Paragraphs>0</Paragraphs>
  <TotalTime>3</TotalTime>
  <ScaleCrop>false</ScaleCrop>
  <LinksUpToDate>false</LinksUpToDate>
  <CharactersWithSpaces>8841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2024-07-10T00:54:00Z</dcterms:created>
  <dc:creator>w's</dc:creator>
  <cp:lastModifiedBy>三月七</cp:lastModifiedBy>
  <cp:lastPrinted>2025-06-26T03:01:00Z</cp:lastPrinted>
  <dcterms:modified xsi:type="dcterms:W3CDTF">2025-07-02T01:17:26Z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08CAFF826E564239B4D35DB63898751A_13</vt:lpwstr>
  </property>
  <property fmtid="{D5CDD505-2E9C-101B-9397-08002B2CF9AE}" pid="4" name="KSOTemplateDocerSaveRecord">
    <vt:lpwstr>eyJoZGlkIjoiZjBjYTRlODY3Yjg0OGQ1Mjk1OTc1NmE1NTYwYjIzYWYiLCJ1c2VySWQiOiI2MTI0MTQ2NTEifQ==</vt:lpwstr>
  </property>
</Properties>
</file>