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E3F715">
      <w:pPr>
        <w:shd w:val="clear"/>
        <w:spacing w:line="360" w:lineRule="auto"/>
        <w:jc w:val="center"/>
        <w:rPr>
          <w:rFonts w:cs="仿宋_GB2312" w:asciiTheme="majorEastAsia" w:hAnsiTheme="majorEastAsia" w:eastAsiaTheme="majorEastAsia"/>
          <w:color w:val="auto"/>
          <w:sz w:val="48"/>
          <w:szCs w:val="48"/>
          <w:highlight w:val="none"/>
        </w:rPr>
      </w:pPr>
    </w:p>
    <w:p w14:paraId="2255DCA9">
      <w:pPr>
        <w:shd w:val="clear"/>
        <w:spacing w:line="360" w:lineRule="auto"/>
        <w:jc w:val="center"/>
        <w:rPr>
          <w:rFonts w:cs="仿宋_GB2312" w:asciiTheme="majorEastAsia" w:hAnsiTheme="majorEastAsia" w:eastAsiaTheme="majorEastAsia"/>
          <w:color w:val="auto"/>
          <w:sz w:val="48"/>
          <w:szCs w:val="48"/>
          <w:highlight w:val="none"/>
        </w:rPr>
      </w:pPr>
      <w:r>
        <w:rPr>
          <w:rFonts w:hint="eastAsia" w:cs="仿宋_GB2312" w:asciiTheme="majorEastAsia" w:hAnsiTheme="majorEastAsia" w:eastAsiaTheme="majorEastAsia"/>
          <w:color w:val="auto"/>
          <w:sz w:val="48"/>
          <w:szCs w:val="48"/>
          <w:highlight w:val="none"/>
        </w:rPr>
        <w:t>奉化区江口街道园中村改造安置房建设工程（二期）配套幼儿园户外改造项目</w:t>
      </w:r>
    </w:p>
    <w:p w14:paraId="0689A6BD">
      <w:pPr>
        <w:shd w:val="clear"/>
        <w:spacing w:line="360" w:lineRule="auto"/>
        <w:jc w:val="center"/>
        <w:rPr>
          <w:rFonts w:cs="仿宋_GB2312" w:asciiTheme="majorEastAsia" w:hAnsiTheme="majorEastAsia" w:eastAsiaTheme="majorEastAsia"/>
          <w:color w:val="auto"/>
          <w:sz w:val="48"/>
          <w:szCs w:val="48"/>
          <w:highlight w:val="none"/>
        </w:rPr>
      </w:pPr>
      <w:r>
        <w:rPr>
          <w:rFonts w:hint="eastAsia" w:cs="仿宋_GB2312" w:asciiTheme="majorEastAsia" w:hAnsiTheme="majorEastAsia" w:eastAsiaTheme="majorEastAsia"/>
          <w:color w:val="auto"/>
          <w:sz w:val="48"/>
          <w:szCs w:val="48"/>
          <w:highlight w:val="none"/>
        </w:rPr>
        <w:t>公开招标采购文件</w:t>
      </w:r>
    </w:p>
    <w:p w14:paraId="4AE70130">
      <w:pPr>
        <w:shd w:val="clear"/>
        <w:spacing w:line="360" w:lineRule="auto"/>
        <w:jc w:val="center"/>
        <w:rPr>
          <w:rFonts w:cs="仿宋_GB2312" w:asciiTheme="majorEastAsia" w:hAnsiTheme="majorEastAsia" w:eastAsiaTheme="majorEastAsia"/>
          <w:b/>
          <w:color w:val="auto"/>
          <w:sz w:val="44"/>
          <w:szCs w:val="44"/>
          <w:highlight w:val="none"/>
        </w:rPr>
      </w:pPr>
      <w:r>
        <w:rPr>
          <w:rFonts w:cs="仿宋_GB2312" w:asciiTheme="majorEastAsia" w:hAnsiTheme="majorEastAsia" w:eastAsiaTheme="majorEastAsia"/>
          <w:b/>
          <w:color w:val="auto"/>
          <w:sz w:val="44"/>
          <w:szCs w:val="44"/>
          <w:highlight w:val="none"/>
        </w:rPr>
        <w:t xml:space="preserve"> （电子招投标）</w:t>
      </w:r>
    </w:p>
    <w:p w14:paraId="47C3F0B3">
      <w:pPr>
        <w:shd w:val="clear"/>
        <w:snapToGrid w:val="0"/>
        <w:spacing w:line="360" w:lineRule="auto"/>
        <w:jc w:val="center"/>
        <w:rPr>
          <w:rFonts w:cs="仿宋_GB2312" w:asciiTheme="majorEastAsia" w:hAnsiTheme="majorEastAsia" w:eastAsiaTheme="majorEastAsia"/>
          <w:color w:val="auto"/>
          <w:sz w:val="30"/>
          <w:szCs w:val="30"/>
          <w:highlight w:val="none"/>
        </w:rPr>
      </w:pPr>
      <w:r>
        <w:rPr>
          <w:rFonts w:hint="eastAsia" w:cs="仿宋_GB2312" w:asciiTheme="majorEastAsia" w:hAnsiTheme="majorEastAsia" w:eastAsiaTheme="majorEastAsia"/>
          <w:color w:val="auto"/>
          <w:sz w:val="30"/>
          <w:szCs w:val="30"/>
          <w:highlight w:val="none"/>
        </w:rPr>
        <w:t>项目编号</w:t>
      </w:r>
      <w:r>
        <w:rPr>
          <w:rFonts w:cs="仿宋_GB2312" w:asciiTheme="majorEastAsia" w:hAnsiTheme="majorEastAsia" w:eastAsiaTheme="majorEastAsia"/>
          <w:color w:val="auto"/>
          <w:sz w:val="30"/>
          <w:szCs w:val="30"/>
          <w:highlight w:val="none"/>
        </w:rPr>
        <w:t>:</w:t>
      </w:r>
      <w:r>
        <w:rPr>
          <w:rFonts w:asciiTheme="majorEastAsia" w:hAnsiTheme="majorEastAsia" w:eastAsiaTheme="majorEastAsia"/>
          <w:color w:val="auto"/>
          <w:highlight w:val="none"/>
        </w:rPr>
        <w:t xml:space="preserve"> </w:t>
      </w:r>
      <w:r>
        <w:rPr>
          <w:rFonts w:cs="仿宋_GB2312" w:asciiTheme="majorEastAsia" w:hAnsiTheme="majorEastAsia" w:eastAsiaTheme="majorEastAsia"/>
          <w:color w:val="auto"/>
          <w:sz w:val="30"/>
          <w:szCs w:val="30"/>
          <w:highlight w:val="none"/>
        </w:rPr>
        <w:t>FHGQZB(202</w:t>
      </w:r>
      <w:r>
        <w:rPr>
          <w:rFonts w:hint="eastAsia" w:cs="仿宋_GB2312" w:asciiTheme="majorEastAsia" w:hAnsiTheme="majorEastAsia" w:eastAsiaTheme="majorEastAsia"/>
          <w:color w:val="auto"/>
          <w:sz w:val="30"/>
          <w:szCs w:val="30"/>
          <w:highlight w:val="none"/>
        </w:rPr>
        <w:t>5</w:t>
      </w:r>
      <w:r>
        <w:rPr>
          <w:rFonts w:cs="仿宋_GB2312" w:asciiTheme="majorEastAsia" w:hAnsiTheme="majorEastAsia" w:eastAsiaTheme="majorEastAsia"/>
          <w:color w:val="auto"/>
          <w:sz w:val="30"/>
          <w:szCs w:val="30"/>
          <w:highlight w:val="none"/>
        </w:rPr>
        <w:t>)</w:t>
      </w:r>
      <w:r>
        <w:rPr>
          <w:rFonts w:hint="eastAsia" w:cs="仿宋_GB2312" w:asciiTheme="majorEastAsia" w:hAnsiTheme="majorEastAsia" w:eastAsiaTheme="majorEastAsia"/>
          <w:color w:val="auto"/>
          <w:sz w:val="30"/>
          <w:szCs w:val="30"/>
          <w:highlight w:val="none"/>
          <w:lang w:val="en-US" w:eastAsia="zh-CN"/>
        </w:rPr>
        <w:t>193</w:t>
      </w:r>
      <w:r>
        <w:rPr>
          <w:rFonts w:cs="仿宋_GB2312" w:asciiTheme="majorEastAsia" w:hAnsiTheme="majorEastAsia" w:eastAsiaTheme="majorEastAsia"/>
          <w:color w:val="auto"/>
          <w:sz w:val="30"/>
          <w:szCs w:val="30"/>
          <w:highlight w:val="none"/>
        </w:rPr>
        <w:t>D</w:t>
      </w:r>
    </w:p>
    <w:p w14:paraId="4A943A0E">
      <w:pPr>
        <w:shd w:val="clear"/>
        <w:spacing w:line="360" w:lineRule="auto"/>
        <w:rPr>
          <w:rFonts w:cs="仿宋_GB2312" w:asciiTheme="majorEastAsia" w:hAnsiTheme="majorEastAsia" w:eastAsiaTheme="majorEastAsia"/>
          <w:color w:val="auto"/>
          <w:sz w:val="28"/>
          <w:szCs w:val="20"/>
          <w:highlight w:val="none"/>
        </w:rPr>
      </w:pPr>
    </w:p>
    <w:p w14:paraId="2F53364A">
      <w:pPr>
        <w:shd w:val="clear"/>
        <w:spacing w:line="360" w:lineRule="auto"/>
        <w:jc w:val="center"/>
        <w:rPr>
          <w:rFonts w:cs="仿宋_GB2312" w:asciiTheme="majorEastAsia" w:hAnsiTheme="majorEastAsia" w:eastAsiaTheme="majorEastAsia"/>
          <w:b/>
          <w:color w:val="auto"/>
          <w:sz w:val="44"/>
          <w:szCs w:val="44"/>
          <w:highlight w:val="none"/>
        </w:rPr>
      </w:pPr>
      <w:r>
        <w:rPr>
          <w:rFonts w:cs="仿宋_GB2312" w:asciiTheme="majorEastAsia" w:hAnsiTheme="majorEastAsia" w:eastAsiaTheme="majorEastAsia"/>
          <w:b/>
          <w:color w:val="auto"/>
          <w:sz w:val="44"/>
          <w:szCs w:val="44"/>
          <w:highlight w:val="none"/>
        </w:rPr>
        <w:t xml:space="preserve"> </w:t>
      </w:r>
    </w:p>
    <w:p w14:paraId="2EDE41AC">
      <w:pPr>
        <w:shd w:val="clear"/>
        <w:spacing w:line="360" w:lineRule="auto"/>
        <w:jc w:val="center"/>
        <w:rPr>
          <w:rFonts w:cs="仿宋_GB2312" w:asciiTheme="majorEastAsia" w:hAnsiTheme="majorEastAsia" w:eastAsiaTheme="majorEastAsia"/>
          <w:b/>
          <w:color w:val="auto"/>
          <w:sz w:val="44"/>
          <w:szCs w:val="44"/>
          <w:highlight w:val="none"/>
        </w:rPr>
      </w:pPr>
    </w:p>
    <w:p w14:paraId="66697CEC">
      <w:pPr>
        <w:pStyle w:val="25"/>
        <w:shd w:val="clear"/>
        <w:ind w:firstLine="560"/>
        <w:rPr>
          <w:color w:val="auto"/>
          <w:highlight w:val="none"/>
        </w:rPr>
      </w:pPr>
    </w:p>
    <w:p w14:paraId="7737A165">
      <w:pPr>
        <w:pStyle w:val="25"/>
        <w:shd w:val="clear"/>
        <w:ind w:firstLine="560"/>
        <w:rPr>
          <w:color w:val="auto"/>
          <w:highlight w:val="none"/>
        </w:rPr>
      </w:pPr>
    </w:p>
    <w:p w14:paraId="19B4E595">
      <w:pPr>
        <w:pStyle w:val="25"/>
        <w:shd w:val="clear"/>
        <w:ind w:firstLine="560"/>
        <w:rPr>
          <w:color w:val="auto"/>
          <w:highlight w:val="none"/>
        </w:rPr>
      </w:pPr>
    </w:p>
    <w:p w14:paraId="0E040C8C">
      <w:pPr>
        <w:pStyle w:val="25"/>
        <w:shd w:val="clear"/>
        <w:ind w:firstLine="560"/>
        <w:rPr>
          <w:color w:val="auto"/>
          <w:highlight w:val="none"/>
        </w:rPr>
      </w:pPr>
    </w:p>
    <w:p w14:paraId="157FE0E4">
      <w:pPr>
        <w:pStyle w:val="25"/>
        <w:shd w:val="clear"/>
        <w:ind w:firstLine="560"/>
        <w:rPr>
          <w:color w:val="auto"/>
          <w:highlight w:val="none"/>
        </w:rPr>
      </w:pPr>
    </w:p>
    <w:p w14:paraId="30ABC25F">
      <w:pPr>
        <w:pStyle w:val="25"/>
        <w:shd w:val="clear"/>
        <w:ind w:firstLine="560"/>
        <w:rPr>
          <w:color w:val="auto"/>
          <w:highlight w:val="none"/>
        </w:rPr>
      </w:pPr>
    </w:p>
    <w:p w14:paraId="44795940">
      <w:pPr>
        <w:shd w:val="clear"/>
        <w:spacing w:line="360" w:lineRule="auto"/>
        <w:jc w:val="center"/>
        <w:rPr>
          <w:rFonts w:cs="仿宋_GB2312" w:asciiTheme="majorEastAsia" w:hAnsiTheme="majorEastAsia" w:eastAsiaTheme="majorEastAsia"/>
          <w:color w:val="auto"/>
          <w:sz w:val="32"/>
          <w:szCs w:val="32"/>
          <w:highlight w:val="none"/>
        </w:rPr>
      </w:pPr>
    </w:p>
    <w:p w14:paraId="533E6ED4">
      <w:pPr>
        <w:shd w:val="clear"/>
        <w:snapToGrid w:val="0"/>
        <w:spacing w:line="360" w:lineRule="auto"/>
        <w:ind w:firstLine="960" w:firstLineChars="300"/>
        <w:rPr>
          <w:rFonts w:cs="仿宋_GB2312" w:asciiTheme="majorEastAsia" w:hAnsiTheme="majorEastAsia" w:eastAsiaTheme="majorEastAsia"/>
          <w:color w:val="auto"/>
          <w:sz w:val="32"/>
          <w:szCs w:val="32"/>
          <w:highlight w:val="none"/>
        </w:rPr>
      </w:pPr>
      <w:r>
        <w:rPr>
          <w:rFonts w:hint="eastAsia" w:cs="仿宋_GB2312" w:asciiTheme="majorEastAsia" w:hAnsiTheme="majorEastAsia" w:eastAsiaTheme="majorEastAsia"/>
          <w:color w:val="auto"/>
          <w:sz w:val="32"/>
          <w:szCs w:val="32"/>
          <w:highlight w:val="none"/>
        </w:rPr>
        <w:t>采购人：宁波市奉化区教育发展投资有限责任公司</w:t>
      </w:r>
    </w:p>
    <w:p w14:paraId="3B41B84B">
      <w:pPr>
        <w:shd w:val="clear"/>
        <w:spacing w:line="360" w:lineRule="auto"/>
        <w:ind w:firstLine="960" w:firstLineChars="300"/>
        <w:rPr>
          <w:rFonts w:cs="仿宋_GB2312" w:asciiTheme="majorEastAsia" w:hAnsiTheme="majorEastAsia" w:eastAsiaTheme="majorEastAsia"/>
          <w:bCs/>
          <w:color w:val="auto"/>
          <w:sz w:val="32"/>
          <w:szCs w:val="32"/>
          <w:highlight w:val="none"/>
        </w:rPr>
      </w:pPr>
      <w:r>
        <w:rPr>
          <w:rFonts w:hint="eastAsia" w:cs="仿宋_GB2312" w:asciiTheme="majorEastAsia" w:hAnsiTheme="majorEastAsia" w:eastAsiaTheme="majorEastAsia"/>
          <w:bCs/>
          <w:color w:val="auto"/>
          <w:sz w:val="32"/>
          <w:szCs w:val="32"/>
          <w:highlight w:val="none"/>
        </w:rPr>
        <w:t>采购代理机构：宁波敬信项目管理咨询有限公司</w:t>
      </w:r>
    </w:p>
    <w:p w14:paraId="4F4B2B63">
      <w:pPr>
        <w:shd w:val="clear"/>
        <w:snapToGrid w:val="0"/>
        <w:spacing w:line="360" w:lineRule="auto"/>
        <w:jc w:val="center"/>
        <w:rPr>
          <w:rFonts w:cs="仿宋_GB2312" w:asciiTheme="majorEastAsia" w:hAnsiTheme="majorEastAsia" w:eastAsiaTheme="majorEastAsia"/>
          <w:bCs/>
          <w:color w:val="auto"/>
          <w:sz w:val="32"/>
          <w:szCs w:val="32"/>
          <w:highlight w:val="none"/>
        </w:rPr>
      </w:pPr>
    </w:p>
    <w:p w14:paraId="56583C71">
      <w:pPr>
        <w:shd w:val="clear"/>
        <w:snapToGrid w:val="0"/>
        <w:spacing w:line="360" w:lineRule="auto"/>
        <w:jc w:val="center"/>
        <w:rPr>
          <w:rFonts w:cs="仿宋_GB2312" w:asciiTheme="majorEastAsia" w:hAnsiTheme="majorEastAsia" w:eastAsiaTheme="majorEastAsia"/>
          <w:bCs/>
          <w:color w:val="auto"/>
          <w:sz w:val="32"/>
          <w:szCs w:val="32"/>
          <w:highlight w:val="none"/>
        </w:rPr>
      </w:pPr>
      <w:r>
        <w:rPr>
          <w:rFonts w:hint="eastAsia" w:cs="仿宋_GB2312" w:asciiTheme="majorEastAsia" w:hAnsiTheme="majorEastAsia" w:eastAsiaTheme="majorEastAsia"/>
          <w:bCs/>
          <w:color w:val="auto"/>
          <w:sz w:val="32"/>
          <w:szCs w:val="32"/>
          <w:highlight w:val="none"/>
        </w:rPr>
        <w:t>二零二五年</w:t>
      </w:r>
    </w:p>
    <w:p w14:paraId="3C26FA6C">
      <w:pPr>
        <w:shd w:val="clear"/>
        <w:spacing w:line="360" w:lineRule="auto"/>
        <w:jc w:val="center"/>
        <w:rPr>
          <w:rFonts w:cs="仿宋_GB2312" w:asciiTheme="majorEastAsia" w:hAnsiTheme="majorEastAsia" w:eastAsiaTheme="majorEastAsia"/>
          <w:color w:val="auto"/>
          <w:sz w:val="24"/>
          <w:highlight w:val="none"/>
        </w:rPr>
      </w:pPr>
      <w:bookmarkStart w:id="0" w:name="_Hlt67893495"/>
      <w:bookmarkEnd w:id="0"/>
    </w:p>
    <w:p w14:paraId="0839EE18">
      <w:pPr>
        <w:shd w:val="clear"/>
        <w:spacing w:line="360" w:lineRule="auto"/>
        <w:jc w:val="center"/>
        <w:rPr>
          <w:rFonts w:cs="仿宋_GB2312" w:asciiTheme="majorEastAsia" w:hAnsiTheme="majorEastAsia" w:eastAsiaTheme="majorEastAsia"/>
          <w:color w:val="auto"/>
          <w:sz w:val="24"/>
          <w:highlight w:val="none"/>
        </w:rPr>
      </w:pPr>
    </w:p>
    <w:p w14:paraId="2D938C10">
      <w:pPr>
        <w:shd w:val="clear"/>
        <w:spacing w:line="360" w:lineRule="auto"/>
        <w:jc w:val="center"/>
        <w:rPr>
          <w:rFonts w:cs="仿宋_GB2312" w:asciiTheme="majorEastAsia" w:hAnsiTheme="majorEastAsia" w:eastAsiaTheme="majorEastAsia"/>
          <w:b/>
          <w:color w:val="auto"/>
          <w:sz w:val="48"/>
          <w:szCs w:val="48"/>
          <w:highlight w:val="none"/>
        </w:rPr>
      </w:pPr>
    </w:p>
    <w:p w14:paraId="4BA0B7F2">
      <w:pPr>
        <w:shd w:val="clear"/>
        <w:spacing w:line="360" w:lineRule="auto"/>
        <w:jc w:val="center"/>
        <w:rPr>
          <w:rFonts w:cs="仿宋_GB2312" w:asciiTheme="majorEastAsia" w:hAnsiTheme="majorEastAsia" w:eastAsiaTheme="majorEastAsia"/>
          <w:b/>
          <w:color w:val="auto"/>
          <w:sz w:val="48"/>
          <w:szCs w:val="48"/>
          <w:highlight w:val="none"/>
        </w:rPr>
      </w:pPr>
      <w:r>
        <w:rPr>
          <w:rFonts w:hint="eastAsia" w:cs="仿宋_GB2312" w:asciiTheme="majorEastAsia" w:hAnsiTheme="majorEastAsia" w:eastAsiaTheme="majorEastAsia"/>
          <w:b/>
          <w:color w:val="auto"/>
          <w:sz w:val="48"/>
          <w:szCs w:val="48"/>
          <w:highlight w:val="none"/>
        </w:rPr>
        <w:t>目</w:t>
      </w:r>
      <w:r>
        <w:rPr>
          <w:rFonts w:cs="仿宋_GB2312" w:asciiTheme="majorEastAsia" w:hAnsiTheme="majorEastAsia" w:eastAsiaTheme="majorEastAsia"/>
          <w:b/>
          <w:color w:val="auto"/>
          <w:sz w:val="48"/>
          <w:szCs w:val="48"/>
          <w:highlight w:val="none"/>
        </w:rPr>
        <w:t xml:space="preserve">  </w:t>
      </w:r>
      <w:r>
        <w:rPr>
          <w:rFonts w:hint="eastAsia" w:cs="仿宋_GB2312" w:asciiTheme="majorEastAsia" w:hAnsiTheme="majorEastAsia" w:eastAsiaTheme="majorEastAsia"/>
          <w:b/>
          <w:color w:val="auto"/>
          <w:sz w:val="48"/>
          <w:szCs w:val="48"/>
          <w:highlight w:val="none"/>
        </w:rPr>
        <w:t>录</w:t>
      </w:r>
    </w:p>
    <w:p w14:paraId="0EB0F7B9">
      <w:pPr>
        <w:shd w:val="clear"/>
        <w:spacing w:line="360" w:lineRule="auto"/>
        <w:rPr>
          <w:rFonts w:cs="仿宋_GB2312" w:asciiTheme="majorEastAsia" w:hAnsiTheme="majorEastAsia" w:eastAsiaTheme="majorEastAsia"/>
          <w:color w:val="auto"/>
          <w:sz w:val="32"/>
          <w:szCs w:val="32"/>
          <w:highlight w:val="none"/>
        </w:rPr>
      </w:pPr>
    </w:p>
    <w:p w14:paraId="6DD38485">
      <w:pPr>
        <w:shd w:val="clear"/>
        <w:spacing w:line="360" w:lineRule="auto"/>
        <w:rPr>
          <w:rFonts w:cs="仿宋_GB2312" w:asciiTheme="majorEastAsia" w:hAnsiTheme="majorEastAsia" w:eastAsiaTheme="majorEastAsia"/>
          <w:color w:val="auto"/>
          <w:sz w:val="32"/>
          <w:szCs w:val="32"/>
          <w:highlight w:val="none"/>
        </w:rPr>
      </w:pPr>
    </w:p>
    <w:p w14:paraId="27B95A0B">
      <w:pPr>
        <w:shd w:val="clear"/>
        <w:spacing w:line="360" w:lineRule="auto"/>
        <w:ind w:firstLine="1280" w:firstLineChars="400"/>
        <w:rPr>
          <w:rFonts w:cs="仿宋" w:asciiTheme="majorEastAsia" w:hAnsiTheme="majorEastAsia" w:eastAsiaTheme="majorEastAsia"/>
          <w:color w:val="auto"/>
          <w:sz w:val="32"/>
          <w:szCs w:val="32"/>
          <w:highlight w:val="none"/>
        </w:rPr>
      </w:pPr>
      <w:r>
        <w:rPr>
          <w:rFonts w:hint="eastAsia" w:cs="仿宋" w:asciiTheme="majorEastAsia" w:hAnsiTheme="majorEastAsia" w:eastAsiaTheme="majorEastAsia"/>
          <w:color w:val="auto"/>
          <w:sz w:val="32"/>
          <w:szCs w:val="32"/>
          <w:highlight w:val="none"/>
        </w:rPr>
        <w:t>第一部分      招标公告</w:t>
      </w:r>
    </w:p>
    <w:p w14:paraId="545D2435">
      <w:pPr>
        <w:shd w:val="clear"/>
        <w:spacing w:line="360" w:lineRule="auto"/>
        <w:ind w:firstLine="1280" w:firstLineChars="400"/>
        <w:rPr>
          <w:rFonts w:cs="仿宋" w:asciiTheme="majorEastAsia" w:hAnsiTheme="majorEastAsia" w:eastAsiaTheme="majorEastAsia"/>
          <w:color w:val="auto"/>
          <w:sz w:val="32"/>
          <w:szCs w:val="32"/>
          <w:highlight w:val="none"/>
        </w:rPr>
      </w:pPr>
      <w:r>
        <w:rPr>
          <w:rFonts w:hint="eastAsia" w:cs="仿宋" w:asciiTheme="majorEastAsia" w:hAnsiTheme="majorEastAsia" w:eastAsiaTheme="majorEastAsia"/>
          <w:color w:val="auto"/>
          <w:sz w:val="32"/>
          <w:szCs w:val="32"/>
          <w:highlight w:val="none"/>
        </w:rPr>
        <w:t>第二部分      投标须知</w:t>
      </w:r>
    </w:p>
    <w:p w14:paraId="35B59B12">
      <w:pPr>
        <w:shd w:val="clear"/>
        <w:spacing w:line="360" w:lineRule="auto"/>
        <w:ind w:firstLine="1280" w:firstLineChars="400"/>
        <w:rPr>
          <w:rFonts w:cs="仿宋" w:asciiTheme="majorEastAsia" w:hAnsiTheme="majorEastAsia" w:eastAsiaTheme="majorEastAsia"/>
          <w:color w:val="auto"/>
          <w:sz w:val="32"/>
          <w:szCs w:val="32"/>
          <w:highlight w:val="none"/>
        </w:rPr>
      </w:pPr>
      <w:r>
        <w:rPr>
          <w:rFonts w:hint="eastAsia" w:cs="仿宋" w:asciiTheme="majorEastAsia" w:hAnsiTheme="majorEastAsia" w:eastAsiaTheme="majorEastAsia"/>
          <w:color w:val="auto"/>
          <w:sz w:val="32"/>
          <w:szCs w:val="32"/>
          <w:highlight w:val="none"/>
        </w:rPr>
        <w:t>第三部分      采购需求</w:t>
      </w:r>
    </w:p>
    <w:p w14:paraId="3C93DC93">
      <w:pPr>
        <w:shd w:val="clear"/>
        <w:spacing w:line="360" w:lineRule="auto"/>
        <w:ind w:firstLine="1280" w:firstLineChars="400"/>
        <w:rPr>
          <w:rFonts w:cs="仿宋" w:asciiTheme="majorEastAsia" w:hAnsiTheme="majorEastAsia" w:eastAsiaTheme="majorEastAsia"/>
          <w:color w:val="auto"/>
          <w:sz w:val="32"/>
          <w:szCs w:val="32"/>
          <w:highlight w:val="none"/>
        </w:rPr>
      </w:pPr>
      <w:r>
        <w:rPr>
          <w:rFonts w:hint="eastAsia" w:cs="仿宋" w:asciiTheme="majorEastAsia" w:hAnsiTheme="majorEastAsia" w:eastAsiaTheme="majorEastAsia"/>
          <w:color w:val="auto"/>
          <w:sz w:val="32"/>
          <w:szCs w:val="32"/>
          <w:highlight w:val="none"/>
        </w:rPr>
        <w:t>第四部分      评标办法</w:t>
      </w:r>
    </w:p>
    <w:p w14:paraId="0D1E6FFE">
      <w:pPr>
        <w:shd w:val="clear"/>
        <w:spacing w:line="360" w:lineRule="auto"/>
        <w:ind w:firstLine="1280" w:firstLineChars="400"/>
        <w:rPr>
          <w:rFonts w:cs="仿宋" w:asciiTheme="majorEastAsia" w:hAnsiTheme="majorEastAsia" w:eastAsiaTheme="majorEastAsia"/>
          <w:color w:val="auto"/>
          <w:sz w:val="32"/>
          <w:szCs w:val="32"/>
          <w:highlight w:val="none"/>
        </w:rPr>
      </w:pPr>
      <w:r>
        <w:rPr>
          <w:rFonts w:hint="eastAsia" w:cs="仿宋" w:asciiTheme="majorEastAsia" w:hAnsiTheme="majorEastAsia" w:eastAsiaTheme="majorEastAsia"/>
          <w:color w:val="auto"/>
          <w:sz w:val="32"/>
          <w:szCs w:val="32"/>
          <w:highlight w:val="none"/>
        </w:rPr>
        <w:t>第五部分      拟签订的合同文本</w:t>
      </w:r>
    </w:p>
    <w:p w14:paraId="30BE78BA">
      <w:pPr>
        <w:shd w:val="clear"/>
        <w:spacing w:line="360" w:lineRule="auto"/>
        <w:ind w:firstLine="1280" w:firstLineChars="400"/>
        <w:rPr>
          <w:rFonts w:cs="仿宋" w:asciiTheme="majorEastAsia" w:hAnsiTheme="majorEastAsia" w:eastAsiaTheme="majorEastAsia"/>
          <w:color w:val="auto"/>
          <w:sz w:val="32"/>
          <w:szCs w:val="32"/>
          <w:highlight w:val="none"/>
        </w:rPr>
      </w:pPr>
      <w:r>
        <w:rPr>
          <w:rFonts w:hint="eastAsia" w:cs="仿宋" w:asciiTheme="majorEastAsia" w:hAnsiTheme="majorEastAsia" w:eastAsiaTheme="majorEastAsia"/>
          <w:color w:val="auto"/>
          <w:sz w:val="32"/>
          <w:szCs w:val="32"/>
          <w:highlight w:val="none"/>
        </w:rPr>
        <w:t>第六部分      应提交的有关格式范例</w:t>
      </w:r>
    </w:p>
    <w:p w14:paraId="67E9BEFE">
      <w:pPr>
        <w:shd w:val="clear"/>
        <w:spacing w:line="360" w:lineRule="auto"/>
        <w:ind w:firstLine="549" w:firstLineChars="229"/>
        <w:rPr>
          <w:rFonts w:cs="仿宋" w:asciiTheme="majorEastAsia" w:hAnsiTheme="majorEastAsia" w:eastAsiaTheme="majorEastAsia"/>
          <w:color w:val="auto"/>
          <w:sz w:val="24"/>
          <w:highlight w:val="none"/>
        </w:rPr>
      </w:pPr>
      <w:bookmarkStart w:id="1" w:name="_Hlt91233176"/>
      <w:bookmarkEnd w:id="1"/>
      <w:bookmarkStart w:id="2" w:name="_Toc91899869"/>
    </w:p>
    <w:p w14:paraId="5C73DEC5">
      <w:pPr>
        <w:shd w:val="clear"/>
        <w:spacing w:line="360" w:lineRule="auto"/>
        <w:ind w:firstLine="549" w:firstLineChars="229"/>
        <w:rPr>
          <w:rFonts w:cs="仿宋" w:asciiTheme="majorEastAsia" w:hAnsiTheme="majorEastAsia" w:eastAsiaTheme="majorEastAsia"/>
          <w:color w:val="auto"/>
          <w:sz w:val="24"/>
          <w:highlight w:val="none"/>
        </w:rPr>
      </w:pPr>
    </w:p>
    <w:p w14:paraId="04D2A6E8">
      <w:pPr>
        <w:shd w:val="clear"/>
        <w:spacing w:line="360" w:lineRule="auto"/>
        <w:ind w:firstLine="549" w:firstLineChars="229"/>
        <w:rPr>
          <w:rFonts w:cs="仿宋" w:asciiTheme="majorEastAsia" w:hAnsiTheme="majorEastAsia" w:eastAsiaTheme="majorEastAsia"/>
          <w:color w:val="auto"/>
          <w:sz w:val="24"/>
          <w:highlight w:val="none"/>
        </w:rPr>
      </w:pPr>
    </w:p>
    <w:p w14:paraId="0E773049">
      <w:pPr>
        <w:shd w:val="clear"/>
        <w:spacing w:line="360" w:lineRule="auto"/>
        <w:ind w:firstLine="549" w:firstLineChars="229"/>
        <w:rPr>
          <w:rFonts w:cs="仿宋" w:asciiTheme="majorEastAsia" w:hAnsiTheme="majorEastAsia" w:eastAsiaTheme="majorEastAsia"/>
          <w:color w:val="auto"/>
          <w:sz w:val="24"/>
          <w:highlight w:val="none"/>
        </w:rPr>
      </w:pPr>
    </w:p>
    <w:p w14:paraId="23089E2C">
      <w:pPr>
        <w:shd w:val="clear"/>
        <w:spacing w:line="360" w:lineRule="auto"/>
        <w:ind w:firstLine="549" w:firstLineChars="229"/>
        <w:rPr>
          <w:rFonts w:cs="仿宋" w:asciiTheme="majorEastAsia" w:hAnsiTheme="majorEastAsia" w:eastAsiaTheme="majorEastAsia"/>
          <w:color w:val="auto"/>
          <w:sz w:val="24"/>
          <w:highlight w:val="none"/>
        </w:rPr>
      </w:pPr>
    </w:p>
    <w:p w14:paraId="1CB3E2BE">
      <w:pPr>
        <w:shd w:val="clear"/>
        <w:spacing w:line="360" w:lineRule="auto"/>
        <w:ind w:firstLine="549" w:firstLineChars="229"/>
        <w:rPr>
          <w:rFonts w:cs="仿宋" w:asciiTheme="majorEastAsia" w:hAnsiTheme="majorEastAsia" w:eastAsiaTheme="majorEastAsia"/>
          <w:color w:val="auto"/>
          <w:sz w:val="24"/>
          <w:highlight w:val="none"/>
        </w:rPr>
      </w:pPr>
    </w:p>
    <w:p w14:paraId="02BEF268">
      <w:pPr>
        <w:shd w:val="clear"/>
        <w:spacing w:line="360" w:lineRule="auto"/>
        <w:ind w:firstLine="549" w:firstLineChars="229"/>
        <w:rPr>
          <w:rFonts w:cs="仿宋" w:asciiTheme="majorEastAsia" w:hAnsiTheme="majorEastAsia" w:eastAsiaTheme="majorEastAsia"/>
          <w:color w:val="auto"/>
          <w:sz w:val="24"/>
          <w:highlight w:val="none"/>
        </w:rPr>
      </w:pPr>
    </w:p>
    <w:p w14:paraId="7B89244C">
      <w:pPr>
        <w:shd w:val="clear"/>
        <w:spacing w:line="360" w:lineRule="auto"/>
        <w:ind w:firstLine="549" w:firstLineChars="229"/>
        <w:rPr>
          <w:rFonts w:cs="仿宋" w:asciiTheme="majorEastAsia" w:hAnsiTheme="majorEastAsia" w:eastAsiaTheme="majorEastAsia"/>
          <w:color w:val="auto"/>
          <w:sz w:val="24"/>
          <w:highlight w:val="none"/>
        </w:rPr>
      </w:pPr>
    </w:p>
    <w:p w14:paraId="60FB92A0">
      <w:pPr>
        <w:shd w:val="clear"/>
        <w:spacing w:line="360" w:lineRule="auto"/>
        <w:ind w:firstLine="549" w:firstLineChars="229"/>
        <w:rPr>
          <w:rFonts w:cs="仿宋" w:asciiTheme="majorEastAsia" w:hAnsiTheme="majorEastAsia" w:eastAsiaTheme="majorEastAsia"/>
          <w:color w:val="auto"/>
          <w:sz w:val="24"/>
          <w:highlight w:val="none"/>
        </w:rPr>
      </w:pPr>
    </w:p>
    <w:p w14:paraId="20E9E428">
      <w:pPr>
        <w:shd w:val="clear"/>
        <w:spacing w:line="360" w:lineRule="auto"/>
        <w:ind w:firstLine="549" w:firstLineChars="229"/>
        <w:rPr>
          <w:rFonts w:cs="仿宋" w:asciiTheme="majorEastAsia" w:hAnsiTheme="majorEastAsia" w:eastAsiaTheme="majorEastAsia"/>
          <w:color w:val="auto"/>
          <w:sz w:val="24"/>
          <w:highlight w:val="none"/>
        </w:rPr>
      </w:pPr>
    </w:p>
    <w:p w14:paraId="6B0574DB">
      <w:pPr>
        <w:widowControl/>
        <w:shd w:val="clear"/>
        <w:jc w:val="left"/>
        <w:rPr>
          <w:rFonts w:cs="仿宋" w:asciiTheme="majorEastAsia" w:hAnsiTheme="majorEastAsia" w:eastAsiaTheme="majorEastAsia"/>
          <w:color w:val="auto"/>
          <w:sz w:val="24"/>
          <w:highlight w:val="none"/>
        </w:rPr>
      </w:pPr>
      <w:r>
        <w:rPr>
          <w:rFonts w:cs="仿宋" w:asciiTheme="majorEastAsia" w:hAnsiTheme="majorEastAsia" w:eastAsiaTheme="majorEastAsia"/>
          <w:color w:val="auto"/>
          <w:sz w:val="24"/>
          <w:highlight w:val="none"/>
        </w:rPr>
        <w:br w:type="page"/>
      </w:r>
    </w:p>
    <w:p w14:paraId="435F12C4">
      <w:pPr>
        <w:shd w:val="clear"/>
        <w:spacing w:line="360" w:lineRule="auto"/>
        <w:ind w:firstLine="549" w:firstLineChars="229"/>
        <w:rPr>
          <w:rFonts w:cs="仿宋" w:asciiTheme="majorEastAsia" w:hAnsiTheme="majorEastAsia" w:eastAsiaTheme="majorEastAsia"/>
          <w:color w:val="auto"/>
          <w:sz w:val="24"/>
          <w:highlight w:val="none"/>
        </w:rPr>
      </w:pPr>
    </w:p>
    <w:bookmarkEnd w:id="2"/>
    <w:p w14:paraId="4E8ED876">
      <w:pPr>
        <w:shd w:val="clear"/>
        <w:spacing w:line="360" w:lineRule="auto"/>
        <w:jc w:val="center"/>
        <w:outlineLvl w:val="0"/>
        <w:rPr>
          <w:rFonts w:cs="仿宋" w:asciiTheme="majorEastAsia" w:hAnsiTheme="majorEastAsia" w:eastAsiaTheme="majorEastAsia"/>
          <w:b/>
          <w:color w:val="auto"/>
          <w:sz w:val="36"/>
          <w:szCs w:val="20"/>
          <w:highlight w:val="none"/>
        </w:rPr>
      </w:pPr>
      <w:bookmarkStart w:id="3" w:name="_Hlt74649545"/>
      <w:bookmarkEnd w:id="3"/>
      <w:bookmarkStart w:id="4" w:name="_Hlt74728647"/>
      <w:bookmarkEnd w:id="4"/>
      <w:bookmarkStart w:id="5" w:name="_Hlt74729822"/>
      <w:bookmarkEnd w:id="5"/>
      <w:bookmarkStart w:id="6" w:name="_Hlt74707423"/>
      <w:bookmarkEnd w:id="6"/>
      <w:bookmarkStart w:id="7" w:name="第二部分"/>
      <w:bookmarkStart w:id="8" w:name="_Toc91899870"/>
      <w:bookmarkStart w:id="9" w:name="_Toc91899871"/>
      <w:r>
        <w:rPr>
          <w:rFonts w:hint="eastAsia" w:cs="仿宋" w:asciiTheme="majorEastAsia" w:hAnsiTheme="majorEastAsia" w:eastAsiaTheme="majorEastAsia"/>
          <w:b/>
          <w:color w:val="auto"/>
          <w:sz w:val="36"/>
          <w:szCs w:val="20"/>
          <w:highlight w:val="none"/>
        </w:rPr>
        <w:t>第一部分 招标公告</w:t>
      </w:r>
    </w:p>
    <w:p w14:paraId="03D79BE5">
      <w:pPr>
        <w:pBdr>
          <w:top w:val="single" w:color="auto" w:sz="4" w:space="1"/>
          <w:left w:val="single" w:color="auto" w:sz="4" w:space="4"/>
          <w:bottom w:val="single" w:color="auto" w:sz="4" w:space="1"/>
          <w:right w:val="single" w:color="auto" w:sz="4" w:space="4"/>
        </w:pBd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项目概况</w:t>
      </w:r>
    </w:p>
    <w:p w14:paraId="07CDF8A7">
      <w:pPr>
        <w:pBdr>
          <w:top w:val="single" w:color="auto" w:sz="4" w:space="1"/>
          <w:left w:val="single" w:color="auto" w:sz="4" w:space="4"/>
          <w:bottom w:val="single" w:color="auto" w:sz="4" w:space="1"/>
          <w:right w:val="single" w:color="auto" w:sz="4" w:space="4"/>
        </w:pBdr>
        <w:shd w:val="clear"/>
        <w:spacing w:line="360" w:lineRule="auto"/>
        <w:ind w:firstLine="480" w:firstLineChars="200"/>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u w:val="single"/>
        </w:rPr>
        <w:t>奉化区江口街道园中村改造安置房建设工程（二期）配套幼儿园户外改造项目</w:t>
      </w:r>
      <w:r>
        <w:rPr>
          <w:rFonts w:hint="eastAsia" w:cs="仿宋" w:asciiTheme="majorEastAsia" w:hAnsiTheme="majorEastAsia" w:eastAsiaTheme="majorEastAsia"/>
          <w:color w:val="auto"/>
          <w:sz w:val="24"/>
          <w:highlight w:val="none"/>
        </w:rPr>
        <w:t xml:space="preserve">的潜在供应商应在乐采云平台（ </w:t>
      </w:r>
      <w:r>
        <w:rPr>
          <w:color w:val="auto"/>
          <w:highlight w:val="none"/>
        </w:rPr>
        <w:fldChar w:fldCharType="begin"/>
      </w:r>
      <w:r>
        <w:rPr>
          <w:color w:val="auto"/>
          <w:highlight w:val="none"/>
        </w:rPr>
        <w:instrText xml:space="preserve"> HYPERLINK "https://www.zcygov.cn/）获取（下载）招标文件，并于2023年00月00日09点00分00秒" </w:instrText>
      </w:r>
      <w:r>
        <w:rPr>
          <w:color w:val="auto"/>
          <w:highlight w:val="none"/>
        </w:rPr>
        <w:fldChar w:fldCharType="separate"/>
      </w:r>
      <w:r>
        <w:rPr>
          <w:rStyle w:val="24"/>
          <w:rFonts w:hint="eastAsia" w:cs="仿宋" w:asciiTheme="majorEastAsia" w:hAnsiTheme="majorEastAsia" w:eastAsiaTheme="majorEastAsia"/>
          <w:color w:val="auto"/>
          <w:sz w:val="24"/>
          <w:szCs w:val="24"/>
          <w:highlight w:val="none"/>
        </w:rPr>
        <w:t>https://www.lecaiyun.com/）获取（下载）招标文件，并于</w:t>
      </w:r>
      <w:r>
        <w:rPr>
          <w:rStyle w:val="24"/>
          <w:rFonts w:hint="eastAsia" w:cs="仿宋" w:asciiTheme="majorEastAsia" w:hAnsiTheme="majorEastAsia" w:eastAsiaTheme="majorEastAsia"/>
          <w:color w:val="auto"/>
          <w:kern w:val="2"/>
          <w:sz w:val="24"/>
          <w:szCs w:val="24"/>
          <w:highlight w:val="none"/>
        </w:rPr>
        <w:t>2025年0</w:t>
      </w:r>
      <w:r>
        <w:rPr>
          <w:rStyle w:val="24"/>
          <w:rFonts w:hint="eastAsia" w:cs="仿宋" w:asciiTheme="majorEastAsia" w:hAnsiTheme="majorEastAsia" w:eastAsiaTheme="majorEastAsia"/>
          <w:color w:val="auto"/>
          <w:kern w:val="2"/>
          <w:sz w:val="24"/>
          <w:szCs w:val="24"/>
          <w:highlight w:val="none"/>
          <w:lang w:val="en-US" w:eastAsia="zh-CN"/>
        </w:rPr>
        <w:t>7</w:t>
      </w:r>
      <w:r>
        <w:rPr>
          <w:rStyle w:val="24"/>
          <w:rFonts w:hint="eastAsia" w:cs="仿宋" w:asciiTheme="majorEastAsia" w:hAnsiTheme="majorEastAsia" w:eastAsiaTheme="majorEastAsia"/>
          <w:color w:val="auto"/>
          <w:kern w:val="2"/>
          <w:sz w:val="24"/>
          <w:szCs w:val="24"/>
          <w:highlight w:val="none"/>
        </w:rPr>
        <w:t>月0</w:t>
      </w:r>
      <w:r>
        <w:rPr>
          <w:rStyle w:val="24"/>
          <w:rFonts w:hint="eastAsia" w:cs="仿宋" w:asciiTheme="majorEastAsia" w:hAnsiTheme="majorEastAsia" w:eastAsiaTheme="majorEastAsia"/>
          <w:color w:val="auto"/>
          <w:kern w:val="2"/>
          <w:sz w:val="24"/>
          <w:szCs w:val="24"/>
          <w:highlight w:val="none"/>
          <w:lang w:val="en-US" w:eastAsia="zh-CN"/>
        </w:rPr>
        <w:t>7</w:t>
      </w:r>
      <w:r>
        <w:rPr>
          <w:rStyle w:val="24"/>
          <w:rFonts w:hint="eastAsia" w:cs="仿宋" w:asciiTheme="majorEastAsia" w:hAnsiTheme="majorEastAsia" w:eastAsiaTheme="majorEastAsia"/>
          <w:color w:val="auto"/>
          <w:kern w:val="2"/>
          <w:sz w:val="24"/>
          <w:szCs w:val="24"/>
          <w:highlight w:val="none"/>
        </w:rPr>
        <w:t>日14点00分</w:t>
      </w:r>
      <w:r>
        <w:rPr>
          <w:rStyle w:val="24"/>
          <w:rFonts w:hint="eastAsia" w:cs="仿宋" w:asciiTheme="majorEastAsia" w:hAnsiTheme="majorEastAsia" w:eastAsiaTheme="majorEastAsia"/>
          <w:bCs/>
          <w:color w:val="auto"/>
          <w:kern w:val="2"/>
          <w:sz w:val="24"/>
          <w:szCs w:val="24"/>
          <w:highlight w:val="none"/>
        </w:rPr>
        <w:t>00秒</w:t>
      </w:r>
      <w:r>
        <w:rPr>
          <w:rStyle w:val="24"/>
          <w:rFonts w:hint="eastAsia" w:cs="仿宋" w:asciiTheme="majorEastAsia" w:hAnsiTheme="majorEastAsia" w:eastAsiaTheme="majorEastAsia"/>
          <w:bCs/>
          <w:color w:val="auto"/>
          <w:kern w:val="2"/>
          <w:sz w:val="24"/>
          <w:szCs w:val="24"/>
          <w:highlight w:val="none"/>
        </w:rPr>
        <w:fldChar w:fldCharType="end"/>
      </w:r>
      <w:r>
        <w:rPr>
          <w:rFonts w:hint="eastAsia" w:cs="仿宋" w:asciiTheme="majorEastAsia" w:hAnsiTheme="majorEastAsia" w:eastAsiaTheme="majorEastAsia"/>
          <w:bCs/>
          <w:color w:val="auto"/>
          <w:sz w:val="24"/>
          <w:highlight w:val="none"/>
        </w:rPr>
        <w:t>（北京时间）前</w:t>
      </w:r>
      <w:r>
        <w:rPr>
          <w:rFonts w:hint="eastAsia" w:cs="仿宋" w:asciiTheme="majorEastAsia" w:hAnsiTheme="majorEastAsia" w:eastAsiaTheme="majorEastAsia"/>
          <w:color w:val="auto"/>
          <w:sz w:val="24"/>
          <w:highlight w:val="none"/>
        </w:rPr>
        <w:t>递交（上传）投标文件。</w:t>
      </w:r>
    </w:p>
    <w:p w14:paraId="57D3D6E3">
      <w:pPr>
        <w:shd w:val="clear"/>
        <w:spacing w:line="360" w:lineRule="auto"/>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 xml:space="preserve">一、项目基本情况                                            </w:t>
      </w:r>
    </w:p>
    <w:p w14:paraId="1FE92D9B">
      <w:pPr>
        <w:shd w:val="clear"/>
        <w:spacing w:line="360" w:lineRule="auto"/>
        <w:rPr>
          <w:rFonts w:cs="仿宋" w:asciiTheme="majorEastAsia" w:hAnsiTheme="majorEastAsia"/>
          <w:color w:val="auto"/>
          <w:sz w:val="24"/>
          <w:highlight w:val="none"/>
        </w:rPr>
      </w:pPr>
      <w:r>
        <w:rPr>
          <w:rFonts w:hint="eastAsia" w:cs="仿宋" w:asciiTheme="majorEastAsia" w:hAnsiTheme="majorEastAsia" w:eastAsiaTheme="majorEastAsia"/>
          <w:color w:val="auto"/>
          <w:sz w:val="24"/>
          <w:highlight w:val="none"/>
        </w:rPr>
        <w:t xml:space="preserve">    </w:t>
      </w:r>
      <w:r>
        <w:rPr>
          <w:rFonts w:hint="eastAsia" w:cs="仿宋" w:asciiTheme="majorEastAsia" w:hAnsiTheme="majorEastAsia" w:eastAsiaTheme="majorEastAsia"/>
          <w:b/>
          <w:color w:val="auto"/>
          <w:sz w:val="24"/>
          <w:highlight w:val="none"/>
        </w:rPr>
        <w:t>项目编号：</w:t>
      </w:r>
      <w:r>
        <w:rPr>
          <w:rFonts w:hint="eastAsia" w:cs="仿宋" w:asciiTheme="majorEastAsia" w:hAnsiTheme="majorEastAsia" w:eastAsiaTheme="majorEastAsia"/>
          <w:bCs/>
          <w:color w:val="auto"/>
          <w:sz w:val="24"/>
          <w:highlight w:val="none"/>
        </w:rPr>
        <w:t>FHGQZB(2025)</w:t>
      </w:r>
      <w:r>
        <w:rPr>
          <w:rFonts w:hint="eastAsia" w:cs="仿宋" w:asciiTheme="majorEastAsia" w:hAnsiTheme="majorEastAsia" w:eastAsiaTheme="majorEastAsia"/>
          <w:bCs/>
          <w:color w:val="auto"/>
          <w:sz w:val="24"/>
          <w:highlight w:val="none"/>
          <w:lang w:val="en-US" w:eastAsia="zh-CN"/>
        </w:rPr>
        <w:t>193</w:t>
      </w:r>
      <w:r>
        <w:rPr>
          <w:rFonts w:hint="eastAsia" w:cs="仿宋" w:asciiTheme="majorEastAsia" w:hAnsiTheme="majorEastAsia" w:eastAsiaTheme="majorEastAsia"/>
          <w:bCs/>
          <w:color w:val="auto"/>
          <w:sz w:val="24"/>
          <w:highlight w:val="none"/>
        </w:rPr>
        <w:t>D</w:t>
      </w:r>
      <w:r>
        <w:rPr>
          <w:rFonts w:hint="eastAsia" w:cs="仿宋" w:asciiTheme="majorEastAsia" w:hAnsiTheme="majorEastAsia" w:eastAsiaTheme="majorEastAsia"/>
          <w:b/>
          <w:color w:val="auto"/>
          <w:sz w:val="24"/>
          <w:highlight w:val="none"/>
        </w:rPr>
        <w:t xml:space="preserve">   </w:t>
      </w:r>
      <w:r>
        <w:rPr>
          <w:rFonts w:hint="eastAsia" w:cs="仿宋" w:asciiTheme="majorEastAsia" w:hAnsiTheme="majorEastAsia" w:eastAsiaTheme="majorEastAsia"/>
          <w:color w:val="auto"/>
          <w:sz w:val="24"/>
          <w:highlight w:val="none"/>
        </w:rPr>
        <w:t xml:space="preserve">            </w:t>
      </w:r>
      <w:r>
        <w:rPr>
          <w:rFonts w:hint="eastAsia" w:cs="仿宋" w:asciiTheme="majorEastAsia" w:hAnsiTheme="majorEastAsia" w:eastAsiaTheme="majorEastAsia"/>
          <w:b/>
          <w:color w:val="auto"/>
          <w:sz w:val="24"/>
          <w:highlight w:val="none"/>
        </w:rPr>
        <w:t>档案编号</w:t>
      </w:r>
      <w:r>
        <w:rPr>
          <w:rFonts w:hint="eastAsia" w:ascii="宋体" w:hAnsi="宋体" w:cs="宋体"/>
          <w:color w:val="auto"/>
          <w:sz w:val="24"/>
          <w:highlight w:val="none"/>
        </w:rPr>
        <w:t>:</w:t>
      </w:r>
      <w:r>
        <w:rPr>
          <w:rFonts w:hint="eastAsia" w:cs="仿宋" w:asciiTheme="majorEastAsia" w:hAnsiTheme="majorEastAsia" w:eastAsiaTheme="majorEastAsia"/>
          <w:bCs/>
          <w:color w:val="auto"/>
          <w:sz w:val="24"/>
          <w:highlight w:val="none"/>
        </w:rPr>
        <w:t xml:space="preserve"> </w:t>
      </w:r>
      <w:r>
        <w:rPr>
          <w:rFonts w:hint="eastAsia" w:ascii="宋体" w:hAnsi="宋体" w:cs="宋体"/>
          <w:color w:val="auto"/>
          <w:sz w:val="24"/>
          <w:highlight w:val="none"/>
        </w:rPr>
        <w:t>JX-25149</w:t>
      </w:r>
    </w:p>
    <w:p w14:paraId="1F06F9EE">
      <w:pPr>
        <w:shd w:val="clear"/>
        <w:spacing w:line="360" w:lineRule="auto"/>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color w:val="auto"/>
          <w:sz w:val="24"/>
          <w:highlight w:val="none"/>
        </w:rPr>
        <w:t xml:space="preserve">   </w:t>
      </w:r>
      <w:r>
        <w:rPr>
          <w:rFonts w:hint="eastAsia" w:cs="仿宋" w:asciiTheme="majorEastAsia" w:hAnsiTheme="majorEastAsia" w:eastAsiaTheme="majorEastAsia"/>
          <w:b/>
          <w:color w:val="auto"/>
          <w:sz w:val="24"/>
          <w:highlight w:val="none"/>
        </w:rPr>
        <w:t xml:space="preserve"> 项目名称：</w:t>
      </w:r>
      <w:r>
        <w:rPr>
          <w:rFonts w:hint="eastAsia" w:cs="仿宋" w:asciiTheme="majorEastAsia" w:hAnsiTheme="majorEastAsia" w:eastAsiaTheme="majorEastAsia"/>
          <w:bCs/>
          <w:color w:val="auto"/>
          <w:sz w:val="24"/>
          <w:highlight w:val="none"/>
        </w:rPr>
        <w:t>奉化区江口街道园中村改造安置房建设工程（二期）配套幼儿园户外改造项目</w:t>
      </w:r>
    </w:p>
    <w:p w14:paraId="019E4C0C">
      <w:pPr>
        <w:shd w:val="clear"/>
        <w:spacing w:line="360" w:lineRule="auto"/>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 xml:space="preserve">    预算金额（元）：</w:t>
      </w:r>
      <w:r>
        <w:rPr>
          <w:rFonts w:hint="eastAsia" w:cs="仿宋" w:asciiTheme="majorEastAsia" w:hAnsiTheme="majorEastAsia" w:eastAsiaTheme="majorEastAsia"/>
          <w:bCs/>
          <w:color w:val="auto"/>
          <w:sz w:val="24"/>
          <w:highlight w:val="none"/>
        </w:rPr>
        <w:t>1341708；</w:t>
      </w:r>
    </w:p>
    <w:p w14:paraId="2BFE3CB9">
      <w:pPr>
        <w:shd w:val="clear"/>
        <w:spacing w:line="360" w:lineRule="auto"/>
        <w:ind w:firstLine="482" w:firstLineChars="20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最高限价（元）：</w:t>
      </w:r>
      <w:r>
        <w:rPr>
          <w:rFonts w:hint="eastAsia" w:cs="仿宋" w:asciiTheme="majorEastAsia" w:hAnsiTheme="majorEastAsia" w:eastAsiaTheme="majorEastAsia"/>
          <w:bCs/>
          <w:color w:val="auto"/>
          <w:sz w:val="24"/>
          <w:highlight w:val="none"/>
        </w:rPr>
        <w:t>1341708；</w:t>
      </w:r>
    </w:p>
    <w:p w14:paraId="34516830">
      <w:pPr>
        <w:shd w:val="clear"/>
        <w:spacing w:line="360" w:lineRule="auto"/>
        <w:ind w:firstLine="482"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采购需求：</w:t>
      </w:r>
      <w:r>
        <w:rPr>
          <w:rFonts w:hint="eastAsia" w:cs="仿宋" w:asciiTheme="majorEastAsia" w:hAnsiTheme="majorEastAsia" w:eastAsiaTheme="majorEastAsia"/>
          <w:bCs/>
          <w:color w:val="auto"/>
          <w:sz w:val="24"/>
          <w:highlight w:val="none"/>
        </w:rPr>
        <w:t>户外改造，</w:t>
      </w:r>
      <w:r>
        <w:rPr>
          <w:rFonts w:hint="eastAsia" w:cs="仿宋" w:asciiTheme="majorEastAsia" w:hAnsiTheme="majorEastAsia" w:eastAsiaTheme="majorEastAsia"/>
          <w:color w:val="auto"/>
          <w:sz w:val="24"/>
          <w:highlight w:val="none"/>
        </w:rPr>
        <w:t>具体</w:t>
      </w:r>
      <w:r>
        <w:rPr>
          <w:rFonts w:hint="eastAsia" w:cs="仿宋" w:asciiTheme="majorEastAsia" w:hAnsiTheme="majorEastAsia" w:eastAsiaTheme="majorEastAsia"/>
          <w:bCs/>
          <w:color w:val="auto"/>
          <w:sz w:val="24"/>
          <w:highlight w:val="none"/>
        </w:rPr>
        <w:t>详见招标文件第三部分采购需求。</w:t>
      </w:r>
    </w:p>
    <w:p w14:paraId="173FD5C2">
      <w:pPr>
        <w:pStyle w:val="5"/>
        <w:shd w:val="clear"/>
        <w:spacing w:line="360" w:lineRule="auto"/>
        <w:ind w:firstLine="48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合同履约期限：</w:t>
      </w:r>
      <w:r>
        <w:rPr>
          <w:rFonts w:hint="eastAsia" w:cs="仿宋" w:asciiTheme="majorEastAsia" w:hAnsiTheme="majorEastAsia" w:eastAsiaTheme="majorEastAsia"/>
          <w:bCs/>
          <w:color w:val="auto"/>
          <w:sz w:val="24"/>
          <w:highlight w:val="none"/>
        </w:rPr>
        <w:t>详见采购文件。</w:t>
      </w:r>
      <w:r>
        <w:rPr>
          <w:rFonts w:cs="仿宋" w:asciiTheme="majorEastAsia" w:hAnsiTheme="majorEastAsia" w:eastAsiaTheme="majorEastAsia"/>
          <w:bCs/>
          <w:color w:val="auto"/>
          <w:sz w:val="24"/>
          <w:highlight w:val="none"/>
        </w:rPr>
        <w:t xml:space="preserve"> </w:t>
      </w:r>
    </w:p>
    <w:p w14:paraId="0EE1382F">
      <w:pPr>
        <w:pStyle w:val="5"/>
        <w:shd w:val="clear"/>
        <w:spacing w:line="360" w:lineRule="auto"/>
        <w:ind w:firstLine="48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本项目接受联合体投标：</w:t>
      </w:r>
      <w:r>
        <w:rPr>
          <w:rFonts w:hint="eastAsia" w:ascii="MS Gothic" w:hAnsi="MS Gothic" w:eastAsia="MS Gothic" w:cs="MS Gothic"/>
          <w:color w:val="auto"/>
          <w:kern w:val="0"/>
          <w:sz w:val="24"/>
          <w:highlight w:val="none"/>
        </w:rPr>
        <w:t>☐</w:t>
      </w:r>
      <w:r>
        <w:rPr>
          <w:rFonts w:hint="eastAsia" w:cs="仿宋" w:asciiTheme="majorEastAsia" w:hAnsiTheme="majorEastAsia" w:eastAsiaTheme="majorEastAsia"/>
          <w:b/>
          <w:color w:val="auto"/>
          <w:sz w:val="24"/>
          <w:highlight w:val="none"/>
        </w:rPr>
        <w:t>是，</w:t>
      </w:r>
      <w:r>
        <w:rPr>
          <w:rFonts w:hint="eastAsia" w:cs="仿宋" w:asciiTheme="majorEastAsia" w:hAnsiTheme="majorEastAsia" w:eastAsiaTheme="majorEastAsia"/>
          <w:color w:val="auto"/>
          <w:kern w:val="0"/>
          <w:sz w:val="24"/>
          <w:highlight w:val="none"/>
        </w:rPr>
        <w:t xml:space="preserve"> </w:t>
      </w:r>
      <w:r>
        <w:rPr>
          <w:rFonts w:hint="eastAsia" w:cs="仿宋" w:asciiTheme="majorEastAsia" w:hAnsiTheme="majorEastAsia" w:eastAsiaTheme="majorEastAsia"/>
          <w:color w:val="auto"/>
          <w:kern w:val="0"/>
          <w:sz w:val="24"/>
          <w:highlight w:val="none"/>
        </w:rPr>
        <w:sym w:font="Wingdings" w:char="F0FE"/>
      </w:r>
      <w:r>
        <w:rPr>
          <w:rFonts w:hint="eastAsia" w:cs="仿宋" w:asciiTheme="majorEastAsia" w:hAnsiTheme="majorEastAsia" w:eastAsiaTheme="majorEastAsia"/>
          <w:b/>
          <w:color w:val="auto"/>
          <w:sz w:val="24"/>
          <w:highlight w:val="none"/>
        </w:rPr>
        <w:t>否</w:t>
      </w:r>
      <w:r>
        <w:rPr>
          <w:rFonts w:hint="eastAsia" w:cs="仿宋" w:asciiTheme="majorEastAsia" w:hAnsiTheme="majorEastAsia" w:eastAsiaTheme="majorEastAsia"/>
          <w:color w:val="auto"/>
          <w:kern w:val="0"/>
          <w:sz w:val="24"/>
          <w:highlight w:val="none"/>
        </w:rPr>
        <w:t>。</w:t>
      </w:r>
    </w:p>
    <w:p w14:paraId="15C35446">
      <w:pPr>
        <w:shd w:val="clear"/>
        <w:spacing w:line="360" w:lineRule="auto"/>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二、申请人的资格要求：</w:t>
      </w:r>
    </w:p>
    <w:p w14:paraId="6FC81E8F">
      <w:pPr>
        <w:shd w:val="clear"/>
        <w:spacing w:line="360" w:lineRule="auto"/>
        <w:ind w:firstLine="480"/>
        <w:rPr>
          <w:rFonts w:cs="仿宋" w:asciiTheme="majorEastAsia" w:hAnsiTheme="majorEastAsia" w:eastAsiaTheme="majorEastAsia"/>
          <w:snapToGrid w:val="0"/>
          <w:color w:val="auto"/>
          <w:kern w:val="28"/>
          <w:sz w:val="24"/>
          <w:szCs w:val="20"/>
          <w:highlight w:val="none"/>
        </w:rPr>
      </w:pPr>
      <w:r>
        <w:rPr>
          <w:rFonts w:hint="eastAsia" w:cs="仿宋" w:asciiTheme="majorEastAsia" w:hAnsiTheme="majorEastAsia" w:eastAsiaTheme="majorEastAsia"/>
          <w:snapToGrid w:val="0"/>
          <w:color w:val="auto"/>
          <w:kern w:val="28"/>
          <w:sz w:val="24"/>
          <w:szCs w:val="20"/>
          <w:highlight w:val="none"/>
        </w:rPr>
        <w:t>1.满足《中华人民共和国政府采购法》第二十二条规定；未被“信用中国”（www.creditchina.gov.cn)、中国政府采购网（www.ccgp.gov.cn）列入失信被执行人、重大税收违法失信主体、政府采购严重违法失信行为记录名单；</w:t>
      </w:r>
    </w:p>
    <w:p w14:paraId="39D78A3F">
      <w:pPr>
        <w:shd w:val="clear"/>
        <w:spacing w:line="360" w:lineRule="auto"/>
        <w:rPr>
          <w:rFonts w:cs="仿宋" w:asciiTheme="majorEastAsia" w:hAnsiTheme="majorEastAsia" w:eastAsiaTheme="majorEastAsia"/>
          <w:snapToGrid w:val="0"/>
          <w:color w:val="auto"/>
          <w:kern w:val="28"/>
          <w:sz w:val="24"/>
          <w:szCs w:val="20"/>
          <w:highlight w:val="none"/>
        </w:rPr>
      </w:pPr>
      <w:r>
        <w:rPr>
          <w:rFonts w:hint="eastAsia" w:cs="仿宋" w:asciiTheme="majorEastAsia" w:hAnsiTheme="majorEastAsia" w:eastAsiaTheme="majorEastAsia"/>
          <w:snapToGrid w:val="0"/>
          <w:color w:val="auto"/>
          <w:kern w:val="28"/>
          <w:sz w:val="24"/>
          <w:szCs w:val="20"/>
          <w:highlight w:val="none"/>
        </w:rPr>
        <w:t xml:space="preserve">    2.落实政府采购政策需满足的资格要求：</w:t>
      </w:r>
      <w:r>
        <w:rPr>
          <w:rFonts w:hint="eastAsia" w:cs="仿宋" w:asciiTheme="majorEastAsia" w:hAnsiTheme="majorEastAsia" w:eastAsiaTheme="majorEastAsia"/>
          <w:color w:val="auto"/>
          <w:kern w:val="0"/>
          <w:sz w:val="24"/>
          <w:highlight w:val="none"/>
        </w:rPr>
        <w:sym w:font="Wingdings" w:char="F0FE"/>
      </w:r>
      <w:r>
        <w:rPr>
          <w:rFonts w:hint="eastAsia" w:cs="仿宋" w:asciiTheme="majorEastAsia" w:hAnsiTheme="majorEastAsia" w:eastAsiaTheme="majorEastAsia"/>
          <w:color w:val="auto"/>
          <w:sz w:val="24"/>
          <w:highlight w:val="none"/>
        </w:rPr>
        <w:t>无；</w:t>
      </w:r>
    </w:p>
    <w:p w14:paraId="2019500D">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3.本项目的特定资格要求：</w:t>
      </w:r>
      <w:r>
        <w:rPr>
          <w:rFonts w:hint="eastAsia" w:ascii="宋体" w:hAnsi="宋体" w:cs="宋体"/>
          <w:color w:val="auto"/>
          <w:sz w:val="24"/>
          <w:highlight w:val="none"/>
        </w:rPr>
        <w:t>/</w:t>
      </w:r>
    </w:p>
    <w:p w14:paraId="7B2DF9EE">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C6815F8">
      <w:pPr>
        <w:shd w:val="clear"/>
        <w:spacing w:line="360" w:lineRule="auto"/>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 xml:space="preserve">三、获取招标文件 </w:t>
      </w:r>
    </w:p>
    <w:p w14:paraId="55FE8E2E">
      <w:pPr>
        <w:shd w:val="clear"/>
        <w:spacing w:line="360" w:lineRule="auto"/>
        <w:ind w:firstLine="482"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时间：</w:t>
      </w:r>
      <w:r>
        <w:rPr>
          <w:rFonts w:hint="eastAsia" w:cs="仿宋" w:asciiTheme="majorEastAsia" w:hAnsiTheme="majorEastAsia" w:eastAsiaTheme="majorEastAsia"/>
          <w:color w:val="auto"/>
          <w:sz w:val="24"/>
          <w:highlight w:val="none"/>
          <w:u w:val="single"/>
        </w:rPr>
        <w:t>2025年0</w:t>
      </w:r>
      <w:r>
        <w:rPr>
          <w:rFonts w:hint="eastAsia" w:cs="仿宋" w:asciiTheme="majorEastAsia" w:hAnsiTheme="majorEastAsia" w:eastAsiaTheme="majorEastAsia"/>
          <w:color w:val="auto"/>
          <w:sz w:val="24"/>
          <w:highlight w:val="none"/>
          <w:u w:val="single"/>
          <w:lang w:val="en-US" w:eastAsia="zh-CN"/>
        </w:rPr>
        <w:t>6</w:t>
      </w:r>
      <w:r>
        <w:rPr>
          <w:rFonts w:hint="eastAsia" w:cs="仿宋" w:asciiTheme="majorEastAsia" w:hAnsiTheme="majorEastAsia" w:eastAsiaTheme="majorEastAsia"/>
          <w:color w:val="auto"/>
          <w:sz w:val="24"/>
          <w:highlight w:val="none"/>
          <w:u w:val="single"/>
        </w:rPr>
        <w:t>月</w:t>
      </w:r>
      <w:r>
        <w:rPr>
          <w:rFonts w:hint="eastAsia" w:cs="仿宋" w:asciiTheme="majorEastAsia" w:hAnsiTheme="majorEastAsia" w:eastAsiaTheme="majorEastAsia"/>
          <w:color w:val="auto"/>
          <w:sz w:val="24"/>
          <w:highlight w:val="none"/>
          <w:u w:val="single"/>
          <w:lang w:val="en-US" w:eastAsia="zh-CN"/>
        </w:rPr>
        <w:t>13</w:t>
      </w:r>
      <w:r>
        <w:rPr>
          <w:rFonts w:hint="eastAsia" w:cs="仿宋" w:asciiTheme="majorEastAsia" w:hAnsiTheme="majorEastAsia" w:eastAsiaTheme="majorEastAsia"/>
          <w:color w:val="auto"/>
          <w:sz w:val="24"/>
          <w:highlight w:val="none"/>
          <w:u w:val="single"/>
        </w:rPr>
        <w:t>日</w:t>
      </w:r>
      <w:r>
        <w:rPr>
          <w:rFonts w:hint="eastAsia" w:cs="仿宋" w:asciiTheme="majorEastAsia" w:hAnsiTheme="majorEastAsia" w:eastAsiaTheme="majorEastAsia"/>
          <w:color w:val="auto"/>
          <w:sz w:val="24"/>
          <w:highlight w:val="none"/>
        </w:rPr>
        <w:t>至</w:t>
      </w:r>
      <w:r>
        <w:rPr>
          <w:rFonts w:hint="eastAsia" w:cs="仿宋" w:asciiTheme="majorEastAsia" w:hAnsiTheme="majorEastAsia" w:eastAsiaTheme="majorEastAsia"/>
          <w:color w:val="auto"/>
          <w:sz w:val="24"/>
          <w:highlight w:val="none"/>
          <w:u w:val="single"/>
        </w:rPr>
        <w:t>2025年0</w:t>
      </w:r>
      <w:r>
        <w:rPr>
          <w:rFonts w:hint="eastAsia" w:cs="仿宋" w:asciiTheme="majorEastAsia" w:hAnsiTheme="majorEastAsia" w:eastAsiaTheme="majorEastAsia"/>
          <w:color w:val="auto"/>
          <w:sz w:val="24"/>
          <w:highlight w:val="none"/>
          <w:u w:val="single"/>
          <w:lang w:val="en-US" w:eastAsia="zh-CN"/>
        </w:rPr>
        <w:t>6</w:t>
      </w:r>
      <w:r>
        <w:rPr>
          <w:rFonts w:hint="eastAsia" w:cs="仿宋" w:asciiTheme="majorEastAsia" w:hAnsiTheme="majorEastAsia" w:eastAsiaTheme="majorEastAsia"/>
          <w:color w:val="auto"/>
          <w:sz w:val="24"/>
          <w:highlight w:val="none"/>
          <w:u w:val="single"/>
        </w:rPr>
        <w:t>月</w:t>
      </w:r>
      <w:r>
        <w:rPr>
          <w:rFonts w:hint="eastAsia" w:cs="仿宋" w:asciiTheme="majorEastAsia" w:hAnsiTheme="majorEastAsia" w:eastAsiaTheme="majorEastAsia"/>
          <w:color w:val="auto"/>
          <w:sz w:val="24"/>
          <w:highlight w:val="none"/>
          <w:u w:val="single"/>
          <w:lang w:val="en-US" w:eastAsia="zh-CN"/>
        </w:rPr>
        <w:t>20</w:t>
      </w:r>
      <w:r>
        <w:rPr>
          <w:rFonts w:hint="eastAsia" w:cs="仿宋" w:asciiTheme="majorEastAsia" w:hAnsiTheme="majorEastAsia" w:eastAsiaTheme="majorEastAsia"/>
          <w:color w:val="auto"/>
          <w:sz w:val="24"/>
          <w:highlight w:val="none"/>
          <w:u w:val="single"/>
        </w:rPr>
        <w:t>日</w:t>
      </w:r>
      <w:r>
        <w:rPr>
          <w:rFonts w:hint="eastAsia" w:cs="仿宋" w:asciiTheme="majorEastAsia" w:hAnsiTheme="majorEastAsia" w:eastAsiaTheme="majorEastAsia"/>
          <w:color w:val="auto"/>
          <w:sz w:val="24"/>
          <w:highlight w:val="none"/>
        </w:rPr>
        <w:t>，每天上午00:00至12:00 ，下午12:00至23:59（北京时间）。</w:t>
      </w:r>
    </w:p>
    <w:p w14:paraId="2CD08A20">
      <w:pPr>
        <w:shd w:val="clear"/>
        <w:spacing w:line="360" w:lineRule="auto"/>
        <w:ind w:firstLine="482"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地点（网址）：</w:t>
      </w:r>
      <w:r>
        <w:rPr>
          <w:rFonts w:hint="eastAsia" w:cs="仿宋" w:asciiTheme="majorEastAsia" w:hAnsiTheme="majorEastAsia" w:eastAsiaTheme="majorEastAsia"/>
          <w:color w:val="auto"/>
          <w:sz w:val="24"/>
          <w:highlight w:val="none"/>
        </w:rPr>
        <w:t>乐采云平台（https://</w:t>
      </w:r>
      <w:r>
        <w:rPr>
          <w:rStyle w:val="24"/>
          <w:rFonts w:hint="eastAsia" w:cs="仿宋" w:asciiTheme="majorEastAsia" w:hAnsiTheme="majorEastAsia" w:eastAsiaTheme="majorEastAsia"/>
          <w:color w:val="auto"/>
          <w:sz w:val="24"/>
          <w:szCs w:val="24"/>
          <w:highlight w:val="none"/>
        </w:rPr>
        <w:t>www.lecaiyun.com</w:t>
      </w:r>
      <w:r>
        <w:rPr>
          <w:rFonts w:hint="eastAsia" w:cs="仿宋" w:asciiTheme="majorEastAsia" w:hAnsiTheme="majorEastAsia" w:eastAsiaTheme="majorEastAsia"/>
          <w:color w:val="auto"/>
          <w:sz w:val="24"/>
          <w:highlight w:val="none"/>
        </w:rPr>
        <w:t>/）。</w:t>
      </w:r>
    </w:p>
    <w:p w14:paraId="575C4BD2">
      <w:pPr>
        <w:shd w:val="clear"/>
        <w:spacing w:line="360" w:lineRule="auto"/>
        <w:ind w:firstLine="482"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方式：</w:t>
      </w:r>
      <w:r>
        <w:rPr>
          <w:rFonts w:hint="eastAsia" w:cs="仿宋" w:asciiTheme="majorEastAsia" w:hAnsiTheme="majorEastAsia" w:eastAsiaTheme="majorEastAsia"/>
          <w:color w:val="auto"/>
          <w:sz w:val="24"/>
          <w:highlight w:val="none"/>
        </w:rPr>
        <w:t>供应商登录乐采云平台https://</w:t>
      </w:r>
      <w:r>
        <w:rPr>
          <w:rStyle w:val="24"/>
          <w:rFonts w:hint="eastAsia" w:cs="仿宋" w:asciiTheme="majorEastAsia" w:hAnsiTheme="majorEastAsia" w:eastAsiaTheme="majorEastAsia"/>
          <w:color w:val="auto"/>
          <w:sz w:val="24"/>
          <w:szCs w:val="24"/>
          <w:highlight w:val="none"/>
        </w:rPr>
        <w:t>www.lecaiyun.com</w:t>
      </w:r>
      <w:r>
        <w:rPr>
          <w:rFonts w:hint="eastAsia" w:cs="仿宋" w:asciiTheme="majorEastAsia" w:hAnsiTheme="majorEastAsia" w:eastAsiaTheme="majorEastAsia"/>
          <w:color w:val="auto"/>
          <w:sz w:val="24"/>
          <w:highlight w:val="none"/>
        </w:rPr>
        <w:t xml:space="preserve">/在线申请获取招标文件（进入“项目采购”应用，在获取采购文件菜单中选择项目，申请获取招标文件）。 </w:t>
      </w:r>
    </w:p>
    <w:p w14:paraId="50AD69EC">
      <w:pPr>
        <w:shd w:val="clear"/>
        <w:spacing w:line="360" w:lineRule="auto"/>
        <w:ind w:firstLine="482"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售价（元）：</w:t>
      </w:r>
      <w:r>
        <w:rPr>
          <w:rFonts w:hint="eastAsia" w:cs="仿宋" w:asciiTheme="majorEastAsia" w:hAnsiTheme="majorEastAsia" w:eastAsiaTheme="majorEastAsia"/>
          <w:color w:val="auto"/>
          <w:sz w:val="24"/>
          <w:highlight w:val="none"/>
        </w:rPr>
        <w:t xml:space="preserve">0 </w:t>
      </w:r>
      <w:r>
        <w:rPr>
          <w:rFonts w:hint="eastAsia" w:cs="仿宋" w:asciiTheme="majorEastAsia" w:hAnsiTheme="majorEastAsia" w:eastAsiaTheme="majorEastAsia"/>
          <w:color w:val="auto"/>
          <w:sz w:val="24"/>
          <w:highlight w:val="none"/>
        </w:rPr>
        <w:tab/>
      </w:r>
    </w:p>
    <w:p w14:paraId="0C22A0C3">
      <w:pPr>
        <w:shd w:val="clear"/>
        <w:spacing w:line="360" w:lineRule="auto"/>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四、提交投标文件截止时间、开标时间和地点</w:t>
      </w:r>
    </w:p>
    <w:p w14:paraId="3955A7FD">
      <w:pPr>
        <w:shd w:val="clear"/>
        <w:spacing w:line="360" w:lineRule="auto"/>
        <w:ind w:firstLine="482"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提交投标文件截止时间：</w:t>
      </w:r>
      <w:r>
        <w:rPr>
          <w:rFonts w:hint="eastAsia" w:cs="仿宋" w:asciiTheme="majorEastAsia" w:hAnsiTheme="majorEastAsia" w:eastAsiaTheme="majorEastAsia"/>
          <w:color w:val="auto"/>
          <w:sz w:val="24"/>
          <w:highlight w:val="none"/>
          <w:u w:val="single"/>
        </w:rPr>
        <w:t xml:space="preserve"> 2025年0</w:t>
      </w:r>
      <w:r>
        <w:rPr>
          <w:rFonts w:hint="eastAsia" w:cs="仿宋" w:asciiTheme="majorEastAsia" w:hAnsiTheme="majorEastAsia" w:eastAsiaTheme="majorEastAsia"/>
          <w:color w:val="auto"/>
          <w:sz w:val="24"/>
          <w:highlight w:val="none"/>
          <w:u w:val="single"/>
          <w:lang w:val="en-US" w:eastAsia="zh-CN"/>
        </w:rPr>
        <w:t>7</w:t>
      </w:r>
      <w:r>
        <w:rPr>
          <w:rFonts w:hint="eastAsia" w:cs="仿宋" w:asciiTheme="majorEastAsia" w:hAnsiTheme="majorEastAsia" w:eastAsiaTheme="majorEastAsia"/>
          <w:color w:val="auto"/>
          <w:sz w:val="24"/>
          <w:highlight w:val="none"/>
          <w:u w:val="single"/>
        </w:rPr>
        <w:t>月0</w:t>
      </w:r>
      <w:r>
        <w:rPr>
          <w:rFonts w:hint="eastAsia" w:cs="仿宋" w:asciiTheme="majorEastAsia" w:hAnsiTheme="majorEastAsia" w:eastAsiaTheme="majorEastAsia"/>
          <w:color w:val="auto"/>
          <w:sz w:val="24"/>
          <w:highlight w:val="none"/>
          <w:u w:val="single"/>
          <w:lang w:val="en-US" w:eastAsia="zh-CN"/>
        </w:rPr>
        <w:t>7</w:t>
      </w:r>
      <w:r>
        <w:rPr>
          <w:rFonts w:hint="eastAsia" w:cs="仿宋" w:asciiTheme="majorEastAsia" w:hAnsiTheme="majorEastAsia" w:eastAsiaTheme="majorEastAsia"/>
          <w:color w:val="auto"/>
          <w:sz w:val="24"/>
          <w:highlight w:val="none"/>
          <w:u w:val="single"/>
        </w:rPr>
        <w:t>日14点00分</w:t>
      </w:r>
      <w:r>
        <w:rPr>
          <w:rFonts w:hint="eastAsia" w:cs="仿宋" w:asciiTheme="majorEastAsia" w:hAnsiTheme="majorEastAsia" w:eastAsiaTheme="majorEastAsia"/>
          <w:bCs/>
          <w:color w:val="auto"/>
          <w:sz w:val="24"/>
          <w:highlight w:val="none"/>
          <w:u w:val="single"/>
        </w:rPr>
        <w:t xml:space="preserve"> </w:t>
      </w:r>
      <w:r>
        <w:rPr>
          <w:rFonts w:hint="eastAsia" w:cs="仿宋" w:asciiTheme="majorEastAsia" w:hAnsiTheme="majorEastAsia" w:eastAsiaTheme="majorEastAsia"/>
          <w:color w:val="auto"/>
          <w:sz w:val="24"/>
          <w:highlight w:val="none"/>
        </w:rPr>
        <w:t>（北京时间）。</w:t>
      </w:r>
    </w:p>
    <w:p w14:paraId="0605E216">
      <w:pPr>
        <w:shd w:val="clear"/>
        <w:spacing w:line="360" w:lineRule="auto"/>
        <w:ind w:firstLine="482" w:firstLineChars="20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投标地点（网址）：</w:t>
      </w:r>
      <w:r>
        <w:rPr>
          <w:rFonts w:hint="eastAsia" w:cs="仿宋" w:asciiTheme="majorEastAsia" w:hAnsiTheme="majorEastAsia" w:eastAsiaTheme="majorEastAsia"/>
          <w:color w:val="auto"/>
          <w:sz w:val="24"/>
          <w:highlight w:val="none"/>
        </w:rPr>
        <w:t>乐采云平台（https://</w:t>
      </w:r>
      <w:r>
        <w:rPr>
          <w:rStyle w:val="24"/>
          <w:rFonts w:hint="eastAsia" w:cs="仿宋" w:asciiTheme="majorEastAsia" w:hAnsiTheme="majorEastAsia" w:eastAsiaTheme="majorEastAsia"/>
          <w:color w:val="auto"/>
          <w:sz w:val="24"/>
          <w:szCs w:val="24"/>
          <w:highlight w:val="none"/>
        </w:rPr>
        <w:t>www.lecaiyun.com</w:t>
      </w:r>
      <w:r>
        <w:rPr>
          <w:rFonts w:hint="eastAsia" w:cs="仿宋" w:asciiTheme="majorEastAsia" w:hAnsiTheme="majorEastAsia" w:eastAsiaTheme="majorEastAsia"/>
          <w:color w:val="auto"/>
          <w:sz w:val="24"/>
          <w:highlight w:val="none"/>
        </w:rPr>
        <w:t>/）。</w:t>
      </w:r>
    </w:p>
    <w:p w14:paraId="54B4ADB4">
      <w:pPr>
        <w:shd w:val="clear"/>
        <w:spacing w:line="360" w:lineRule="auto"/>
        <w:ind w:firstLine="482" w:firstLineChars="200"/>
        <w:rPr>
          <w:rFonts w:cs="仿宋" w:asciiTheme="majorEastAsia" w:hAnsiTheme="majorEastAsia" w:eastAsiaTheme="majorEastAsia"/>
          <w:bCs/>
          <w:color w:val="auto"/>
          <w:sz w:val="24"/>
          <w:highlight w:val="none"/>
          <w:u w:val="single"/>
        </w:rPr>
      </w:pPr>
      <w:r>
        <w:rPr>
          <w:rFonts w:hint="eastAsia" w:cs="仿宋" w:asciiTheme="majorEastAsia" w:hAnsiTheme="majorEastAsia" w:eastAsiaTheme="majorEastAsia"/>
          <w:b/>
          <w:color w:val="auto"/>
          <w:sz w:val="24"/>
          <w:highlight w:val="none"/>
        </w:rPr>
        <w:t>开标时间：</w:t>
      </w:r>
      <w:r>
        <w:rPr>
          <w:rFonts w:hint="eastAsia" w:cs="仿宋" w:asciiTheme="majorEastAsia" w:hAnsiTheme="majorEastAsia" w:eastAsiaTheme="majorEastAsia"/>
          <w:color w:val="auto"/>
          <w:sz w:val="24"/>
          <w:highlight w:val="none"/>
          <w:u w:val="single"/>
        </w:rPr>
        <w:t>2025年0</w:t>
      </w:r>
      <w:r>
        <w:rPr>
          <w:rFonts w:hint="eastAsia" w:cs="仿宋" w:asciiTheme="majorEastAsia" w:hAnsiTheme="majorEastAsia" w:eastAsiaTheme="majorEastAsia"/>
          <w:color w:val="auto"/>
          <w:sz w:val="24"/>
          <w:highlight w:val="none"/>
          <w:u w:val="single"/>
          <w:lang w:val="en-US" w:eastAsia="zh-CN"/>
        </w:rPr>
        <w:t>7</w:t>
      </w:r>
      <w:r>
        <w:rPr>
          <w:rFonts w:hint="eastAsia" w:cs="仿宋" w:asciiTheme="majorEastAsia" w:hAnsiTheme="majorEastAsia" w:eastAsiaTheme="majorEastAsia"/>
          <w:color w:val="auto"/>
          <w:sz w:val="24"/>
          <w:highlight w:val="none"/>
          <w:u w:val="single"/>
        </w:rPr>
        <w:t>月0</w:t>
      </w:r>
      <w:r>
        <w:rPr>
          <w:rFonts w:hint="eastAsia" w:cs="仿宋" w:asciiTheme="majorEastAsia" w:hAnsiTheme="majorEastAsia" w:eastAsiaTheme="majorEastAsia"/>
          <w:color w:val="auto"/>
          <w:sz w:val="24"/>
          <w:highlight w:val="none"/>
          <w:u w:val="single"/>
          <w:lang w:val="en-US" w:eastAsia="zh-CN"/>
        </w:rPr>
        <w:t>7</w:t>
      </w:r>
      <w:r>
        <w:rPr>
          <w:rFonts w:hint="eastAsia" w:cs="仿宋" w:asciiTheme="majorEastAsia" w:hAnsiTheme="majorEastAsia" w:eastAsiaTheme="majorEastAsia"/>
          <w:color w:val="auto"/>
          <w:sz w:val="24"/>
          <w:highlight w:val="none"/>
          <w:u w:val="single"/>
        </w:rPr>
        <w:t>日14点00分</w:t>
      </w:r>
      <w:r>
        <w:rPr>
          <w:rFonts w:hint="eastAsia" w:cs="仿宋" w:asciiTheme="majorEastAsia" w:hAnsiTheme="majorEastAsia" w:eastAsiaTheme="majorEastAsia"/>
          <w:color w:val="auto"/>
          <w:sz w:val="24"/>
          <w:highlight w:val="none"/>
        </w:rPr>
        <w:t>。</w:t>
      </w:r>
    </w:p>
    <w:p w14:paraId="16A6BC49">
      <w:pPr>
        <w:shd w:val="clear"/>
        <w:spacing w:line="360" w:lineRule="auto"/>
        <w:ind w:firstLine="482"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开标地点（网址）：</w:t>
      </w:r>
      <w:r>
        <w:rPr>
          <w:rFonts w:hint="eastAsia" w:cs="仿宋" w:asciiTheme="majorEastAsia" w:hAnsiTheme="majorEastAsia" w:eastAsiaTheme="majorEastAsia"/>
          <w:color w:val="auto"/>
          <w:sz w:val="24"/>
          <w:highlight w:val="none"/>
        </w:rPr>
        <w:t>乐采云平台（https://</w:t>
      </w:r>
      <w:r>
        <w:rPr>
          <w:rStyle w:val="24"/>
          <w:rFonts w:hint="eastAsia" w:cs="仿宋" w:asciiTheme="majorEastAsia" w:hAnsiTheme="majorEastAsia" w:eastAsiaTheme="majorEastAsia"/>
          <w:color w:val="auto"/>
          <w:sz w:val="24"/>
          <w:szCs w:val="24"/>
          <w:highlight w:val="none"/>
        </w:rPr>
        <w:t>www.lecaiyun.com</w:t>
      </w:r>
      <w:r>
        <w:rPr>
          <w:rFonts w:hint="eastAsia" w:cs="仿宋" w:asciiTheme="majorEastAsia" w:hAnsiTheme="majorEastAsia" w:eastAsiaTheme="majorEastAsia"/>
          <w:color w:val="auto"/>
          <w:sz w:val="24"/>
          <w:highlight w:val="none"/>
        </w:rPr>
        <w:t>/）。</w:t>
      </w:r>
    </w:p>
    <w:p w14:paraId="7C38D765">
      <w:pPr>
        <w:shd w:val="clear"/>
        <w:spacing w:line="360" w:lineRule="auto"/>
        <w:ind w:firstLine="482" w:firstLineChars="20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开标地点（线下）：</w:t>
      </w:r>
      <w:r>
        <w:rPr>
          <w:rFonts w:hint="eastAsia" w:cs="仿宋" w:asciiTheme="majorEastAsia" w:hAnsiTheme="majorEastAsia" w:eastAsiaTheme="majorEastAsia"/>
          <w:bCs/>
          <w:color w:val="auto"/>
          <w:sz w:val="24"/>
          <w:highlight w:val="none"/>
        </w:rPr>
        <w:t>宁波市奉化区公共资源交易中心开标厅</w:t>
      </w:r>
      <w:r>
        <w:rPr>
          <w:rFonts w:hint="eastAsia" w:cs="仿宋" w:asciiTheme="majorEastAsia" w:hAnsiTheme="majorEastAsia" w:eastAsiaTheme="majorEastAsia"/>
          <w:bCs/>
          <w:color w:val="auto"/>
          <w:sz w:val="24"/>
          <w:highlight w:val="none"/>
          <w:lang w:val="en-US" w:eastAsia="zh-CN"/>
        </w:rPr>
        <w:t>一</w:t>
      </w:r>
      <w:r>
        <w:rPr>
          <w:rFonts w:hint="eastAsia" w:cs="仿宋" w:asciiTheme="majorEastAsia" w:hAnsiTheme="majorEastAsia" w:eastAsiaTheme="majorEastAsia"/>
          <w:bCs/>
          <w:color w:val="auto"/>
          <w:sz w:val="24"/>
          <w:highlight w:val="none"/>
        </w:rPr>
        <w:t>（宁波市奉化区大成东路277号4楼）</w:t>
      </w:r>
    </w:p>
    <w:p w14:paraId="74EA76EF">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 xml:space="preserve">五、公告期限 </w:t>
      </w:r>
    </w:p>
    <w:p w14:paraId="012BDFEE">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自本公告发布之日起5个工作日。</w:t>
      </w:r>
    </w:p>
    <w:p w14:paraId="2F5598FB">
      <w:pPr>
        <w:shd w:val="clear"/>
        <w:spacing w:line="360" w:lineRule="auto"/>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六、其他补充事宜</w:t>
      </w:r>
    </w:p>
    <w:p w14:paraId="08A683E7">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供应商认为招标文件使自己的权益受到损害的，可以自获取招标文件之日或者招标文件公告期限届满之日（公告期限届满后获取招标文件的，以公告期限届满之日为准）起七个工作日内，以书面形式向采购人和采购代理机构提出质疑。质疑供应商对采购人、采购代理机构的答复不满意或者采购人、采购代理机构未在规定的时间内作出答复的，可以在答复期满后十五个工作日内向监督管理部门投诉。</w:t>
      </w:r>
    </w:p>
    <w:p w14:paraId="733543C1">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其他事项：（1）需要落实的政府采购政策：包括节约资源、保护环境、支持创新、促进中小企业发展等。详见招标文件的第二部分总则。（2）电子招投标的说明：①电子招投标：本项目以数据电文形式，依托“政府采购云平台（</w:t>
      </w:r>
      <w:r>
        <w:rPr>
          <w:rStyle w:val="24"/>
          <w:rFonts w:hint="eastAsia" w:cs="仿宋" w:asciiTheme="majorEastAsia" w:hAnsiTheme="majorEastAsia" w:eastAsiaTheme="majorEastAsia"/>
          <w:color w:val="auto"/>
          <w:sz w:val="24"/>
          <w:szCs w:val="24"/>
          <w:highlight w:val="none"/>
        </w:rPr>
        <w:t>www.lecaiyun.com</w:t>
      </w:r>
      <w:r>
        <w:rPr>
          <w:rFonts w:hint="eastAsia" w:cs="仿宋" w:asciiTheme="majorEastAsia" w:hAnsiTheme="majorEastAsia" w:eastAsiaTheme="majorEastAsia"/>
          <w:color w:val="auto"/>
          <w:sz w:val="24"/>
          <w:highlight w:val="none"/>
        </w:rPr>
        <w:t>）”进行招投标活动，不接受纸质投标文件；②投标准备：注册账号--点击“商家入驻”，进行政府采购供应商资料填写；申领CA数字证书---申领流程详见“浙江企业采购信息服务网-下载专区-电子交易客户端-CA驱动和申领流程”；安装“乐采云电子交易客户端”----前往“浙江企业采购信息服务网-下载专区-电子交易客户端（https://b.zhengcaiyun.cn/luban/category?parentId=550045&amp;childrenCode=qicaiCategory17&amp;utm=luban.luban-PC-39026.959-pc-websitegroup-navBar-front.8.ebdec73052c711ef9ade896d008b9248）”进行下载并安装；</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在开标前应确保成为浙江省政府采购网正式注册入库供应商，并完成CA数字证书办理。完成CA数字证书办理在资料齐全的情况下预计7个工作日左右，请各</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合理预估时间，及时办理。③招标文件的获取：使用账号登录或者使用CA登录乐采云平台；进入“项目采购”应用，在获取采购文件菜单中选择项目，获取招标文件；④投标文件的制作：在“乐采云电子交易客户端”中完成“填写基本信息”、“导入投标文件”、“标书关联”、“标书检查”、“电子签名”、“生成电子标书”等操作；⑤采购人、采购代理机构将依托乐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⑥对未按上述方式获取招标文件的供应商对该文件提出的质疑，采购人或采购代理机构将不予处理；⑦不提供招标文件纸质版；⑧投标文件的解密：</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按照平台提示和招标文件的规定在半小时内完成在线解密。⑨具体操作指南：详见乐采云平台“服务中心-帮助文档-项目采购-操作流程-电子招投标-政府采购项目电子交易管理操作指南-供应商”。</w:t>
      </w:r>
    </w:p>
    <w:p w14:paraId="249605AE">
      <w:pPr>
        <w:shd w:val="clear"/>
        <w:spacing w:line="360" w:lineRule="auto"/>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七、对本次采购提出询问、质疑、投诉，请按以下方式联系</w:t>
      </w:r>
    </w:p>
    <w:p w14:paraId="754B5C54">
      <w:pPr>
        <w:shd w:val="clear"/>
        <w:spacing w:line="360" w:lineRule="auto"/>
        <w:rPr>
          <w:rFonts w:ascii="宋体" w:hAnsi="宋体" w:cs="仿宋"/>
          <w:color w:val="auto"/>
          <w:sz w:val="24"/>
          <w:highlight w:val="none"/>
        </w:rPr>
      </w:pPr>
      <w:r>
        <w:rPr>
          <w:rFonts w:hint="eastAsia" w:cs="仿宋" w:asciiTheme="majorEastAsia" w:hAnsiTheme="majorEastAsia" w:eastAsiaTheme="majorEastAsia"/>
          <w:color w:val="auto"/>
          <w:sz w:val="24"/>
          <w:highlight w:val="none"/>
        </w:rPr>
        <w:t xml:space="preserve"> </w:t>
      </w:r>
      <w:r>
        <w:rPr>
          <w:rFonts w:hint="eastAsia" w:ascii="宋体" w:hAnsi="宋体" w:cs="仿宋"/>
          <w:color w:val="auto"/>
          <w:sz w:val="24"/>
          <w:highlight w:val="none"/>
        </w:rPr>
        <w:t xml:space="preserve">   1.采购人信息</w:t>
      </w:r>
    </w:p>
    <w:p w14:paraId="703C847E">
      <w:pPr>
        <w:shd w:val="clear"/>
        <w:spacing w:line="360" w:lineRule="auto"/>
        <w:rPr>
          <w:rFonts w:cs="仿宋" w:asciiTheme="majorEastAsia" w:hAnsiTheme="majorEastAsia" w:eastAsiaTheme="majorEastAsia"/>
          <w:color w:val="auto"/>
          <w:sz w:val="24"/>
          <w:highlight w:val="none"/>
        </w:rPr>
      </w:pPr>
      <w:r>
        <w:rPr>
          <w:rFonts w:hint="eastAsia" w:ascii="宋体" w:hAnsi="宋体" w:cs="仿宋"/>
          <w:color w:val="auto"/>
          <w:sz w:val="24"/>
          <w:highlight w:val="none"/>
        </w:rPr>
        <w:t xml:space="preserve">    </w:t>
      </w:r>
      <w:r>
        <w:rPr>
          <w:rFonts w:hint="eastAsia" w:cs="仿宋" w:asciiTheme="majorEastAsia" w:hAnsiTheme="majorEastAsia" w:eastAsiaTheme="majorEastAsia"/>
          <w:color w:val="auto"/>
          <w:sz w:val="24"/>
          <w:highlight w:val="none"/>
        </w:rPr>
        <w:t>名    称：宁波市奉化区教育发展投资有限责任公司</w:t>
      </w:r>
    </w:p>
    <w:p w14:paraId="37F9BD49">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地    址：</w:t>
      </w:r>
      <w:r>
        <w:rPr>
          <w:rFonts w:hint="eastAsia" w:ascii="宋体" w:hAnsi="宋体" w:cs="宋体"/>
          <w:color w:val="auto"/>
          <w:sz w:val="24"/>
          <w:highlight w:val="none"/>
        </w:rPr>
        <w:t>宁波市奉化区锦屏街道桥西岸路128-2号</w:t>
      </w:r>
    </w:p>
    <w:p w14:paraId="786E5D52">
      <w:pPr>
        <w:shd w:val="clear"/>
        <w:spacing w:line="360" w:lineRule="auto"/>
        <w:ind w:firstLine="48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项目联系人：</w:t>
      </w:r>
      <w:r>
        <w:rPr>
          <w:rFonts w:hint="eastAsia" w:ascii="宋体" w:hAnsi="宋体" w:cs="宋体"/>
          <w:color w:val="auto"/>
          <w:sz w:val="24"/>
          <w:highlight w:val="none"/>
        </w:rPr>
        <w:t>顾先生</w:t>
      </w:r>
    </w:p>
    <w:p w14:paraId="47E3E813">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联系方式</w:t>
      </w:r>
      <w:r>
        <w:rPr>
          <w:rFonts w:hint="eastAsia" w:ascii="宋体" w:hAnsi="宋体" w:cs="宋体"/>
          <w:color w:val="auto"/>
          <w:sz w:val="24"/>
          <w:highlight w:val="none"/>
        </w:rPr>
        <w:t>：</w:t>
      </w:r>
      <w:r>
        <w:rPr>
          <w:rFonts w:ascii="宋体" w:hAnsi="宋体" w:cs="宋体"/>
          <w:color w:val="auto"/>
          <w:sz w:val="24"/>
          <w:highlight w:val="none"/>
        </w:rPr>
        <w:t>0574-88506809</w:t>
      </w:r>
    </w:p>
    <w:p w14:paraId="0E286FFE">
      <w:pPr>
        <w:shd w:val="clear"/>
        <w:spacing w:line="360" w:lineRule="auto"/>
        <w:rPr>
          <w:rFonts w:ascii="宋体" w:hAnsi="宋体" w:cs="仿宋"/>
          <w:color w:val="auto"/>
          <w:sz w:val="24"/>
          <w:highlight w:val="none"/>
        </w:rPr>
      </w:pPr>
      <w:r>
        <w:rPr>
          <w:rFonts w:hint="eastAsia" w:ascii="宋体" w:hAnsi="宋体" w:cs="仿宋"/>
          <w:color w:val="auto"/>
          <w:sz w:val="24"/>
          <w:highlight w:val="none"/>
        </w:rPr>
        <w:t xml:space="preserve">    2.采购代理机构信息            </w:t>
      </w:r>
    </w:p>
    <w:p w14:paraId="6D1178C7">
      <w:pPr>
        <w:shd w:val="clear"/>
        <w:spacing w:line="360" w:lineRule="auto"/>
        <w:ind w:firstLine="480"/>
        <w:rPr>
          <w:rFonts w:ascii="宋体" w:hAnsi="宋体"/>
          <w:color w:val="auto"/>
          <w:sz w:val="24"/>
          <w:highlight w:val="none"/>
        </w:rPr>
      </w:pPr>
      <w:r>
        <w:rPr>
          <w:rFonts w:hint="eastAsia" w:ascii="宋体" w:hAnsi="宋体" w:cs="仿宋"/>
          <w:color w:val="auto"/>
          <w:sz w:val="24"/>
          <w:highlight w:val="none"/>
        </w:rPr>
        <w:t>名    称：</w:t>
      </w:r>
      <w:r>
        <w:rPr>
          <w:rFonts w:hint="eastAsia" w:ascii="宋体" w:hAnsi="宋体"/>
          <w:color w:val="auto"/>
          <w:sz w:val="24"/>
          <w:highlight w:val="none"/>
        </w:rPr>
        <w:t>宁波敬信项目管理咨询有限公司</w:t>
      </w:r>
    </w:p>
    <w:p w14:paraId="36789785">
      <w:pPr>
        <w:shd w:val="clear"/>
        <w:spacing w:line="360" w:lineRule="auto"/>
        <w:ind w:firstLine="480"/>
        <w:rPr>
          <w:rFonts w:ascii="宋体" w:hAnsi="宋体" w:cs="仿宋"/>
          <w:color w:val="auto"/>
          <w:sz w:val="24"/>
          <w:highlight w:val="none"/>
        </w:rPr>
      </w:pPr>
      <w:r>
        <w:rPr>
          <w:rFonts w:hint="eastAsia" w:ascii="宋体" w:hAnsi="宋体" w:cs="仿宋"/>
          <w:color w:val="auto"/>
          <w:sz w:val="24"/>
          <w:highlight w:val="none"/>
        </w:rPr>
        <w:t>地    址：</w:t>
      </w:r>
      <w:r>
        <w:rPr>
          <w:rFonts w:hint="eastAsia"/>
          <w:color w:val="auto"/>
          <w:sz w:val="24"/>
          <w:highlight w:val="none"/>
        </w:rPr>
        <w:t>宁波市奉化区岳林东路商业二</w:t>
      </w:r>
      <w:r>
        <w:rPr>
          <w:color w:val="auto"/>
          <w:sz w:val="24"/>
          <w:highlight w:val="none"/>
        </w:rPr>
        <w:t>16</w:t>
      </w:r>
      <w:r>
        <w:rPr>
          <w:rFonts w:hint="eastAsia"/>
          <w:color w:val="auto"/>
          <w:sz w:val="24"/>
          <w:highlight w:val="none"/>
        </w:rPr>
        <w:t>幢</w:t>
      </w:r>
      <w:r>
        <w:rPr>
          <w:color w:val="auto"/>
          <w:sz w:val="24"/>
          <w:highlight w:val="none"/>
        </w:rPr>
        <w:t>502</w:t>
      </w:r>
      <w:r>
        <w:rPr>
          <w:rFonts w:hint="eastAsia"/>
          <w:color w:val="auto"/>
          <w:sz w:val="24"/>
          <w:highlight w:val="none"/>
        </w:rPr>
        <w:t>室（惠政丽都北门）</w:t>
      </w:r>
      <w:r>
        <w:rPr>
          <w:rFonts w:hint="eastAsia" w:ascii="宋体" w:hAnsi="宋体" w:cs="仿宋"/>
          <w:color w:val="auto"/>
          <w:sz w:val="24"/>
          <w:highlight w:val="none"/>
        </w:rPr>
        <w:t xml:space="preserve"> </w:t>
      </w:r>
    </w:p>
    <w:p w14:paraId="31DC6DC2">
      <w:pPr>
        <w:shd w:val="clear"/>
        <w:spacing w:line="360" w:lineRule="auto"/>
        <w:rPr>
          <w:rFonts w:ascii="宋体" w:hAnsi="宋体" w:cs="仿宋"/>
          <w:color w:val="auto"/>
          <w:sz w:val="24"/>
          <w:highlight w:val="none"/>
        </w:rPr>
      </w:pPr>
      <w:r>
        <w:rPr>
          <w:rFonts w:hint="eastAsia" w:ascii="宋体" w:hAnsi="宋体" w:cs="仿宋"/>
          <w:color w:val="auto"/>
          <w:sz w:val="24"/>
          <w:highlight w:val="none"/>
        </w:rPr>
        <w:t xml:space="preserve">    传    真：</w:t>
      </w:r>
      <w:r>
        <w:rPr>
          <w:rFonts w:ascii="宋体" w:hAnsi="宋体"/>
          <w:color w:val="auto"/>
          <w:sz w:val="24"/>
          <w:highlight w:val="none"/>
        </w:rPr>
        <w:t>0574-88</w:t>
      </w:r>
      <w:r>
        <w:rPr>
          <w:rFonts w:hint="eastAsia" w:ascii="宋体" w:hAnsi="宋体"/>
          <w:color w:val="auto"/>
          <w:sz w:val="24"/>
          <w:highlight w:val="none"/>
        </w:rPr>
        <w:t>98638</w:t>
      </w:r>
      <w:r>
        <w:rPr>
          <w:rFonts w:hint="eastAsia" w:ascii="宋体" w:hAnsi="宋体"/>
          <w:color w:val="auto"/>
          <w:sz w:val="24"/>
          <w:highlight w:val="none"/>
          <w:lang w:val="en-US" w:eastAsia="zh-CN"/>
        </w:rPr>
        <w:t>6</w:t>
      </w:r>
      <w:r>
        <w:rPr>
          <w:rFonts w:hint="eastAsia" w:ascii="宋体" w:hAnsi="宋体" w:cs="仿宋"/>
          <w:color w:val="auto"/>
          <w:sz w:val="24"/>
          <w:highlight w:val="none"/>
        </w:rPr>
        <w:t xml:space="preserve">            </w:t>
      </w:r>
    </w:p>
    <w:p w14:paraId="1D7F0DAC">
      <w:pPr>
        <w:shd w:val="clear"/>
        <w:spacing w:line="360" w:lineRule="auto"/>
        <w:rPr>
          <w:rFonts w:ascii="宋体" w:hAnsi="宋体" w:cs="仿宋"/>
          <w:color w:val="auto"/>
          <w:sz w:val="24"/>
          <w:highlight w:val="none"/>
        </w:rPr>
      </w:pPr>
      <w:r>
        <w:rPr>
          <w:rFonts w:hint="eastAsia" w:ascii="宋体" w:hAnsi="宋体" w:cs="仿宋"/>
          <w:color w:val="auto"/>
          <w:sz w:val="24"/>
          <w:highlight w:val="none"/>
        </w:rPr>
        <w:t xml:space="preserve">    项目联系人（询问）</w:t>
      </w:r>
      <w:r>
        <w:rPr>
          <w:rFonts w:hint="eastAsia" w:ascii="宋体" w:hAnsi="宋体" w:cs="仿宋"/>
          <w:color w:val="auto"/>
          <w:sz w:val="24"/>
          <w:highlight w:val="none"/>
          <w:lang w:eastAsia="zh-CN"/>
        </w:rPr>
        <w:t>：</w:t>
      </w:r>
      <w:r>
        <w:rPr>
          <w:rFonts w:hint="eastAsia" w:ascii="宋体" w:hAnsi="宋体" w:cs="仿宋"/>
          <w:color w:val="auto"/>
          <w:sz w:val="24"/>
          <w:highlight w:val="none"/>
          <w:lang w:val="en-US" w:eastAsia="zh-CN"/>
        </w:rPr>
        <w:t>罗女士</w:t>
      </w:r>
      <w:r>
        <w:rPr>
          <w:rFonts w:hint="eastAsia" w:ascii="宋体" w:hAnsi="宋体" w:cs="仿宋"/>
          <w:color w:val="auto"/>
          <w:sz w:val="24"/>
          <w:highlight w:val="none"/>
        </w:rPr>
        <w:t xml:space="preserve">       </w:t>
      </w:r>
    </w:p>
    <w:p w14:paraId="5DA02D41">
      <w:pPr>
        <w:shd w:val="clear"/>
        <w:spacing w:line="360" w:lineRule="auto"/>
        <w:rPr>
          <w:rFonts w:hint="eastAsia" w:ascii="宋体" w:hAnsi="宋体" w:eastAsia="宋体" w:cs="仿宋"/>
          <w:color w:val="auto"/>
          <w:sz w:val="24"/>
          <w:highlight w:val="none"/>
          <w:lang w:eastAsia="zh-CN"/>
        </w:rPr>
      </w:pPr>
      <w:r>
        <w:rPr>
          <w:rFonts w:hint="eastAsia" w:ascii="宋体" w:hAnsi="宋体" w:cs="仿宋"/>
          <w:color w:val="auto"/>
          <w:sz w:val="24"/>
          <w:highlight w:val="none"/>
        </w:rPr>
        <w:t xml:space="preserve">    项目联系方式（询问）：</w:t>
      </w:r>
      <w:r>
        <w:rPr>
          <w:rFonts w:ascii="宋体" w:hAnsi="宋体"/>
          <w:color w:val="auto"/>
          <w:sz w:val="24"/>
          <w:highlight w:val="none"/>
        </w:rPr>
        <w:t>0574-88</w:t>
      </w:r>
      <w:r>
        <w:rPr>
          <w:rFonts w:hint="eastAsia" w:ascii="宋体" w:hAnsi="宋体"/>
          <w:color w:val="auto"/>
          <w:sz w:val="24"/>
          <w:highlight w:val="none"/>
        </w:rPr>
        <w:t>98638</w:t>
      </w:r>
      <w:r>
        <w:rPr>
          <w:rFonts w:hint="eastAsia" w:ascii="宋体" w:hAnsi="宋体"/>
          <w:color w:val="auto"/>
          <w:sz w:val="24"/>
          <w:highlight w:val="none"/>
          <w:lang w:val="en-US" w:eastAsia="zh-CN"/>
        </w:rPr>
        <w:t>6</w:t>
      </w:r>
    </w:p>
    <w:p w14:paraId="1C264C24">
      <w:pPr>
        <w:shd w:val="clear"/>
        <w:spacing w:line="360" w:lineRule="auto"/>
        <w:rPr>
          <w:rFonts w:ascii="宋体" w:hAnsi="宋体" w:cs="仿宋"/>
          <w:color w:val="auto"/>
          <w:sz w:val="24"/>
          <w:highlight w:val="none"/>
        </w:rPr>
      </w:pPr>
      <w:r>
        <w:rPr>
          <w:rFonts w:hint="eastAsia" w:ascii="宋体" w:hAnsi="宋体" w:cs="仿宋"/>
          <w:color w:val="auto"/>
          <w:sz w:val="24"/>
          <w:highlight w:val="none"/>
        </w:rPr>
        <w:t xml:space="preserve">    质疑联系人：</w:t>
      </w:r>
      <w:r>
        <w:rPr>
          <w:rFonts w:hint="eastAsia" w:ascii="宋体" w:hAnsi="宋体"/>
          <w:color w:val="auto"/>
          <w:sz w:val="24"/>
          <w:highlight w:val="none"/>
        </w:rPr>
        <w:t>丁先生</w:t>
      </w:r>
      <w:r>
        <w:rPr>
          <w:rFonts w:hint="eastAsia" w:ascii="宋体" w:hAnsi="宋体" w:cs="仿宋"/>
          <w:color w:val="auto"/>
          <w:sz w:val="24"/>
          <w:highlight w:val="none"/>
        </w:rPr>
        <w:t xml:space="preserve">           </w:t>
      </w:r>
    </w:p>
    <w:p w14:paraId="3ED872E0">
      <w:pPr>
        <w:shd w:val="clear"/>
        <w:spacing w:line="360" w:lineRule="auto"/>
        <w:rPr>
          <w:rFonts w:hint="default" w:ascii="宋体" w:hAnsi="宋体" w:eastAsia="宋体" w:cs="仿宋"/>
          <w:color w:val="auto"/>
          <w:sz w:val="24"/>
          <w:highlight w:val="none"/>
          <w:lang w:val="en-US" w:eastAsia="zh-CN"/>
        </w:rPr>
      </w:pPr>
      <w:r>
        <w:rPr>
          <w:rFonts w:hint="eastAsia" w:ascii="宋体" w:hAnsi="宋体" w:cs="仿宋"/>
          <w:color w:val="auto"/>
          <w:sz w:val="24"/>
          <w:highlight w:val="none"/>
        </w:rPr>
        <w:t xml:space="preserve">    质疑联系方式：</w:t>
      </w:r>
      <w:r>
        <w:rPr>
          <w:rFonts w:hint="eastAsia" w:ascii="宋体" w:hAnsi="宋体"/>
          <w:color w:val="auto"/>
          <w:sz w:val="24"/>
          <w:szCs w:val="21"/>
          <w:highlight w:val="none"/>
        </w:rPr>
        <w:t>0574-889863</w:t>
      </w:r>
      <w:r>
        <w:rPr>
          <w:rFonts w:hint="eastAsia" w:ascii="宋体" w:hAnsi="宋体"/>
          <w:color w:val="auto"/>
          <w:sz w:val="24"/>
          <w:szCs w:val="21"/>
          <w:highlight w:val="none"/>
          <w:lang w:val="en-US" w:eastAsia="zh-CN"/>
        </w:rPr>
        <w:t>81</w:t>
      </w:r>
    </w:p>
    <w:p w14:paraId="15F6A3EA">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3.监督管理部门            </w:t>
      </w:r>
    </w:p>
    <w:p w14:paraId="38ED254D">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名    称：宁波市奉化区教育局监察（信访）室</w:t>
      </w:r>
    </w:p>
    <w:p w14:paraId="223B40A9">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地    址：宁波市奉化区桥西岸路南端128号</w:t>
      </w:r>
    </w:p>
    <w:p w14:paraId="74EA6224">
      <w:pPr>
        <w:shd w:val="clear"/>
        <w:spacing w:line="360" w:lineRule="auto"/>
        <w:ind w:firstLine="240" w:firstLineChars="1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传    真：</w:t>
      </w:r>
      <w:r>
        <w:rPr>
          <w:rFonts w:hint="eastAsia" w:ascii="宋体" w:hAnsi="宋体" w:cs="宋体"/>
          <w:bCs/>
          <w:color w:val="auto"/>
          <w:sz w:val="24"/>
          <w:highlight w:val="none"/>
        </w:rPr>
        <w:t>0574-88523822</w:t>
      </w:r>
      <w:r>
        <w:rPr>
          <w:rFonts w:hint="eastAsia" w:cs="仿宋" w:asciiTheme="majorEastAsia" w:hAnsiTheme="majorEastAsia" w:eastAsiaTheme="majorEastAsia"/>
          <w:color w:val="auto"/>
          <w:sz w:val="24"/>
          <w:highlight w:val="none"/>
        </w:rPr>
        <w:t xml:space="preserve"> </w:t>
      </w:r>
    </w:p>
    <w:p w14:paraId="7BB48A6A">
      <w:pPr>
        <w:shd w:val="clear"/>
        <w:spacing w:line="360" w:lineRule="auto"/>
        <w:rPr>
          <w:rFonts w:cs="仿宋" w:asciiTheme="majorEastAsia" w:hAnsiTheme="majorEastAsia"/>
          <w:color w:val="auto"/>
          <w:sz w:val="24"/>
          <w:highlight w:val="none"/>
        </w:rPr>
      </w:pPr>
      <w:r>
        <w:rPr>
          <w:rFonts w:hint="eastAsia" w:cs="仿宋" w:asciiTheme="majorEastAsia" w:hAnsiTheme="majorEastAsia" w:eastAsiaTheme="majorEastAsia"/>
          <w:color w:val="auto"/>
          <w:sz w:val="24"/>
          <w:highlight w:val="none"/>
        </w:rPr>
        <w:t xml:space="preserve">    联 系 人 ：</w:t>
      </w:r>
      <w:r>
        <w:rPr>
          <w:rFonts w:hint="eastAsia" w:ascii="宋体" w:hAnsi="宋体" w:cs="宋体"/>
          <w:bCs/>
          <w:color w:val="auto"/>
          <w:sz w:val="24"/>
          <w:highlight w:val="none"/>
        </w:rPr>
        <w:t>毛先生</w:t>
      </w:r>
    </w:p>
    <w:p w14:paraId="1D14DEF4">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监督投诉电话：</w:t>
      </w:r>
      <w:r>
        <w:rPr>
          <w:rFonts w:hint="eastAsia" w:ascii="宋体" w:hAnsi="宋体" w:cs="宋体"/>
          <w:bCs/>
          <w:color w:val="auto"/>
          <w:sz w:val="24"/>
          <w:highlight w:val="none"/>
        </w:rPr>
        <w:t xml:space="preserve">0574-88523822  </w:t>
      </w:r>
      <w:r>
        <w:rPr>
          <w:rFonts w:hint="eastAsia" w:cs="仿宋" w:asciiTheme="majorEastAsia" w:hAnsiTheme="majorEastAsia" w:eastAsiaTheme="majorEastAsia"/>
          <w:color w:val="auto"/>
          <w:sz w:val="24"/>
          <w:highlight w:val="none"/>
        </w:rPr>
        <w:t xml:space="preserve">         </w:t>
      </w:r>
    </w:p>
    <w:p w14:paraId="5ED0414B">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若对项目采购电子交易系统操作有疑问，可登录乐采云（https://www.lecaiyun.com/），点击右侧咨询小采，获取采小蜜智能服务管家帮助，或拨打乐采云服务热线95763获取热线服务帮助。</w:t>
      </w:r>
    </w:p>
    <w:p w14:paraId="69118CF6">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CA问题联系电话（人工）：汇信CA 400-888-4636；天谷CA 400-087-8198。</w:t>
      </w:r>
    </w:p>
    <w:p w14:paraId="62FA8F49">
      <w:pPr>
        <w:pStyle w:val="9"/>
        <w:shd w:val="clear"/>
        <w:spacing w:line="360" w:lineRule="auto"/>
        <w:ind w:firstLine="723" w:firstLineChars="200"/>
        <w:jc w:val="center"/>
        <w:rPr>
          <w:rFonts w:cs="仿宋" w:asciiTheme="majorEastAsia" w:hAnsiTheme="majorEastAsia" w:eastAsiaTheme="majorEastAsia"/>
          <w:b/>
          <w:color w:val="auto"/>
          <w:sz w:val="36"/>
          <w:szCs w:val="20"/>
          <w:highlight w:val="none"/>
        </w:rPr>
      </w:pPr>
      <w:r>
        <w:rPr>
          <w:rFonts w:cs="仿宋" w:asciiTheme="majorEastAsia" w:hAnsiTheme="majorEastAsia" w:eastAsiaTheme="majorEastAsia"/>
          <w:b/>
          <w:color w:val="auto"/>
          <w:sz w:val="36"/>
          <w:szCs w:val="20"/>
          <w:highlight w:val="none"/>
        </w:rPr>
        <w:br w:type="page"/>
      </w:r>
    </w:p>
    <w:p w14:paraId="31E17579">
      <w:pPr>
        <w:pStyle w:val="9"/>
        <w:shd w:val="clear"/>
        <w:spacing w:line="360" w:lineRule="auto"/>
        <w:ind w:firstLine="723" w:firstLineChars="200"/>
        <w:jc w:val="center"/>
        <w:rPr>
          <w:rFonts w:cs="仿宋" w:asciiTheme="majorEastAsia" w:hAnsiTheme="majorEastAsia" w:eastAsiaTheme="majorEastAsia"/>
          <w:b/>
          <w:color w:val="auto"/>
          <w:sz w:val="36"/>
          <w:szCs w:val="20"/>
          <w:highlight w:val="none"/>
        </w:rPr>
      </w:pPr>
      <w:r>
        <w:rPr>
          <w:rFonts w:hint="eastAsia" w:cs="仿宋" w:asciiTheme="majorEastAsia" w:hAnsiTheme="majorEastAsia" w:eastAsiaTheme="majorEastAsia"/>
          <w:b/>
          <w:color w:val="auto"/>
          <w:sz w:val="36"/>
          <w:szCs w:val="20"/>
          <w:highlight w:val="none"/>
        </w:rPr>
        <w:t>第二部分</w:t>
      </w:r>
      <w:bookmarkEnd w:id="7"/>
      <w:r>
        <w:rPr>
          <w:rFonts w:hint="eastAsia" w:cs="仿宋" w:asciiTheme="majorEastAsia" w:hAnsiTheme="majorEastAsia" w:eastAsiaTheme="majorEastAsia"/>
          <w:b/>
          <w:color w:val="auto"/>
          <w:sz w:val="36"/>
          <w:szCs w:val="20"/>
          <w:highlight w:val="none"/>
        </w:rPr>
        <w:t xml:space="preserve"> 投标须知</w:t>
      </w:r>
      <w:bookmarkEnd w:id="8"/>
    </w:p>
    <w:p w14:paraId="021E65CA">
      <w:pPr>
        <w:shd w:val="clear"/>
        <w:snapToGrid w:val="0"/>
        <w:spacing w:line="360" w:lineRule="auto"/>
        <w:jc w:val="center"/>
        <w:rPr>
          <w:rFonts w:cs="仿宋" w:asciiTheme="majorEastAsia" w:hAnsiTheme="majorEastAsia" w:eastAsiaTheme="majorEastAsia"/>
          <w:b/>
          <w:color w:val="auto"/>
          <w:sz w:val="32"/>
          <w:szCs w:val="20"/>
          <w:highlight w:val="none"/>
        </w:rPr>
      </w:pPr>
      <w:r>
        <w:rPr>
          <w:rFonts w:hint="eastAsia" w:cs="仿宋" w:asciiTheme="majorEastAsia" w:hAnsiTheme="majorEastAsia" w:eastAsiaTheme="majorEastAsia"/>
          <w:b/>
          <w:color w:val="auto"/>
          <w:sz w:val="32"/>
          <w:szCs w:val="20"/>
          <w:highlight w:val="none"/>
        </w:rPr>
        <w:t>前附表</w:t>
      </w:r>
    </w:p>
    <w:tbl>
      <w:tblPr>
        <w:tblStyle w:val="18"/>
        <w:tblW w:w="9134"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662"/>
      </w:tblGrid>
      <w:tr w14:paraId="13266D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14:paraId="174E4B43">
            <w:pPr>
              <w:shd w:val="clear"/>
              <w:snapToGrid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08123EAB">
            <w:pPr>
              <w:shd w:val="clear"/>
              <w:snapToGrid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事项</w:t>
            </w:r>
          </w:p>
        </w:tc>
        <w:tc>
          <w:tcPr>
            <w:tcW w:w="6662" w:type="dxa"/>
            <w:tcBorders>
              <w:top w:val="single" w:color="000000" w:sz="8" w:space="0"/>
              <w:left w:val="single" w:color="000000" w:sz="2" w:space="0"/>
              <w:bottom w:val="single" w:color="000000" w:sz="8" w:space="0"/>
              <w:right w:val="single" w:color="000000" w:sz="8" w:space="0"/>
            </w:tcBorders>
            <w:vAlign w:val="center"/>
          </w:tcPr>
          <w:p w14:paraId="7D0B05FC">
            <w:pPr>
              <w:shd w:val="clear"/>
              <w:snapToGrid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本项目的特别规定</w:t>
            </w:r>
          </w:p>
        </w:tc>
      </w:tr>
      <w:tr w14:paraId="79C7D1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272" w:hRule="atLeast"/>
          <w:tblHeader/>
        </w:trPr>
        <w:tc>
          <w:tcPr>
            <w:tcW w:w="629" w:type="dxa"/>
            <w:tcBorders>
              <w:top w:val="single" w:color="auto" w:sz="4" w:space="0"/>
              <w:left w:val="single" w:color="auto" w:sz="4" w:space="0"/>
              <w:bottom w:val="single" w:color="auto" w:sz="4" w:space="0"/>
              <w:right w:val="single" w:color="auto" w:sz="4" w:space="0"/>
            </w:tcBorders>
          </w:tcPr>
          <w:p w14:paraId="7D09D87C">
            <w:pPr>
              <w:shd w:val="clear"/>
              <w:snapToGrid w:val="0"/>
              <w:spacing w:line="360" w:lineRule="auto"/>
              <w:jc w:val="center"/>
              <w:rPr>
                <w:rFonts w:cs="仿宋" w:asciiTheme="majorEastAsia" w:hAnsiTheme="majorEastAsia" w:eastAsiaTheme="majorEastAsia"/>
                <w:color w:val="auto"/>
                <w:sz w:val="24"/>
                <w:highlight w:val="none"/>
              </w:rPr>
            </w:pPr>
          </w:p>
          <w:p w14:paraId="757D7F44">
            <w:pPr>
              <w:shd w:val="clear"/>
              <w:snapToGrid w:val="0"/>
              <w:spacing w:line="360" w:lineRule="auto"/>
              <w:jc w:val="center"/>
              <w:rPr>
                <w:rFonts w:cs="仿宋" w:asciiTheme="majorEastAsia" w:hAnsiTheme="majorEastAsia" w:eastAsiaTheme="majorEastAsia"/>
                <w:color w:val="auto"/>
                <w:sz w:val="24"/>
                <w:highlight w:val="none"/>
              </w:rPr>
            </w:pPr>
          </w:p>
          <w:p w14:paraId="231C2E7B">
            <w:pPr>
              <w:shd w:val="clear"/>
              <w:snapToGrid w:val="0"/>
              <w:spacing w:line="360" w:lineRule="auto"/>
              <w:jc w:val="center"/>
              <w:rPr>
                <w:rFonts w:cs="仿宋" w:asciiTheme="majorEastAsia" w:hAnsiTheme="majorEastAsia" w:eastAsiaTheme="majorEastAsia"/>
                <w:color w:val="auto"/>
                <w:sz w:val="24"/>
                <w:highlight w:val="none"/>
              </w:rPr>
            </w:pPr>
          </w:p>
          <w:p w14:paraId="6931FF39">
            <w:pPr>
              <w:shd w:val="clear"/>
              <w:snapToGrid w:val="0"/>
              <w:spacing w:line="360" w:lineRule="auto"/>
              <w:jc w:val="center"/>
              <w:rPr>
                <w:rFonts w:cs="仿宋" w:asciiTheme="majorEastAsia" w:hAnsiTheme="majorEastAsia" w:eastAsiaTheme="majorEastAsia"/>
                <w:color w:val="auto"/>
                <w:sz w:val="24"/>
                <w:highlight w:val="none"/>
              </w:rPr>
            </w:pPr>
          </w:p>
          <w:p w14:paraId="2FC8701F">
            <w:pPr>
              <w:shd w:val="clear"/>
              <w:snapToGrid w:val="0"/>
              <w:spacing w:line="360" w:lineRule="auto"/>
              <w:jc w:val="center"/>
              <w:rPr>
                <w:rFonts w:cs="仿宋" w:asciiTheme="majorEastAsia" w:hAnsiTheme="majorEastAsia" w:eastAsiaTheme="majorEastAsia"/>
                <w:color w:val="auto"/>
                <w:sz w:val="24"/>
                <w:highlight w:val="none"/>
              </w:rPr>
            </w:pPr>
          </w:p>
          <w:p w14:paraId="474B0A74">
            <w:pPr>
              <w:shd w:val="clear"/>
              <w:snapToGrid w:val="0"/>
              <w:spacing w:line="360" w:lineRule="auto"/>
              <w:jc w:val="center"/>
              <w:rPr>
                <w:rFonts w:cs="仿宋" w:asciiTheme="majorEastAsia" w:hAnsiTheme="majorEastAsia" w:eastAsiaTheme="majorEastAsia"/>
                <w:color w:val="auto"/>
                <w:sz w:val="24"/>
                <w:highlight w:val="none"/>
              </w:rPr>
            </w:pPr>
          </w:p>
          <w:p w14:paraId="2C986DB0">
            <w:pPr>
              <w:shd w:val="clear"/>
              <w:snapToGrid w:val="0"/>
              <w:spacing w:line="360" w:lineRule="auto"/>
              <w:jc w:val="center"/>
              <w:rPr>
                <w:rFonts w:cs="仿宋" w:asciiTheme="majorEastAsia" w:hAnsiTheme="majorEastAsia" w:eastAsiaTheme="majorEastAsia"/>
                <w:color w:val="auto"/>
                <w:sz w:val="24"/>
                <w:highlight w:val="none"/>
              </w:rPr>
            </w:pPr>
          </w:p>
          <w:p w14:paraId="497CF2C0">
            <w:pPr>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1926A3BC">
            <w:pPr>
              <w:shd w:val="clear"/>
              <w:snapToGrid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报价要求</w:t>
            </w:r>
          </w:p>
        </w:tc>
        <w:tc>
          <w:tcPr>
            <w:tcW w:w="6662" w:type="dxa"/>
            <w:tcBorders>
              <w:top w:val="single" w:color="000000" w:sz="8" w:space="0"/>
              <w:left w:val="single" w:color="000000" w:sz="2" w:space="0"/>
              <w:bottom w:val="single" w:color="000000" w:sz="8" w:space="0"/>
              <w:right w:val="single" w:color="000000" w:sz="8" w:space="0"/>
            </w:tcBorders>
            <w:vAlign w:val="center"/>
          </w:tcPr>
          <w:p w14:paraId="1B55DA43">
            <w:pPr>
              <w:shd w:val="clear"/>
              <w:snapToGrid w:val="0"/>
              <w:spacing w:line="360" w:lineRule="auto"/>
              <w:jc w:val="left"/>
              <w:rPr>
                <w:rFonts w:cs="仿宋" w:asciiTheme="majorEastAsia" w:hAnsiTheme="majorEastAsia" w:eastAsiaTheme="majorEastAsia"/>
                <w:b/>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有关本项目实施所需的所有费用（含税费）均计入报价。</w:t>
            </w:r>
            <w:r>
              <w:rPr>
                <w:rFonts w:hint="eastAsia" w:cs="仿宋" w:asciiTheme="majorEastAsia" w:hAnsiTheme="majorEastAsia" w:eastAsiaTheme="majorEastAsia"/>
                <w:color w:val="auto"/>
                <w:sz w:val="24"/>
                <w:highlight w:val="none"/>
              </w:rPr>
              <w:t>开标一览表是报价的唯一载体</w:t>
            </w:r>
            <w:r>
              <w:rPr>
                <w:rFonts w:hint="eastAsia" w:cs="仿宋" w:asciiTheme="majorEastAsia" w:hAnsiTheme="majorEastAsia" w:eastAsiaTheme="majorEastAsia"/>
                <w:color w:val="auto"/>
                <w:kern w:val="0"/>
                <w:sz w:val="24"/>
                <w:highlight w:val="none"/>
                <w:lang w:val="zh-CN"/>
              </w:rPr>
              <w:t>。投标文件中价格全部采用人民币报价。招标文件未列明，而供应商认为必需的费用也需列入报价。</w:t>
            </w:r>
          </w:p>
          <w:p w14:paraId="591076C7">
            <w:pPr>
              <w:shd w:val="clear"/>
              <w:snapToGrid w:val="0"/>
              <w:spacing w:line="360" w:lineRule="auto"/>
              <w:jc w:val="left"/>
              <w:rPr>
                <w:rFonts w:cs="仿宋" w:asciiTheme="majorEastAsia" w:hAnsiTheme="majorEastAsia" w:eastAsiaTheme="majorEastAsia"/>
                <w:b/>
                <w:color w:val="auto"/>
                <w:kern w:val="0"/>
                <w:sz w:val="24"/>
                <w:highlight w:val="none"/>
                <w:lang w:val="zh-CN"/>
              </w:rPr>
            </w:pPr>
            <w:r>
              <w:rPr>
                <w:rFonts w:hint="eastAsia" w:cs="仿宋" w:asciiTheme="majorEastAsia" w:hAnsiTheme="majorEastAsia" w:eastAsiaTheme="majorEastAsia"/>
                <w:b/>
                <w:color w:val="auto"/>
                <w:kern w:val="0"/>
                <w:sz w:val="24"/>
                <w:highlight w:val="none"/>
                <w:lang w:val="zh-CN"/>
              </w:rPr>
              <w:t>投标报价出现下列情形的，投标无效：</w:t>
            </w:r>
          </w:p>
          <w:p w14:paraId="04F07ABC">
            <w:pPr>
              <w:shd w:val="clear"/>
              <w:snapToGrid w:val="0"/>
              <w:spacing w:line="360" w:lineRule="auto"/>
              <w:ind w:firstLine="241" w:firstLineChars="100"/>
              <w:jc w:val="left"/>
              <w:rPr>
                <w:rFonts w:cs="仿宋" w:asciiTheme="majorEastAsia" w:hAnsiTheme="majorEastAsia" w:eastAsiaTheme="majorEastAsia"/>
                <w:b/>
                <w:color w:val="auto"/>
                <w:kern w:val="0"/>
                <w:sz w:val="24"/>
                <w:highlight w:val="none"/>
                <w:lang w:val="zh-CN"/>
              </w:rPr>
            </w:pPr>
            <w:r>
              <w:rPr>
                <w:rFonts w:hint="eastAsia" w:cs="仿宋" w:asciiTheme="majorEastAsia" w:hAnsiTheme="majorEastAsia" w:eastAsiaTheme="majorEastAsia"/>
                <w:b/>
                <w:color w:val="auto"/>
                <w:kern w:val="0"/>
                <w:sz w:val="24"/>
                <w:highlight w:val="none"/>
                <w:lang w:val="zh-CN"/>
              </w:rPr>
              <w:t>投标文件出现不是唯一的、有选择性投标报价的；</w:t>
            </w:r>
          </w:p>
          <w:p w14:paraId="37A69AA1">
            <w:pPr>
              <w:shd w:val="clear"/>
              <w:snapToGrid w:val="0"/>
              <w:spacing w:line="360" w:lineRule="auto"/>
              <w:ind w:firstLine="241" w:firstLineChars="1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b/>
                <w:color w:val="auto"/>
                <w:kern w:val="0"/>
                <w:sz w:val="24"/>
                <w:highlight w:val="none"/>
                <w:lang w:val="zh-CN"/>
              </w:rPr>
              <w:t>投标报价超过招标文件中规定的预算金额或者最高限价的;</w:t>
            </w:r>
          </w:p>
          <w:p w14:paraId="63483340">
            <w:pPr>
              <w:shd w:val="clear"/>
              <w:spacing w:line="360" w:lineRule="auto"/>
              <w:ind w:firstLine="241" w:firstLineChars="10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kern w:val="0"/>
                <w:sz w:val="24"/>
                <w:highlight w:val="none"/>
              </w:rPr>
              <w:t>报价明显低于其他通过符合性审查供应商的报价，有可能影响产品质量或者不能诚信履约的，未能按要求提供书面说明或者提交相关证明材料证明其报价合理性的</w:t>
            </w:r>
            <w:r>
              <w:rPr>
                <w:rFonts w:hint="eastAsia" w:cs="仿宋" w:asciiTheme="majorEastAsia" w:hAnsiTheme="majorEastAsia" w:eastAsiaTheme="majorEastAsia"/>
                <w:b/>
                <w:color w:val="auto"/>
                <w:sz w:val="24"/>
                <w:szCs w:val="21"/>
                <w:highlight w:val="none"/>
              </w:rPr>
              <w:t>;</w:t>
            </w:r>
          </w:p>
          <w:p w14:paraId="52E50C6F">
            <w:pPr>
              <w:shd w:val="clear"/>
              <w:spacing w:line="360" w:lineRule="auto"/>
              <w:ind w:firstLine="241" w:firstLineChars="1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kern w:val="0"/>
                <w:sz w:val="24"/>
                <w:highlight w:val="none"/>
              </w:rPr>
              <w:t>供应商对根据修正原则修正后的报价不确认的</w:t>
            </w:r>
            <w:r>
              <w:rPr>
                <w:rFonts w:hint="eastAsia" w:cs="仿宋" w:asciiTheme="majorEastAsia" w:hAnsiTheme="majorEastAsia" w:eastAsiaTheme="majorEastAsia"/>
                <w:b/>
                <w:color w:val="auto"/>
                <w:sz w:val="24"/>
                <w:highlight w:val="none"/>
              </w:rPr>
              <w:t>。</w:t>
            </w:r>
          </w:p>
        </w:tc>
      </w:tr>
      <w:tr w14:paraId="45CD11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56"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77751FD1">
            <w:pPr>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25E5C792">
            <w:pPr>
              <w:pStyle w:val="9"/>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kern w:val="28"/>
                <w:sz w:val="24"/>
                <w:szCs w:val="24"/>
                <w:highlight w:val="none"/>
              </w:rPr>
              <w:t>投标保证金</w:t>
            </w:r>
          </w:p>
        </w:tc>
        <w:tc>
          <w:tcPr>
            <w:tcW w:w="6662" w:type="dxa"/>
            <w:tcBorders>
              <w:top w:val="single" w:color="000000" w:sz="8" w:space="0"/>
              <w:left w:val="single" w:color="000000" w:sz="2" w:space="0"/>
              <w:bottom w:val="single" w:color="000000" w:sz="8" w:space="0"/>
              <w:right w:val="single" w:color="000000" w:sz="8" w:space="0"/>
            </w:tcBorders>
            <w:vAlign w:val="center"/>
          </w:tcPr>
          <w:p w14:paraId="0B82A582">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投标保证金：人民币壹万元整。投标保证金须从投标人的基本账户转出以非现金方式交纳，形式：单位网银、转账支票、银行汇票或汇兑。</w:t>
            </w:r>
          </w:p>
          <w:p w14:paraId="738C3472">
            <w:pPr>
              <w:shd w:val="clea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账户名：宁波市奉化区政务服务中心(区公共资源交易中心)</w:t>
            </w:r>
          </w:p>
          <w:p w14:paraId="449358F9">
            <w:pPr>
              <w:shd w:val="clea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账号：231000003436009010071</w:t>
            </w:r>
          </w:p>
          <w:p w14:paraId="2729236D">
            <w:pPr>
              <w:shd w:val="clea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开户行：宁波奉化农村商业银行股份有限公司锦屏支行</w:t>
            </w:r>
          </w:p>
          <w:p w14:paraId="3DD64FFE">
            <w:pPr>
              <w:shd w:val="clea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电话、传真：0574—88589092</w:t>
            </w:r>
          </w:p>
          <w:p w14:paraId="51D34381">
            <w:pPr>
              <w:shd w:val="clear"/>
              <w:spacing w:line="360" w:lineRule="auto"/>
              <w:ind w:firstLine="480" w:firstLineChars="200"/>
              <w:rPr>
                <w:rFonts w:ascii="宋体" w:hAnsi="宋体"/>
                <w:color w:val="auto"/>
                <w:sz w:val="24"/>
                <w:highlight w:val="none"/>
              </w:rPr>
            </w:pPr>
            <w:r>
              <w:rPr>
                <w:rFonts w:hint="eastAsia" w:ascii="宋体" w:hAnsi="宋体"/>
                <w:color w:val="auto"/>
                <w:sz w:val="24"/>
                <w:highlight w:val="none"/>
              </w:rPr>
              <w:t>在本项目</w:t>
            </w:r>
            <w:r>
              <w:rPr>
                <w:rFonts w:hint="eastAsia" w:cs="仿宋" w:asciiTheme="majorEastAsia" w:hAnsiTheme="majorEastAsia" w:eastAsiaTheme="majorEastAsia"/>
                <w:b/>
                <w:color w:val="auto"/>
                <w:sz w:val="24"/>
                <w:highlight w:val="none"/>
              </w:rPr>
              <w:t>提交投标文件截止时间</w:t>
            </w:r>
            <w:r>
              <w:rPr>
                <w:rFonts w:hint="eastAsia" w:cs="仿宋" w:asciiTheme="majorEastAsia" w:hAnsiTheme="majorEastAsia" w:eastAsiaTheme="majorEastAsia"/>
                <w:bCs/>
                <w:color w:val="auto"/>
                <w:sz w:val="24"/>
                <w:highlight w:val="none"/>
              </w:rPr>
              <w:t>前</w:t>
            </w:r>
            <w:r>
              <w:rPr>
                <w:rFonts w:hint="eastAsia" w:ascii="宋体" w:hAnsi="宋体"/>
                <w:color w:val="auto"/>
                <w:sz w:val="24"/>
                <w:highlight w:val="none"/>
              </w:rPr>
              <w:t>须足额缴纳（以实际到账时间为准），并在汇款信息或转账支票中注明项目名称。</w:t>
            </w:r>
          </w:p>
          <w:p w14:paraId="4C681DC9">
            <w:pPr>
              <w:shd w:val="clear"/>
              <w:spacing w:line="360" w:lineRule="auto"/>
              <w:rPr>
                <w:rFonts w:cs="仿宋" w:asciiTheme="majorEastAsia" w:hAnsiTheme="majorEastAsia" w:eastAsiaTheme="majorEastAsia"/>
                <w:b/>
                <w:color w:val="auto"/>
                <w:kern w:val="0"/>
                <w:sz w:val="24"/>
                <w:highlight w:val="none"/>
              </w:rPr>
            </w:pPr>
            <w:r>
              <w:rPr>
                <w:rFonts w:hint="eastAsia" w:hAnsi="宋体"/>
                <w:b/>
                <w:color w:val="auto"/>
                <w:sz w:val="24"/>
                <w:highlight w:val="none"/>
              </w:rPr>
              <w:t>注：</w:t>
            </w:r>
            <w:r>
              <w:rPr>
                <w:rFonts w:hint="eastAsia" w:hAnsi="宋体"/>
                <w:color w:val="auto"/>
                <w:sz w:val="24"/>
                <w:highlight w:val="none"/>
              </w:rPr>
              <w:t>▲</w:t>
            </w:r>
            <w:r>
              <w:rPr>
                <w:rFonts w:hint="eastAsia" w:hAnsi="宋体"/>
                <w:b/>
                <w:color w:val="auto"/>
                <w:sz w:val="24"/>
                <w:highlight w:val="none"/>
              </w:rPr>
              <w:t>投标保证金按规定时间到账，超时的作无效标处理。</w:t>
            </w:r>
          </w:p>
        </w:tc>
      </w:tr>
      <w:tr w14:paraId="39609B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30CCF328">
            <w:pPr>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679707EE">
            <w:pPr>
              <w:shd w:val="clear"/>
              <w:snapToGrid w:val="0"/>
              <w:spacing w:line="360" w:lineRule="auto"/>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分包</w:t>
            </w:r>
          </w:p>
        </w:tc>
        <w:tc>
          <w:tcPr>
            <w:tcW w:w="6662" w:type="dxa"/>
            <w:tcBorders>
              <w:top w:val="single" w:color="000000" w:sz="8" w:space="0"/>
              <w:left w:val="single" w:color="000000" w:sz="2" w:space="0"/>
              <w:bottom w:val="single" w:color="000000" w:sz="8" w:space="0"/>
              <w:right w:val="single" w:color="000000" w:sz="8" w:space="0"/>
            </w:tcBorders>
            <w:vAlign w:val="center"/>
          </w:tcPr>
          <w:p w14:paraId="3B4DAF3D">
            <w:pPr>
              <w:shd w:val="clear"/>
              <w:spacing w:line="360" w:lineRule="auto"/>
              <w:jc w:val="left"/>
              <w:rPr>
                <w:rFonts w:cs="仿宋" w:asciiTheme="majorEastAsia" w:hAnsiTheme="majorEastAsia" w:eastAsiaTheme="majorEastAsia"/>
                <w:color w:val="auto"/>
                <w:sz w:val="24"/>
                <w:highlight w:val="none"/>
              </w:rPr>
            </w:pPr>
            <w:r>
              <w:rPr>
                <w:rFonts w:hint="eastAsia" w:cs="仿宋" w:asciiTheme="minorEastAsia" w:hAnsiTheme="minorEastAsia" w:eastAsiaTheme="minorEastAsia"/>
                <w:color w:val="auto"/>
                <w:sz w:val="24"/>
                <w:highlight w:val="none"/>
              </w:rPr>
              <w:t>不同意分包。</w:t>
            </w:r>
          </w:p>
        </w:tc>
      </w:tr>
      <w:tr w14:paraId="7C10E9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42"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45F33C94">
            <w:pPr>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0C0D1243">
            <w:pPr>
              <w:shd w:val="clear"/>
              <w:snapToGrid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供应商应当提供的资格文件</w:t>
            </w:r>
          </w:p>
        </w:tc>
        <w:tc>
          <w:tcPr>
            <w:tcW w:w="6662" w:type="dxa"/>
            <w:tcBorders>
              <w:top w:val="single" w:color="000000" w:sz="8" w:space="0"/>
              <w:left w:val="single" w:color="000000" w:sz="2" w:space="0"/>
              <w:bottom w:val="single" w:color="000000" w:sz="8" w:space="0"/>
              <w:right w:val="single" w:color="000000" w:sz="8" w:space="0"/>
            </w:tcBorders>
            <w:vAlign w:val="center"/>
          </w:tcPr>
          <w:p w14:paraId="00FE3866">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资格证明文件：见招标文件第二部分9.1。</w:t>
            </w:r>
          </w:p>
          <w:p w14:paraId="6C29FAF8">
            <w:pPr>
              <w:shd w:val="clear"/>
              <w:spacing w:line="360" w:lineRule="auto"/>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sz w:val="24"/>
                <w:highlight w:val="none"/>
              </w:rPr>
              <w:t>资格证明文件不全的或者不符合招标文件标明的资格要求的</w:t>
            </w:r>
            <w:r>
              <w:rPr>
                <w:rFonts w:hint="eastAsia" w:cs="仿宋" w:asciiTheme="majorEastAsia" w:hAnsiTheme="majorEastAsia" w:eastAsiaTheme="majorEastAsia"/>
                <w:color w:val="auto"/>
                <w:sz w:val="24"/>
                <w:highlight w:val="none"/>
                <w:lang w:val="zh-CN"/>
              </w:rPr>
              <w:t>，视为供应商不具备招标文件中规定的资格要求，投标无效。</w:t>
            </w:r>
          </w:p>
        </w:tc>
      </w:tr>
      <w:tr w14:paraId="282DFB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29" w:type="dxa"/>
            <w:tcBorders>
              <w:top w:val="single" w:color="auto" w:sz="4" w:space="0"/>
              <w:left w:val="single" w:color="auto" w:sz="4" w:space="0"/>
              <w:bottom w:val="single" w:color="auto" w:sz="4" w:space="0"/>
              <w:right w:val="single" w:color="auto" w:sz="4" w:space="0"/>
            </w:tcBorders>
          </w:tcPr>
          <w:p w14:paraId="1B058A6E">
            <w:pPr>
              <w:shd w:val="clear"/>
              <w:snapToGrid w:val="0"/>
              <w:spacing w:line="360" w:lineRule="auto"/>
              <w:jc w:val="center"/>
              <w:rPr>
                <w:rFonts w:cs="仿宋" w:asciiTheme="majorEastAsia" w:hAnsiTheme="majorEastAsia" w:eastAsiaTheme="majorEastAsia"/>
                <w:color w:val="auto"/>
                <w:sz w:val="24"/>
                <w:highlight w:val="none"/>
              </w:rPr>
            </w:pPr>
          </w:p>
          <w:p w14:paraId="5AF9C81A">
            <w:pPr>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125CD94C">
            <w:pPr>
              <w:shd w:val="clear"/>
              <w:snapToGrid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现场考察</w:t>
            </w:r>
          </w:p>
        </w:tc>
        <w:tc>
          <w:tcPr>
            <w:tcW w:w="6662" w:type="dxa"/>
            <w:tcBorders>
              <w:top w:val="single" w:color="000000" w:sz="8" w:space="0"/>
              <w:left w:val="single" w:color="000000" w:sz="2" w:space="0"/>
              <w:bottom w:val="single" w:color="000000" w:sz="8" w:space="0"/>
              <w:right w:val="single" w:color="000000" w:sz="8" w:space="0"/>
            </w:tcBorders>
            <w:vAlign w:val="center"/>
          </w:tcPr>
          <w:p w14:paraId="781B5DF5">
            <w:pPr>
              <w:shd w:val="clear"/>
              <w:spacing w:line="360" w:lineRule="auto"/>
              <w:rPr>
                <w:rFonts w:ascii="仿宋" w:hAnsi="仿宋" w:eastAsia="仿宋" w:cs="仿宋"/>
                <w:color w:val="auto"/>
                <w:sz w:val="24"/>
                <w:szCs w:val="20"/>
                <w:highlight w:val="none"/>
              </w:rPr>
            </w:pPr>
            <w:r>
              <w:rPr>
                <w:rFonts w:hint="eastAsia" w:cs="仿宋" w:asciiTheme="minorEastAsia" w:hAnsiTheme="minorEastAsia" w:eastAsiaTheme="minorEastAsia"/>
                <w:color w:val="auto"/>
                <w:kern w:val="0"/>
                <w:sz w:val="24"/>
                <w:highlight w:val="none"/>
              </w:rPr>
              <w:t>自行踏勘</w:t>
            </w:r>
            <w:r>
              <w:rPr>
                <w:rFonts w:hint="eastAsia" w:cs="仿宋" w:asciiTheme="minorEastAsia" w:hAnsiTheme="minorEastAsia" w:eastAsiaTheme="minorEastAsia"/>
                <w:color w:val="auto"/>
                <w:sz w:val="24"/>
                <w:szCs w:val="20"/>
                <w:highlight w:val="none"/>
              </w:rPr>
              <w:t>。</w:t>
            </w:r>
          </w:p>
        </w:tc>
      </w:tr>
      <w:tr w14:paraId="739B21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61BAFE2E">
            <w:pPr>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411223B4">
            <w:pPr>
              <w:shd w:val="clear"/>
              <w:snapToGrid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样品提供</w:t>
            </w:r>
          </w:p>
        </w:tc>
        <w:tc>
          <w:tcPr>
            <w:tcW w:w="6662" w:type="dxa"/>
            <w:tcBorders>
              <w:top w:val="single" w:color="000000" w:sz="8" w:space="0"/>
              <w:left w:val="single" w:color="000000" w:sz="2" w:space="0"/>
              <w:bottom w:val="single" w:color="000000" w:sz="8" w:space="0"/>
              <w:right w:val="single" w:color="000000" w:sz="8" w:space="0"/>
            </w:tcBorders>
            <w:vAlign w:val="center"/>
          </w:tcPr>
          <w:p w14:paraId="59D8867D">
            <w:pPr>
              <w:shd w:val="clear"/>
              <w:spacing w:line="360" w:lineRule="auto"/>
              <w:rPr>
                <w:rFonts w:cs="仿宋" w:asciiTheme="minorEastAsia" w:hAnsiTheme="minorEastAsia" w:eastAsiaTheme="minorEastAsia"/>
                <w:color w:val="auto"/>
                <w:kern w:val="0"/>
                <w:sz w:val="24"/>
                <w:highlight w:val="none"/>
              </w:rPr>
            </w:pPr>
            <w:r>
              <w:rPr>
                <w:rFonts w:hint="eastAsia" w:cs="仿宋" w:asciiTheme="majorEastAsia" w:hAnsiTheme="majorEastAsia" w:eastAsiaTheme="majorEastAsia"/>
                <w:color w:val="auto"/>
                <w:kern w:val="0"/>
                <w:sz w:val="24"/>
                <w:highlight w:val="none"/>
              </w:rPr>
              <w:sym w:font="Wingdings" w:char="F0FE"/>
            </w:r>
            <w:r>
              <w:rPr>
                <w:rFonts w:hint="eastAsia" w:cs="仿宋" w:asciiTheme="minorEastAsia" w:hAnsiTheme="minorEastAsia" w:eastAsiaTheme="minorEastAsia"/>
                <w:color w:val="auto"/>
                <w:kern w:val="0"/>
                <w:sz w:val="24"/>
                <w:highlight w:val="none"/>
              </w:rPr>
              <w:t>要求提供，</w:t>
            </w:r>
          </w:p>
          <w:p w14:paraId="210256EE">
            <w:pPr>
              <w:shd w:val="clear"/>
              <w:spacing w:line="360" w:lineRule="auto"/>
              <w:rPr>
                <w:rFonts w:cs="仿宋" w:asciiTheme="minorEastAsia" w:hAnsiTheme="minorEastAsia" w:eastAsiaTheme="minorEastAsia"/>
                <w:color w:val="auto"/>
                <w:kern w:val="0"/>
                <w:sz w:val="24"/>
                <w:highlight w:val="none"/>
              </w:rPr>
            </w:pPr>
            <w:r>
              <w:rPr>
                <w:rFonts w:hint="eastAsia" w:cs="仿宋" w:asciiTheme="minorEastAsia" w:hAnsiTheme="minorEastAsia" w:eastAsiaTheme="minorEastAsia"/>
                <w:color w:val="auto"/>
                <w:kern w:val="0"/>
                <w:sz w:val="24"/>
                <w:highlight w:val="none"/>
              </w:rPr>
              <w:t>（1）</w:t>
            </w:r>
            <w:r>
              <w:rPr>
                <w:rFonts w:hint="eastAsia" w:cs="仿宋" w:asciiTheme="minorEastAsia" w:hAnsiTheme="minorEastAsia" w:eastAsiaTheme="minorEastAsia"/>
                <w:snapToGrid w:val="0"/>
                <w:color w:val="auto"/>
                <w:kern w:val="28"/>
                <w:sz w:val="24"/>
                <w:highlight w:val="none"/>
              </w:rPr>
              <w:t>样品：</w:t>
            </w:r>
            <w:r>
              <w:rPr>
                <w:rFonts w:hint="eastAsia" w:ascii="宋体" w:hAnsi="宋体"/>
                <w:color w:val="auto"/>
                <w:sz w:val="24"/>
                <w:highlight w:val="none"/>
                <w:u w:val="single"/>
              </w:rPr>
              <w:t>详见</w:t>
            </w:r>
            <w:r>
              <w:rPr>
                <w:rFonts w:hint="eastAsia" w:cs="仿宋" w:asciiTheme="minorEastAsia" w:hAnsiTheme="minorEastAsia" w:eastAsiaTheme="minorEastAsia"/>
                <w:color w:val="auto"/>
                <w:sz w:val="24"/>
                <w:highlight w:val="none"/>
                <w:u w:val="single"/>
              </w:rPr>
              <w:t>第三部分 采购需求</w:t>
            </w:r>
            <w:r>
              <w:rPr>
                <w:rFonts w:hint="eastAsia" w:cs="仿宋" w:asciiTheme="minorEastAsia" w:hAnsiTheme="minorEastAsia" w:eastAsiaTheme="minorEastAsia"/>
                <w:color w:val="auto"/>
                <w:kern w:val="0"/>
                <w:sz w:val="24"/>
                <w:highlight w:val="none"/>
              </w:rPr>
              <w:t>；</w:t>
            </w:r>
          </w:p>
          <w:p w14:paraId="392041F1">
            <w:pPr>
              <w:shd w:val="clear"/>
              <w:spacing w:line="360" w:lineRule="auto"/>
              <w:rPr>
                <w:rFonts w:cs="仿宋" w:asciiTheme="minorEastAsia" w:hAnsiTheme="minorEastAsia" w:eastAsiaTheme="minorEastAsia"/>
                <w:color w:val="auto"/>
                <w:kern w:val="0"/>
                <w:sz w:val="24"/>
                <w:highlight w:val="none"/>
              </w:rPr>
            </w:pPr>
            <w:r>
              <w:rPr>
                <w:rFonts w:hint="eastAsia" w:cs="仿宋" w:asciiTheme="minorEastAsia" w:hAnsiTheme="minorEastAsia" w:eastAsiaTheme="minorEastAsia"/>
                <w:color w:val="auto"/>
                <w:kern w:val="0"/>
                <w:sz w:val="24"/>
                <w:highlight w:val="none"/>
              </w:rPr>
              <w:t>（2）</w:t>
            </w:r>
            <w:r>
              <w:rPr>
                <w:rFonts w:hint="eastAsia" w:cs="仿宋" w:asciiTheme="minorEastAsia" w:hAnsiTheme="minorEastAsia" w:eastAsiaTheme="minorEastAsia"/>
                <w:snapToGrid w:val="0"/>
                <w:color w:val="auto"/>
                <w:kern w:val="28"/>
                <w:sz w:val="24"/>
                <w:highlight w:val="none"/>
              </w:rPr>
              <w:t>样品的标准和要求：</w:t>
            </w:r>
            <w:r>
              <w:rPr>
                <w:rFonts w:hint="eastAsia" w:cs="仿宋" w:asciiTheme="minorEastAsia" w:hAnsiTheme="minorEastAsia" w:eastAsiaTheme="minorEastAsia"/>
                <w:color w:val="auto"/>
                <w:sz w:val="24"/>
                <w:highlight w:val="none"/>
                <w:u w:val="single"/>
              </w:rPr>
              <w:t>详见第三部分 采购需求</w:t>
            </w:r>
            <w:r>
              <w:rPr>
                <w:rFonts w:hint="eastAsia" w:cs="仿宋" w:asciiTheme="minorEastAsia" w:hAnsiTheme="minorEastAsia" w:eastAsiaTheme="minorEastAsia"/>
                <w:color w:val="auto"/>
                <w:kern w:val="0"/>
                <w:sz w:val="24"/>
                <w:highlight w:val="none"/>
              </w:rPr>
              <w:t>；</w:t>
            </w:r>
          </w:p>
          <w:p w14:paraId="0DCCC768">
            <w:pPr>
              <w:shd w:val="clear"/>
              <w:spacing w:line="360" w:lineRule="auto"/>
              <w:rPr>
                <w:rFonts w:cs="仿宋" w:asciiTheme="minorEastAsia" w:hAnsiTheme="minorEastAsia" w:eastAsiaTheme="minorEastAsia"/>
                <w:color w:val="auto"/>
                <w:kern w:val="0"/>
                <w:sz w:val="24"/>
                <w:highlight w:val="none"/>
              </w:rPr>
            </w:pPr>
            <w:r>
              <w:rPr>
                <w:rFonts w:hint="eastAsia" w:cs="仿宋" w:asciiTheme="minorEastAsia" w:hAnsiTheme="minorEastAsia" w:eastAsiaTheme="minorEastAsia"/>
                <w:color w:val="auto"/>
                <w:kern w:val="0"/>
                <w:sz w:val="24"/>
                <w:highlight w:val="none"/>
              </w:rPr>
              <w:t>（3）样品的评审方法以及评审标准</w:t>
            </w:r>
            <w:r>
              <w:rPr>
                <w:rFonts w:hint="eastAsia" w:cs="仿宋" w:asciiTheme="minorEastAsia" w:hAnsiTheme="minorEastAsia" w:eastAsiaTheme="minorEastAsia"/>
                <w:snapToGrid w:val="0"/>
                <w:color w:val="auto"/>
                <w:kern w:val="28"/>
                <w:sz w:val="24"/>
                <w:highlight w:val="none"/>
              </w:rPr>
              <w:t>：</w:t>
            </w:r>
            <w:r>
              <w:rPr>
                <w:rFonts w:hint="eastAsia" w:cs="仿宋" w:asciiTheme="minorEastAsia" w:hAnsiTheme="minorEastAsia" w:eastAsiaTheme="minorEastAsia"/>
                <w:snapToGrid w:val="0"/>
                <w:color w:val="auto"/>
                <w:kern w:val="28"/>
                <w:sz w:val="24"/>
                <w:highlight w:val="none"/>
                <w:u w:val="single"/>
              </w:rPr>
              <w:t>详见</w:t>
            </w:r>
            <w:r>
              <w:rPr>
                <w:rFonts w:hint="eastAsia" w:cs="仿宋" w:asciiTheme="minorEastAsia" w:hAnsiTheme="minorEastAsia" w:eastAsiaTheme="minorEastAsia"/>
                <w:color w:val="auto"/>
                <w:sz w:val="24"/>
                <w:highlight w:val="none"/>
                <w:u w:val="single"/>
              </w:rPr>
              <w:t>第四部分 评标办法</w:t>
            </w:r>
            <w:r>
              <w:rPr>
                <w:rFonts w:hint="eastAsia" w:cs="仿宋" w:asciiTheme="minorEastAsia" w:hAnsiTheme="minorEastAsia" w:eastAsiaTheme="minorEastAsia"/>
                <w:color w:val="auto"/>
                <w:kern w:val="0"/>
                <w:sz w:val="24"/>
                <w:highlight w:val="none"/>
              </w:rPr>
              <w:t>；</w:t>
            </w:r>
          </w:p>
          <w:p w14:paraId="18ED394C">
            <w:pPr>
              <w:shd w:val="clear"/>
              <w:spacing w:line="360" w:lineRule="auto"/>
              <w:rPr>
                <w:rFonts w:cs="仿宋" w:asciiTheme="minorEastAsia" w:hAnsiTheme="minorEastAsia" w:eastAsiaTheme="minorEastAsia"/>
                <w:color w:val="auto"/>
                <w:kern w:val="0"/>
                <w:sz w:val="24"/>
                <w:highlight w:val="none"/>
              </w:rPr>
            </w:pPr>
            <w:r>
              <w:rPr>
                <w:rFonts w:hint="eastAsia" w:cs="仿宋" w:asciiTheme="minorEastAsia" w:hAnsiTheme="minorEastAsia" w:eastAsiaTheme="minorEastAsia"/>
                <w:color w:val="auto"/>
                <w:kern w:val="0"/>
                <w:sz w:val="24"/>
                <w:highlight w:val="none"/>
              </w:rPr>
              <w:t>（4）是否需要随样品提交检测报告：</w:t>
            </w:r>
            <w:r>
              <w:rPr>
                <w:rFonts w:hint="eastAsia" w:cs="仿宋" w:asciiTheme="majorEastAsia" w:hAnsiTheme="majorEastAsia" w:eastAsiaTheme="majorEastAsia"/>
                <w:color w:val="auto"/>
                <w:kern w:val="0"/>
                <w:sz w:val="24"/>
                <w:highlight w:val="none"/>
              </w:rPr>
              <w:sym w:font="Wingdings" w:char="F0FE"/>
            </w:r>
            <w:r>
              <w:rPr>
                <w:rFonts w:hint="eastAsia" w:cs="仿宋" w:asciiTheme="minorEastAsia" w:hAnsiTheme="minorEastAsia" w:eastAsiaTheme="minorEastAsia"/>
                <w:color w:val="auto"/>
                <w:kern w:val="0"/>
                <w:sz w:val="24"/>
                <w:highlight w:val="none"/>
              </w:rPr>
              <w:t>否；</w:t>
            </w:r>
          </w:p>
          <w:p w14:paraId="420FD52F">
            <w:pPr>
              <w:shd w:val="clear"/>
              <w:spacing w:line="360" w:lineRule="auto"/>
              <w:rPr>
                <w:rFonts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（5）提供样品的时间：</w:t>
            </w:r>
            <w:r>
              <w:rPr>
                <w:rFonts w:hint="eastAsia" w:cs="仿宋" w:asciiTheme="majorEastAsia" w:hAnsiTheme="majorEastAsia" w:eastAsiaTheme="majorEastAsia"/>
                <w:color w:val="auto"/>
                <w:sz w:val="24"/>
                <w:highlight w:val="none"/>
                <w:u w:val="single"/>
              </w:rPr>
              <w:t>投标截止时间</w:t>
            </w:r>
            <w:r>
              <w:rPr>
                <w:rFonts w:hint="eastAsia" w:cs="仿宋" w:asciiTheme="minorEastAsia" w:hAnsiTheme="minorEastAsia" w:eastAsiaTheme="minorEastAsia"/>
                <w:color w:val="auto"/>
                <w:sz w:val="24"/>
                <w:highlight w:val="none"/>
                <w:u w:val="single"/>
              </w:rPr>
              <w:t>前（法定节假日除外）</w:t>
            </w:r>
            <w:r>
              <w:rPr>
                <w:rFonts w:hint="eastAsia" w:cs="仿宋" w:asciiTheme="minorEastAsia" w:hAnsiTheme="minorEastAsia" w:eastAsiaTheme="minorEastAsia"/>
                <w:color w:val="auto"/>
                <w:kern w:val="0"/>
                <w:sz w:val="24"/>
                <w:highlight w:val="none"/>
              </w:rPr>
              <w:t>；地点：</w:t>
            </w:r>
            <w:r>
              <w:rPr>
                <w:rFonts w:hint="eastAsia" w:cs="仿宋" w:asciiTheme="minorEastAsia" w:hAnsiTheme="minorEastAsia" w:eastAsiaTheme="minorEastAsia"/>
                <w:color w:val="auto"/>
                <w:kern w:val="0"/>
                <w:sz w:val="24"/>
                <w:highlight w:val="none"/>
                <w:u w:val="single"/>
              </w:rPr>
              <w:t>奉化区公共资源交易中心</w:t>
            </w:r>
            <w:r>
              <w:rPr>
                <w:rFonts w:hint="eastAsia" w:cs="仿宋" w:asciiTheme="minorEastAsia" w:hAnsiTheme="minorEastAsia" w:eastAsiaTheme="minorEastAsia"/>
                <w:color w:val="auto"/>
                <w:sz w:val="24"/>
                <w:highlight w:val="none"/>
                <w:u w:val="single"/>
              </w:rPr>
              <w:t>样品室</w:t>
            </w:r>
            <w:r>
              <w:rPr>
                <w:rFonts w:hint="eastAsia" w:cs="仿宋" w:asciiTheme="minorEastAsia" w:hAnsiTheme="minorEastAsia" w:eastAsiaTheme="minorEastAsia"/>
                <w:color w:val="auto"/>
                <w:kern w:val="0"/>
                <w:sz w:val="24"/>
                <w:highlight w:val="none"/>
              </w:rPr>
              <w:t>；联系人</w:t>
            </w:r>
            <w:r>
              <w:rPr>
                <w:rFonts w:hint="eastAsia" w:cs="仿宋" w:asciiTheme="minorEastAsia" w:hAnsiTheme="minorEastAsia" w:eastAsiaTheme="minorEastAsia"/>
                <w:color w:val="auto"/>
                <w:sz w:val="24"/>
                <w:highlight w:val="none"/>
              </w:rPr>
              <w:t>：</w:t>
            </w:r>
            <w:r>
              <w:rPr>
                <w:rFonts w:hint="eastAsia" w:cs="仿宋" w:asciiTheme="minorEastAsia" w:hAnsiTheme="minorEastAsia" w:eastAsiaTheme="minorEastAsia"/>
                <w:color w:val="auto"/>
                <w:sz w:val="24"/>
                <w:highlight w:val="none"/>
                <w:u w:val="single"/>
              </w:rPr>
              <w:t>丁先生</w:t>
            </w:r>
            <w:r>
              <w:rPr>
                <w:rFonts w:hint="eastAsia" w:cs="仿宋" w:asciiTheme="minorEastAsia" w:hAnsiTheme="minorEastAsia" w:eastAsiaTheme="minorEastAsia"/>
                <w:color w:val="auto"/>
                <w:sz w:val="24"/>
                <w:highlight w:val="none"/>
              </w:rPr>
              <w:t>，</w:t>
            </w:r>
            <w:r>
              <w:rPr>
                <w:rFonts w:hint="eastAsia" w:cs="仿宋" w:asciiTheme="minorEastAsia" w:hAnsiTheme="minorEastAsia" w:eastAsiaTheme="minorEastAsia"/>
                <w:color w:val="auto"/>
                <w:kern w:val="28"/>
                <w:sz w:val="24"/>
                <w:highlight w:val="none"/>
              </w:rPr>
              <w:t>联系电话：</w:t>
            </w:r>
            <w:r>
              <w:rPr>
                <w:rFonts w:cs="仿宋" w:asciiTheme="minorEastAsia" w:hAnsiTheme="minorEastAsia" w:eastAsiaTheme="minorEastAsia"/>
                <w:color w:val="auto"/>
                <w:sz w:val="24"/>
                <w:highlight w:val="none"/>
                <w:u w:val="single"/>
              </w:rPr>
              <w:t>13777265503</w:t>
            </w:r>
            <w:r>
              <w:rPr>
                <w:rFonts w:hint="eastAsia" w:cs="仿宋" w:asciiTheme="minorEastAsia" w:hAnsiTheme="minorEastAsia" w:eastAsiaTheme="minorEastAsia"/>
                <w:color w:val="auto"/>
                <w:sz w:val="24"/>
                <w:highlight w:val="none"/>
              </w:rPr>
              <w:t>。请</w:t>
            </w:r>
            <w:r>
              <w:rPr>
                <w:rFonts w:hint="eastAsia" w:cs="仿宋" w:asciiTheme="minorEastAsia" w:hAnsiTheme="minorEastAsia" w:eastAsiaTheme="minorEastAsia"/>
                <w:color w:val="auto"/>
                <w:kern w:val="0"/>
                <w:sz w:val="24"/>
                <w:highlight w:val="none"/>
                <w:lang w:val="zh-CN"/>
              </w:rPr>
              <w:t>供应商</w:t>
            </w:r>
            <w:r>
              <w:rPr>
                <w:rFonts w:hint="eastAsia" w:cs="仿宋" w:asciiTheme="minorEastAsia" w:hAnsiTheme="minorEastAsia" w:eastAsiaTheme="minorEastAsia"/>
                <w:color w:val="auto"/>
                <w:sz w:val="24"/>
                <w:highlight w:val="none"/>
              </w:rPr>
              <w:t>在上述时间内提供样品并按规定位置摆放完毕。超过截止时间的，采购人或采购代理机构将不予接收，并将清场并封闭样品现场。</w:t>
            </w:r>
          </w:p>
          <w:p w14:paraId="7746C00C">
            <w:pPr>
              <w:shd w:val="clear"/>
              <w:spacing w:line="360" w:lineRule="auto"/>
              <w:rPr>
                <w:rFonts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14:paraId="379015BF">
            <w:pPr>
              <w:shd w:val="clear"/>
              <w:spacing w:line="360" w:lineRule="auto"/>
              <w:rPr>
                <w:rFonts w:cs="仿宋" w:asciiTheme="minorEastAsia" w:hAnsiTheme="minorEastAsia" w:eastAsiaTheme="minorEastAsia"/>
                <w:color w:val="auto"/>
                <w:kern w:val="0"/>
                <w:sz w:val="24"/>
                <w:highlight w:val="none"/>
              </w:rPr>
            </w:pPr>
            <w:r>
              <w:rPr>
                <w:rFonts w:hint="eastAsia" w:cs="仿宋" w:asciiTheme="minorEastAsia" w:hAnsiTheme="minorEastAsia" w:eastAsiaTheme="minorEastAsia"/>
                <w:color w:val="auto"/>
                <w:sz w:val="24"/>
                <w:highlight w:val="none"/>
              </w:rPr>
              <w:t>（7）制作、运输、安装和保管样品所发生的一切费用由</w:t>
            </w:r>
            <w:r>
              <w:rPr>
                <w:rFonts w:hint="eastAsia" w:cs="仿宋" w:asciiTheme="minorEastAsia" w:hAnsiTheme="minorEastAsia" w:eastAsiaTheme="minorEastAsia"/>
                <w:color w:val="auto"/>
                <w:kern w:val="0"/>
                <w:sz w:val="24"/>
                <w:highlight w:val="none"/>
                <w:lang w:val="zh-CN"/>
              </w:rPr>
              <w:t>供应商承担</w:t>
            </w:r>
            <w:r>
              <w:rPr>
                <w:rFonts w:hint="eastAsia" w:cs="仿宋" w:asciiTheme="minorEastAsia" w:hAnsiTheme="minorEastAsia" w:eastAsiaTheme="minorEastAsia"/>
                <w:color w:val="auto"/>
                <w:sz w:val="24"/>
                <w:highlight w:val="none"/>
              </w:rPr>
              <w:t>。</w:t>
            </w:r>
          </w:p>
        </w:tc>
      </w:tr>
      <w:tr w14:paraId="50EAFE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25"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2AD71739">
            <w:pPr>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7</w:t>
            </w:r>
          </w:p>
        </w:tc>
        <w:tc>
          <w:tcPr>
            <w:tcW w:w="1843" w:type="dxa"/>
            <w:tcBorders>
              <w:top w:val="single" w:color="000000" w:sz="8" w:space="0"/>
              <w:left w:val="single" w:color="000000" w:sz="2" w:space="0"/>
              <w:bottom w:val="single" w:color="000000" w:sz="8" w:space="0"/>
              <w:right w:val="single" w:color="000000" w:sz="8" w:space="0"/>
            </w:tcBorders>
            <w:vAlign w:val="center"/>
          </w:tcPr>
          <w:p w14:paraId="5A42814E">
            <w:pPr>
              <w:shd w:val="clear"/>
              <w:snapToGrid w:val="0"/>
              <w:spacing w:line="360" w:lineRule="auto"/>
              <w:jc w:val="center"/>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
                <w:color w:val="auto"/>
                <w:sz w:val="24"/>
                <w:highlight w:val="none"/>
              </w:rPr>
              <w:t>方案讲解演示</w:t>
            </w:r>
          </w:p>
        </w:tc>
        <w:tc>
          <w:tcPr>
            <w:tcW w:w="6662" w:type="dxa"/>
            <w:tcBorders>
              <w:top w:val="single" w:color="000000" w:sz="8" w:space="0"/>
              <w:left w:val="single" w:color="000000" w:sz="2" w:space="0"/>
              <w:bottom w:val="single" w:color="000000" w:sz="8" w:space="0"/>
              <w:right w:val="single" w:color="000000" w:sz="8" w:space="0"/>
            </w:tcBorders>
            <w:vAlign w:val="center"/>
          </w:tcPr>
          <w:p w14:paraId="335291C0">
            <w:pPr>
              <w:shd w:val="clear"/>
              <w:spacing w:line="360" w:lineRule="auto"/>
              <w:rPr>
                <w:rFonts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sym w:font="Wingdings" w:char="F0FE"/>
            </w:r>
            <w:r>
              <w:rPr>
                <w:rFonts w:hint="eastAsia" w:cs="仿宋" w:asciiTheme="minorEastAsia" w:hAnsiTheme="minorEastAsia" w:eastAsiaTheme="minorEastAsia"/>
                <w:color w:val="auto"/>
                <w:sz w:val="24"/>
                <w:highlight w:val="none"/>
              </w:rPr>
              <w:t>组织。</w:t>
            </w:r>
          </w:p>
          <w:p w14:paraId="7A27EDD2">
            <w:pPr>
              <w:shd w:val="clear"/>
              <w:spacing w:line="360" w:lineRule="auto"/>
              <w:rPr>
                <w:rFonts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具体要求详见评分标准。</w:t>
            </w:r>
          </w:p>
          <w:p w14:paraId="25BF2B10">
            <w:pPr>
              <w:shd w:val="clear"/>
              <w:spacing w:line="360" w:lineRule="auto"/>
              <w:ind w:firstLine="480" w:firstLineChars="200"/>
              <w:rPr>
                <w:rFonts w:cs="仿宋" w:asciiTheme="minorEastAsia" w:hAnsiTheme="minorEastAsia" w:eastAsiaTheme="minorEastAsia"/>
                <w:color w:val="auto"/>
                <w:kern w:val="0"/>
                <w:sz w:val="24"/>
                <w:highlight w:val="none"/>
              </w:rPr>
            </w:pPr>
            <w:r>
              <w:rPr>
                <w:rFonts w:hint="eastAsia" w:cs="仿宋" w:asciiTheme="minorEastAsia" w:hAnsiTheme="minorEastAsia" w:eastAsiaTheme="minorEastAsia"/>
                <w:color w:val="auto"/>
                <w:sz w:val="24"/>
                <w:highlight w:val="none"/>
              </w:rPr>
              <w:t>在评标时安排每个</w:t>
            </w:r>
            <w:r>
              <w:rPr>
                <w:rFonts w:hint="eastAsia" w:cs="仿宋" w:asciiTheme="minorEastAsia" w:hAnsiTheme="minorEastAsia" w:eastAsiaTheme="minorEastAsia"/>
                <w:color w:val="auto"/>
                <w:sz w:val="24"/>
                <w:highlight w:val="none"/>
                <w:lang w:val="zh-CN"/>
              </w:rPr>
              <w:t>供应商</w:t>
            </w:r>
            <w:r>
              <w:rPr>
                <w:rFonts w:hint="eastAsia" w:cs="仿宋" w:asciiTheme="minorEastAsia" w:hAnsiTheme="minorEastAsia" w:eastAsiaTheme="minorEastAsia"/>
                <w:color w:val="auto"/>
                <w:sz w:val="24"/>
                <w:highlight w:val="none"/>
              </w:rPr>
              <w:t>进行方案讲解演示。讲解前，每个</w:t>
            </w:r>
            <w:r>
              <w:rPr>
                <w:rFonts w:hint="eastAsia" w:cs="仿宋" w:asciiTheme="minorEastAsia" w:hAnsiTheme="minorEastAsia" w:eastAsiaTheme="minorEastAsia"/>
                <w:color w:val="auto"/>
                <w:sz w:val="24"/>
                <w:highlight w:val="none"/>
                <w:lang w:val="zh-CN"/>
              </w:rPr>
              <w:t>供应商</w:t>
            </w:r>
            <w:r>
              <w:rPr>
                <w:rFonts w:hint="eastAsia" w:cs="仿宋" w:asciiTheme="minorEastAsia" w:hAnsiTheme="minorEastAsia" w:eastAsiaTheme="minorEastAsia"/>
                <w:color w:val="auto"/>
                <w:sz w:val="24"/>
                <w:highlight w:val="none"/>
              </w:rPr>
              <w:t>均需在开标厅内等候，每个</w:t>
            </w:r>
            <w:r>
              <w:rPr>
                <w:rFonts w:hint="eastAsia" w:cs="仿宋" w:asciiTheme="minorEastAsia" w:hAnsiTheme="minorEastAsia" w:eastAsiaTheme="minorEastAsia"/>
                <w:color w:val="auto"/>
                <w:sz w:val="24"/>
                <w:highlight w:val="none"/>
                <w:lang w:val="zh-CN"/>
              </w:rPr>
              <w:t>供应商</w:t>
            </w:r>
            <w:r>
              <w:rPr>
                <w:rFonts w:hint="eastAsia" w:cs="仿宋" w:asciiTheme="minorEastAsia" w:hAnsiTheme="minorEastAsia" w:eastAsiaTheme="minorEastAsia"/>
                <w:color w:val="auto"/>
                <w:sz w:val="24"/>
                <w:highlight w:val="none"/>
              </w:rPr>
              <w:t>时间不超过</w:t>
            </w:r>
            <w:r>
              <w:rPr>
                <w:rFonts w:hint="eastAsia" w:cs="仿宋" w:asciiTheme="minorEastAsia" w:hAnsiTheme="minorEastAsia" w:eastAsiaTheme="minorEastAsia"/>
                <w:color w:val="auto"/>
                <w:sz w:val="24"/>
                <w:highlight w:val="none"/>
                <w:u w:val="single"/>
              </w:rPr>
              <w:t>10</w:t>
            </w:r>
            <w:r>
              <w:rPr>
                <w:rFonts w:hint="eastAsia" w:cs="仿宋" w:asciiTheme="minorEastAsia" w:hAnsiTheme="minorEastAsia" w:eastAsiaTheme="minorEastAsia"/>
                <w:color w:val="auto"/>
                <w:sz w:val="24"/>
                <w:highlight w:val="none"/>
              </w:rPr>
              <w:t>分钟，讲解次序以投标文件解密时间先后次序为准，讲解演示人员不超过</w:t>
            </w:r>
            <w:r>
              <w:rPr>
                <w:rFonts w:hint="eastAsia" w:cs="仿宋" w:asciiTheme="minorEastAsia" w:hAnsiTheme="minorEastAsia" w:eastAsiaTheme="minorEastAsia"/>
                <w:color w:val="auto"/>
                <w:sz w:val="24"/>
                <w:highlight w:val="none"/>
                <w:u w:val="single"/>
              </w:rPr>
              <w:t>1</w:t>
            </w:r>
            <w:r>
              <w:rPr>
                <w:rFonts w:hint="eastAsia" w:cs="仿宋" w:asciiTheme="minorEastAsia" w:hAnsiTheme="minorEastAsia" w:eastAsiaTheme="minorEastAsia"/>
                <w:color w:val="auto"/>
                <w:sz w:val="24"/>
                <w:highlight w:val="none"/>
              </w:rPr>
              <w:t>人。讲解演示结束后按要求解答评标委员会提问。</w:t>
            </w:r>
          </w:p>
        </w:tc>
      </w:tr>
      <w:tr w14:paraId="6C2795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8"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76818053">
            <w:pPr>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8</w:t>
            </w:r>
          </w:p>
        </w:tc>
        <w:tc>
          <w:tcPr>
            <w:tcW w:w="1843" w:type="dxa"/>
            <w:tcBorders>
              <w:top w:val="single" w:color="000000" w:sz="8" w:space="0"/>
              <w:left w:val="single" w:color="000000" w:sz="2" w:space="0"/>
              <w:bottom w:val="single" w:color="000000" w:sz="8" w:space="0"/>
              <w:right w:val="single" w:color="000000" w:sz="8" w:space="0"/>
            </w:tcBorders>
            <w:vAlign w:val="center"/>
          </w:tcPr>
          <w:p w14:paraId="643B9525">
            <w:pPr>
              <w:shd w:val="clear"/>
              <w:snapToGrid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是否允许采购进口产品</w:t>
            </w:r>
          </w:p>
        </w:tc>
        <w:tc>
          <w:tcPr>
            <w:tcW w:w="6662" w:type="dxa"/>
            <w:tcBorders>
              <w:top w:val="single" w:color="000000" w:sz="8" w:space="0"/>
              <w:left w:val="single" w:color="000000" w:sz="2" w:space="0"/>
              <w:bottom w:val="single" w:color="000000" w:sz="8" w:space="0"/>
              <w:right w:val="single" w:color="000000" w:sz="8" w:space="0"/>
            </w:tcBorders>
            <w:vAlign w:val="center"/>
          </w:tcPr>
          <w:p w14:paraId="6DD7D380">
            <w:pPr>
              <w:shd w:val="clear"/>
              <w:spacing w:line="360" w:lineRule="auto"/>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本项目不允许采购进口产品。</w:t>
            </w:r>
          </w:p>
        </w:tc>
      </w:tr>
      <w:tr w14:paraId="083ED6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967"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5CF6476F">
            <w:pPr>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747A8021">
            <w:pPr>
              <w:shd w:val="clear"/>
              <w:snapToGrid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项目属性与核心产品</w:t>
            </w:r>
          </w:p>
        </w:tc>
        <w:tc>
          <w:tcPr>
            <w:tcW w:w="6662" w:type="dxa"/>
            <w:tcBorders>
              <w:top w:val="single" w:color="000000" w:sz="8" w:space="0"/>
              <w:left w:val="single" w:color="000000" w:sz="2" w:space="0"/>
              <w:bottom w:val="single" w:color="000000" w:sz="8" w:space="0"/>
              <w:right w:val="single" w:color="000000" w:sz="8" w:space="0"/>
            </w:tcBorders>
            <w:vAlign w:val="center"/>
          </w:tcPr>
          <w:p w14:paraId="360AF5D8">
            <w:pPr>
              <w:shd w:val="clear"/>
              <w:spacing w:line="360" w:lineRule="auto"/>
              <w:rPr>
                <w:rFonts w:cs="仿宋" w:asciiTheme="majorEastAsia" w:hAnsiTheme="majorEastAsia" w:eastAsiaTheme="majorEastAsia"/>
                <w:color w:val="auto"/>
                <w:sz w:val="24"/>
                <w:highlight w:val="none"/>
              </w:rPr>
            </w:pPr>
            <w:r>
              <w:rPr>
                <w:rFonts w:cs="仿宋" w:asciiTheme="majorEastAsia" w:hAnsiTheme="majorEastAsia" w:eastAsiaTheme="majorEastAsia"/>
                <w:color w:val="auto"/>
                <w:kern w:val="0"/>
                <w:sz w:val="24"/>
                <w:highlight w:val="none"/>
              </w:rPr>
              <w:t></w:t>
            </w:r>
            <w:r>
              <w:rPr>
                <w:rFonts w:hint="eastAsia" w:cs="仿宋" w:asciiTheme="majorEastAsia" w:hAnsiTheme="majorEastAsia" w:eastAsiaTheme="majorEastAsia"/>
                <w:color w:val="auto"/>
                <w:sz w:val="24"/>
                <w:highlight w:val="none"/>
              </w:rPr>
              <w:t>货物类，单一产品或</w:t>
            </w:r>
            <w:r>
              <w:rPr>
                <w:rFonts w:hint="eastAsia" w:cs="仿宋" w:asciiTheme="majorEastAsia" w:hAnsiTheme="majorEastAsia" w:eastAsiaTheme="majorEastAsia"/>
                <w:color w:val="auto"/>
                <w:kern w:val="0"/>
                <w:sz w:val="24"/>
                <w:highlight w:val="none"/>
              </w:rPr>
              <w:t>核心产品为：</w:t>
            </w:r>
            <w:r>
              <w:rPr>
                <w:rFonts w:hint="eastAsia" w:cs="仿宋" w:asciiTheme="majorEastAsia" w:hAnsiTheme="majorEastAsia" w:eastAsiaTheme="majorEastAsia"/>
                <w:color w:val="auto"/>
                <w:kern w:val="0"/>
                <w:sz w:val="24"/>
                <w:highlight w:val="none"/>
                <w:u w:val="single"/>
              </w:rPr>
              <w:t>木屋功能架组合</w:t>
            </w:r>
            <w:r>
              <w:rPr>
                <w:rFonts w:hint="eastAsia" w:cs="仿宋" w:asciiTheme="majorEastAsia" w:hAnsiTheme="majorEastAsia" w:eastAsiaTheme="majorEastAsia"/>
                <w:color w:val="auto"/>
                <w:sz w:val="24"/>
                <w:highlight w:val="none"/>
              </w:rPr>
              <w:t>。</w:t>
            </w:r>
          </w:p>
          <w:p w14:paraId="47B80D1E">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kern w:val="0"/>
                <w:sz w:val="24"/>
                <w:highlight w:val="none"/>
              </w:rPr>
              <w:t>多家</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提供相同品牌产品（单一产品采购项目中的该产品或者非单一产品采购项目的核心产品）且通过资格审查、符合性审查的不同</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参加同一合同项下投标的，按一家</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计算，评审后得分最高的同品牌</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获得中标人推荐资格；评审得分相同的，报价评审得分最高的同品牌</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获得中标人推荐资格；评审得分和报价评审得分均相同的，由采购人或评标委员会采取随机抽取方式确定，其他同品牌</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不作为中标候选人。</w:t>
            </w:r>
          </w:p>
        </w:tc>
      </w:tr>
      <w:tr w14:paraId="579F29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23F16EEB">
            <w:pPr>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2860A00D">
            <w:pPr>
              <w:shd w:val="clear"/>
              <w:snapToGrid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采购标的对应的中小企业划分标准所属行业</w:t>
            </w:r>
          </w:p>
        </w:tc>
        <w:tc>
          <w:tcPr>
            <w:tcW w:w="6662" w:type="dxa"/>
            <w:tcBorders>
              <w:top w:val="single" w:color="000000" w:sz="8" w:space="0"/>
              <w:left w:val="single" w:color="000000" w:sz="2" w:space="0"/>
              <w:bottom w:val="single" w:color="000000" w:sz="8" w:space="0"/>
              <w:right w:val="single" w:color="000000" w:sz="8" w:space="0"/>
            </w:tcBorders>
            <w:vAlign w:val="center"/>
          </w:tcPr>
          <w:p w14:paraId="01236F50">
            <w:pPr>
              <w:shd w:val="clear"/>
              <w:snapToGrid w:val="0"/>
              <w:spacing w:line="360" w:lineRule="auto"/>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标的：</w:t>
            </w:r>
            <w:r>
              <w:rPr>
                <w:rFonts w:hint="eastAsia" w:cs="仿宋" w:asciiTheme="majorEastAsia" w:hAnsiTheme="majorEastAsia" w:eastAsiaTheme="majorEastAsia"/>
                <w:color w:val="auto"/>
                <w:kern w:val="0"/>
                <w:sz w:val="24"/>
                <w:highlight w:val="none"/>
                <w:u w:val="single"/>
              </w:rPr>
              <w:t>详见“采购清单”</w:t>
            </w:r>
            <w:r>
              <w:rPr>
                <w:rFonts w:hint="eastAsia" w:cs="仿宋" w:asciiTheme="majorEastAsia" w:hAnsiTheme="majorEastAsia" w:eastAsiaTheme="majorEastAsia"/>
                <w:color w:val="auto"/>
                <w:kern w:val="0"/>
                <w:sz w:val="24"/>
                <w:highlight w:val="none"/>
              </w:rPr>
              <w:t>，属于</w:t>
            </w:r>
            <w:r>
              <w:rPr>
                <w:rFonts w:hint="eastAsia" w:cs="仿宋" w:asciiTheme="majorEastAsia" w:hAnsiTheme="majorEastAsia" w:eastAsiaTheme="majorEastAsia"/>
                <w:color w:val="auto"/>
                <w:kern w:val="0"/>
                <w:sz w:val="24"/>
                <w:highlight w:val="none"/>
                <w:u w:val="single"/>
              </w:rPr>
              <w:t>工业</w:t>
            </w:r>
            <w:r>
              <w:rPr>
                <w:rFonts w:hint="eastAsia" w:cs="仿宋" w:asciiTheme="majorEastAsia" w:hAnsiTheme="majorEastAsia" w:eastAsiaTheme="majorEastAsia"/>
                <w:color w:val="auto"/>
                <w:kern w:val="0"/>
                <w:sz w:val="24"/>
                <w:highlight w:val="none"/>
              </w:rPr>
              <w:t>行业。</w:t>
            </w:r>
          </w:p>
        </w:tc>
      </w:tr>
      <w:tr w14:paraId="71166F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44" w:hRule="atLeast"/>
          <w:tblHeader/>
        </w:trPr>
        <w:tc>
          <w:tcPr>
            <w:tcW w:w="629" w:type="dxa"/>
            <w:tcBorders>
              <w:top w:val="single" w:color="auto" w:sz="4" w:space="0"/>
              <w:left w:val="single" w:color="000000" w:sz="8" w:space="0"/>
              <w:right w:val="single" w:color="000000" w:sz="2" w:space="0"/>
            </w:tcBorders>
            <w:vAlign w:val="center"/>
          </w:tcPr>
          <w:p w14:paraId="509FE65D">
            <w:pPr>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11</w:t>
            </w:r>
          </w:p>
        </w:tc>
        <w:tc>
          <w:tcPr>
            <w:tcW w:w="1843" w:type="dxa"/>
            <w:tcBorders>
              <w:top w:val="single" w:color="000000" w:sz="8" w:space="0"/>
              <w:left w:val="single" w:color="000000" w:sz="2" w:space="0"/>
              <w:right w:val="single" w:color="000000" w:sz="8" w:space="0"/>
            </w:tcBorders>
            <w:vAlign w:val="center"/>
          </w:tcPr>
          <w:p w14:paraId="268924ED">
            <w:pPr>
              <w:shd w:val="clear"/>
              <w:snapToGrid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中标服务费</w:t>
            </w:r>
          </w:p>
        </w:tc>
        <w:tc>
          <w:tcPr>
            <w:tcW w:w="6662" w:type="dxa"/>
            <w:tcBorders>
              <w:top w:val="single" w:color="000000" w:sz="8" w:space="0"/>
              <w:left w:val="single" w:color="000000" w:sz="2" w:space="0"/>
              <w:bottom w:val="single" w:color="000000" w:sz="8" w:space="0"/>
              <w:right w:val="single" w:color="000000" w:sz="8" w:space="0"/>
            </w:tcBorders>
            <w:vAlign w:val="center"/>
          </w:tcPr>
          <w:p w14:paraId="734967F6">
            <w:pPr>
              <w:shd w:val="clear"/>
              <w:spacing w:line="360" w:lineRule="auto"/>
              <w:rPr>
                <w:rFonts w:cs="仿宋" w:asciiTheme="majorEastAsia" w:hAnsiTheme="majorEastAsia" w:eastAsiaTheme="majorEastAsia"/>
                <w:snapToGrid w:val="0"/>
                <w:color w:val="auto"/>
                <w:kern w:val="28"/>
                <w:sz w:val="24"/>
                <w:highlight w:val="none"/>
              </w:rPr>
            </w:pPr>
            <w:r>
              <w:rPr>
                <w:rFonts w:hint="eastAsia" w:ascii="宋体" w:hAnsi="宋体" w:cs="宋体"/>
                <w:color w:val="auto"/>
                <w:sz w:val="24"/>
                <w:highlight w:val="none"/>
              </w:rPr>
              <w:t>本项目中标服务费</w:t>
            </w:r>
            <w:r>
              <w:rPr>
                <w:rFonts w:hint="eastAsia" w:ascii="宋体" w:hAnsi="宋体" w:cs="宋体"/>
                <w:color w:val="auto"/>
                <w:sz w:val="24"/>
                <w:highlight w:val="none"/>
                <w:u w:val="single"/>
              </w:rPr>
              <w:t xml:space="preserve"> 17800 </w:t>
            </w:r>
            <w:r>
              <w:rPr>
                <w:rFonts w:hint="eastAsia" w:ascii="宋体" w:hAnsi="宋体" w:cs="宋体"/>
                <w:color w:val="auto"/>
                <w:sz w:val="24"/>
                <w:highlight w:val="none"/>
              </w:rPr>
              <w:t>元中标人应在本公司发出中标通知书5个工作日内向本招标公司支付中标服务费。中标服务费只收现金、银行票汇款、电汇款。</w:t>
            </w:r>
          </w:p>
        </w:tc>
      </w:tr>
      <w:bookmarkEnd w:id="9"/>
    </w:tbl>
    <w:p w14:paraId="7F22BACE">
      <w:pPr>
        <w:shd w:val="clear"/>
        <w:spacing w:line="360" w:lineRule="auto"/>
        <w:ind w:firstLine="3845" w:firstLineChars="1197"/>
        <w:outlineLvl w:val="0"/>
        <w:rPr>
          <w:rFonts w:cs="仿宋" w:asciiTheme="majorEastAsia" w:hAnsiTheme="majorEastAsia" w:eastAsiaTheme="majorEastAsia"/>
          <w:b/>
          <w:color w:val="auto"/>
          <w:sz w:val="32"/>
          <w:szCs w:val="20"/>
          <w:highlight w:val="none"/>
        </w:rPr>
      </w:pPr>
      <w:bookmarkStart w:id="10" w:name="_Toc164416483"/>
      <w:bookmarkStart w:id="11" w:name="第三部分"/>
      <w:r>
        <w:rPr>
          <w:rFonts w:cs="仿宋" w:asciiTheme="majorEastAsia" w:hAnsiTheme="majorEastAsia" w:eastAsiaTheme="majorEastAsia"/>
          <w:b/>
          <w:color w:val="auto"/>
          <w:sz w:val="32"/>
          <w:szCs w:val="20"/>
          <w:highlight w:val="none"/>
        </w:rPr>
        <w:br w:type="page"/>
      </w:r>
      <w:r>
        <w:rPr>
          <w:rFonts w:hint="eastAsia" w:cs="仿宋" w:asciiTheme="majorEastAsia" w:hAnsiTheme="majorEastAsia" w:eastAsiaTheme="majorEastAsia"/>
          <w:b/>
          <w:color w:val="auto"/>
          <w:sz w:val="32"/>
          <w:szCs w:val="20"/>
          <w:highlight w:val="none"/>
        </w:rPr>
        <w:t>一、总则</w:t>
      </w:r>
    </w:p>
    <w:p w14:paraId="0051082E">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适用范围</w:t>
      </w:r>
    </w:p>
    <w:p w14:paraId="77102B40">
      <w:pPr>
        <w:shd w:val="clear"/>
        <w:snapToGrid w:val="0"/>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本招标文件适用于该项目的招标、投标、开标、资格审查及信用信息查询、评标、定标、合同、验收等行为（法律、法规另有规定的，从其规定）。</w:t>
      </w:r>
    </w:p>
    <w:p w14:paraId="68BB4EC6">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定义</w:t>
      </w:r>
    </w:p>
    <w:p w14:paraId="1714E581">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 “采购人”系指招标公告中载明的本项目的采购人。</w:t>
      </w:r>
    </w:p>
    <w:p w14:paraId="2C097D17">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 “采购代理机构”系指招标公告中载明的本项目的采购代理机构。</w:t>
      </w:r>
    </w:p>
    <w:p w14:paraId="53F02495">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2.3 “</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”系指是指响应招标、参加投标竞争的法人、其他组织或者自然人。</w:t>
      </w:r>
    </w:p>
    <w:p w14:paraId="7F1EC799">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2.4 “负责人”系指法人企业的法定负责人，或其他组织为法律、行政法规规定代表单位行使职权的主要负责人，或自然人本人。</w:t>
      </w:r>
    </w:p>
    <w:p w14:paraId="6EFB28A3">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2.5“电子签名”系指数据电文中以电子形式所含、所附用于识别签名人身份并表明签名人认可其中内容的数据；“公章”系指单位法定名称章。</w:t>
      </w:r>
    </w:p>
    <w:p w14:paraId="2D88C707">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2.6“电子交易平台”是指本项目采购活动所依托的采购云平台（https://www.lecaiyun.com/）。</w:t>
      </w:r>
    </w:p>
    <w:p w14:paraId="13BB049C">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2.7 “▲” 系指实质性要求条款，“</w:t>
      </w:r>
      <w:r>
        <w:rPr>
          <w:rFonts w:ascii="Wingdings" w:hAnsi="Wingdings" w:eastAsia="仿宋" w:cs="仿宋"/>
          <w:color w:val="auto"/>
          <w:kern w:val="0"/>
          <w:sz w:val="24"/>
          <w:highlight w:val="none"/>
        </w:rPr>
        <w:t></w:t>
      </w:r>
      <w:r>
        <w:rPr>
          <w:rFonts w:hint="eastAsia" w:cs="仿宋" w:asciiTheme="majorEastAsia" w:hAnsiTheme="majorEastAsia" w:eastAsiaTheme="majorEastAsia"/>
          <w:color w:val="auto"/>
          <w:sz w:val="24"/>
          <w:highlight w:val="none"/>
        </w:rPr>
        <w:t>” 系指适用本项目的要求，“</w:t>
      </w:r>
      <w:r>
        <w:rPr>
          <w:rFonts w:hint="eastAsia" w:ascii="MS Gothic" w:hAnsi="MS Gothic" w:eastAsia="MS Gothic" w:cs="MS Gothic"/>
          <w:color w:val="auto"/>
          <w:kern w:val="0"/>
          <w:sz w:val="24"/>
          <w:highlight w:val="none"/>
        </w:rPr>
        <w:t>☐</w:t>
      </w:r>
      <w:r>
        <w:rPr>
          <w:rFonts w:hint="eastAsia" w:cs="仿宋" w:asciiTheme="majorEastAsia" w:hAnsiTheme="majorEastAsia" w:eastAsiaTheme="majorEastAsia"/>
          <w:color w:val="auto"/>
          <w:sz w:val="24"/>
          <w:highlight w:val="none"/>
        </w:rPr>
        <w:t>” 系指不适用本项目的要求。</w:t>
      </w:r>
    </w:p>
    <w:p w14:paraId="61F9D470">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采购项目需要落实的政府采购政策</w:t>
      </w:r>
    </w:p>
    <w:p w14:paraId="7F07B9C1">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3.1 本项目原则上采购本国生产的货物、工程和服务，不允许采购进口产品。除非采购人采购进口产品，已经在采购活动开始前向监管部门提出申请并获得监管部门审核同意，且在采购需求中明确规定可以采购进口产品（但如果因信息不对称等原因，仍有满足需求的国内产品要求参与采购竞争的，采购人、采购代理机构不会对其加以限制，仍将按照公平竞争原则实施采购）。</w:t>
      </w:r>
    </w:p>
    <w:p w14:paraId="5EA9BB35">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3.2支持绿色发展</w:t>
      </w:r>
    </w:p>
    <w:p w14:paraId="716B30C4">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3.3支持中小企业发展</w:t>
      </w:r>
    </w:p>
    <w:p w14:paraId="38EDD8C0">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765AEDC9">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符合中小企业划分标准的个体工商户，在政府采购活动中视同中小企业。</w:t>
      </w:r>
    </w:p>
    <w:p w14:paraId="7E5E9B1C">
      <w:pPr>
        <w:widowControl/>
        <w:shd w:val="clear"/>
        <w:spacing w:line="360" w:lineRule="auto"/>
        <w:ind w:firstLine="480" w:firstLineChars="20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bCs/>
          <w:color w:val="auto"/>
          <w:sz w:val="24"/>
          <w:highlight w:val="none"/>
        </w:rPr>
        <w:t>3.3.2</w:t>
      </w:r>
      <w:r>
        <w:rPr>
          <w:rFonts w:hint="eastAsia" w:cs="仿宋" w:asciiTheme="majorEastAsia" w:hAnsiTheme="majorEastAsia" w:eastAsiaTheme="majorEastAsia"/>
          <w:color w:val="auto"/>
          <w:kern w:val="0"/>
          <w:sz w:val="24"/>
          <w:highlight w:val="none"/>
        </w:rPr>
        <w:t>在政府采购活动中，</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提供的货物、工程或者服务符合下列情形的，享受中小企业扶持政策：</w:t>
      </w:r>
    </w:p>
    <w:p w14:paraId="1301BB93">
      <w:pPr>
        <w:widowControl/>
        <w:shd w:val="clear"/>
        <w:spacing w:line="360" w:lineRule="auto"/>
        <w:ind w:firstLine="480" w:firstLineChars="20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3.3.2.1在货物采购项目中，货物由中小企业制造，即货物由中小企业生产且使用该中小企业商号或者注册商标；</w:t>
      </w:r>
    </w:p>
    <w:p w14:paraId="390672E9">
      <w:pPr>
        <w:widowControl/>
        <w:shd w:val="clear"/>
        <w:spacing w:line="360" w:lineRule="auto"/>
        <w:ind w:firstLine="480" w:firstLineChars="20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3.3.2.2在工程采购项目中，工程由中小企业承建，即工程施工单位为中小企业；</w:t>
      </w:r>
    </w:p>
    <w:p w14:paraId="452531FE">
      <w:pPr>
        <w:widowControl/>
        <w:shd w:val="clear"/>
        <w:spacing w:line="360" w:lineRule="auto"/>
        <w:ind w:firstLine="480" w:firstLineChars="20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3.3.2.3在服务采购项目中，服务由中小企业承接，即提供服务的人员为中小企业依照《中华人民共和国劳动合同法》订立劳动合同的从业人员。</w:t>
      </w:r>
    </w:p>
    <w:p w14:paraId="3630E2A1">
      <w:pPr>
        <w:widowControl/>
        <w:shd w:val="clear"/>
        <w:spacing w:line="360" w:lineRule="auto"/>
        <w:ind w:firstLine="480" w:firstLineChars="20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在货物采购项目中，</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提供的货物既有中小企业制造货物，也有大型企业制造货物的，不享受中小企业扶持政策。</w:t>
      </w:r>
    </w:p>
    <w:p w14:paraId="290AA832">
      <w:pPr>
        <w:widowControl/>
        <w:shd w:val="clear"/>
        <w:spacing w:line="360" w:lineRule="auto"/>
        <w:ind w:firstLine="480" w:firstLineChars="20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以联合体形式参加政府采购活动，联合体各方均为中小企业的，联合体视同中小企业。其中，联合体各方均为小微企业的，联合体视同小微企业。</w:t>
      </w:r>
    </w:p>
    <w:p w14:paraId="7F6A3874">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3.3.3对于未预留份额专门面向中小企业的政府采购货物或服务项目，以及预留份额政府采购货物或服务项目中的非预留部分标项，对小型和微型企业的投标报价给予10%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474BBB73">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3.3.4符合《关于促进残疾人就业政府采购政策的通知》（财库〔2017〕141号）规定的条件并提供《残疾人福利性单位声明函》的残疾人福利性单位视同小型、微型企业；</w:t>
      </w:r>
    </w:p>
    <w:p w14:paraId="312B34AD">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1F65780C">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3.3.6可享受中小企业扶持政策的</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应按照招标文件格式要求提供《中小企业声明函》，</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提供的《中小企业声明函》与实际情况不符的，不享受中小企业扶持政策。声明内容不实的，属于提供虚假材料谋取中标、成交的，依法承担法律责任。</w:t>
      </w:r>
    </w:p>
    <w:p w14:paraId="636154AB">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3.3.7中小企业享受扶持政策获得政府采购合同的，小微企业不得将合同分包给大中型企业，中型企业不得将合同分包给大型企业。</w:t>
      </w:r>
    </w:p>
    <w:p w14:paraId="20DC7549">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特别说明</w:t>
      </w:r>
    </w:p>
    <w:p w14:paraId="5FB3A232">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4.1关于分公司投标</w:t>
      </w:r>
    </w:p>
    <w:p w14:paraId="58A5B3F6">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除银行、保险、石油石化、电力、电信等特殊行业外。法人的分支机构由于不能独立承担民事责任，不能以分支机构的身份参加政府采购，只能以法人身份参加。 </w:t>
      </w:r>
    </w:p>
    <w:p w14:paraId="7D619DB5">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4.2关于知识产权</w:t>
      </w:r>
    </w:p>
    <w:p w14:paraId="54868A29">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4.2.1 </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必须保证，采购人在中华人民共和国境内使用投标货物、资料、技术、服务或其任何一部分时，享有不受限制的无偿使用权，如有第三方向采购人提出侵犯其专利权、商标权或其它知识产权的主张，该责任应由</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承担。</w:t>
      </w:r>
    </w:p>
    <w:p w14:paraId="3A14BCA5">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4.2.2 投标报价应包含所有应向所有权人支付的专利权、商标权或其它知识产权的一切相关费用。</w:t>
      </w:r>
    </w:p>
    <w:p w14:paraId="0A832729">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4.2.3 系统软件、通用软件必须是具有在中国境内的合法使用权或版权的正版软件，涉及到第三方提出侵权或知识产权的起诉及支付版税等费用由</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承担所有责任及费用。</w:t>
      </w:r>
    </w:p>
    <w:p w14:paraId="55EC549B">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4.3</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的风险</w:t>
      </w:r>
    </w:p>
    <w:p w14:paraId="3CF66E3C">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4.3.1 </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应详细阅读招标文件中的全部内容和要求，按照招标文件的要求提交投标文件，没有按照招标文件要求提供投标文件和资料导致的风险由</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承担,并对所提供的全部资料的真实性承担法律责任。</w:t>
      </w:r>
    </w:p>
    <w:p w14:paraId="0A8B5E93">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4.3.2 无论因何种原因导致本次采购活动终止致</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损失的，相关责任人均不承担任何责任。</w:t>
      </w:r>
    </w:p>
    <w:p w14:paraId="79A0562B">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询问、质疑、投诉</w:t>
      </w:r>
    </w:p>
    <w:p w14:paraId="46519A5D">
      <w:pPr>
        <w:shd w:val="clear"/>
        <w:spacing w:line="360" w:lineRule="auto"/>
        <w:ind w:firstLine="480" w:firstLineChars="200"/>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5</w:t>
      </w:r>
      <w:r>
        <w:rPr>
          <w:rFonts w:hint="eastAsia" w:cs="仿宋" w:asciiTheme="majorEastAsia" w:hAnsiTheme="majorEastAsia" w:eastAsiaTheme="majorEastAsia"/>
          <w:color w:val="auto"/>
          <w:sz w:val="24"/>
          <w:highlight w:val="none"/>
          <w:lang w:val="zh-CN"/>
        </w:rPr>
        <w:t>.1供应商询问</w:t>
      </w:r>
    </w:p>
    <w:p w14:paraId="795D3B31">
      <w:pPr>
        <w:shd w:val="clear"/>
        <w:spacing w:line="360" w:lineRule="auto"/>
        <w:ind w:firstLine="480" w:firstLineChars="200"/>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4777D860">
      <w:pPr>
        <w:shd w:val="clear"/>
        <w:spacing w:line="360" w:lineRule="auto"/>
        <w:ind w:firstLine="480" w:firstLineChars="200"/>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5</w:t>
      </w:r>
      <w:r>
        <w:rPr>
          <w:rFonts w:hint="eastAsia" w:cs="仿宋" w:asciiTheme="majorEastAsia" w:hAnsiTheme="majorEastAsia" w:eastAsiaTheme="majorEastAsia"/>
          <w:color w:val="auto"/>
          <w:sz w:val="24"/>
          <w:highlight w:val="none"/>
          <w:lang w:val="zh-CN"/>
        </w:rPr>
        <w:t>.2供应商质疑</w:t>
      </w:r>
    </w:p>
    <w:p w14:paraId="75EB3738">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w:t>
      </w:r>
      <w:r>
        <w:rPr>
          <w:rFonts w:hint="eastAsia" w:cs="仿宋" w:asciiTheme="majorEastAsia" w:hAnsiTheme="majorEastAsia" w:eastAsiaTheme="majorEastAsia"/>
          <w:color w:val="auto"/>
          <w:sz w:val="24"/>
          <w:highlight w:val="none"/>
          <w:lang w:val="zh-CN"/>
        </w:rPr>
        <w:t>.2</w:t>
      </w:r>
      <w:r>
        <w:rPr>
          <w:rFonts w:hint="eastAsia" w:cs="仿宋" w:asciiTheme="majorEastAsia" w:hAnsiTheme="majorEastAsia" w:eastAsiaTheme="majorEastAsia"/>
          <w:color w:val="auto"/>
          <w:sz w:val="24"/>
          <w:highlight w:val="none"/>
        </w:rPr>
        <w:t>.1提出质疑的供应商应当是参与所质疑项目采购活动的供应商。潜在供应商已依法获取其可质疑的招标文件的，可以对该文件提出质疑。</w:t>
      </w:r>
    </w:p>
    <w:p w14:paraId="50C68DCD">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w:t>
      </w:r>
      <w:r>
        <w:rPr>
          <w:rFonts w:hint="eastAsia" w:cs="仿宋" w:asciiTheme="majorEastAsia" w:hAnsiTheme="majorEastAsia" w:eastAsiaTheme="majorEastAsia"/>
          <w:color w:val="auto"/>
          <w:sz w:val="24"/>
          <w:highlight w:val="none"/>
          <w:lang w:val="zh-CN"/>
        </w:rPr>
        <w:t>.2</w:t>
      </w:r>
      <w:r>
        <w:rPr>
          <w:rFonts w:hint="eastAsia" w:cs="仿宋" w:asciiTheme="majorEastAsia" w:hAnsiTheme="majorEastAsia" w:eastAsiaTheme="majorEastAsia"/>
          <w:color w:val="auto"/>
          <w:sz w:val="24"/>
          <w:highlight w:val="none"/>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4B169210">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5.2.2.1对招标文件提出质疑的，质疑期限为供应商获得招标文件之日或者招标文件公告期限届满之日起计算。</w:t>
      </w:r>
    </w:p>
    <w:p w14:paraId="0CBE7AD3">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5.2.2.2对采购过程提出质疑的，质疑期限为各采购程序环节结束之日起计算。</w:t>
      </w:r>
    </w:p>
    <w:p w14:paraId="3393B9C4">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5.2.2.3对采购结果提出质疑的，质疑期限自采购结果公告期限届满之日起计算。</w:t>
      </w:r>
    </w:p>
    <w:p w14:paraId="50830E2B">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5.2.2.4对同一采购程序环节的质疑，供应商须一次性提出。</w:t>
      </w:r>
    </w:p>
    <w:p w14:paraId="0F7A64DD">
      <w:pPr>
        <w:shd w:val="clear"/>
        <w:spacing w:line="360" w:lineRule="auto"/>
        <w:ind w:firstLine="480" w:firstLineChars="200"/>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5</w:t>
      </w:r>
      <w:r>
        <w:rPr>
          <w:rFonts w:hint="eastAsia" w:cs="仿宋" w:asciiTheme="majorEastAsia" w:hAnsiTheme="majorEastAsia" w:eastAsiaTheme="majorEastAsia"/>
          <w:color w:val="auto"/>
          <w:sz w:val="24"/>
          <w:highlight w:val="none"/>
          <w:lang w:val="zh-CN"/>
        </w:rPr>
        <w:t>.2.3</w:t>
      </w:r>
      <w:r>
        <w:rPr>
          <w:rFonts w:hint="eastAsia" w:cs="仿宋" w:asciiTheme="majorEastAsia" w:hAnsiTheme="majorEastAsia" w:eastAsiaTheme="majorEastAsia"/>
          <w:color w:val="auto"/>
          <w:sz w:val="24"/>
          <w:highlight w:val="none"/>
        </w:rPr>
        <w:t>供应商提出质疑应当提交质疑函和必要的证明材料。质疑函应当包括下列内容：</w:t>
      </w:r>
    </w:p>
    <w:p w14:paraId="29FD056E">
      <w:pPr>
        <w:shd w:val="clear"/>
        <w:spacing w:line="360" w:lineRule="auto"/>
        <w:ind w:firstLine="480" w:firstLineChars="200"/>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5</w:t>
      </w:r>
      <w:r>
        <w:rPr>
          <w:rFonts w:hint="eastAsia" w:cs="仿宋" w:asciiTheme="majorEastAsia" w:hAnsiTheme="majorEastAsia" w:eastAsiaTheme="majorEastAsia"/>
          <w:color w:val="auto"/>
          <w:sz w:val="24"/>
          <w:highlight w:val="none"/>
          <w:lang w:val="zh-CN"/>
        </w:rPr>
        <w:t>.2.3.1供应商的姓名或者名称、地址、邮编、联系人及联系电话；</w:t>
      </w:r>
    </w:p>
    <w:p w14:paraId="144BDB0A">
      <w:pPr>
        <w:shd w:val="clear"/>
        <w:spacing w:line="360" w:lineRule="auto"/>
        <w:ind w:firstLine="480" w:firstLineChars="200"/>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5</w:t>
      </w:r>
      <w:r>
        <w:rPr>
          <w:rFonts w:hint="eastAsia" w:cs="仿宋" w:asciiTheme="majorEastAsia" w:hAnsiTheme="majorEastAsia" w:eastAsiaTheme="majorEastAsia"/>
          <w:color w:val="auto"/>
          <w:sz w:val="24"/>
          <w:highlight w:val="none"/>
          <w:lang w:val="zh-CN"/>
        </w:rPr>
        <w:t>.2.3.2质疑项目的名称、编号；</w:t>
      </w:r>
    </w:p>
    <w:p w14:paraId="52D2954C">
      <w:pPr>
        <w:shd w:val="clear"/>
        <w:spacing w:line="360" w:lineRule="auto"/>
        <w:ind w:firstLine="480" w:firstLineChars="200"/>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5</w:t>
      </w:r>
      <w:r>
        <w:rPr>
          <w:rFonts w:hint="eastAsia" w:cs="仿宋" w:asciiTheme="majorEastAsia" w:hAnsiTheme="majorEastAsia" w:eastAsiaTheme="majorEastAsia"/>
          <w:color w:val="auto"/>
          <w:sz w:val="24"/>
          <w:highlight w:val="none"/>
          <w:lang w:val="zh-CN"/>
        </w:rPr>
        <w:t>.2.3.3具体、明确的质疑事项和与质疑事项相关的请求；</w:t>
      </w:r>
    </w:p>
    <w:p w14:paraId="70450D39">
      <w:pPr>
        <w:shd w:val="clear"/>
        <w:spacing w:line="360" w:lineRule="auto"/>
        <w:ind w:firstLine="480" w:firstLineChars="200"/>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5</w:t>
      </w:r>
      <w:r>
        <w:rPr>
          <w:rFonts w:hint="eastAsia" w:cs="仿宋" w:asciiTheme="majorEastAsia" w:hAnsiTheme="majorEastAsia" w:eastAsiaTheme="majorEastAsia"/>
          <w:color w:val="auto"/>
          <w:sz w:val="24"/>
          <w:highlight w:val="none"/>
          <w:lang w:val="zh-CN"/>
        </w:rPr>
        <w:t>.2.3.4事实依据；</w:t>
      </w:r>
    </w:p>
    <w:p w14:paraId="745FC969">
      <w:pPr>
        <w:shd w:val="clear"/>
        <w:spacing w:line="360" w:lineRule="auto"/>
        <w:ind w:firstLine="480" w:firstLineChars="200"/>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5</w:t>
      </w:r>
      <w:r>
        <w:rPr>
          <w:rFonts w:hint="eastAsia" w:cs="仿宋" w:asciiTheme="majorEastAsia" w:hAnsiTheme="majorEastAsia" w:eastAsiaTheme="majorEastAsia"/>
          <w:color w:val="auto"/>
          <w:sz w:val="24"/>
          <w:highlight w:val="none"/>
          <w:lang w:val="zh-CN"/>
        </w:rPr>
        <w:t>.2.3.5必要的法律依据；</w:t>
      </w:r>
    </w:p>
    <w:p w14:paraId="05B74325">
      <w:pPr>
        <w:shd w:val="clear"/>
        <w:spacing w:line="360" w:lineRule="auto"/>
        <w:ind w:firstLine="480" w:firstLineChars="200"/>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5</w:t>
      </w:r>
      <w:r>
        <w:rPr>
          <w:rFonts w:hint="eastAsia" w:cs="仿宋" w:asciiTheme="majorEastAsia" w:hAnsiTheme="majorEastAsia" w:eastAsiaTheme="majorEastAsia"/>
          <w:color w:val="auto"/>
          <w:sz w:val="24"/>
          <w:highlight w:val="none"/>
          <w:lang w:val="zh-CN"/>
        </w:rPr>
        <w:t>.2.3.6提出质疑的日期。</w:t>
      </w:r>
    </w:p>
    <w:p w14:paraId="5E4977CB">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5.2.3.7对招标文件提出质疑的需要提供在乐采云平台获取招标文件的截图。</w:t>
      </w:r>
    </w:p>
    <w:p w14:paraId="071EA6DE">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供应商提交的质疑函需一式三份。供应商为自然人的，应当由本人签字；供应商为法人或者其他组织的，应当由法定代表人、主要负责人，或者其授权代表签字或者盖章，并加盖公章。</w:t>
      </w:r>
    </w:p>
    <w:p w14:paraId="07657AD2">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质疑函范本请到浙江企业采购信息服务网下载专区下载。</w:t>
      </w:r>
    </w:p>
    <w:p w14:paraId="5D41AA02">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w:t>
      </w:r>
      <w:r>
        <w:rPr>
          <w:rFonts w:hint="eastAsia" w:cs="仿宋" w:asciiTheme="majorEastAsia" w:hAnsiTheme="majorEastAsia" w:eastAsiaTheme="majorEastAsia"/>
          <w:color w:val="auto"/>
          <w:sz w:val="24"/>
          <w:highlight w:val="none"/>
          <w:lang w:val="zh-CN"/>
        </w:rPr>
        <w:t>.2</w:t>
      </w:r>
      <w:r>
        <w:rPr>
          <w:rFonts w:hint="eastAsia" w:cs="仿宋" w:asciiTheme="majorEastAsia" w:hAnsiTheme="majorEastAsia" w:eastAsiaTheme="majorEastAsia"/>
          <w:color w:val="auto"/>
          <w:sz w:val="24"/>
          <w:highlight w:val="none"/>
        </w:rPr>
        <w:t>.4采购人或者采购代理机构应当在收到供应商的书面质疑后七个工作日内作出答复，并以书面形式通知质疑供应商和其他与质疑处理结果有利害关系的政府采购当事人，但答复的内容不得涉及商业秘密。</w:t>
      </w:r>
    </w:p>
    <w:p w14:paraId="43CAFD53">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w:t>
      </w:r>
      <w:r>
        <w:rPr>
          <w:rFonts w:hint="eastAsia" w:cs="仿宋" w:asciiTheme="majorEastAsia" w:hAnsiTheme="majorEastAsia" w:eastAsiaTheme="majorEastAsia"/>
          <w:color w:val="auto"/>
          <w:sz w:val="24"/>
          <w:highlight w:val="none"/>
          <w:lang w:val="zh-CN"/>
        </w:rPr>
        <w:t>.2</w:t>
      </w:r>
      <w:r>
        <w:rPr>
          <w:rFonts w:hint="eastAsia" w:cs="仿宋" w:asciiTheme="majorEastAsia" w:hAnsiTheme="majorEastAsia" w:eastAsiaTheme="majorEastAsia"/>
          <w:color w:val="auto"/>
          <w:sz w:val="24"/>
          <w:highlight w:val="none"/>
        </w:rPr>
        <w:t>.5询问或者质疑事项可能影响采购结果的，采购人应当暂停签订合同，已经签订合同的，应当中止履行合同。</w:t>
      </w:r>
    </w:p>
    <w:p w14:paraId="3806B34E">
      <w:pPr>
        <w:shd w:val="clear"/>
        <w:spacing w:line="360" w:lineRule="auto"/>
        <w:ind w:firstLine="480" w:firstLineChars="200"/>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5</w:t>
      </w:r>
      <w:r>
        <w:rPr>
          <w:rFonts w:hint="eastAsia" w:cs="仿宋" w:asciiTheme="majorEastAsia" w:hAnsiTheme="majorEastAsia" w:eastAsiaTheme="majorEastAsia"/>
          <w:color w:val="auto"/>
          <w:sz w:val="24"/>
          <w:highlight w:val="none"/>
          <w:lang w:val="zh-CN"/>
        </w:rPr>
        <w:t>.3供应商投诉</w:t>
      </w:r>
    </w:p>
    <w:p w14:paraId="71D15503">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5.3.1质疑供应商对采购人、采购代理机构的答复不满意或者采购人、采购代理机构未在规定的时间内作出答复的，可以在答复期满后十五个工作日内向监督管理部门提出投诉。监督管理部门应当在收到投诉后三十个工作日内，对投诉事项作出处理决定，并以书面形式通知投诉人和与投诉事项有关的当事人。</w:t>
      </w:r>
    </w:p>
    <w:p w14:paraId="45FE0FA2">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5.3.</w:t>
      </w:r>
      <w:r>
        <w:rPr>
          <w:rFonts w:hint="eastAsia" w:cs="仿宋" w:asciiTheme="majorEastAsia" w:hAnsiTheme="majorEastAsia" w:eastAsiaTheme="majorEastAsia"/>
          <w:color w:val="auto"/>
          <w:sz w:val="24"/>
          <w:highlight w:val="none"/>
          <w:lang w:val="zh-CN"/>
        </w:rPr>
        <w:t>2</w:t>
      </w:r>
      <w:r>
        <w:rPr>
          <w:rFonts w:hint="eastAsia" w:cs="仿宋" w:asciiTheme="majorEastAsia" w:hAnsiTheme="majorEastAsia" w:eastAsiaTheme="majorEastAsia"/>
          <w:color w:val="auto"/>
          <w:sz w:val="24"/>
          <w:highlight w:val="none"/>
        </w:rPr>
        <w:t>供应商投诉的事项不得超出已质疑事项的范围，基于质疑答复内容提出的投诉事项除外。</w:t>
      </w:r>
    </w:p>
    <w:p w14:paraId="3D98095F">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5.3.3供应商投诉应当有明确的请求和必要的证明材料。</w:t>
      </w:r>
    </w:p>
    <w:p w14:paraId="418D6B19">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5.3.4 以联合体形式参加政府采购活动的，其投诉应当由组成联合体的所有供应商共同提出。</w:t>
      </w:r>
    </w:p>
    <w:p w14:paraId="0365B7E2">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5.3.5投诉人对监督管理部门的投诉处理决定不服或监督管理部门逾期未作处理的，可以向区国资管理中心反映。供应商或相关利害关系人在采购过程中发现涉及违法违纪行为或造成国有资产损失的，可以向纪检监察部门和区国资管理中心反映。举报违法行为，应提供有效线索和证明材料。</w:t>
      </w:r>
    </w:p>
    <w:p w14:paraId="3E94BEC9">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投诉书范本请到浙江企业采购信息服务网下载专区下载。</w:t>
      </w:r>
    </w:p>
    <w:p w14:paraId="31EB0818">
      <w:pPr>
        <w:pStyle w:val="25"/>
        <w:shd w:val="clear"/>
        <w:ind w:firstLine="560"/>
        <w:rPr>
          <w:color w:val="auto"/>
          <w:highlight w:val="none"/>
        </w:rPr>
      </w:pPr>
    </w:p>
    <w:p w14:paraId="12836C92">
      <w:pPr>
        <w:shd w:val="clear"/>
        <w:spacing w:line="360" w:lineRule="auto"/>
        <w:jc w:val="center"/>
        <w:outlineLvl w:val="0"/>
        <w:rPr>
          <w:rFonts w:cs="仿宋" w:asciiTheme="majorEastAsia" w:hAnsiTheme="majorEastAsia" w:eastAsiaTheme="majorEastAsia"/>
          <w:b/>
          <w:color w:val="auto"/>
          <w:sz w:val="32"/>
          <w:szCs w:val="20"/>
          <w:highlight w:val="none"/>
        </w:rPr>
      </w:pPr>
      <w:r>
        <w:rPr>
          <w:rFonts w:hint="eastAsia" w:cs="仿宋" w:asciiTheme="majorEastAsia" w:hAnsiTheme="majorEastAsia" w:eastAsiaTheme="majorEastAsia"/>
          <w:b/>
          <w:color w:val="auto"/>
          <w:sz w:val="32"/>
          <w:szCs w:val="20"/>
          <w:highlight w:val="none"/>
        </w:rPr>
        <w:t xml:space="preserve">      二、招标文件的构成、澄清、修改</w:t>
      </w:r>
    </w:p>
    <w:p w14:paraId="73580307">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招标文件的构成</w:t>
      </w:r>
    </w:p>
    <w:p w14:paraId="6B442302">
      <w:pPr>
        <w:pStyle w:val="9"/>
        <w:shd w:val="clear"/>
        <w:spacing w:line="360" w:lineRule="auto"/>
        <w:ind w:firstLine="480" w:firstLineChars="2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6.1 招标文件包括下列文件及附件：</w:t>
      </w:r>
    </w:p>
    <w:p w14:paraId="71D421A0">
      <w:pPr>
        <w:pStyle w:val="9"/>
        <w:shd w:val="clear"/>
        <w:spacing w:line="360" w:lineRule="auto"/>
        <w:ind w:firstLine="480" w:firstLineChars="2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6.1.1 招标公告；</w:t>
      </w:r>
    </w:p>
    <w:p w14:paraId="13A58DD4">
      <w:pPr>
        <w:pStyle w:val="9"/>
        <w:shd w:val="clear"/>
        <w:spacing w:line="360" w:lineRule="auto"/>
        <w:ind w:firstLine="480" w:firstLineChars="2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 xml:space="preserve">6.1.2 </w:t>
      </w:r>
      <w:r>
        <w:rPr>
          <w:rFonts w:hint="eastAsia" w:cs="仿宋" w:asciiTheme="majorEastAsia" w:hAnsiTheme="majorEastAsia" w:eastAsiaTheme="majorEastAsia"/>
          <w:color w:val="auto"/>
          <w:sz w:val="24"/>
          <w:szCs w:val="24"/>
          <w:highlight w:val="none"/>
          <w:lang w:val="zh-CN"/>
        </w:rPr>
        <w:t>投标</w:t>
      </w:r>
      <w:r>
        <w:rPr>
          <w:rFonts w:hint="eastAsia" w:cs="仿宋" w:asciiTheme="majorEastAsia" w:hAnsiTheme="majorEastAsia" w:eastAsiaTheme="majorEastAsia"/>
          <w:color w:val="auto"/>
          <w:sz w:val="24"/>
          <w:szCs w:val="24"/>
          <w:highlight w:val="none"/>
        </w:rPr>
        <w:t>须知；</w:t>
      </w:r>
    </w:p>
    <w:p w14:paraId="6DE84743">
      <w:pPr>
        <w:pStyle w:val="9"/>
        <w:shd w:val="clear"/>
        <w:spacing w:line="360" w:lineRule="auto"/>
        <w:ind w:firstLine="480" w:firstLineChars="2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6.1.3 采购需求；</w:t>
      </w:r>
    </w:p>
    <w:p w14:paraId="521512D0">
      <w:pPr>
        <w:pStyle w:val="9"/>
        <w:shd w:val="clear"/>
        <w:spacing w:line="360" w:lineRule="auto"/>
        <w:ind w:firstLine="480" w:firstLineChars="2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6.1.4 评标办法；</w:t>
      </w:r>
    </w:p>
    <w:p w14:paraId="3974D0C6">
      <w:pPr>
        <w:pStyle w:val="9"/>
        <w:shd w:val="clear"/>
        <w:spacing w:line="360" w:lineRule="auto"/>
        <w:ind w:firstLine="480" w:firstLineChars="2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6.1.5 拟签订的合同文本；</w:t>
      </w:r>
    </w:p>
    <w:p w14:paraId="0016B351">
      <w:pPr>
        <w:pStyle w:val="9"/>
        <w:shd w:val="clear"/>
        <w:spacing w:line="360" w:lineRule="auto"/>
        <w:ind w:firstLine="480" w:firstLineChars="2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 xml:space="preserve">6.1.6 应提交的有关格式范例； </w:t>
      </w:r>
    </w:p>
    <w:p w14:paraId="3E585FC4">
      <w:pPr>
        <w:pStyle w:val="9"/>
        <w:shd w:val="clear"/>
        <w:spacing w:line="360" w:lineRule="auto"/>
        <w:ind w:firstLine="480" w:firstLineChars="2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6.1.7附件（如有）。</w:t>
      </w:r>
    </w:p>
    <w:p w14:paraId="2699FC60">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6.2与本项目有关的</w:t>
      </w:r>
      <w:r>
        <w:rPr>
          <w:rFonts w:hint="eastAsia" w:cs="仿宋" w:asciiTheme="majorEastAsia" w:hAnsiTheme="majorEastAsia" w:eastAsiaTheme="majorEastAsia"/>
          <w:bCs/>
          <w:color w:val="auto"/>
          <w:sz w:val="24"/>
          <w:highlight w:val="none"/>
        </w:rPr>
        <w:t>澄清或者修改的内容为招标文件的组成部分</w:t>
      </w:r>
      <w:r>
        <w:rPr>
          <w:rFonts w:hint="eastAsia" w:cs="仿宋" w:asciiTheme="majorEastAsia" w:hAnsiTheme="majorEastAsia" w:eastAsiaTheme="majorEastAsia"/>
          <w:color w:val="auto"/>
          <w:sz w:val="24"/>
          <w:highlight w:val="none"/>
        </w:rPr>
        <w:t>。</w:t>
      </w:r>
    </w:p>
    <w:p w14:paraId="2A8BEA49">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招标文件的澄清、修改</w:t>
      </w:r>
    </w:p>
    <w:p w14:paraId="62368378">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7.1 采购人对招标文件进行必要的澄清或者修改的，在采购信息发布网站上发布更正公告。澄清或者修改的内容可能影响投标文件编制的，更正公告在投标截止时间至少15日前发出；不足15日的，顺延提交投标文件截止时间。</w:t>
      </w:r>
    </w:p>
    <w:p w14:paraId="15D2A674">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7.2 更正公告为招标文件的组成部分，一经在网站发布，视同已通知所有招标文件的收受人，不再采用其它方式传达相关信息, 若因未能及时了解到上述网站上发布的相关信息而导致的一切后果自行承担。</w:t>
      </w:r>
    </w:p>
    <w:p w14:paraId="0B8340B5">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7.3 如更正公告有重新发布电子招标文件的，</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应下载最新发布的电子招标文件制作投标文件。</w:t>
      </w:r>
    </w:p>
    <w:p w14:paraId="7DF2329E">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7.4 已获取招标文件的潜在</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，若有问题需要澄清，应于投标截止时间前，以书面形式向采购代理机构提出。</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在规定的时间内未对招标文件提出疑问、质疑或要求澄清的，将视其为无异议。对招标文件中描述有歧义或前后不一致的地方，评标委员会有权进行评判，但对同一条款的评判应适用于每个</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w:t>
      </w:r>
    </w:p>
    <w:p w14:paraId="749E5C26">
      <w:pPr>
        <w:pStyle w:val="25"/>
        <w:shd w:val="clear"/>
        <w:ind w:firstLine="560"/>
        <w:rPr>
          <w:color w:val="auto"/>
          <w:highlight w:val="none"/>
        </w:rPr>
      </w:pPr>
    </w:p>
    <w:p w14:paraId="6AF528FF">
      <w:pPr>
        <w:shd w:val="clear"/>
        <w:spacing w:line="360" w:lineRule="auto"/>
        <w:jc w:val="center"/>
        <w:outlineLvl w:val="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color w:val="auto"/>
          <w:sz w:val="32"/>
          <w:szCs w:val="32"/>
          <w:highlight w:val="none"/>
        </w:rPr>
        <w:t>三、投标</w:t>
      </w:r>
    </w:p>
    <w:p w14:paraId="05908438">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投标文件的语言</w:t>
      </w:r>
    </w:p>
    <w:p w14:paraId="632F7F50">
      <w:pPr>
        <w:shd w:val="clear"/>
        <w:autoSpaceDE w:val="0"/>
        <w:autoSpaceDN w:val="0"/>
        <w:spacing w:line="360" w:lineRule="auto"/>
        <w:ind w:firstLine="480" w:firstLineChars="200"/>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投标文件及</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与采购有关的来往通知、函件和文件均应使用中文。</w:t>
      </w:r>
    </w:p>
    <w:p w14:paraId="57AB360F">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投标文件的组成</w:t>
      </w:r>
    </w:p>
    <w:p w14:paraId="18BE7922">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9.1 </w:t>
      </w:r>
      <w:r>
        <w:rPr>
          <w:rFonts w:hint="eastAsia" w:cs="仿宋" w:asciiTheme="majorEastAsia" w:hAnsiTheme="majorEastAsia" w:eastAsiaTheme="majorEastAsia"/>
          <w:b/>
          <w:color w:val="auto"/>
          <w:sz w:val="24"/>
          <w:highlight w:val="none"/>
        </w:rPr>
        <w:t>资格文件</w:t>
      </w:r>
      <w:r>
        <w:rPr>
          <w:rFonts w:hint="eastAsia" w:cs="仿宋" w:asciiTheme="majorEastAsia" w:hAnsiTheme="majorEastAsia" w:eastAsiaTheme="majorEastAsia"/>
          <w:color w:val="auto"/>
          <w:sz w:val="24"/>
          <w:highlight w:val="none"/>
        </w:rPr>
        <w:t>：</w:t>
      </w:r>
    </w:p>
    <w:p w14:paraId="2019217F">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9.1.1有效的企业法人营业执照（或事业法人登记证）、其他组织（个体工商户）的营业执照或者民办非企业单位登记证书；</w:t>
      </w:r>
    </w:p>
    <w:p w14:paraId="5B7931D4">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9.1.2符合参加政府采购活动应当具备的一般条件的承诺函(格式见第六部分)；</w:t>
      </w:r>
    </w:p>
    <w:p w14:paraId="4F9F5A3A">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9.1.3落实政府采购政策需满足的资格要求（如适用）；</w:t>
      </w:r>
    </w:p>
    <w:p w14:paraId="3EDBB2D0">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9.1.4本项目的特定资格要求（如有）。</w:t>
      </w:r>
    </w:p>
    <w:p w14:paraId="6DE6DB7E">
      <w:pPr>
        <w:shd w:val="clear"/>
        <w:snapToGrid w:val="0"/>
        <w:spacing w:line="360" w:lineRule="auto"/>
        <w:ind w:firstLine="480" w:firstLineChars="200"/>
        <w:rPr>
          <w:rFonts w:cs="仿宋" w:asciiTheme="majorEastAsia" w:hAnsiTheme="majorEastAsia" w:eastAsiaTheme="majorEastAsia"/>
          <w:b/>
          <w:bCs/>
          <w:color w:val="auto"/>
          <w:sz w:val="24"/>
          <w:highlight w:val="none"/>
          <w:lang w:val="zh-CN"/>
        </w:rPr>
      </w:pPr>
      <w:r>
        <w:rPr>
          <w:rFonts w:hint="eastAsia" w:cs="仿宋" w:asciiTheme="majorEastAsia" w:hAnsiTheme="majorEastAsia" w:eastAsiaTheme="majorEastAsia"/>
          <w:color w:val="auto"/>
          <w:sz w:val="24"/>
          <w:highlight w:val="none"/>
        </w:rPr>
        <w:t>9</w:t>
      </w:r>
      <w:r>
        <w:rPr>
          <w:rFonts w:hint="eastAsia" w:cs="仿宋" w:asciiTheme="majorEastAsia" w:hAnsiTheme="majorEastAsia" w:eastAsiaTheme="majorEastAsia"/>
          <w:color w:val="auto"/>
          <w:sz w:val="24"/>
          <w:highlight w:val="none"/>
          <w:lang w:val="zh-CN"/>
        </w:rPr>
        <w:t>.</w:t>
      </w:r>
      <w:r>
        <w:rPr>
          <w:rFonts w:hint="eastAsia" w:cs="仿宋" w:asciiTheme="majorEastAsia" w:hAnsiTheme="majorEastAsia" w:eastAsiaTheme="majorEastAsia"/>
          <w:color w:val="auto"/>
          <w:sz w:val="24"/>
          <w:highlight w:val="none"/>
        </w:rPr>
        <w:t>2</w:t>
      </w:r>
      <w:r>
        <w:rPr>
          <w:rFonts w:hint="eastAsia" w:cs="仿宋" w:asciiTheme="majorEastAsia" w:hAnsiTheme="majorEastAsia" w:eastAsiaTheme="majorEastAsia"/>
          <w:color w:val="auto"/>
          <w:sz w:val="24"/>
          <w:highlight w:val="none"/>
          <w:lang w:val="zh-CN"/>
        </w:rPr>
        <w:t xml:space="preserve"> </w:t>
      </w:r>
      <w:r>
        <w:rPr>
          <w:rFonts w:hint="eastAsia" w:cs="仿宋" w:asciiTheme="majorEastAsia" w:hAnsiTheme="majorEastAsia" w:eastAsiaTheme="majorEastAsia"/>
          <w:b/>
          <w:bCs/>
          <w:color w:val="auto"/>
          <w:sz w:val="24"/>
          <w:highlight w:val="none"/>
        </w:rPr>
        <w:t>商务技术</w:t>
      </w:r>
      <w:r>
        <w:rPr>
          <w:rFonts w:hint="eastAsia" w:cs="仿宋" w:asciiTheme="majorEastAsia" w:hAnsiTheme="majorEastAsia" w:eastAsiaTheme="majorEastAsia"/>
          <w:b/>
          <w:bCs/>
          <w:color w:val="auto"/>
          <w:sz w:val="24"/>
          <w:highlight w:val="none"/>
          <w:lang w:val="zh-CN"/>
        </w:rPr>
        <w:t>文件：</w:t>
      </w:r>
    </w:p>
    <w:p w14:paraId="29D93CF2">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9.2.1 评分索引表</w:t>
      </w:r>
    </w:p>
    <w:p w14:paraId="41A14FE2">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9.2.2 符合性自查表；</w:t>
      </w:r>
    </w:p>
    <w:p w14:paraId="3B977725">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9.2.3 投标函；</w:t>
      </w:r>
      <w:r>
        <w:rPr>
          <w:rFonts w:hint="eastAsia" w:cs="仿宋" w:asciiTheme="majorEastAsia" w:hAnsiTheme="majorEastAsia" w:eastAsiaTheme="majorEastAsia"/>
          <w:color w:val="auto"/>
          <w:sz w:val="24"/>
          <w:highlight w:val="none"/>
          <w:lang w:val="zh-CN"/>
        </w:rPr>
        <w:t xml:space="preserve"> </w:t>
      </w:r>
    </w:p>
    <w:p w14:paraId="1969D3FC">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9.2.4 授权委托书或法定代表人（单位负责人、自然人本人）身份证明；</w:t>
      </w:r>
    </w:p>
    <w:p w14:paraId="3BEF82D8">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9.2.5 投标人基本情况表；</w:t>
      </w:r>
    </w:p>
    <w:p w14:paraId="232FE55B">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9.2.6 距采购人最近或者能为本项目提供最优服务的网点情况表；</w:t>
      </w:r>
    </w:p>
    <w:p w14:paraId="10F17EC9">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w:t>
      </w:r>
      <w:r>
        <w:rPr>
          <w:rFonts w:hint="eastAsia" w:cs="仿宋" w:asciiTheme="majorEastAsia" w:hAnsiTheme="majorEastAsia" w:eastAsiaTheme="majorEastAsia"/>
          <w:color w:val="auto"/>
          <w:sz w:val="24"/>
          <w:highlight w:val="none"/>
          <w:lang w:val="zh-CN"/>
        </w:rPr>
        <w:t>.</w:t>
      </w:r>
      <w:r>
        <w:rPr>
          <w:rFonts w:hint="eastAsia" w:cs="仿宋" w:asciiTheme="majorEastAsia" w:hAnsiTheme="majorEastAsia" w:eastAsiaTheme="majorEastAsia"/>
          <w:color w:val="auto"/>
          <w:sz w:val="24"/>
          <w:highlight w:val="none"/>
        </w:rPr>
        <w:t>2</w:t>
      </w:r>
      <w:r>
        <w:rPr>
          <w:rFonts w:hint="eastAsia" w:cs="仿宋" w:asciiTheme="majorEastAsia" w:hAnsiTheme="majorEastAsia" w:eastAsiaTheme="majorEastAsia"/>
          <w:color w:val="auto"/>
          <w:sz w:val="24"/>
          <w:highlight w:val="none"/>
          <w:lang w:val="zh-CN"/>
        </w:rPr>
        <w:t>.</w:t>
      </w:r>
      <w:r>
        <w:rPr>
          <w:rFonts w:hint="eastAsia" w:cs="仿宋" w:asciiTheme="majorEastAsia" w:hAnsiTheme="majorEastAsia" w:eastAsiaTheme="majorEastAsia"/>
          <w:color w:val="auto"/>
          <w:sz w:val="24"/>
          <w:highlight w:val="none"/>
        </w:rPr>
        <w:t>7 评标标准相应的商务技术资料；</w:t>
      </w:r>
    </w:p>
    <w:p w14:paraId="44A0494A">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9.2.8 商务响应表；</w:t>
      </w:r>
    </w:p>
    <w:p w14:paraId="6549B39C">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9.2.9 技术响应表；</w:t>
      </w:r>
    </w:p>
    <w:p w14:paraId="20D2E326">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9.2.10 同类业绩情况一览表；</w:t>
      </w:r>
    </w:p>
    <w:p w14:paraId="4FD8A54A">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9.2.11</w:t>
      </w:r>
      <w:r>
        <w:rPr>
          <w:rFonts w:hint="eastAsia" w:cs="仿宋" w:asciiTheme="majorEastAsia" w:hAnsiTheme="majorEastAsia" w:eastAsiaTheme="majorEastAsia"/>
          <w:color w:val="auto"/>
          <w:sz w:val="24"/>
          <w:highlight w:val="none"/>
          <w:lang w:val="zh-CN"/>
        </w:rPr>
        <w:t>政府采购供应商廉洁自律承诺书；</w:t>
      </w:r>
    </w:p>
    <w:p w14:paraId="2939E146">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9.2.12其他资料（如有）。</w:t>
      </w:r>
    </w:p>
    <w:p w14:paraId="7FB3C7FC">
      <w:pPr>
        <w:shd w:val="clear"/>
        <w:snapToGrid w:val="0"/>
        <w:spacing w:line="360" w:lineRule="auto"/>
        <w:ind w:firstLine="480" w:firstLineChars="200"/>
        <w:rPr>
          <w:rFonts w:cs="仿宋" w:asciiTheme="majorEastAsia" w:hAnsiTheme="majorEastAsia" w:eastAsiaTheme="majorEastAsia"/>
          <w:color w:val="auto"/>
          <w:sz w:val="24"/>
          <w:highlight w:val="none"/>
          <w:u w:val="single"/>
          <w:lang w:val="zh-CN"/>
        </w:rPr>
      </w:pPr>
      <w:r>
        <w:rPr>
          <w:rFonts w:hint="eastAsia" w:cs="仿宋" w:asciiTheme="majorEastAsia" w:hAnsiTheme="majorEastAsia" w:eastAsiaTheme="majorEastAsia"/>
          <w:color w:val="auto"/>
          <w:kern w:val="0"/>
          <w:sz w:val="24"/>
          <w:highlight w:val="none"/>
        </w:rPr>
        <w:t>9</w:t>
      </w:r>
      <w:r>
        <w:rPr>
          <w:rFonts w:hint="eastAsia" w:cs="仿宋" w:asciiTheme="majorEastAsia" w:hAnsiTheme="majorEastAsia" w:eastAsiaTheme="majorEastAsia"/>
          <w:color w:val="auto"/>
          <w:kern w:val="0"/>
          <w:sz w:val="24"/>
          <w:highlight w:val="none"/>
          <w:lang w:val="zh-CN"/>
        </w:rPr>
        <w:t>.</w:t>
      </w:r>
      <w:r>
        <w:rPr>
          <w:rFonts w:hint="eastAsia" w:cs="仿宋" w:asciiTheme="majorEastAsia" w:hAnsiTheme="majorEastAsia" w:eastAsiaTheme="majorEastAsia"/>
          <w:color w:val="auto"/>
          <w:kern w:val="0"/>
          <w:sz w:val="24"/>
          <w:highlight w:val="none"/>
        </w:rPr>
        <w:t xml:space="preserve">3 </w:t>
      </w:r>
      <w:r>
        <w:rPr>
          <w:rFonts w:hint="eastAsia" w:cs="仿宋" w:asciiTheme="majorEastAsia" w:hAnsiTheme="majorEastAsia" w:eastAsiaTheme="majorEastAsia"/>
          <w:b/>
          <w:color w:val="auto"/>
          <w:sz w:val="24"/>
          <w:highlight w:val="none"/>
        </w:rPr>
        <w:t>报价文件：</w:t>
      </w:r>
      <w:r>
        <w:rPr>
          <w:rFonts w:hint="eastAsia" w:cs="仿宋" w:asciiTheme="majorEastAsia" w:hAnsiTheme="majorEastAsia" w:eastAsiaTheme="majorEastAsia"/>
          <w:color w:val="auto"/>
          <w:sz w:val="24"/>
          <w:highlight w:val="none"/>
        </w:rPr>
        <w:t xml:space="preserve"> </w:t>
      </w:r>
    </w:p>
    <w:p w14:paraId="0BAE36BE">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9.3.1 开标一览表；</w:t>
      </w:r>
    </w:p>
    <w:p w14:paraId="6AB11721">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9.3.2 投标报价明细表；</w:t>
      </w:r>
    </w:p>
    <w:p w14:paraId="664ED919">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9.3.3 中小企业声明函（如有）；</w:t>
      </w:r>
    </w:p>
    <w:p w14:paraId="6C164DEE">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9.3.4 残疾人福利性单位声明函（如有）；</w:t>
      </w:r>
    </w:p>
    <w:p w14:paraId="4D88497A">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9.3.5 监狱企业的证明文件（如有）；</w:t>
      </w:r>
    </w:p>
    <w:p w14:paraId="752C93E5">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9.3.6 政府采购统计基础信息表；</w:t>
      </w:r>
    </w:p>
    <w:p w14:paraId="74E51329">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9.3.7其他资料（如有）。</w:t>
      </w:r>
    </w:p>
    <w:p w14:paraId="534E9F05">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投标文件的编制</w:t>
      </w:r>
    </w:p>
    <w:p w14:paraId="5453CFC7">
      <w:pPr>
        <w:shd w:val="clear"/>
        <w:spacing w:line="360" w:lineRule="auto"/>
        <w:ind w:firstLine="480" w:firstLineChars="20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color w:val="auto"/>
          <w:kern w:val="0"/>
          <w:sz w:val="24"/>
          <w:highlight w:val="none"/>
          <w:lang w:val="zh-CN"/>
        </w:rPr>
        <w:t>1</w:t>
      </w:r>
      <w:r>
        <w:rPr>
          <w:rFonts w:hint="eastAsia" w:cs="仿宋" w:asciiTheme="majorEastAsia" w:hAnsiTheme="majorEastAsia" w:eastAsiaTheme="majorEastAsia"/>
          <w:color w:val="auto"/>
          <w:kern w:val="0"/>
          <w:sz w:val="24"/>
          <w:highlight w:val="none"/>
        </w:rPr>
        <w:t>0</w:t>
      </w:r>
      <w:r>
        <w:rPr>
          <w:rFonts w:hint="eastAsia" w:cs="仿宋" w:asciiTheme="majorEastAsia" w:hAnsiTheme="majorEastAsia" w:eastAsiaTheme="majorEastAsia"/>
          <w:color w:val="auto"/>
          <w:kern w:val="0"/>
          <w:sz w:val="24"/>
          <w:highlight w:val="none"/>
          <w:lang w:val="zh-CN"/>
        </w:rPr>
        <w:t>.1投标文件分为资格文件、商务技术文件、报价文件三部分。各供应商在编制投标文件时请按照招标文件第六部分规定的格式进行。</w:t>
      </w:r>
      <w:r>
        <w:rPr>
          <w:rFonts w:hint="eastAsia" w:cs="仿宋" w:asciiTheme="majorEastAsia" w:hAnsiTheme="majorEastAsia" w:eastAsiaTheme="majorEastAsia"/>
          <w:color w:val="auto"/>
          <w:kern w:val="0"/>
          <w:sz w:val="24"/>
          <w:highlight w:val="none"/>
        </w:rPr>
        <w:t>未有规定格式的资料，</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应自行编制，但至少须包含9.投标文件组成中的内容。</w:t>
      </w:r>
      <w:r>
        <w:rPr>
          <w:rFonts w:hint="eastAsia" w:cs="仿宋" w:asciiTheme="majorEastAsia" w:hAnsiTheme="majorEastAsia" w:eastAsiaTheme="majorEastAsia"/>
          <w:color w:val="auto"/>
          <w:kern w:val="0"/>
          <w:sz w:val="24"/>
          <w:highlight w:val="none"/>
          <w:lang w:val="zh-CN"/>
        </w:rPr>
        <w:t>混乱的编排导致投标文件被误读或评标委员会查找不到有效文件是供应商的风险。</w:t>
      </w:r>
    </w:p>
    <w:p w14:paraId="18269300">
      <w:pPr>
        <w:shd w:val="clear"/>
        <w:wordWrap w:val="0"/>
        <w:spacing w:line="360" w:lineRule="auto"/>
        <w:ind w:firstLine="480" w:firstLineChars="200"/>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rPr>
        <w:t>10.2</w:t>
      </w:r>
      <w:r>
        <w:rPr>
          <w:rFonts w:hint="eastAsia" w:cs="仿宋" w:asciiTheme="majorEastAsia" w:hAnsiTheme="majorEastAsia" w:eastAsiaTheme="majorEastAsia"/>
          <w:color w:val="auto"/>
          <w:kern w:val="0"/>
          <w:sz w:val="24"/>
          <w:highlight w:val="none"/>
          <w:lang w:val="zh-CN"/>
        </w:rPr>
        <w:t>供应商进行电子投标应安装客户端软件</w:t>
      </w:r>
      <w:r>
        <w:rPr>
          <w:rFonts w:hint="eastAsia" w:cs="仿宋" w:asciiTheme="majorEastAsia" w:hAnsiTheme="majorEastAsia" w:eastAsiaTheme="majorEastAsia"/>
          <w:color w:val="auto"/>
          <w:kern w:val="0"/>
          <w:sz w:val="24"/>
          <w:highlight w:val="none"/>
        </w:rPr>
        <w:t>—“乐采云</w:t>
      </w:r>
      <w:r>
        <w:rPr>
          <w:rFonts w:hint="eastAsia" w:cs="仿宋" w:asciiTheme="majorEastAsia" w:hAnsiTheme="majorEastAsia" w:eastAsiaTheme="majorEastAsia"/>
          <w:color w:val="auto"/>
          <w:kern w:val="0"/>
          <w:sz w:val="24"/>
          <w:highlight w:val="none"/>
          <w:lang w:val="zh-CN"/>
        </w:rPr>
        <w:t>电子交易客户端</w:t>
      </w:r>
      <w:r>
        <w:rPr>
          <w:rFonts w:hint="eastAsia" w:cs="仿宋" w:asciiTheme="majorEastAsia" w:hAnsiTheme="majorEastAsia" w:eastAsiaTheme="majorEastAsia"/>
          <w:color w:val="auto"/>
          <w:kern w:val="0"/>
          <w:sz w:val="24"/>
          <w:highlight w:val="none"/>
        </w:rPr>
        <w:t>”（下载地址：https://b.zhengcaiyun.cn/luban/category?parentId=550045&amp;childrenCode=qicaiCategory17&amp;utm=luban.luban-PC-39026.959-pc-websitegroup-navBar-front.8.ebdec73052c711ef9ade896d008b9248），</w:t>
      </w:r>
      <w:r>
        <w:rPr>
          <w:rFonts w:hint="eastAsia" w:cs="仿宋" w:asciiTheme="majorEastAsia" w:hAnsiTheme="majorEastAsia" w:eastAsiaTheme="majorEastAsia"/>
          <w:color w:val="auto"/>
          <w:kern w:val="0"/>
          <w:sz w:val="24"/>
          <w:highlight w:val="none"/>
          <w:lang w:val="zh-CN"/>
        </w:rPr>
        <w:t>并按照招标文件和电子交易平台的要求编制并加密投标文件。供应商未按规定加密的投标文件，电子交易平台将拒收并提示。</w:t>
      </w:r>
    </w:p>
    <w:p w14:paraId="55726352">
      <w:pPr>
        <w:shd w:val="clear"/>
        <w:spacing w:line="360" w:lineRule="auto"/>
        <w:ind w:firstLine="480" w:firstLineChars="200"/>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1</w:t>
      </w:r>
      <w:r>
        <w:rPr>
          <w:rFonts w:hint="eastAsia" w:cs="仿宋" w:asciiTheme="majorEastAsia" w:hAnsiTheme="majorEastAsia" w:eastAsiaTheme="majorEastAsia"/>
          <w:color w:val="auto"/>
          <w:kern w:val="0"/>
          <w:sz w:val="24"/>
          <w:highlight w:val="none"/>
        </w:rPr>
        <w:t>0</w:t>
      </w:r>
      <w:r>
        <w:rPr>
          <w:rFonts w:hint="eastAsia" w:cs="仿宋" w:asciiTheme="majorEastAsia" w:hAnsiTheme="majorEastAsia" w:eastAsiaTheme="majorEastAsia"/>
          <w:color w:val="auto"/>
          <w:kern w:val="0"/>
          <w:sz w:val="24"/>
          <w:highlight w:val="none"/>
          <w:lang w:val="zh-CN"/>
        </w:rPr>
        <w:t>.3使用“</w:t>
      </w:r>
      <w:r>
        <w:rPr>
          <w:rFonts w:hint="eastAsia" w:cs="仿宋" w:asciiTheme="majorEastAsia" w:hAnsiTheme="majorEastAsia" w:eastAsiaTheme="majorEastAsia"/>
          <w:color w:val="auto"/>
          <w:kern w:val="0"/>
          <w:sz w:val="24"/>
          <w:highlight w:val="none"/>
        </w:rPr>
        <w:t>乐</w:t>
      </w:r>
      <w:r>
        <w:rPr>
          <w:rFonts w:hint="eastAsia" w:cs="仿宋" w:asciiTheme="majorEastAsia" w:hAnsiTheme="majorEastAsia" w:eastAsiaTheme="majorEastAsia"/>
          <w:color w:val="auto"/>
          <w:kern w:val="0"/>
          <w:sz w:val="24"/>
          <w:highlight w:val="none"/>
          <w:lang w:val="zh-CN"/>
        </w:rPr>
        <w:t>采云电子交易客户端”需要提前申领CA数字证书，申领流程请自行前往“浙江企业采购信息服务网-下载专区-电子交易客户端-CA驱动和申领流程”进行查阅。</w:t>
      </w:r>
    </w:p>
    <w:p w14:paraId="0B5A6BB8">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投标文件的签署、盖章</w:t>
      </w:r>
    </w:p>
    <w:p w14:paraId="1B28F8A3">
      <w:pPr>
        <w:pStyle w:val="41"/>
        <w:shd w:val="clear"/>
        <w:snapToGrid w:val="0"/>
        <w:spacing w:before="0"/>
        <w:ind w:firstLine="480"/>
        <w:rPr>
          <w:rFonts w:cs="仿宋" w:asciiTheme="majorEastAsia" w:hAnsiTheme="majorEastAsia" w:eastAsiaTheme="majorEastAsia"/>
          <w:b/>
          <w:color w:val="auto"/>
          <w:highlight w:val="none"/>
        </w:rPr>
      </w:pPr>
      <w:r>
        <w:rPr>
          <w:rFonts w:hint="eastAsia" w:cs="仿宋" w:asciiTheme="majorEastAsia" w:hAnsiTheme="majorEastAsia" w:eastAsiaTheme="majorEastAsia"/>
          <w:color w:val="auto"/>
          <w:szCs w:val="24"/>
          <w:highlight w:val="none"/>
        </w:rPr>
        <w:t>11.1投标文件按照招标文件第六部分格式要</w:t>
      </w:r>
      <w:r>
        <w:rPr>
          <w:rFonts w:hint="eastAsia" w:cs="仿宋" w:asciiTheme="majorEastAsia" w:hAnsiTheme="majorEastAsia" w:eastAsiaTheme="majorEastAsia"/>
          <w:color w:val="auto"/>
          <w:highlight w:val="none"/>
        </w:rPr>
        <w:t>求进行签署、盖章。</w:t>
      </w:r>
      <w:r>
        <w:rPr>
          <w:rFonts w:hint="eastAsia" w:cs="仿宋" w:asciiTheme="majorEastAsia" w:hAnsiTheme="majorEastAsia" w:eastAsiaTheme="majorEastAsia"/>
          <w:b/>
          <w:color w:val="auto"/>
          <w:highlight w:val="none"/>
        </w:rPr>
        <w:t>▲供应商的投标文件未按照招标文件要求签署、盖章的，其投标无效</w:t>
      </w:r>
      <w:r>
        <w:rPr>
          <w:rFonts w:hint="eastAsia" w:cs="仿宋" w:asciiTheme="majorEastAsia" w:hAnsiTheme="majorEastAsia" w:eastAsiaTheme="majorEastAsia"/>
          <w:color w:val="auto"/>
          <w:szCs w:val="24"/>
          <w:highlight w:val="none"/>
        </w:rPr>
        <w:t>。</w:t>
      </w:r>
    </w:p>
    <w:p w14:paraId="19A7A795">
      <w:pPr>
        <w:pStyle w:val="41"/>
        <w:shd w:val="clear"/>
        <w:snapToGrid w:val="0"/>
        <w:spacing w:before="0"/>
        <w:ind w:firstLine="48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11.2为确保网上操作合法、有效和安全，</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highlight w:val="none"/>
        </w:rPr>
        <w:t>应当在投标截止时间前完成在“政府采购云平台”的身份认证，确保在电子投标过程中能够对相关数据电文进行加密和使用电子签名。</w:t>
      </w:r>
    </w:p>
    <w:p w14:paraId="574DD8CA">
      <w:pPr>
        <w:pStyle w:val="41"/>
        <w:shd w:val="clear"/>
        <w:snapToGrid w:val="0"/>
        <w:spacing w:before="0"/>
        <w:ind w:firstLine="48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highlight w:val="none"/>
        </w:rPr>
        <w:t>11.3招标文件对投标文件签署、盖章的要求适用于电子签名。</w:t>
      </w:r>
    </w:p>
    <w:p w14:paraId="68BE333D">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投标文件的提交、补充、修改、撤回</w:t>
      </w:r>
    </w:p>
    <w:p w14:paraId="4894796E">
      <w:pPr>
        <w:pStyle w:val="41"/>
        <w:shd w:val="clear"/>
        <w:ind w:firstLine="48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szCs w:val="24"/>
          <w:highlight w:val="none"/>
        </w:rPr>
        <w:t>12.1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82B7964">
      <w:pPr>
        <w:pStyle w:val="41"/>
        <w:shd w:val="clear"/>
        <w:spacing w:before="0"/>
        <w:ind w:firstLine="48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szCs w:val="24"/>
          <w:highlight w:val="none"/>
        </w:rPr>
        <w:t>12.2电子交易平台收到投标文件，将妥善保存并即时向供应商发出确认回执通知。在投标截止时间前，除供应商补充、修改或者撤回投标文件外，任何单位和个人不得解密或提取投标文件。</w:t>
      </w:r>
    </w:p>
    <w:p w14:paraId="1A770AF2">
      <w:pPr>
        <w:pStyle w:val="41"/>
        <w:shd w:val="clear"/>
        <w:spacing w:before="0"/>
        <w:ind w:firstLine="48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szCs w:val="24"/>
          <w:highlight w:val="none"/>
        </w:rPr>
        <w:t>12.3采购人、采购代理机构可以视情况延长投标文件提交的截止时间。在上述情况下，采购代理机构与</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szCs w:val="24"/>
          <w:highlight w:val="none"/>
        </w:rPr>
        <w:t>以前在投标截止期方面的全部权利、责任和义务，将适用于延长至新的投标截止期。</w:t>
      </w:r>
    </w:p>
    <w:p w14:paraId="370E43E3">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投标有效期</w:t>
      </w:r>
    </w:p>
    <w:p w14:paraId="55AE9D85">
      <w:pPr>
        <w:shd w:val="clear"/>
        <w:spacing w:line="360" w:lineRule="auto"/>
        <w:ind w:firstLine="480" w:firstLineChars="200"/>
        <w:rPr>
          <w:rFonts w:cs="仿宋" w:asciiTheme="majorEastAsia" w:hAnsiTheme="majorEastAsia" w:eastAsiaTheme="majorEastAsia"/>
          <w:b/>
          <w:color w:val="auto"/>
          <w:sz w:val="24"/>
          <w:szCs w:val="21"/>
          <w:highlight w:val="none"/>
        </w:rPr>
      </w:pPr>
      <w:r>
        <w:rPr>
          <w:rFonts w:hint="eastAsia" w:cs="仿宋" w:asciiTheme="majorEastAsia" w:hAnsiTheme="majorEastAsia" w:eastAsiaTheme="majorEastAsia"/>
          <w:color w:val="auto"/>
          <w:sz w:val="24"/>
          <w:szCs w:val="20"/>
          <w:highlight w:val="none"/>
        </w:rPr>
        <w:t>投标有效期为从提交投标文件的截止之日起90天。▲</w:t>
      </w:r>
      <w:r>
        <w:rPr>
          <w:rFonts w:hint="eastAsia" w:cs="仿宋" w:asciiTheme="majorEastAsia" w:hAnsiTheme="majorEastAsia" w:eastAsiaTheme="majorEastAsia"/>
          <w:b/>
          <w:color w:val="auto"/>
          <w:sz w:val="24"/>
          <w:szCs w:val="20"/>
          <w:highlight w:val="none"/>
        </w:rPr>
        <w:t>供应商的投标文件中承</w:t>
      </w:r>
      <w:r>
        <w:rPr>
          <w:rFonts w:hint="eastAsia" w:cs="仿宋" w:asciiTheme="majorEastAsia" w:hAnsiTheme="majorEastAsia" w:eastAsiaTheme="majorEastAsia"/>
          <w:b/>
          <w:color w:val="auto"/>
          <w:sz w:val="24"/>
          <w:szCs w:val="21"/>
          <w:highlight w:val="none"/>
        </w:rPr>
        <w:t>诺的投标有效期少于招标文件中载明的投标有效期的，投标无效。</w:t>
      </w:r>
    </w:p>
    <w:p w14:paraId="1023C018">
      <w:pPr>
        <w:pStyle w:val="41"/>
        <w:shd w:val="clear"/>
        <w:spacing w:before="0"/>
        <w:ind w:firstLine="643"/>
        <w:rPr>
          <w:rFonts w:cs="仿宋" w:asciiTheme="majorEastAsia" w:hAnsiTheme="majorEastAsia" w:eastAsiaTheme="majorEastAsia"/>
          <w:b/>
          <w:color w:val="auto"/>
          <w:sz w:val="32"/>
          <w:highlight w:val="none"/>
        </w:rPr>
      </w:pPr>
    </w:p>
    <w:p w14:paraId="7B786CC2">
      <w:pPr>
        <w:pStyle w:val="41"/>
        <w:shd w:val="clear"/>
        <w:spacing w:before="0"/>
        <w:ind w:firstLine="1928" w:firstLineChars="600"/>
        <w:rPr>
          <w:rFonts w:cs="仿宋" w:asciiTheme="majorEastAsia" w:hAnsiTheme="majorEastAsia" w:eastAsiaTheme="majorEastAsia"/>
          <w:b/>
          <w:color w:val="auto"/>
          <w:sz w:val="32"/>
          <w:highlight w:val="none"/>
        </w:rPr>
      </w:pPr>
      <w:r>
        <w:rPr>
          <w:rFonts w:hint="eastAsia" w:cs="仿宋" w:asciiTheme="majorEastAsia" w:hAnsiTheme="majorEastAsia" w:eastAsiaTheme="majorEastAsia"/>
          <w:b/>
          <w:color w:val="auto"/>
          <w:sz w:val="32"/>
          <w:highlight w:val="none"/>
        </w:rPr>
        <w:t>四、开标、资格审查与信用信息查询</w:t>
      </w:r>
    </w:p>
    <w:p w14:paraId="3E2F31FD">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 xml:space="preserve">开标 </w:t>
      </w:r>
    </w:p>
    <w:p w14:paraId="563628BC">
      <w:pPr>
        <w:pStyle w:val="36"/>
        <w:shd w:val="clear"/>
        <w:spacing w:before="0" w:line="360" w:lineRule="auto"/>
        <w:ind w:left="0" w:firstLine="480" w:firstLineChars="200"/>
        <w:contextualSpacing/>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14.1采购代理机构按照招标文件规定的时间通过电子交易平台组织开标，所有</w:t>
      </w:r>
      <w:r>
        <w:rPr>
          <w:rFonts w:hint="eastAsia" w:cs="仿宋" w:asciiTheme="majorEastAsia" w:hAnsiTheme="majorEastAsia" w:eastAsiaTheme="majorEastAsia"/>
          <w:color w:val="auto"/>
          <w:sz w:val="24"/>
          <w:highlight w:val="none"/>
          <w:lang w:val="zh-CN"/>
        </w:rPr>
        <w:t>供应商</w:t>
      </w:r>
      <w:r>
        <w:rPr>
          <w:rFonts w:hint="eastAsia" w:cs="仿宋" w:asciiTheme="majorEastAsia" w:hAnsiTheme="majorEastAsia" w:eastAsiaTheme="majorEastAsia"/>
          <w:color w:val="auto"/>
          <w:sz w:val="24"/>
          <w:highlight w:val="none"/>
        </w:rPr>
        <w:t>均应当准时在线参加。</w:t>
      </w:r>
      <w:r>
        <w:rPr>
          <w:rFonts w:hint="eastAsia" w:cs="仿宋" w:asciiTheme="majorEastAsia" w:hAnsiTheme="majorEastAsia" w:eastAsiaTheme="majorEastAsia"/>
          <w:color w:val="auto"/>
          <w:sz w:val="24"/>
          <w:highlight w:val="none"/>
          <w:lang w:val="zh-CN"/>
        </w:rPr>
        <w:t>供应商</w:t>
      </w:r>
      <w:r>
        <w:rPr>
          <w:rFonts w:hint="eastAsia" w:cs="仿宋" w:asciiTheme="majorEastAsia" w:hAnsiTheme="majorEastAsia" w:eastAsiaTheme="majorEastAsia"/>
          <w:color w:val="auto"/>
          <w:sz w:val="24"/>
          <w:highlight w:val="none"/>
        </w:rPr>
        <w:t>不足3家的，不得开标。</w:t>
      </w:r>
    </w:p>
    <w:p w14:paraId="6218FD31">
      <w:pPr>
        <w:pStyle w:val="36"/>
        <w:shd w:val="clear"/>
        <w:spacing w:before="0" w:line="360" w:lineRule="auto"/>
        <w:ind w:left="0" w:firstLine="240" w:firstLineChars="100"/>
        <w:contextualSpacing/>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14.2开标时，电子交易平台按开标时间自动提取所有投标文件。采购代理机构依托电子交易平台发起开始解密指令，</w:t>
      </w:r>
      <w:r>
        <w:rPr>
          <w:rFonts w:hint="eastAsia" w:cs="仿宋" w:asciiTheme="majorEastAsia" w:hAnsiTheme="majorEastAsia" w:eastAsiaTheme="majorEastAsia"/>
          <w:color w:val="auto"/>
          <w:sz w:val="24"/>
          <w:highlight w:val="none"/>
          <w:lang w:val="zh-CN"/>
        </w:rPr>
        <w:t>供应商</w:t>
      </w:r>
      <w:r>
        <w:rPr>
          <w:rFonts w:hint="eastAsia" w:cs="仿宋" w:asciiTheme="majorEastAsia" w:hAnsiTheme="majorEastAsia" w:eastAsiaTheme="majorEastAsia"/>
          <w:color w:val="auto"/>
          <w:sz w:val="24"/>
          <w:highlight w:val="none"/>
        </w:rPr>
        <w:t>按照平台提示和招标文件的规定在半小时内完成在线解密。</w:t>
      </w:r>
    </w:p>
    <w:p w14:paraId="263A2C03">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资格审查</w:t>
      </w:r>
    </w:p>
    <w:p w14:paraId="19379D9D">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15.1开标后，采购人或采购代理机构依据法律法规和招标文件的规定，对供应商的资格条件进行审查。</w:t>
      </w:r>
    </w:p>
    <w:p w14:paraId="1CB0B2C7">
      <w:pPr>
        <w:pStyle w:val="41"/>
        <w:shd w:val="clear"/>
        <w:spacing w:before="0"/>
        <w:ind w:firstLine="48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kern w:val="0"/>
          <w:szCs w:val="24"/>
          <w:highlight w:val="none"/>
        </w:rPr>
        <w:t>15.</w:t>
      </w:r>
      <w:r>
        <w:rPr>
          <w:rFonts w:hint="eastAsia" w:cs="仿宋" w:asciiTheme="majorEastAsia" w:hAnsiTheme="majorEastAsia" w:eastAsiaTheme="majorEastAsia"/>
          <w:color w:val="auto"/>
          <w:highlight w:val="none"/>
        </w:rPr>
        <w:t>2对未通过资格审查的供应商，采购人或采购代理机构告知其未通过的原因。</w:t>
      </w:r>
    </w:p>
    <w:p w14:paraId="3879D168">
      <w:pPr>
        <w:pStyle w:val="41"/>
        <w:shd w:val="clear"/>
        <w:spacing w:before="0"/>
        <w:ind w:firstLine="48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kern w:val="0"/>
          <w:szCs w:val="24"/>
          <w:highlight w:val="none"/>
        </w:rPr>
        <w:t>15.</w:t>
      </w:r>
      <w:r>
        <w:rPr>
          <w:rFonts w:hint="eastAsia" w:cs="仿宋" w:asciiTheme="majorEastAsia" w:hAnsiTheme="majorEastAsia" w:eastAsiaTheme="majorEastAsia"/>
          <w:color w:val="auto"/>
          <w:highlight w:val="none"/>
        </w:rPr>
        <w:t>3合格供应商不足3家的，不再评标。</w:t>
      </w:r>
    </w:p>
    <w:p w14:paraId="325770F7">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信用信息查询</w:t>
      </w:r>
    </w:p>
    <w:p w14:paraId="446E196E">
      <w:pPr>
        <w:pStyle w:val="41"/>
        <w:shd w:val="clear"/>
        <w:spacing w:before="0"/>
        <w:ind w:firstLine="495" w:firstLineChars="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16.1信用信息查询渠道及截止时间：采购代理机构将通过“信用中国”网站(www.creditchina.gov.cn)、中国政府采购网(www.ccgp.gov.cn)渠道查询供应商投标截止时间当天的信用记录。</w:t>
      </w:r>
    </w:p>
    <w:p w14:paraId="71C04F6C">
      <w:pPr>
        <w:pStyle w:val="41"/>
        <w:shd w:val="clear"/>
        <w:spacing w:before="0"/>
        <w:ind w:firstLine="495" w:firstLineChars="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16.2信用信息的使用规则：经查询列入失信被执行人名单、重大税收违法失信主体、政府采购严重违法失信行为记录名单的</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将被拒绝参与政府采购活动。</w:t>
      </w:r>
    </w:p>
    <w:p w14:paraId="06CA0513">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16.3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cs="仿宋" w:asciiTheme="majorEastAsia" w:hAnsiTheme="majorEastAsia" w:eastAsiaTheme="majorEastAsia"/>
          <w:color w:val="auto"/>
          <w:highlight w:val="none"/>
        </w:rPr>
        <w:t>。</w:t>
      </w:r>
    </w:p>
    <w:p w14:paraId="4E7C6831">
      <w:pPr>
        <w:shd w:val="clear"/>
        <w:snapToGrid w:val="0"/>
        <w:spacing w:line="360" w:lineRule="auto"/>
        <w:jc w:val="center"/>
        <w:outlineLvl w:val="0"/>
        <w:rPr>
          <w:rFonts w:cs="仿宋" w:asciiTheme="majorEastAsia" w:hAnsiTheme="majorEastAsia" w:eastAsiaTheme="majorEastAsia"/>
          <w:b/>
          <w:color w:val="auto"/>
          <w:sz w:val="36"/>
          <w:szCs w:val="36"/>
          <w:highlight w:val="none"/>
        </w:rPr>
      </w:pPr>
    </w:p>
    <w:p w14:paraId="4A1DD31B">
      <w:pPr>
        <w:shd w:val="clear"/>
        <w:snapToGrid w:val="0"/>
        <w:spacing w:line="360" w:lineRule="auto"/>
        <w:jc w:val="center"/>
        <w:outlineLvl w:val="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color w:val="auto"/>
          <w:sz w:val="32"/>
          <w:szCs w:val="32"/>
          <w:highlight w:val="none"/>
        </w:rPr>
        <w:t>五、评标</w:t>
      </w:r>
    </w:p>
    <w:p w14:paraId="5D332712">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bookmarkStart w:id="12" w:name="_Toc91899903"/>
      <w:r>
        <w:rPr>
          <w:rFonts w:hint="eastAsia" w:cs="仿宋" w:asciiTheme="majorEastAsia" w:hAnsiTheme="majorEastAsia" w:eastAsiaTheme="majorEastAsia"/>
          <w:b/>
          <w:color w:val="auto"/>
          <w:sz w:val="24"/>
          <w:highlight w:val="none"/>
        </w:rPr>
        <w:t>评标委员会</w:t>
      </w:r>
    </w:p>
    <w:p w14:paraId="6031D670">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17.1 本次招标依法组建评标委员会。评标委员会由采购人代表和评审专家组成，评审专家从专家库随机抽取。</w:t>
      </w:r>
    </w:p>
    <w:p w14:paraId="43AAEEA5">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17.2 评标原则。评标委员会必须遵循公平、公正、客观、科学的原则和规定的程序进行评标；评标的依据为招标文件和投标文件；评审人员应独立评标，不得带有任何倾向性和启发性影响他人评审；任何单位和个人不得干扰、影响评标的正常进行；评标委员会及有关工作人员不得私下与投标人接触，不得向外界透露任何与评标有关的内容。</w:t>
      </w:r>
    </w:p>
    <w:p w14:paraId="224430E7">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17.3 评审专家有下列情形之一的，受到邀请应主动提出回避，采购当事人也可以要求该评审专家回避：</w:t>
      </w:r>
    </w:p>
    <w:p w14:paraId="3279F028">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17.3.1 参加采购活动前三年内，与供应商存在劳动关系，或者担任过供应商的董事、监事，或者是供应商的控股股东或实际控制人；</w:t>
      </w:r>
    </w:p>
    <w:p w14:paraId="15B5CEAF">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17.3.2 与供应商的法定代表人或者负责人有夫妻、直系血亲、三代以内旁系血亲或者近姻亲关系；</w:t>
      </w:r>
    </w:p>
    <w:p w14:paraId="7A067A89">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17.3.3 任职单位与参加该采购项目供应商存在行政隶属关系；</w:t>
      </w:r>
    </w:p>
    <w:p w14:paraId="7044C7DA">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17.3.4 曾经参加过该采购项目的进口产品或招标文件、采购需求、采购方式的论证和咨询服务工作；</w:t>
      </w:r>
    </w:p>
    <w:p w14:paraId="4860D4BE">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17.3.5 是参加该采购项目供应商的上级主管部门、控股或参股单位的工作人员，或与该供应商存在其他经济利益关系；</w:t>
      </w:r>
    </w:p>
    <w:p w14:paraId="55F62064">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17.3.6 评标委员会成员之间具有配偶、近亲属关系等；</w:t>
      </w:r>
    </w:p>
    <w:p w14:paraId="7CDEB9B8">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17.3.7 法律、法规、规章规定应当回避以及其他可能影响政府采购活动公平、公正进行的关系。</w:t>
      </w:r>
    </w:p>
    <w:p w14:paraId="1CA95132">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17.4 评标委员会判断投标文件的有效性、合格性和响应情况，仅依据投标人所递交一切文件的真实表述，不受与本项目无直接关联的外部信息、传言而影响自身的专业判断。</w:t>
      </w:r>
    </w:p>
    <w:p w14:paraId="7B27F44C">
      <w:pPr>
        <w:pStyle w:val="41"/>
        <w:shd w:val="clear"/>
        <w:spacing w:before="0"/>
        <w:ind w:firstLine="480"/>
        <w:rPr>
          <w:rFonts w:asciiTheme="majorEastAsia" w:hAnsiTheme="majorEastAsia" w:eastAsiaTheme="majorEastAsia"/>
          <w:color w:val="auto"/>
          <w:highlight w:val="none"/>
        </w:rPr>
      </w:pPr>
      <w:r>
        <w:rPr>
          <w:rFonts w:hint="eastAsia" w:cs="仿宋" w:asciiTheme="majorEastAsia" w:hAnsiTheme="majorEastAsia" w:eastAsiaTheme="majorEastAsia"/>
          <w:color w:val="auto"/>
          <w:kern w:val="0"/>
          <w:szCs w:val="24"/>
          <w:highlight w:val="none"/>
        </w:rPr>
        <w:t>17.5 评委依法独立评审，并对评审意见承担个人责任。评委对需要共同认定的事项存在争议的，按照少数服从多数的原则做出结论。持不同意见的评委应当在评审报告上签署不同意见并说明理由，否则视为同意。</w:t>
      </w:r>
    </w:p>
    <w:p w14:paraId="09A8987C">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评标</w:t>
      </w:r>
    </w:p>
    <w:p w14:paraId="00336FE6">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评标委员会将根据招标文件和有关规定，履行评标工作职责，并按照评标方法及评分标准，全面衡量各</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对招标文件的响应情况。对实质上响应招标文件的</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，按照评审因素的量化指标推荐综合得分排名第一的为中标候选人。</w:t>
      </w:r>
    </w:p>
    <w:p w14:paraId="1E4A30B4">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得分相同的，按投标报价由低到高顺序排列。得分且投标报价相同的，投标文件满足招标文件全部实质性要求，且按照评审因素的量化指标评审得分最高的</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为排名第一的中标候选人。</w:t>
      </w:r>
    </w:p>
    <w:p w14:paraId="22F5EA2A">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详见招标文件第四部分评标办法。</w:t>
      </w:r>
    </w:p>
    <w:p w14:paraId="425698A7">
      <w:pPr>
        <w:shd w:val="clear"/>
        <w:spacing w:line="360" w:lineRule="auto"/>
        <w:rPr>
          <w:rFonts w:cs="仿宋" w:asciiTheme="majorEastAsia" w:hAnsiTheme="majorEastAsia" w:eastAsiaTheme="majorEastAsia"/>
          <w:b/>
          <w:color w:val="auto"/>
          <w:sz w:val="24"/>
          <w:highlight w:val="none"/>
        </w:rPr>
      </w:pPr>
    </w:p>
    <w:p w14:paraId="62F4F12E">
      <w:pPr>
        <w:shd w:val="clear"/>
        <w:snapToGrid w:val="0"/>
        <w:spacing w:line="360" w:lineRule="auto"/>
        <w:jc w:val="center"/>
        <w:outlineLvl w:val="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color w:val="auto"/>
          <w:sz w:val="32"/>
          <w:szCs w:val="32"/>
          <w:highlight w:val="none"/>
        </w:rPr>
        <w:t>六、定 标</w:t>
      </w:r>
    </w:p>
    <w:p w14:paraId="3AC838B3">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确定中标供应商</w:t>
      </w:r>
    </w:p>
    <w:p w14:paraId="637C645F">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本项目由评标委员会推荐一个中标候选人，采购人不得在评标委员会推荐的中标候选人以外确定中标候选人。</w:t>
      </w:r>
    </w:p>
    <w:p w14:paraId="4B650617">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中标通知与中标结果公告</w:t>
      </w:r>
    </w:p>
    <w:p w14:paraId="66B59776">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20.1自中标人确定之日起2个工作日内，采购代理机构通过电子交易平台向中标人发出中标通知书，同时编制发布采购结果公告。采购代理机构也可以以纸质形式进行中标通知。</w:t>
      </w:r>
    </w:p>
    <w:p w14:paraId="73CDF8DA">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20.2中标结果公告内容包括采购人及其委托的采购代理机构的名称、地址、联系方式，项目名称和项目编号，中标人名称、地址和中标金额，主要中标标的的名称、规格型号、数量、单价、服务要求，中标公告期限以及评审专家名单。</w:t>
      </w:r>
    </w:p>
    <w:p w14:paraId="42BDDCC6">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20.3公告期限为1个工作日。</w:t>
      </w:r>
    </w:p>
    <w:p w14:paraId="4AE65A25">
      <w:pPr>
        <w:shd w:val="clear"/>
        <w:snapToGrid w:val="0"/>
        <w:spacing w:line="360" w:lineRule="auto"/>
        <w:ind w:left="120" w:leftChars="57" w:firstLine="482" w:firstLineChars="150"/>
        <w:jc w:val="center"/>
        <w:rPr>
          <w:rFonts w:cs="仿宋" w:asciiTheme="majorEastAsia" w:hAnsiTheme="majorEastAsia" w:eastAsiaTheme="majorEastAsia"/>
          <w:b/>
          <w:color w:val="auto"/>
          <w:sz w:val="32"/>
          <w:highlight w:val="none"/>
        </w:rPr>
      </w:pPr>
      <w:r>
        <w:rPr>
          <w:rFonts w:hint="eastAsia" w:cs="仿宋" w:asciiTheme="majorEastAsia" w:hAnsiTheme="majorEastAsia" w:eastAsiaTheme="majorEastAsia"/>
          <w:b/>
          <w:color w:val="auto"/>
          <w:sz w:val="32"/>
          <w:highlight w:val="none"/>
        </w:rPr>
        <w:t>七、合同授予</w:t>
      </w:r>
    </w:p>
    <w:p w14:paraId="70EBB3B6">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合同授予</w:t>
      </w:r>
    </w:p>
    <w:p w14:paraId="0095C5F8">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合同主要条款详见第五部分拟签订的合同文本。</w:t>
      </w:r>
    </w:p>
    <w:p w14:paraId="09631259">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合同的签订</w:t>
      </w:r>
    </w:p>
    <w:p w14:paraId="14F243F0">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22.1 采购人与中标供应商应当通过电子交易平台在中标通知书发出之日起三十日内，按照招标文件及中标供应商的投标文件确定的事项签订政府采购合同，并在合同签订之日起2个工作日内依法发布合同公告。</w:t>
      </w:r>
    </w:p>
    <w:p w14:paraId="3A2D4ED2">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lang w:val="zh-CN"/>
        </w:rPr>
        <w:t>2</w:t>
      </w:r>
      <w:r>
        <w:rPr>
          <w:rFonts w:hint="eastAsia" w:cs="仿宋" w:asciiTheme="majorEastAsia" w:hAnsiTheme="majorEastAsia" w:eastAsiaTheme="majorEastAsia"/>
          <w:color w:val="auto"/>
          <w:kern w:val="0"/>
          <w:szCs w:val="24"/>
          <w:highlight w:val="none"/>
        </w:rPr>
        <w:t>2</w:t>
      </w:r>
      <w:r>
        <w:rPr>
          <w:rFonts w:hint="eastAsia" w:cs="仿宋" w:asciiTheme="majorEastAsia" w:hAnsiTheme="majorEastAsia" w:eastAsiaTheme="majorEastAsia"/>
          <w:color w:val="auto"/>
          <w:kern w:val="0"/>
          <w:szCs w:val="24"/>
          <w:highlight w:val="none"/>
          <w:lang w:val="zh-CN"/>
        </w:rPr>
        <w:t>.2中标供应商按规定的日期、时间、地点，由法定代表人或其授权代表与采购人代表签订合同。如中标人为联合体的，由联合体成员各方法定代表人或其授权代表与采购人代表签订合同。</w:t>
      </w:r>
    </w:p>
    <w:p w14:paraId="4D997BAB">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22.3如签订合同并生效后，供应商无故拒绝或延期，除按照合同条款处理外，列入不良行为记录名单，并给予通报。</w:t>
      </w:r>
    </w:p>
    <w:p w14:paraId="320343FF">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22.4中标供应商拒绝与采购人签订合同的，列入不良行为记录名单，采购人、采购代理机构重新开展政府采购活动。</w:t>
      </w:r>
    </w:p>
    <w:p w14:paraId="41A36FC1">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22.5采购合同由采购人与中标供应商根据招标文件、投标文件等内容通过政府采购电子交易平台在线签订，自动备案。</w:t>
      </w:r>
    </w:p>
    <w:p w14:paraId="53B264FF">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投标保证金的交纳与退还</w:t>
      </w:r>
    </w:p>
    <w:p w14:paraId="019A16F9">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23.1 ▲投标人须按规定提交投标保证金。否则作无效标处理。</w:t>
      </w:r>
    </w:p>
    <w:p w14:paraId="5EAE9C87">
      <w:pPr>
        <w:pStyle w:val="41"/>
        <w:shd w:val="clear"/>
        <w:spacing w:before="0"/>
        <w:ind w:left="483" w:leftChars="230" w:firstLine="0" w:firstLineChars="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23.2保证金形式：单位网银、转账支票、汇票、汇兑。</w:t>
      </w:r>
      <w:r>
        <w:rPr>
          <w:rFonts w:hint="eastAsia" w:cs="仿宋" w:asciiTheme="majorEastAsia" w:hAnsiTheme="majorEastAsia" w:eastAsiaTheme="majorEastAsia"/>
          <w:color w:val="auto"/>
          <w:kern w:val="0"/>
          <w:szCs w:val="24"/>
          <w:highlight w:val="none"/>
        </w:rPr>
        <w:br w:type="textWrapping"/>
      </w:r>
      <w:r>
        <w:rPr>
          <w:rFonts w:hint="eastAsia" w:cs="仿宋" w:asciiTheme="majorEastAsia" w:hAnsiTheme="majorEastAsia" w:eastAsiaTheme="majorEastAsia"/>
          <w:color w:val="auto"/>
          <w:kern w:val="0"/>
          <w:szCs w:val="24"/>
          <w:highlight w:val="none"/>
        </w:rPr>
        <w:t>23.3未中标人的投标保证金在中标通知书发出后5个工作日内退还。</w:t>
      </w:r>
    </w:p>
    <w:p w14:paraId="0B76996F">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highlight w:val="none"/>
        </w:rPr>
        <w:t>23.4中标人应在中标通知书发出后按招标文件规定的时间内与招标人签订合同，并交纳招标文件规定的履约保证金，中标人的投标保证金在合同签订后5个工作日内退还。</w:t>
      </w:r>
      <w:r>
        <w:rPr>
          <w:rFonts w:hint="eastAsia" w:cs="仿宋" w:asciiTheme="majorEastAsia" w:hAnsiTheme="majorEastAsia" w:eastAsiaTheme="majorEastAsia"/>
          <w:color w:val="auto"/>
          <w:kern w:val="0"/>
          <w:highlight w:val="none"/>
        </w:rPr>
        <w:br w:type="textWrapping"/>
      </w:r>
      <w:r>
        <w:rPr>
          <w:rFonts w:hint="eastAsia" w:cs="仿宋" w:asciiTheme="majorEastAsia" w:hAnsiTheme="majorEastAsia" w:eastAsiaTheme="majorEastAsia"/>
          <w:color w:val="auto"/>
          <w:kern w:val="0"/>
          <w:highlight w:val="none"/>
        </w:rPr>
        <w:t xml:space="preserve">    23.5保证金不计息。</w:t>
      </w:r>
      <w:r>
        <w:rPr>
          <w:rFonts w:hint="eastAsia" w:cs="仿宋" w:asciiTheme="majorEastAsia" w:hAnsiTheme="majorEastAsia" w:eastAsiaTheme="majorEastAsia"/>
          <w:color w:val="auto"/>
          <w:kern w:val="0"/>
          <w:highlight w:val="none"/>
        </w:rPr>
        <w:br w:type="textWrapping"/>
      </w:r>
      <w:r>
        <w:rPr>
          <w:rFonts w:hint="eastAsia" w:cs="仿宋" w:asciiTheme="majorEastAsia" w:hAnsiTheme="majorEastAsia" w:eastAsiaTheme="majorEastAsia"/>
          <w:color w:val="auto"/>
          <w:kern w:val="0"/>
          <w:highlight w:val="none"/>
        </w:rPr>
        <w:t xml:space="preserve">    23.6投标人有下列情形之一的，投标保证金将不予退还：</w:t>
      </w:r>
      <w:r>
        <w:rPr>
          <w:rFonts w:hint="eastAsia" w:cs="仿宋" w:asciiTheme="majorEastAsia" w:hAnsiTheme="majorEastAsia" w:eastAsiaTheme="majorEastAsia"/>
          <w:color w:val="auto"/>
          <w:kern w:val="0"/>
          <w:highlight w:val="none"/>
        </w:rPr>
        <w:br w:type="textWrapping"/>
      </w:r>
      <w:r>
        <w:rPr>
          <w:rFonts w:hint="eastAsia" w:cs="仿宋" w:asciiTheme="majorEastAsia" w:hAnsiTheme="majorEastAsia" w:eastAsiaTheme="majorEastAsia"/>
          <w:color w:val="auto"/>
          <w:kern w:val="0"/>
          <w:highlight w:val="none"/>
        </w:rPr>
        <w:t xml:space="preserve">    23.6.1投标人在投标有效期内撤回投标文件的；</w:t>
      </w:r>
      <w:r>
        <w:rPr>
          <w:rFonts w:hint="eastAsia" w:cs="仿宋" w:asciiTheme="majorEastAsia" w:hAnsiTheme="majorEastAsia" w:eastAsiaTheme="majorEastAsia"/>
          <w:color w:val="auto"/>
          <w:kern w:val="0"/>
          <w:highlight w:val="none"/>
        </w:rPr>
        <w:br w:type="textWrapping"/>
      </w:r>
      <w:r>
        <w:rPr>
          <w:rFonts w:hint="eastAsia" w:cs="仿宋" w:asciiTheme="majorEastAsia" w:hAnsiTheme="majorEastAsia" w:eastAsiaTheme="majorEastAsia"/>
          <w:color w:val="auto"/>
          <w:kern w:val="0"/>
          <w:highlight w:val="none"/>
        </w:rPr>
        <w:t xml:space="preserve">    23.6.2未按规定提交履约保证金的；</w:t>
      </w:r>
      <w:r>
        <w:rPr>
          <w:rFonts w:hint="eastAsia" w:cs="仿宋" w:asciiTheme="majorEastAsia" w:hAnsiTheme="majorEastAsia" w:eastAsiaTheme="majorEastAsia"/>
          <w:color w:val="auto"/>
          <w:kern w:val="0"/>
          <w:highlight w:val="none"/>
        </w:rPr>
        <w:br w:type="textWrapping"/>
      </w:r>
      <w:r>
        <w:rPr>
          <w:rFonts w:hint="eastAsia" w:cs="仿宋" w:asciiTheme="majorEastAsia" w:hAnsiTheme="majorEastAsia" w:eastAsiaTheme="majorEastAsia"/>
          <w:color w:val="auto"/>
          <w:kern w:val="0"/>
          <w:highlight w:val="none"/>
        </w:rPr>
        <w:t xml:space="preserve">    23.6.3投标人在投标过程中弄虚作假，提供虚假材料的；</w:t>
      </w:r>
      <w:r>
        <w:rPr>
          <w:rFonts w:hint="eastAsia" w:cs="仿宋" w:asciiTheme="majorEastAsia" w:hAnsiTheme="majorEastAsia" w:eastAsiaTheme="majorEastAsia"/>
          <w:color w:val="auto"/>
          <w:kern w:val="0"/>
          <w:highlight w:val="none"/>
        </w:rPr>
        <w:br w:type="textWrapping"/>
      </w:r>
      <w:r>
        <w:rPr>
          <w:rFonts w:hint="eastAsia" w:cs="仿宋" w:asciiTheme="majorEastAsia" w:hAnsiTheme="majorEastAsia" w:eastAsiaTheme="majorEastAsia"/>
          <w:color w:val="auto"/>
          <w:kern w:val="0"/>
          <w:highlight w:val="none"/>
        </w:rPr>
        <w:t xml:space="preserve">    23.6.4中标人无正当理由不与招标人签订合同的；</w:t>
      </w:r>
    </w:p>
    <w:p w14:paraId="173018DD">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履约保证金</w:t>
      </w:r>
    </w:p>
    <w:p w14:paraId="0E892288">
      <w:pPr>
        <w:shd w:val="clear"/>
        <w:tabs>
          <w:tab w:val="left" w:pos="0"/>
        </w:tabs>
        <w:spacing w:line="360" w:lineRule="auto"/>
        <w:ind w:firstLine="482"/>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color w:val="auto"/>
          <w:kern w:val="0"/>
          <w:sz w:val="24"/>
          <w:highlight w:val="none"/>
        </w:rPr>
        <w:t>拟签订的合同文本要求中标供应商提交履约保证金的，供应商应当以支票、汇票、本票或者金融机构、担保机构出具的保函等非现金形式提交</w:t>
      </w:r>
      <w:r>
        <w:rPr>
          <w:rFonts w:hint="eastAsia" w:cs="仿宋" w:asciiTheme="majorEastAsia" w:hAnsiTheme="majorEastAsia" w:eastAsiaTheme="majorEastAsia"/>
          <w:color w:val="auto"/>
          <w:sz w:val="24"/>
          <w:highlight w:val="none"/>
        </w:rPr>
        <w:t>。鼓励和支持供应商以银行、保险公司出具的保函形式提供履约保证金。</w:t>
      </w:r>
      <w:r>
        <w:rPr>
          <w:rFonts w:hint="eastAsia" w:cs="仿宋" w:asciiTheme="majorEastAsia" w:hAnsiTheme="majorEastAsia" w:eastAsiaTheme="majorEastAsia"/>
          <w:b/>
          <w:color w:val="auto"/>
          <w:sz w:val="24"/>
          <w:highlight w:val="none"/>
        </w:rPr>
        <w:t>采购人不得拒收履约保函。</w:t>
      </w:r>
    </w:p>
    <w:p w14:paraId="02EB9BEB">
      <w:pPr>
        <w:pStyle w:val="6"/>
        <w:shd w:val="clear"/>
        <w:rPr>
          <w:rFonts w:asciiTheme="majorEastAsia" w:hAnsiTheme="majorEastAsia" w:eastAsiaTheme="majorEastAsia"/>
          <w:color w:val="auto"/>
          <w:highlight w:val="none"/>
        </w:rPr>
      </w:pPr>
    </w:p>
    <w:p w14:paraId="4B395930">
      <w:pPr>
        <w:shd w:val="clear"/>
        <w:snapToGrid w:val="0"/>
        <w:spacing w:line="360" w:lineRule="auto"/>
        <w:ind w:firstLine="3357" w:firstLineChars="1045"/>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32"/>
          <w:highlight w:val="none"/>
        </w:rPr>
        <w:t>八、电子交易活动的中止</w:t>
      </w:r>
    </w:p>
    <w:p w14:paraId="4230BC52">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电子交易活动的中止</w:t>
      </w:r>
    </w:p>
    <w:p w14:paraId="23C97D9D">
      <w:pPr>
        <w:shd w:val="clear"/>
        <w:tabs>
          <w:tab w:val="left" w:pos="0"/>
        </w:tabs>
        <w:spacing w:line="360" w:lineRule="auto"/>
        <w:ind w:firstLine="48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采购过程中出现以下情形，导致电子交易平台无法正常运行，或者无法保证电子交易的公平、公正和安全时，采购代理机构可中止电子交易活动：</w:t>
      </w:r>
    </w:p>
    <w:p w14:paraId="5CE944DE">
      <w:pPr>
        <w:pStyle w:val="41"/>
        <w:shd w:val="clear"/>
        <w:snapToGrid w:val="0"/>
        <w:spacing w:before="0"/>
        <w:ind w:firstLine="48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 xml:space="preserve">25.1电子交易平台发生故障而无法登录访问的； </w:t>
      </w:r>
    </w:p>
    <w:p w14:paraId="01A78FBF">
      <w:pPr>
        <w:pStyle w:val="41"/>
        <w:shd w:val="clear"/>
        <w:snapToGrid w:val="0"/>
        <w:spacing w:before="0"/>
        <w:ind w:firstLine="48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25.2电子交易平台应用或数据库出现错误，不能进行正常操作的；</w:t>
      </w:r>
    </w:p>
    <w:p w14:paraId="4BDEBACD">
      <w:pPr>
        <w:pStyle w:val="41"/>
        <w:shd w:val="clear"/>
        <w:snapToGrid w:val="0"/>
        <w:spacing w:before="0"/>
        <w:ind w:firstLine="48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25.3电子交易平台发现严重安全漏洞，有潜在泄密危险的；</w:t>
      </w:r>
    </w:p>
    <w:p w14:paraId="199CD51D">
      <w:pPr>
        <w:pStyle w:val="41"/>
        <w:shd w:val="clear"/>
        <w:snapToGrid w:val="0"/>
        <w:spacing w:before="0"/>
        <w:ind w:firstLine="48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 xml:space="preserve">25.4病毒发作导致不能进行正常操作的； </w:t>
      </w:r>
    </w:p>
    <w:p w14:paraId="423E6212">
      <w:pPr>
        <w:pStyle w:val="41"/>
        <w:shd w:val="clear"/>
        <w:snapToGrid w:val="0"/>
        <w:spacing w:before="0"/>
        <w:ind w:firstLine="48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25.5其他无法保证电子交易的公平、公正和安全的情况。</w:t>
      </w:r>
    </w:p>
    <w:p w14:paraId="5B77943C">
      <w:pPr>
        <w:shd w:val="clear"/>
        <w:tabs>
          <w:tab w:val="left" w:pos="0"/>
        </w:tabs>
        <w:spacing w:line="360" w:lineRule="auto"/>
        <w:ind w:firstLine="480"/>
        <w:rPr>
          <w:rFonts w:cs="仿宋" w:asciiTheme="majorEastAsia" w:hAnsiTheme="majorEastAsia" w:eastAsiaTheme="majorEastAsia"/>
          <w:color w:val="auto"/>
          <w:sz w:val="24"/>
          <w:highlight w:val="none"/>
        </w:rPr>
      </w:pPr>
    </w:p>
    <w:p w14:paraId="5747CCB4">
      <w:pPr>
        <w:shd w:val="clear"/>
        <w:snapToGrid w:val="0"/>
        <w:spacing w:line="360" w:lineRule="auto"/>
        <w:ind w:left="120" w:leftChars="57" w:firstLine="482" w:firstLineChars="150"/>
        <w:jc w:val="center"/>
        <w:rPr>
          <w:rFonts w:cs="仿宋" w:asciiTheme="majorEastAsia" w:hAnsiTheme="majorEastAsia" w:eastAsiaTheme="majorEastAsia"/>
          <w:b/>
          <w:color w:val="auto"/>
          <w:sz w:val="32"/>
          <w:highlight w:val="none"/>
        </w:rPr>
      </w:pPr>
      <w:r>
        <w:rPr>
          <w:rFonts w:hint="eastAsia" w:cs="仿宋" w:asciiTheme="majorEastAsia" w:hAnsiTheme="majorEastAsia" w:eastAsiaTheme="majorEastAsia"/>
          <w:b/>
          <w:color w:val="auto"/>
          <w:sz w:val="32"/>
          <w:highlight w:val="none"/>
        </w:rPr>
        <w:t>九、验收</w:t>
      </w:r>
    </w:p>
    <w:p w14:paraId="630CF9BB">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验收</w:t>
      </w:r>
    </w:p>
    <w:p w14:paraId="06A073D0">
      <w:pPr>
        <w:shd w:val="clear"/>
        <w:tabs>
          <w:tab w:val="left" w:pos="0"/>
        </w:tabs>
        <w:spacing w:line="360" w:lineRule="auto"/>
        <w:ind w:firstLine="48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5A88AC48">
      <w:pPr>
        <w:shd w:val="clear"/>
        <w:tabs>
          <w:tab w:val="left" w:pos="0"/>
        </w:tabs>
        <w:spacing w:line="360" w:lineRule="auto"/>
        <w:ind w:firstLine="48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26.2严格按照采购合同开展履约验收。采购人成立验收小组（为社会公众提供的公共服务项目验收时，验收小组成员必须包含部分服务对象），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33C0F883">
      <w:pPr>
        <w:shd w:val="clear"/>
        <w:tabs>
          <w:tab w:val="left" w:pos="0"/>
        </w:tabs>
        <w:spacing w:line="360" w:lineRule="auto"/>
        <w:ind w:firstLine="48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26.3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监管部门。</w:t>
      </w:r>
      <w:bookmarkEnd w:id="10"/>
      <w:bookmarkEnd w:id="11"/>
      <w:bookmarkEnd w:id="12"/>
      <w:bookmarkStart w:id="13" w:name="_Hlt74730295"/>
      <w:bookmarkEnd w:id="13"/>
      <w:bookmarkStart w:id="14" w:name="_Hlt75236101"/>
      <w:bookmarkEnd w:id="14"/>
      <w:bookmarkStart w:id="15" w:name="_Hlt68072990"/>
      <w:bookmarkEnd w:id="15"/>
      <w:bookmarkStart w:id="16" w:name="_Hlt75236011"/>
      <w:bookmarkEnd w:id="16"/>
      <w:bookmarkStart w:id="17" w:name="_Hlt75236290"/>
      <w:bookmarkEnd w:id="17"/>
      <w:bookmarkStart w:id="18" w:name="_Hlt68057669"/>
      <w:bookmarkEnd w:id="18"/>
      <w:bookmarkStart w:id="19" w:name="_Hlt74729768"/>
      <w:bookmarkEnd w:id="19"/>
      <w:bookmarkStart w:id="20" w:name="_Hlt68073093"/>
      <w:bookmarkEnd w:id="20"/>
      <w:bookmarkStart w:id="21" w:name="_Hlt68072998"/>
      <w:bookmarkEnd w:id="21"/>
      <w:bookmarkStart w:id="22" w:name="_Hlt74707468"/>
      <w:bookmarkEnd w:id="22"/>
      <w:bookmarkStart w:id="23" w:name="_Hlt68403820"/>
      <w:bookmarkEnd w:id="23"/>
      <w:bookmarkStart w:id="24" w:name="_Hlt74714665"/>
      <w:bookmarkEnd w:id="24"/>
      <w:bookmarkStart w:id="25" w:name="第四部分"/>
    </w:p>
    <w:p w14:paraId="349B2D80">
      <w:pPr>
        <w:shd w:val="clear"/>
        <w:spacing w:line="360" w:lineRule="auto"/>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br w:type="page"/>
      </w:r>
    </w:p>
    <w:p w14:paraId="7B20E22B">
      <w:pPr>
        <w:shd w:val="clear"/>
        <w:tabs>
          <w:tab w:val="left" w:pos="0"/>
        </w:tabs>
        <w:spacing w:line="360" w:lineRule="auto"/>
        <w:jc w:val="center"/>
        <w:rPr>
          <w:rFonts w:cs="仿宋" w:asciiTheme="majorEastAsia" w:hAnsiTheme="majorEastAsia" w:eastAsiaTheme="majorEastAsia"/>
          <w:b/>
          <w:color w:val="auto"/>
          <w:sz w:val="36"/>
          <w:szCs w:val="36"/>
          <w:highlight w:val="none"/>
        </w:rPr>
      </w:pPr>
      <w:r>
        <w:rPr>
          <w:rFonts w:hint="eastAsia" w:cs="仿宋" w:asciiTheme="majorEastAsia" w:hAnsiTheme="majorEastAsia" w:eastAsiaTheme="majorEastAsia"/>
          <w:b/>
          <w:color w:val="auto"/>
          <w:sz w:val="36"/>
          <w:szCs w:val="36"/>
          <w:highlight w:val="none"/>
        </w:rPr>
        <w:t>第三部分   采购需求</w:t>
      </w:r>
      <w:bookmarkStart w:id="26" w:name="_Toc500353170"/>
      <w:bookmarkStart w:id="27" w:name="_Toc238060530"/>
      <w:bookmarkStart w:id="28" w:name="_Toc238282729"/>
      <w:bookmarkStart w:id="29" w:name="_Toc337648124"/>
      <w:bookmarkStart w:id="30" w:name="_Toc234496368"/>
      <w:bookmarkStart w:id="31" w:name="_Toc3177"/>
      <w:bookmarkStart w:id="32" w:name="_Toc238060864"/>
      <w:bookmarkStart w:id="33" w:name="_Toc238302725"/>
    </w:p>
    <w:bookmarkEnd w:id="26"/>
    <w:bookmarkEnd w:id="27"/>
    <w:bookmarkEnd w:id="28"/>
    <w:bookmarkEnd w:id="29"/>
    <w:bookmarkEnd w:id="30"/>
    <w:bookmarkEnd w:id="31"/>
    <w:bookmarkEnd w:id="32"/>
    <w:bookmarkEnd w:id="33"/>
    <w:p w14:paraId="3BDB6EB3">
      <w:pPr>
        <w:shd w:val="clear"/>
        <w:spacing w:line="360" w:lineRule="auto"/>
        <w:rPr>
          <w:rFonts w:asciiTheme="minorEastAsia" w:hAnsiTheme="minorEastAsia" w:eastAsiaTheme="minorEastAsia"/>
          <w:color w:val="auto"/>
          <w:sz w:val="28"/>
          <w:highlight w:val="none"/>
        </w:rPr>
      </w:pPr>
      <w:bookmarkStart w:id="34" w:name="_Toc471938839"/>
      <w:r>
        <w:rPr>
          <w:rFonts w:hint="eastAsia" w:asciiTheme="minorEastAsia" w:hAnsiTheme="minorEastAsia" w:eastAsiaTheme="minorEastAsia"/>
          <w:color w:val="auto"/>
          <w:sz w:val="28"/>
          <w:highlight w:val="none"/>
        </w:rPr>
        <w:t>一</w:t>
      </w:r>
      <w:bookmarkEnd w:id="34"/>
      <w:r>
        <w:rPr>
          <w:rFonts w:hint="eastAsia" w:asciiTheme="minorEastAsia" w:hAnsiTheme="minorEastAsia" w:eastAsiaTheme="minorEastAsia"/>
          <w:color w:val="auto"/>
          <w:sz w:val="28"/>
          <w:highlight w:val="none"/>
        </w:rPr>
        <w:t>、基本情况</w:t>
      </w:r>
    </w:p>
    <w:p w14:paraId="31FA0CF0">
      <w:pPr>
        <w:shd w:val="clea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幼儿园秉承“自然教育”核心思想，以“顺应天性、自然成长”为理念宗旨，以“自然成长课程”为特色。</w:t>
      </w:r>
    </w:p>
    <w:p w14:paraId="58B65E10">
      <w:pPr>
        <w:shd w:val="clear"/>
        <w:spacing w:line="360" w:lineRule="auto"/>
        <w:rPr>
          <w:rFonts w:asciiTheme="minorEastAsia" w:hAnsiTheme="minorEastAsia" w:eastAsiaTheme="minorEastAsia"/>
          <w:color w:val="auto"/>
          <w:sz w:val="28"/>
          <w:highlight w:val="none"/>
        </w:rPr>
      </w:pPr>
      <w:bookmarkStart w:id="35" w:name="_Toc462044159"/>
      <w:r>
        <w:rPr>
          <w:rFonts w:hint="eastAsia" w:asciiTheme="minorEastAsia" w:hAnsiTheme="minorEastAsia" w:eastAsiaTheme="minorEastAsia"/>
          <w:color w:val="auto"/>
          <w:sz w:val="28"/>
          <w:highlight w:val="none"/>
        </w:rPr>
        <w:t>二、</w:t>
      </w:r>
      <w:bookmarkEnd w:id="35"/>
      <w:r>
        <w:rPr>
          <w:rFonts w:hint="eastAsia" w:asciiTheme="minorEastAsia" w:hAnsiTheme="minorEastAsia" w:eastAsiaTheme="minorEastAsia"/>
          <w:color w:val="auto"/>
          <w:sz w:val="28"/>
          <w:highlight w:val="none"/>
        </w:rPr>
        <w:t>深化设计方案</w:t>
      </w:r>
    </w:p>
    <w:p w14:paraId="0B607B1F">
      <w:pPr>
        <w:shd w:val="clear"/>
        <w:spacing w:line="360" w:lineRule="auto"/>
        <w:ind w:firstLine="480" w:firstLineChars="200"/>
        <w:rPr>
          <w:color w:val="auto"/>
          <w:highlight w:val="none"/>
        </w:rPr>
      </w:pPr>
      <w:r>
        <w:rPr>
          <w:rFonts w:hint="eastAsia" w:asciiTheme="minorEastAsia" w:hAnsiTheme="minorEastAsia" w:eastAsiaTheme="minorEastAsia"/>
          <w:color w:val="auto"/>
          <w:sz w:val="24"/>
          <w:highlight w:val="none"/>
        </w:rPr>
        <w:t>整个布局应符合省级幼儿园户外要求，需容纳人数270左右。要包含土坡拓展区、沙水区、种植体验区、大型玩具区、户外生活体验区、休闲区、养殖区、涂鸦区等功能区域，不仅在外观上凸显和谐美观，还能集中体现园所理念，要尽量满足3-6岁（三个年龄段）儿童学习与发展。通过充分挖掘场地的自然潜力，开辟可供幼儿翻滚、蹦跳、玩沙、玩水、自由游戏的户外活动场地。</w:t>
      </w:r>
    </w:p>
    <w:p w14:paraId="222D5646">
      <w:pPr>
        <w:shd w:val="clear"/>
        <w:spacing w:line="360" w:lineRule="auto"/>
        <w:rPr>
          <w:rFonts w:asciiTheme="minorEastAsia" w:hAnsiTheme="minorEastAsia" w:eastAsiaTheme="minorEastAsia"/>
          <w:color w:val="auto"/>
          <w:sz w:val="28"/>
          <w:highlight w:val="none"/>
        </w:rPr>
      </w:pPr>
      <w:bookmarkStart w:id="36" w:name="_Toc462044160"/>
      <w:r>
        <w:rPr>
          <w:rFonts w:hint="eastAsia" w:asciiTheme="minorEastAsia" w:hAnsiTheme="minorEastAsia" w:eastAsiaTheme="minorEastAsia"/>
          <w:color w:val="auto"/>
          <w:sz w:val="28"/>
          <w:highlight w:val="none"/>
        </w:rPr>
        <w:t>三</w:t>
      </w:r>
      <w:bookmarkEnd w:id="36"/>
      <w:r>
        <w:rPr>
          <w:rFonts w:hint="eastAsia" w:asciiTheme="minorEastAsia" w:hAnsiTheme="minorEastAsia" w:eastAsiaTheme="minorEastAsia"/>
          <w:color w:val="auto"/>
          <w:sz w:val="28"/>
          <w:highlight w:val="none"/>
        </w:rPr>
        <w:t>、总体要求</w:t>
      </w:r>
    </w:p>
    <w:p w14:paraId="2132FD39">
      <w:pPr>
        <w:shd w:val="clea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asciiTheme="minorEastAsia" w:hAnsiTheme="minorEastAsia" w:eastAsiaTheme="minorEastAsia"/>
          <w:color w:val="auto"/>
          <w:sz w:val="24"/>
          <w:highlight w:val="none"/>
        </w:rPr>
        <w:t>满足绿化、美化、净化、儿童化的要求；满足幼儿生理、心理、行为特征的需求；</w:t>
      </w:r>
      <w:r>
        <w:rPr>
          <w:rFonts w:hint="eastAsia" w:asciiTheme="minorEastAsia" w:hAnsiTheme="minorEastAsia" w:eastAsiaTheme="minorEastAsia"/>
          <w:color w:val="auto"/>
          <w:sz w:val="24"/>
          <w:highlight w:val="none"/>
        </w:rPr>
        <w:t>注重</w:t>
      </w:r>
      <w:r>
        <w:rPr>
          <w:rFonts w:asciiTheme="minorEastAsia" w:hAnsiTheme="minorEastAsia" w:eastAsiaTheme="minorEastAsia"/>
          <w:color w:val="auto"/>
          <w:sz w:val="24"/>
          <w:highlight w:val="none"/>
        </w:rPr>
        <w:t>虚实的排列、色彩的处理</w:t>
      </w:r>
      <w:r>
        <w:rPr>
          <w:rFonts w:hint="eastAsia" w:asciiTheme="minorEastAsia" w:hAnsiTheme="minorEastAsia" w:eastAsiaTheme="minorEastAsia"/>
          <w:color w:val="auto"/>
          <w:sz w:val="24"/>
          <w:highlight w:val="none"/>
        </w:rPr>
        <w:t>等。</w:t>
      </w:r>
    </w:p>
    <w:p w14:paraId="4D504F2A">
      <w:pPr>
        <w:shd w:val="clea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 有助于幼儿平衡协调能力的发展以及力量和耐力的锻炼，可供幼儿跑跳、钻爬、攀登等，创设一个富有“童趣”的室外环境空间。</w:t>
      </w:r>
    </w:p>
    <w:p w14:paraId="2AF96EBC">
      <w:pPr>
        <w:shd w:val="clea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3．体现自然教育和真心育真人的理念，要有整体的规划理念，为后期改造乃至全园的景观设计提供设想。</w:t>
      </w:r>
    </w:p>
    <w:p w14:paraId="3298FA88">
      <w:pPr>
        <w:shd w:val="clea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4．合理考虑省级幼儿园所必须配置的区域划分。</w:t>
      </w:r>
    </w:p>
    <w:p w14:paraId="544D75E9">
      <w:pPr>
        <w:pStyle w:val="25"/>
        <w:shd w:val="clear"/>
        <w:spacing w:line="360" w:lineRule="auto"/>
        <w:ind w:firstLine="480"/>
        <w:rPr>
          <w:rFonts w:asciiTheme="minorEastAsia" w:hAnsiTheme="minorEastAsia" w:eastAsiaTheme="minorEastAsia"/>
          <w:color w:val="auto"/>
          <w:sz w:val="24"/>
          <w:highlight w:val="none"/>
        </w:rPr>
        <w:sectPr>
          <w:headerReference r:id="rId4" w:type="first"/>
          <w:footerReference r:id="rId6" w:type="first"/>
          <w:headerReference r:id="rId3" w:type="default"/>
          <w:footerReference r:id="rId5" w:type="default"/>
          <w:pgSz w:w="11906" w:h="16838"/>
          <w:pgMar w:top="1276" w:right="1418" w:bottom="1247" w:left="1418" w:header="851" w:footer="992" w:gutter="0"/>
          <w:cols w:space="720" w:num="1"/>
          <w:titlePg/>
          <w:docGrid w:linePitch="312" w:charSpace="0"/>
        </w:sectPr>
      </w:pPr>
      <w:r>
        <w:rPr>
          <w:rFonts w:hint="eastAsia" w:asciiTheme="minorEastAsia" w:hAnsiTheme="minorEastAsia" w:eastAsiaTheme="minorEastAsia"/>
          <w:color w:val="auto"/>
          <w:sz w:val="24"/>
          <w:highlight w:val="none"/>
        </w:rPr>
        <w:t>5．各类设施材料需保证幼儿安全，注重基础设施细节处理。</w:t>
      </w:r>
    </w:p>
    <w:p w14:paraId="2B53A8C6">
      <w:pPr>
        <w:shd w:val="clear"/>
        <w:spacing w:line="360" w:lineRule="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8"/>
          <w:highlight w:val="none"/>
        </w:rPr>
        <w:t>四、采购清单</w:t>
      </w:r>
    </w:p>
    <w:tbl>
      <w:tblPr>
        <w:tblStyle w:val="18"/>
        <w:tblW w:w="5061" w:type="pct"/>
        <w:tblInd w:w="-181" w:type="dxa"/>
        <w:tblLayout w:type="fixed"/>
        <w:tblCellMar>
          <w:top w:w="0" w:type="dxa"/>
          <w:left w:w="108" w:type="dxa"/>
          <w:bottom w:w="0" w:type="dxa"/>
          <w:right w:w="108" w:type="dxa"/>
        </w:tblCellMar>
      </w:tblPr>
      <w:tblGrid>
        <w:gridCol w:w="779"/>
        <w:gridCol w:w="1627"/>
        <w:gridCol w:w="830"/>
        <w:gridCol w:w="703"/>
        <w:gridCol w:w="2680"/>
        <w:gridCol w:w="8089"/>
      </w:tblGrid>
      <w:tr w14:paraId="309FB61F">
        <w:tblPrEx>
          <w:tblCellMar>
            <w:top w:w="0" w:type="dxa"/>
            <w:left w:w="108" w:type="dxa"/>
            <w:bottom w:w="0" w:type="dxa"/>
            <w:right w:w="108" w:type="dxa"/>
          </w:tblCellMar>
        </w:tblPrEx>
        <w:trPr>
          <w:trHeight w:val="840"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FEE84">
            <w:pPr>
              <w:widowControl/>
              <w:shd w:val="clear"/>
              <w:jc w:val="center"/>
              <w:textAlignment w:val="center"/>
              <w:rPr>
                <w:rFonts w:ascii="宋体" w:hAnsi="宋体" w:cs="宋体"/>
                <w:b/>
                <w:bCs/>
                <w:color w:val="auto"/>
                <w:sz w:val="24"/>
                <w:highlight w:val="none"/>
              </w:rPr>
            </w:pPr>
            <w:r>
              <w:rPr>
                <w:rFonts w:hint="eastAsia" w:ascii="宋体" w:hAnsi="宋体" w:cs="宋体"/>
                <w:b/>
                <w:bCs/>
                <w:color w:val="auto"/>
                <w:kern w:val="0"/>
                <w:sz w:val="24"/>
                <w:highlight w:val="none"/>
                <w:lang w:bidi="ar"/>
              </w:rPr>
              <w:t>序号</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D398D">
            <w:pPr>
              <w:widowControl/>
              <w:shd w:val="clear"/>
              <w:jc w:val="center"/>
              <w:textAlignment w:val="center"/>
              <w:rPr>
                <w:rFonts w:ascii="宋体" w:hAnsi="宋体" w:cs="宋体"/>
                <w:b/>
                <w:bCs/>
                <w:color w:val="auto"/>
                <w:sz w:val="22"/>
                <w:szCs w:val="22"/>
                <w:highlight w:val="none"/>
              </w:rPr>
            </w:pPr>
            <w:r>
              <w:rPr>
                <w:rFonts w:hint="eastAsia" w:ascii="宋体" w:hAnsi="宋体" w:cs="宋体"/>
                <w:b/>
                <w:bCs/>
                <w:color w:val="auto"/>
                <w:kern w:val="0"/>
                <w:sz w:val="22"/>
                <w:szCs w:val="22"/>
                <w:highlight w:val="none"/>
                <w:lang w:bidi="ar"/>
              </w:rPr>
              <w:t>名称</w:t>
            </w:r>
          </w:p>
        </w:tc>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2201A">
            <w:pPr>
              <w:widowControl/>
              <w:shd w:val="clear"/>
              <w:jc w:val="center"/>
              <w:textAlignment w:val="center"/>
              <w:rPr>
                <w:rFonts w:ascii="宋体" w:hAnsi="宋体" w:cs="宋体"/>
                <w:b/>
                <w:bCs/>
                <w:color w:val="auto"/>
                <w:sz w:val="22"/>
                <w:szCs w:val="22"/>
                <w:highlight w:val="none"/>
              </w:rPr>
            </w:pPr>
            <w:r>
              <w:rPr>
                <w:rFonts w:hint="eastAsia" w:ascii="宋体" w:hAnsi="宋体" w:cs="宋体"/>
                <w:b/>
                <w:bCs/>
                <w:color w:val="auto"/>
                <w:kern w:val="0"/>
                <w:sz w:val="22"/>
                <w:szCs w:val="22"/>
                <w:highlight w:val="none"/>
                <w:lang w:bidi="ar"/>
              </w:rPr>
              <w:t>数量</w:t>
            </w:r>
          </w:p>
        </w:tc>
        <w:tc>
          <w:tcPr>
            <w:tcW w:w="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1648B">
            <w:pPr>
              <w:widowControl/>
              <w:shd w:val="clear"/>
              <w:jc w:val="center"/>
              <w:textAlignment w:val="center"/>
              <w:rPr>
                <w:rFonts w:ascii="宋体" w:hAnsi="宋体" w:cs="宋体"/>
                <w:b/>
                <w:bCs/>
                <w:color w:val="auto"/>
                <w:sz w:val="22"/>
                <w:szCs w:val="22"/>
                <w:highlight w:val="none"/>
              </w:rPr>
            </w:pPr>
            <w:r>
              <w:rPr>
                <w:rFonts w:hint="eastAsia" w:ascii="宋体" w:hAnsi="宋体" w:cs="宋体"/>
                <w:b/>
                <w:bCs/>
                <w:color w:val="auto"/>
                <w:kern w:val="0"/>
                <w:sz w:val="22"/>
                <w:szCs w:val="22"/>
                <w:highlight w:val="none"/>
                <w:lang w:bidi="ar"/>
              </w:rPr>
              <w:t>单位</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C4A2E">
            <w:pPr>
              <w:widowControl/>
              <w:shd w:val="clear"/>
              <w:jc w:val="center"/>
              <w:textAlignment w:val="center"/>
              <w:rPr>
                <w:rFonts w:ascii="宋体" w:hAnsi="宋体" w:cs="宋体"/>
                <w:b/>
                <w:bCs/>
                <w:color w:val="auto"/>
                <w:sz w:val="22"/>
                <w:szCs w:val="22"/>
                <w:highlight w:val="none"/>
              </w:rPr>
            </w:pPr>
            <w:r>
              <w:rPr>
                <w:rFonts w:hint="eastAsia" w:ascii="宋体" w:hAnsi="宋体" w:cs="宋体"/>
                <w:b/>
                <w:bCs/>
                <w:color w:val="auto"/>
                <w:kern w:val="0"/>
                <w:sz w:val="22"/>
                <w:szCs w:val="22"/>
                <w:highlight w:val="none"/>
                <w:lang w:bidi="ar"/>
              </w:rPr>
              <w:t>参考图片</w:t>
            </w:r>
          </w:p>
        </w:tc>
        <w:tc>
          <w:tcPr>
            <w:tcW w:w="2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1886A">
            <w:pPr>
              <w:widowControl/>
              <w:shd w:val="clear"/>
              <w:jc w:val="center"/>
              <w:textAlignment w:val="center"/>
              <w:rPr>
                <w:rFonts w:ascii="宋体" w:hAnsi="宋体" w:cs="宋体"/>
                <w:b/>
                <w:bCs/>
                <w:color w:val="auto"/>
                <w:sz w:val="22"/>
                <w:szCs w:val="22"/>
                <w:highlight w:val="none"/>
              </w:rPr>
            </w:pPr>
            <w:r>
              <w:rPr>
                <w:rFonts w:hint="eastAsia" w:ascii="宋体" w:hAnsi="宋体" w:cs="宋体"/>
                <w:b/>
                <w:bCs/>
                <w:color w:val="auto"/>
                <w:kern w:val="0"/>
                <w:sz w:val="22"/>
                <w:szCs w:val="22"/>
                <w:highlight w:val="none"/>
                <w:lang w:bidi="ar"/>
              </w:rPr>
              <w:t>参数</w:t>
            </w:r>
          </w:p>
        </w:tc>
      </w:tr>
      <w:tr w14:paraId="0FFB0BE5">
        <w:tblPrEx>
          <w:tblCellMar>
            <w:top w:w="0" w:type="dxa"/>
            <w:left w:w="108" w:type="dxa"/>
            <w:bottom w:w="0" w:type="dxa"/>
            <w:right w:w="108" w:type="dxa"/>
          </w:tblCellMar>
        </w:tblPrEx>
        <w:trPr>
          <w:trHeight w:val="90"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0B0BA">
            <w:pPr>
              <w:widowControl/>
              <w:shd w:val="clear"/>
              <w:jc w:val="center"/>
              <w:textAlignment w:val="center"/>
              <w:rPr>
                <w:rFonts w:ascii="宋体" w:hAnsi="宋体" w:cs="宋体"/>
                <w:b/>
                <w:bCs/>
                <w:color w:val="auto"/>
                <w:kern w:val="0"/>
                <w:sz w:val="24"/>
                <w:highlight w:val="none"/>
                <w:lang w:bidi="ar"/>
              </w:rPr>
            </w:pPr>
            <w:r>
              <w:rPr>
                <w:rFonts w:hint="eastAsia" w:ascii="宋体" w:hAnsi="宋体" w:cs="宋体"/>
                <w:color w:val="auto"/>
                <w:kern w:val="0"/>
                <w:sz w:val="18"/>
                <w:szCs w:val="18"/>
                <w:highlight w:val="none"/>
                <w:lang w:bidi="ar"/>
              </w:rPr>
              <w:t xml:space="preserve">1 </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38553">
            <w:pPr>
              <w:widowControl/>
              <w:shd w:val="clear"/>
              <w:jc w:val="center"/>
              <w:textAlignment w:val="center"/>
              <w:rPr>
                <w:rFonts w:ascii="宋体" w:hAnsi="宋体" w:cs="宋体"/>
                <w:b/>
                <w:bCs/>
                <w:color w:val="auto"/>
                <w:kern w:val="0"/>
                <w:sz w:val="22"/>
                <w:szCs w:val="22"/>
                <w:highlight w:val="none"/>
                <w:lang w:bidi="ar"/>
              </w:rPr>
            </w:pPr>
            <w:r>
              <w:rPr>
                <w:rFonts w:hint="eastAsia" w:ascii="宋体" w:hAnsi="宋体" w:cs="宋体"/>
                <w:color w:val="auto"/>
                <w:kern w:val="0"/>
                <w:sz w:val="18"/>
                <w:szCs w:val="18"/>
                <w:highlight w:val="none"/>
                <w:lang w:bidi="ar"/>
              </w:rPr>
              <w:t>木屋功能架组合</w:t>
            </w:r>
          </w:p>
        </w:tc>
        <w:tc>
          <w:tcPr>
            <w:tcW w:w="2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814BD">
            <w:pPr>
              <w:widowControl/>
              <w:shd w:val="clear"/>
              <w:jc w:val="center"/>
              <w:textAlignment w:val="center"/>
              <w:rPr>
                <w:rFonts w:ascii="宋体" w:hAnsi="宋体" w:cs="宋体"/>
                <w:b/>
                <w:bCs/>
                <w:color w:val="auto"/>
                <w:kern w:val="0"/>
                <w:sz w:val="22"/>
                <w:szCs w:val="22"/>
                <w:highlight w:val="none"/>
                <w:lang w:bidi="ar"/>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A6FA2">
            <w:pPr>
              <w:widowControl/>
              <w:shd w:val="clear"/>
              <w:jc w:val="center"/>
              <w:textAlignment w:val="center"/>
              <w:rPr>
                <w:rFonts w:ascii="宋体" w:hAnsi="宋体" w:cs="宋体"/>
                <w:b/>
                <w:bCs/>
                <w:color w:val="auto"/>
                <w:kern w:val="0"/>
                <w:sz w:val="22"/>
                <w:szCs w:val="22"/>
                <w:highlight w:val="none"/>
                <w:lang w:bidi="ar"/>
              </w:rPr>
            </w:pPr>
            <w:r>
              <w:rPr>
                <w:rFonts w:hint="eastAsia" w:ascii="宋体" w:hAnsi="宋体" w:cs="宋体"/>
                <w:color w:val="auto"/>
                <w:kern w:val="0"/>
                <w:sz w:val="18"/>
                <w:szCs w:val="18"/>
                <w:highlight w:val="none"/>
                <w:lang w:bidi="ar"/>
              </w:rPr>
              <w:t xml:space="preserve"> 组</w:t>
            </w:r>
          </w:p>
        </w:tc>
        <w:tc>
          <w:tcPr>
            <w:tcW w:w="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59B54">
            <w:pPr>
              <w:widowControl/>
              <w:shd w:val="clear"/>
              <w:jc w:val="center"/>
              <w:textAlignment w:val="center"/>
              <w:rPr>
                <w:rFonts w:ascii="宋体" w:hAnsi="宋体" w:cs="宋体"/>
                <w:b/>
                <w:bCs/>
                <w:color w:val="auto"/>
                <w:kern w:val="0"/>
                <w:sz w:val="22"/>
                <w:szCs w:val="22"/>
                <w:highlight w:val="none"/>
                <w:lang w:bidi="ar"/>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714560" behindDoc="0" locked="0" layoutInCell="1" allowOverlap="1">
                  <wp:simplePos x="0" y="0"/>
                  <wp:positionH relativeFrom="column">
                    <wp:posOffset>43180</wp:posOffset>
                  </wp:positionH>
                  <wp:positionV relativeFrom="paragraph">
                    <wp:posOffset>378460</wp:posOffset>
                  </wp:positionV>
                  <wp:extent cx="1366520" cy="694055"/>
                  <wp:effectExtent l="0" t="0" r="5080" b="10795"/>
                  <wp:wrapNone/>
                  <wp:docPr id="113" name="image1"/>
                  <wp:cNvGraphicFramePr/>
                  <a:graphic xmlns:a="http://schemas.openxmlformats.org/drawingml/2006/main">
                    <a:graphicData uri="http://schemas.openxmlformats.org/drawingml/2006/picture">
                      <pic:pic xmlns:pic="http://schemas.openxmlformats.org/drawingml/2006/picture">
                        <pic:nvPicPr>
                          <pic:cNvPr id="113" name="image1"/>
                          <pic:cNvPicPr/>
                        </pic:nvPicPr>
                        <pic:blipFill>
                          <a:blip r:embed="rId12"/>
                          <a:stretch>
                            <a:fillRect/>
                          </a:stretch>
                        </pic:blipFill>
                        <pic:spPr>
                          <a:xfrm>
                            <a:off x="0" y="0"/>
                            <a:ext cx="1366520" cy="694055"/>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960D4">
            <w:pPr>
              <w:widowControl/>
              <w:shd w:val="clear"/>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规格：2930*545*715cm</w:t>
            </w:r>
            <w:r>
              <w:rPr>
                <w:rFonts w:hint="eastAsia" w:ascii="宋体" w:hAnsi="宋体" w:cs="宋体"/>
                <w:color w:val="auto"/>
                <w:kern w:val="0"/>
                <w:sz w:val="18"/>
                <w:szCs w:val="18"/>
                <w:highlight w:val="none"/>
                <w:lang w:eastAsia="zh-CN" w:bidi="ar"/>
              </w:rPr>
              <w:t>；</w:t>
            </w:r>
          </w:p>
          <w:p w14:paraId="0A25EB01">
            <w:pPr>
              <w:widowControl/>
              <w:shd w:val="clear"/>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val="en-US" w:eastAsia="zh-CN" w:bidi="ar"/>
              </w:rPr>
              <w:t>2.</w:t>
            </w:r>
            <w:r>
              <w:rPr>
                <w:rFonts w:hint="eastAsia" w:ascii="宋体" w:hAnsi="宋体" w:cs="宋体"/>
                <w:color w:val="auto"/>
                <w:kern w:val="0"/>
                <w:sz w:val="18"/>
                <w:szCs w:val="18"/>
                <w:highlight w:val="none"/>
                <w:lang w:bidi="ar"/>
              </w:rPr>
              <w:t>所投木屋功能架组合符合GB/T 27689-2011标准</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3.</w:t>
            </w:r>
            <w:r>
              <w:rPr>
                <w:rFonts w:hint="eastAsia" w:ascii="宋体" w:hAnsi="宋体" w:cs="宋体"/>
                <w:color w:val="auto"/>
                <w:kern w:val="0"/>
                <w:sz w:val="18"/>
                <w:szCs w:val="18"/>
                <w:highlight w:val="none"/>
                <w:lang w:bidi="ar"/>
              </w:rPr>
              <w:t>平台和楼梯采用2mm厚镀锌钢板激光切割折弯焊接成型，表面铺设15mm厚PS塑木。平台表面塑木板铺设方式：镙丝钉从平台底部自下而上固定，平台表面没有镙丝钉。木屋顶板和侧板也为15mm厚PS塑木，立柱采用镀锌钢管114*2mm、龙骨主料采用80*40*2.2mm辅料采用40*40*2mm、50*30*2mm、栏杆横杆采用镀锌钢管48*2mm，竖杆采用镀锌钢管32*1.8mm。底部采用脚盘打膨胀螺丝与地面固定</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4.</w:t>
            </w:r>
            <w:r>
              <w:rPr>
                <w:rFonts w:hint="eastAsia" w:ascii="宋体" w:hAnsi="宋体" w:cs="宋体"/>
                <w:color w:val="auto"/>
                <w:kern w:val="0"/>
                <w:sz w:val="18"/>
                <w:szCs w:val="18"/>
                <w:highlight w:val="none"/>
                <w:lang w:bidi="ar"/>
              </w:rPr>
              <w:t>所投产品配件镀锌板通过抗拉强度、规定塑性延伸强度、断后伸长率、洛氏硬度、中性盐雾实验及试验评级、高温抗拉强度、高温规定塑性延伸强度、高温断后伸长率、冲击测试、密度测试；</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5.</w:t>
            </w:r>
            <w:r>
              <w:rPr>
                <w:rFonts w:hint="eastAsia" w:ascii="宋体" w:hAnsi="宋体" w:cs="宋体"/>
                <w:color w:val="auto"/>
                <w:kern w:val="0"/>
                <w:sz w:val="18"/>
                <w:szCs w:val="18"/>
                <w:highlight w:val="none"/>
                <w:lang w:bidi="ar"/>
              </w:rPr>
              <w:t>所投产品配件平台通过抗拉强度、规定塑性延伸强度、断后伸长率、洛氏硬度、中性盐雾实验及试验评级、高温抗拉强度、高温规定塑性延伸强度、高温断后伸长率、冲击测试、密度测试；</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6.</w:t>
            </w:r>
            <w:r>
              <w:rPr>
                <w:rFonts w:hint="eastAsia" w:ascii="宋体" w:hAnsi="宋体" w:cs="宋体"/>
                <w:color w:val="auto"/>
                <w:kern w:val="0"/>
                <w:sz w:val="18"/>
                <w:szCs w:val="18"/>
                <w:highlight w:val="none"/>
                <w:lang w:bidi="ar"/>
              </w:rPr>
              <w:t>所投产品配件脚盘通过抗拉强度、规定塑性延伸强度、断后伸长率、洛氏硬度、中性盐雾实验及试验评级、高温抗拉强度、高温规定塑性延伸强度、高温断后伸长率、冲击测试、密度测试；</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7.</w:t>
            </w:r>
            <w:r>
              <w:rPr>
                <w:rFonts w:hint="eastAsia" w:ascii="宋体" w:hAnsi="宋体" w:cs="宋体"/>
                <w:color w:val="auto"/>
                <w:kern w:val="0"/>
                <w:sz w:val="18"/>
                <w:szCs w:val="18"/>
                <w:highlight w:val="none"/>
                <w:lang w:bidi="ar"/>
              </w:rPr>
              <w:t>所投产品配件膨胀螺丝通过抗拉强度、规定塑性延伸强度、断后伸长率、洛氏硬度、中性盐雾实验及试验评级、高温抗拉强度、高温规定塑性延伸强度、高温断后伸长率、冲击测试、密度测试；</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材料工艺及特点：</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8.</w:t>
            </w:r>
            <w:r>
              <w:rPr>
                <w:rFonts w:hint="eastAsia" w:ascii="宋体" w:hAnsi="宋体" w:cs="宋体"/>
                <w:color w:val="auto"/>
                <w:kern w:val="0"/>
                <w:sz w:val="18"/>
                <w:szCs w:val="18"/>
                <w:highlight w:val="none"/>
                <w:lang w:bidi="ar"/>
              </w:rPr>
              <w:t>PS塑木：材质成份选用塑胶类中刚性最佳，质感最接近木材的HIPS，再经过改性提升耐冲击强度后，并添加户外专用抗老化、抗紫外线等配方，以100%纯料制造加工而成。外观四面立体压花一体成形，纹路深且明显，止滑性极佳，不易磨损，不易退色。吸水率极低0.3%以下，且水份能够挥发。在潮湿环境下不长斑、不发霉、不生虫、不开裂，相比于木材少去后期维护保养费用。★所投产品原材料塑木具有合格检测报告（检测内容含：抗紫外线老化、耐磨性、硬度）；（投标文件中提供具有CMA标志的第三方检测报告扫描件或复印件。）</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9.</w:t>
            </w:r>
            <w:r>
              <w:rPr>
                <w:rFonts w:hint="eastAsia" w:ascii="宋体" w:hAnsi="宋体" w:cs="宋体"/>
                <w:color w:val="auto"/>
                <w:kern w:val="0"/>
                <w:sz w:val="18"/>
                <w:szCs w:val="18"/>
                <w:highlight w:val="none"/>
                <w:lang w:bidi="ar"/>
              </w:rPr>
              <w:t>工程塑料：工程塑料添加抗止外线稳定及静电防止剂,表面处理:模铸面</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（1）原料:采用工程塑料,将颜色粉末与聚乙烯基材充分混合,让滚塑生产时可以充分的将颜色与基材密不可分, 让抗紫外线,退色,脆化,静电等元素长久不会流失.与一般厂家的只是将颜色粉末与聚乙烯基材以干拌方式混合有极大的性能分别. 颜色五年不退色，抗紫外线色牢度达8级</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（2）模具表面处理:采模铸面处理,展现较高的产质量感与防刮性</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10.</w:t>
            </w:r>
            <w:r>
              <w:rPr>
                <w:rFonts w:hint="eastAsia" w:ascii="宋体" w:hAnsi="宋体" w:cs="宋体"/>
                <w:color w:val="auto"/>
                <w:kern w:val="0"/>
                <w:sz w:val="18"/>
                <w:szCs w:val="18"/>
                <w:highlight w:val="none"/>
                <w:lang w:bidi="ar"/>
              </w:rPr>
              <w:t>钢管部件：镀锌钢管的部件采用符合要求的钢管，确保强度与安全性.原材料采用CO2 气体保护焊工艺、经过点焊，拉焊，补焊后，经过质检人员检查无误，通过打磨抛光的方法除绣，接着采用抛砂工艺处理铁件表面，随后将 漆粉通过喷枪，借助于喷枪压力，均匀喷涂于被涂物表面，在铁件专用高温烤箱内经过230度高温固化、最终成品表面光滑、色彩鲜艳、不易脱落 。（2）防止退色:粉末喷涂材料添加抗紫外线稳定剂,确保颜色保持长久鲜艳.直接使用镀锌厚度达到每平米120克的优质环保镀锌管，除油后用户外环保聚胺酯静电粉末喷涂，确保户外正常使用8年。★所投产品配件镀锌管具有合格检测报告（检测内容含：抗拉强度、规定塑性延伸强度、断后伸长率、洛氏硬度、中性盐雾实验及试验评级、高温抗拉强度、高温规定塑性延伸强度、高温断后伸长率、冲击测试、密度测试）；（投标文件中提供具有CMA标志的第三方检测报告扫描件或复印件）</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11.</w:t>
            </w:r>
            <w:r>
              <w:rPr>
                <w:rFonts w:hint="eastAsia" w:ascii="宋体" w:hAnsi="宋体" w:cs="宋体"/>
                <w:color w:val="auto"/>
                <w:kern w:val="0"/>
                <w:sz w:val="18"/>
                <w:szCs w:val="18"/>
                <w:highlight w:val="none"/>
                <w:lang w:bidi="ar"/>
              </w:rPr>
              <w:t>平行爬网：φ16mm钢芯缆绳，采用钢丝绳是将力学性能和几何尺寸符合要求的钢丝按照一定的规则捻制在一起的螺旋状钢丝束，钢丝绳由钢丝、绳芯及润滑脂组成。钢丝绳是先由6股钢丝捻成股，再以绳芯为中心，由一定数量股捻绕成螺旋状的绳；再覆以变色锦纶编织绳，强度大，抗磨损，耐腐蚀，安全性能好，安全使用性能好。网绳编织采用专用尼龙连接扣连接。爬网底再铺设六边型机编晴纶网，网孔不大于60mm。★所投产品配件钢丝绳具有合格检测报告</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t>检测内容含：抗拉强度、规定塑性延伸强度、断后伸长率、洛氏硬度、中性盐雾实验及试验评级、高温抗拉强度、高温规定塑性延伸强度、高温断后伸长率、冲击测试、密度测试</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t>；（投标文件中提供具有CMA标志的第三方检测报告扫描件或复印件）</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12.</w:t>
            </w:r>
            <w:r>
              <w:rPr>
                <w:rFonts w:hint="eastAsia" w:ascii="宋体" w:hAnsi="宋体" w:cs="宋体"/>
                <w:color w:val="auto"/>
                <w:kern w:val="0"/>
                <w:sz w:val="18"/>
                <w:szCs w:val="18"/>
                <w:highlight w:val="none"/>
                <w:lang w:bidi="ar"/>
              </w:rPr>
              <w:t>网桶钻洞：绳子采用14mm航海船用缆绳，中芯为镀铬钢丝，外层再覆以变色锦纶编织绳，强度大，抗磨损，耐腐蚀，安全性能好，安全使用性能好，网绳编织采用专用绳网扣连接</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t>所投产品配件U型扣通过抗拉强度、规定塑性延伸强度、断后伸长率、洛氏硬度、中性盐雾实验及试验评级、高温抗拉强度、高温规定塑性延伸强度、高温断后伸长率、冲击测试、密度测试；★所投产品配件绳网扣具有合格检测报告</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t>检测内容含：抗拉强度、规定塑性延伸强度、断后伸长率、洛氏硬度、中性盐雾实验及试验评级、高温抗拉强度、高温规定塑性延伸强度、高温断后伸长率、冲击测试、密度测试</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t>；（投标文件中提供具有CMA标志的第三方检测报告扫描件或复印件）</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13.</w:t>
            </w:r>
            <w:r>
              <w:rPr>
                <w:rFonts w:hint="eastAsia" w:ascii="宋体" w:hAnsi="宋体" w:cs="宋体"/>
                <w:color w:val="auto"/>
                <w:kern w:val="0"/>
                <w:sz w:val="18"/>
                <w:szCs w:val="18"/>
                <w:highlight w:val="none"/>
                <w:lang w:bidi="ar"/>
              </w:rPr>
              <w:t>装饰PC板：采用纯聚甲基丙烯酸甲酯（PMMA）材料制成，厚度不小于4.5mm，透光率达80%以上，有极佳的耐候性，抗冲击力强</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14.</w:t>
            </w:r>
            <w:r>
              <w:rPr>
                <w:rFonts w:hint="eastAsia" w:ascii="宋体" w:hAnsi="宋体" w:cs="宋体"/>
                <w:color w:val="auto"/>
                <w:kern w:val="0"/>
                <w:sz w:val="18"/>
                <w:szCs w:val="18"/>
                <w:highlight w:val="none"/>
                <w:lang w:bidi="ar"/>
              </w:rPr>
              <w:t>PE板材质：高密度聚乙烯，厚度1.5cm，产品无臭，无毒，手感似蜡，具有优良的耐低温性能(最低使用温度可达-70～-100℃)，化学稳定性好</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15.</w:t>
            </w:r>
            <w:r>
              <w:rPr>
                <w:rFonts w:hint="eastAsia" w:ascii="宋体" w:hAnsi="宋体" w:cs="宋体"/>
                <w:color w:val="auto"/>
                <w:kern w:val="0"/>
                <w:sz w:val="18"/>
                <w:szCs w:val="18"/>
                <w:highlight w:val="none"/>
                <w:lang w:bidi="ar"/>
              </w:rPr>
              <w:t xml:space="preserve">五金配件采用材质：304不锈钢半圆头，T 型平头螺丝、采用防松螺母。表面处理：机械抛光   </w:t>
            </w:r>
          </w:p>
          <w:p w14:paraId="55F7386E">
            <w:pPr>
              <w:widowControl/>
              <w:shd w:val="clear"/>
              <w:jc w:val="left"/>
              <w:textAlignment w:val="center"/>
              <w:rPr>
                <w:rFonts w:hint="eastAsia" w:ascii="宋体" w:hAnsi="宋体" w:eastAsia="宋体" w:cs="宋体"/>
                <w:b/>
                <w:bCs/>
                <w:color w:val="auto"/>
                <w:kern w:val="0"/>
                <w:sz w:val="22"/>
                <w:szCs w:val="22"/>
                <w:highlight w:val="none"/>
                <w:lang w:eastAsia="zh-CN" w:bidi="ar"/>
              </w:rPr>
            </w:pPr>
            <w:r>
              <w:rPr>
                <w:rFonts w:hint="eastAsia" w:ascii="宋体" w:hAnsi="宋体" w:cs="宋体"/>
                <w:color w:val="auto"/>
                <w:kern w:val="0"/>
                <w:sz w:val="18"/>
                <w:szCs w:val="18"/>
                <w:highlight w:val="none"/>
                <w:lang w:bidi="ar"/>
              </w:rPr>
              <w:t>所投产品配件螺丝通过抗拉强度、规定塑性延伸强度、断后伸长率、洛氏硬度、中性盐雾实验及试验评级、高温抗拉强度、高温规定塑性延伸强度、高温断后伸长率、冲击测试、密度测试；</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★所投产品配件防松螺母具有合格检测报告</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t>检测内容含：抗拉强度、规定塑性延伸强度、断后伸长率、洛氏硬度、中性盐雾实验及试验评级、高温抗拉强度、高温规定塑性延伸强度、高温断后伸长率、冲击测试、密度测试</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t>；（投标文件中提供具有CMA标志的第三方检测报告扫描件或复印件）</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16.</w:t>
            </w:r>
            <w:r>
              <w:rPr>
                <w:rFonts w:hint="eastAsia" w:ascii="宋体" w:hAnsi="宋体" w:cs="宋体"/>
                <w:color w:val="auto"/>
                <w:kern w:val="0"/>
                <w:sz w:val="18"/>
                <w:szCs w:val="18"/>
                <w:highlight w:val="none"/>
                <w:lang w:bidi="ar"/>
              </w:rPr>
              <w:t>功能部件：采用厚15mmPE板，触碰进入敏捷模式，该模式下，孩子们要以最快的速度触摸按钮。触碰绿灯进入记忆模式，该模式下，每回合依次触摸，孩子们通过记忆按顺序依次触摸相应的按钮，所有的传动机构均内嵌</w:t>
            </w:r>
            <w:r>
              <w:rPr>
                <w:rFonts w:hint="eastAsia" w:ascii="宋体" w:hAnsi="宋体" w:cs="宋体"/>
                <w:color w:val="auto"/>
                <w:kern w:val="0"/>
                <w:sz w:val="18"/>
                <w:szCs w:val="18"/>
                <w:highlight w:val="none"/>
                <w:lang w:eastAsia="zh-CN" w:bidi="ar"/>
              </w:rPr>
              <w:t>。</w:t>
            </w:r>
          </w:p>
        </w:tc>
      </w:tr>
      <w:tr w14:paraId="6B83830E">
        <w:tblPrEx>
          <w:tblCellMar>
            <w:top w:w="0" w:type="dxa"/>
            <w:left w:w="108" w:type="dxa"/>
            <w:bottom w:w="0" w:type="dxa"/>
            <w:right w:w="108" w:type="dxa"/>
          </w:tblCellMar>
        </w:tblPrEx>
        <w:trPr>
          <w:trHeight w:val="2440"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F5FB8">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2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90133">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帐篷</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EA85C">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B482F">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D35C9F">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59264" behindDoc="0" locked="0" layoutInCell="1" allowOverlap="1">
                  <wp:simplePos x="0" y="0"/>
                  <wp:positionH relativeFrom="column">
                    <wp:posOffset>299720</wp:posOffset>
                  </wp:positionH>
                  <wp:positionV relativeFrom="paragraph">
                    <wp:posOffset>261620</wp:posOffset>
                  </wp:positionV>
                  <wp:extent cx="1082675" cy="1178560"/>
                  <wp:effectExtent l="0" t="0" r="3175" b="2540"/>
                  <wp:wrapNone/>
                  <wp:docPr id="58" name="image6"/>
                  <wp:cNvGraphicFramePr/>
                  <a:graphic xmlns:a="http://schemas.openxmlformats.org/drawingml/2006/main">
                    <a:graphicData uri="http://schemas.openxmlformats.org/drawingml/2006/picture">
                      <pic:pic xmlns:pic="http://schemas.openxmlformats.org/drawingml/2006/picture">
                        <pic:nvPicPr>
                          <pic:cNvPr id="58" name="image6"/>
                          <pic:cNvPicPr/>
                        </pic:nvPicPr>
                        <pic:blipFill>
                          <a:blip r:embed="rId13"/>
                          <a:stretch>
                            <a:fillRect/>
                          </a:stretch>
                        </pic:blipFill>
                        <pic:spPr>
                          <a:xfrm>
                            <a:off x="0" y="0"/>
                            <a:ext cx="1082675" cy="1178560"/>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A1E93">
            <w:pPr>
              <w:widowControl/>
              <w:shd w:val="clear"/>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规格：250*250*270cm</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2.</w:t>
            </w:r>
            <w:r>
              <w:rPr>
                <w:rFonts w:hint="eastAsia" w:ascii="宋体" w:hAnsi="宋体" w:cs="宋体"/>
                <w:color w:val="auto"/>
                <w:kern w:val="0"/>
                <w:sz w:val="18"/>
                <w:szCs w:val="18"/>
                <w:highlight w:val="none"/>
                <w:lang w:bidi="ar"/>
              </w:rPr>
              <w:t>立柱木头材质芬兰木，圆立柱直径8cm,表面处理：进行压、刨、铣、冲等处理后，表面进行防腐、防蛀处理，后采用原子灰进行三次刮灰抹平，并打磨光滑，表面喷涂三次聚氨脂清漆，围布为防水帆布</w:t>
            </w:r>
            <w:r>
              <w:rPr>
                <w:rFonts w:hint="eastAsia" w:ascii="宋体" w:hAnsi="宋体" w:cs="宋体"/>
                <w:color w:val="auto"/>
                <w:kern w:val="0"/>
                <w:sz w:val="18"/>
                <w:szCs w:val="18"/>
                <w:highlight w:val="none"/>
                <w:lang w:eastAsia="zh-CN" w:bidi="ar"/>
              </w:rPr>
              <w:t>；</w:t>
            </w:r>
          </w:p>
          <w:p w14:paraId="58EF5B30">
            <w:pPr>
              <w:widowControl/>
              <w:shd w:val="clear"/>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w:t>
            </w:r>
            <w:r>
              <w:rPr>
                <w:rFonts w:hint="eastAsia" w:ascii="宋体" w:hAnsi="宋体" w:cs="宋体"/>
                <w:color w:val="auto"/>
                <w:kern w:val="0"/>
                <w:sz w:val="18"/>
                <w:szCs w:val="18"/>
                <w:highlight w:val="none"/>
                <w:lang w:val="en-US" w:eastAsia="zh-CN" w:bidi="ar"/>
              </w:rPr>
              <w:t>3.</w:t>
            </w:r>
            <w:r>
              <w:rPr>
                <w:rFonts w:hint="eastAsia" w:ascii="宋体" w:hAnsi="宋体" w:cs="宋体"/>
                <w:color w:val="auto"/>
                <w:kern w:val="0"/>
                <w:sz w:val="18"/>
                <w:szCs w:val="18"/>
                <w:highlight w:val="none"/>
                <w:lang w:bidi="ar"/>
              </w:rPr>
              <w:t>所投产品原材料芬兰木具有合格检测报告（检测内容须含：黑曲霉0级、土曲霉0级、宛氏拟青霉0级、绳状青霉0级、出芽短梗霉0级、 球毛壳霉0级）。（投标文件中提供具有CMA标志的第三方检测报告扫描件或复印件）</w:t>
            </w:r>
          </w:p>
        </w:tc>
      </w:tr>
      <w:tr w14:paraId="76287E80">
        <w:tblPrEx>
          <w:tblCellMar>
            <w:top w:w="0" w:type="dxa"/>
            <w:left w:w="108" w:type="dxa"/>
            <w:bottom w:w="0" w:type="dxa"/>
            <w:right w:w="108" w:type="dxa"/>
          </w:tblCellMar>
        </w:tblPrEx>
        <w:trPr>
          <w:trHeight w:val="2680"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F4060">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3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87AB0">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拱形小屋</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80193">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53902">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座</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732CE">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60288" behindDoc="0" locked="0" layoutInCell="1" allowOverlap="1">
                  <wp:simplePos x="0" y="0"/>
                  <wp:positionH relativeFrom="column">
                    <wp:posOffset>57150</wp:posOffset>
                  </wp:positionH>
                  <wp:positionV relativeFrom="paragraph">
                    <wp:posOffset>139065</wp:posOffset>
                  </wp:positionV>
                  <wp:extent cx="1449705" cy="1083310"/>
                  <wp:effectExtent l="0" t="0" r="17145" b="2540"/>
                  <wp:wrapNone/>
                  <wp:docPr id="61" name="image4"/>
                  <wp:cNvGraphicFramePr/>
                  <a:graphic xmlns:a="http://schemas.openxmlformats.org/drawingml/2006/main">
                    <a:graphicData uri="http://schemas.openxmlformats.org/drawingml/2006/picture">
                      <pic:pic xmlns:pic="http://schemas.openxmlformats.org/drawingml/2006/picture">
                        <pic:nvPicPr>
                          <pic:cNvPr id="61" name="image4"/>
                          <pic:cNvPicPr/>
                        </pic:nvPicPr>
                        <pic:blipFill>
                          <a:blip r:embed="rId14"/>
                          <a:stretch>
                            <a:fillRect/>
                          </a:stretch>
                        </pic:blipFill>
                        <pic:spPr>
                          <a:xfrm>
                            <a:off x="0" y="0"/>
                            <a:ext cx="1449705" cy="1083310"/>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E24A0">
            <w:pPr>
              <w:widowControl/>
              <w:shd w:val="clear"/>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w:t>
            </w:r>
            <w:r>
              <w:rPr>
                <w:rStyle w:val="60"/>
                <w:rFonts w:hint="default"/>
                <w:color w:val="auto"/>
                <w:highlight w:val="none"/>
                <w:lang w:bidi="ar"/>
              </w:rPr>
              <w:t>225*100*155cm</w:t>
            </w:r>
            <w:r>
              <w:rPr>
                <w:rStyle w:val="60"/>
                <w:rFonts w:hint="default"/>
                <w:color w:val="auto"/>
                <w:highlight w:val="none"/>
                <w:lang w:bidi="ar"/>
              </w:rPr>
              <w:br w:type="textWrapping"/>
            </w:r>
            <w:r>
              <w:rPr>
                <w:rStyle w:val="60"/>
                <w:rFonts w:hint="eastAsia"/>
                <w:color w:val="auto"/>
                <w:highlight w:val="none"/>
                <w:lang w:val="en-US" w:eastAsia="zh-CN" w:bidi="ar"/>
              </w:rPr>
              <w:t>2.</w:t>
            </w:r>
            <w:r>
              <w:rPr>
                <w:rStyle w:val="60"/>
                <w:rFonts w:hint="default"/>
                <w:color w:val="auto"/>
                <w:highlight w:val="none"/>
                <w:lang w:bidi="ar"/>
              </w:rPr>
              <w:t>木头材质芬兰木，厚度40mm表面处理：进行压、刨、铣、冲等处理后，表面进行防腐、防蛀处理，后采用原子灰进行三次刮灰抹平，并打磨光滑，表面喷涂三次聚氨脂清漆</w:t>
            </w:r>
            <w:r>
              <w:rPr>
                <w:rStyle w:val="60"/>
                <w:rFonts w:hint="eastAsia"/>
                <w:color w:val="auto"/>
                <w:highlight w:val="none"/>
                <w:lang w:eastAsia="zh-CN" w:bidi="ar"/>
              </w:rPr>
              <w:t>；</w:t>
            </w:r>
            <w:r>
              <w:rPr>
                <w:rStyle w:val="61"/>
                <w:rFonts w:hint="default"/>
                <w:color w:val="auto"/>
                <w:highlight w:val="none"/>
                <w:lang w:bidi="ar"/>
              </w:rPr>
              <w:br w:type="textWrapping"/>
            </w:r>
            <w:r>
              <w:rPr>
                <w:rStyle w:val="61"/>
                <w:rFonts w:hint="eastAsia"/>
                <w:color w:val="auto"/>
                <w:highlight w:val="none"/>
                <w:lang w:val="en-US" w:eastAsia="zh-CN" w:bidi="ar"/>
              </w:rPr>
              <w:t>3.</w:t>
            </w:r>
            <w:r>
              <w:rPr>
                <w:rStyle w:val="60"/>
                <w:rFonts w:hint="default"/>
                <w:color w:val="auto"/>
                <w:highlight w:val="none"/>
                <w:lang w:bidi="ar"/>
              </w:rPr>
              <w:t>螺丝均采用不锈钢</w:t>
            </w:r>
            <w:r>
              <w:rPr>
                <w:rStyle w:val="61"/>
                <w:rFonts w:hint="default"/>
                <w:color w:val="auto"/>
                <w:highlight w:val="none"/>
                <w:lang w:bidi="ar"/>
              </w:rPr>
              <w:t>304#</w:t>
            </w:r>
            <w:r>
              <w:rPr>
                <w:rStyle w:val="60"/>
                <w:rFonts w:hint="default"/>
                <w:color w:val="auto"/>
                <w:highlight w:val="none"/>
                <w:lang w:bidi="ar"/>
              </w:rPr>
              <w:t>材质防盗螺丝，并采用螺栓连接，牢固可靠，不易松动脱落及变形和损坏</w:t>
            </w:r>
            <w:r>
              <w:rPr>
                <w:rStyle w:val="60"/>
                <w:rFonts w:hint="eastAsia"/>
                <w:color w:val="auto"/>
                <w:highlight w:val="none"/>
                <w:lang w:eastAsia="zh-CN" w:bidi="ar"/>
              </w:rPr>
              <w:t>；</w:t>
            </w:r>
            <w:r>
              <w:rPr>
                <w:rStyle w:val="61"/>
                <w:rFonts w:hint="eastAsia"/>
                <w:color w:val="auto"/>
                <w:highlight w:val="none"/>
                <w:lang w:val="en-US" w:eastAsia="zh-CN" w:bidi="ar"/>
              </w:rPr>
              <w:t>4.</w:t>
            </w:r>
            <w:r>
              <w:rPr>
                <w:rStyle w:val="60"/>
                <w:rFonts w:hint="default"/>
                <w:color w:val="auto"/>
                <w:highlight w:val="none"/>
                <w:lang w:bidi="ar"/>
              </w:rPr>
              <w:t>产品外表和内表以及儿童手指可触及处无毛刺及尖锐的棱角，油漆采用户外哑光漆</w:t>
            </w:r>
            <w:r>
              <w:rPr>
                <w:rStyle w:val="61"/>
                <w:rFonts w:hint="default"/>
                <w:color w:val="auto"/>
                <w:highlight w:val="none"/>
                <w:lang w:bidi="ar"/>
              </w:rPr>
              <w:t xml:space="preserve"> </w:t>
            </w:r>
            <w:r>
              <w:rPr>
                <w:rStyle w:val="60"/>
                <w:rFonts w:hint="default"/>
                <w:color w:val="auto"/>
                <w:highlight w:val="none"/>
                <w:lang w:bidi="ar"/>
              </w:rPr>
              <w:t>。</w:t>
            </w:r>
          </w:p>
        </w:tc>
      </w:tr>
      <w:tr w14:paraId="7AD3FA06">
        <w:tblPrEx>
          <w:tblCellMar>
            <w:top w:w="0" w:type="dxa"/>
            <w:left w:w="108" w:type="dxa"/>
            <w:bottom w:w="0" w:type="dxa"/>
            <w:right w:w="108" w:type="dxa"/>
          </w:tblCellMar>
        </w:tblPrEx>
        <w:trPr>
          <w:trHeight w:val="1883"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C2E0D">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4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B692E">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拱挤木地板</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043BA">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122</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FFCDAC">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平</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36455">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61312" behindDoc="0" locked="0" layoutInCell="1" allowOverlap="1">
                  <wp:simplePos x="0" y="0"/>
                  <wp:positionH relativeFrom="column">
                    <wp:posOffset>33020</wp:posOffset>
                  </wp:positionH>
                  <wp:positionV relativeFrom="paragraph">
                    <wp:posOffset>635</wp:posOffset>
                  </wp:positionV>
                  <wp:extent cx="1472565" cy="1129665"/>
                  <wp:effectExtent l="0" t="0" r="13335" b="13335"/>
                  <wp:wrapNone/>
                  <wp:docPr id="59" name="image3"/>
                  <wp:cNvGraphicFramePr/>
                  <a:graphic xmlns:a="http://schemas.openxmlformats.org/drawingml/2006/main">
                    <a:graphicData uri="http://schemas.openxmlformats.org/drawingml/2006/picture">
                      <pic:pic xmlns:pic="http://schemas.openxmlformats.org/drawingml/2006/picture">
                        <pic:nvPicPr>
                          <pic:cNvPr id="59" name="image3"/>
                          <pic:cNvPicPr/>
                        </pic:nvPicPr>
                        <pic:blipFill>
                          <a:blip r:embed="rId15"/>
                          <a:stretch>
                            <a:fillRect/>
                          </a:stretch>
                        </pic:blipFill>
                        <pic:spPr>
                          <a:xfrm>
                            <a:off x="0" y="0"/>
                            <a:ext cx="1472565" cy="1129665"/>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51182">
            <w:pPr>
              <w:widowControl/>
              <w:shd w:val="clear"/>
              <w:jc w:val="left"/>
              <w:textAlignment w:val="center"/>
              <w:rPr>
                <w:rFonts w:ascii="宋体" w:hAnsi="宋体" w:cs="宋体"/>
                <w:color w:val="auto"/>
                <w:sz w:val="18"/>
                <w:szCs w:val="18"/>
                <w:highlight w:val="none"/>
              </w:rPr>
            </w:pPr>
            <w:r>
              <w:rPr>
                <w:rStyle w:val="60"/>
                <w:rFonts w:hint="default"/>
                <w:color w:val="auto"/>
                <w:highlight w:val="none"/>
                <w:lang w:bidi="ar"/>
              </w:rPr>
              <w:t>地板规格；</w:t>
            </w:r>
            <w:r>
              <w:rPr>
                <w:rStyle w:val="61"/>
                <w:rFonts w:hint="default"/>
                <w:color w:val="auto"/>
                <w:highlight w:val="none"/>
                <w:lang w:bidi="ar"/>
              </w:rPr>
              <w:t>4000*145*23mm</w:t>
            </w:r>
            <w:r>
              <w:rPr>
                <w:rStyle w:val="60"/>
                <w:rFonts w:hint="default"/>
                <w:color w:val="auto"/>
                <w:highlight w:val="none"/>
                <w:lang w:bidi="ar"/>
              </w:rPr>
              <w:t>，热镀锌方管龙骨规格</w:t>
            </w:r>
            <w:r>
              <w:rPr>
                <w:rStyle w:val="61"/>
                <w:rFonts w:hint="default"/>
                <w:color w:val="auto"/>
                <w:highlight w:val="none"/>
                <w:lang w:bidi="ar"/>
              </w:rPr>
              <w:t>6000*50*30mm</w:t>
            </w:r>
            <w:r>
              <w:rPr>
                <w:rStyle w:val="60"/>
                <w:rFonts w:hint="default"/>
                <w:color w:val="auto"/>
                <w:highlight w:val="none"/>
                <w:lang w:bidi="ar"/>
              </w:rPr>
              <w:t>厚度</w:t>
            </w:r>
            <w:r>
              <w:rPr>
                <w:rStyle w:val="61"/>
                <w:rFonts w:hint="default"/>
                <w:color w:val="auto"/>
                <w:highlight w:val="none"/>
                <w:lang w:bidi="ar"/>
              </w:rPr>
              <w:t>2.0mm</w:t>
            </w:r>
            <w:r>
              <w:rPr>
                <w:rStyle w:val="60"/>
                <w:rFonts w:hint="default"/>
                <w:color w:val="auto"/>
                <w:highlight w:val="none"/>
                <w:lang w:bidi="ar"/>
              </w:rPr>
              <w:t>，龙骨间距</w:t>
            </w:r>
            <w:r>
              <w:rPr>
                <w:rStyle w:val="61"/>
                <w:rFonts w:hint="default"/>
                <w:color w:val="auto"/>
                <w:highlight w:val="none"/>
                <w:lang w:bidi="ar"/>
              </w:rPr>
              <w:t>400mm。</w:t>
            </w:r>
          </w:p>
        </w:tc>
      </w:tr>
      <w:tr w14:paraId="0F818582">
        <w:tblPrEx>
          <w:tblCellMar>
            <w:top w:w="0" w:type="dxa"/>
            <w:left w:w="108" w:type="dxa"/>
            <w:bottom w:w="0" w:type="dxa"/>
            <w:right w:w="108" w:type="dxa"/>
          </w:tblCellMar>
        </w:tblPrEx>
        <w:trPr>
          <w:trHeight w:val="1883"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4ACE8">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5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6524BB">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灶台棚架</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76E31">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F0A36C">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B5637">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62336" behindDoc="0" locked="0" layoutInCell="1" allowOverlap="1">
                  <wp:simplePos x="0" y="0"/>
                  <wp:positionH relativeFrom="column">
                    <wp:posOffset>69850</wp:posOffset>
                  </wp:positionH>
                  <wp:positionV relativeFrom="paragraph">
                    <wp:posOffset>133985</wp:posOffset>
                  </wp:positionV>
                  <wp:extent cx="1332230" cy="814705"/>
                  <wp:effectExtent l="0" t="0" r="1270" b="4445"/>
                  <wp:wrapNone/>
                  <wp:docPr id="60" name="image5"/>
                  <wp:cNvGraphicFramePr/>
                  <a:graphic xmlns:a="http://schemas.openxmlformats.org/drawingml/2006/main">
                    <a:graphicData uri="http://schemas.openxmlformats.org/drawingml/2006/picture">
                      <pic:pic xmlns:pic="http://schemas.openxmlformats.org/drawingml/2006/picture">
                        <pic:nvPicPr>
                          <pic:cNvPr id="60" name="image5"/>
                          <pic:cNvPicPr/>
                        </pic:nvPicPr>
                        <pic:blipFill>
                          <a:blip r:embed="rId16"/>
                          <a:stretch>
                            <a:fillRect/>
                          </a:stretch>
                        </pic:blipFill>
                        <pic:spPr>
                          <a:xfrm>
                            <a:off x="0" y="0"/>
                            <a:ext cx="1332230" cy="814705"/>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B19BA">
            <w:pPr>
              <w:widowControl/>
              <w:shd w:val="clear"/>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w:t>
            </w:r>
            <w:r>
              <w:rPr>
                <w:rStyle w:val="60"/>
                <w:rFonts w:hint="default"/>
                <w:color w:val="auto"/>
                <w:highlight w:val="none"/>
                <w:lang w:bidi="ar"/>
              </w:rPr>
              <w:t>590*200*280cm</w:t>
            </w:r>
            <w:r>
              <w:rPr>
                <w:rStyle w:val="60"/>
                <w:rFonts w:hint="eastAsia"/>
                <w:color w:val="auto"/>
                <w:highlight w:val="none"/>
                <w:lang w:eastAsia="zh-CN" w:bidi="ar"/>
              </w:rPr>
              <w:t>；</w:t>
            </w:r>
            <w:r>
              <w:rPr>
                <w:rStyle w:val="60"/>
                <w:rFonts w:hint="default"/>
                <w:color w:val="auto"/>
                <w:highlight w:val="none"/>
                <w:lang w:bidi="ar"/>
              </w:rPr>
              <w:br w:type="textWrapping"/>
            </w:r>
            <w:r>
              <w:rPr>
                <w:rStyle w:val="60"/>
                <w:rFonts w:hint="eastAsia"/>
                <w:color w:val="auto"/>
                <w:highlight w:val="none"/>
                <w:lang w:val="en-US" w:eastAsia="zh-CN" w:bidi="ar"/>
              </w:rPr>
              <w:t>2.</w:t>
            </w:r>
            <w:r>
              <w:rPr>
                <w:rStyle w:val="60"/>
                <w:rFonts w:hint="default"/>
                <w:color w:val="auto"/>
                <w:highlight w:val="none"/>
                <w:lang w:bidi="ar"/>
              </w:rPr>
              <w:t>采用芬兰木，厚度15mm,经过高温杀菌处理制作。油漆采用户外环保木油经过</w:t>
            </w:r>
            <w:r>
              <w:rPr>
                <w:rStyle w:val="61"/>
                <w:rFonts w:hint="default"/>
                <w:color w:val="auto"/>
                <w:highlight w:val="none"/>
                <w:lang w:bidi="ar"/>
              </w:rPr>
              <w:t>2</w:t>
            </w:r>
            <w:r>
              <w:rPr>
                <w:rStyle w:val="60"/>
                <w:rFonts w:hint="default"/>
                <w:color w:val="auto"/>
                <w:highlight w:val="none"/>
                <w:lang w:bidi="ar"/>
              </w:rPr>
              <w:t>次底漆</w:t>
            </w:r>
            <w:r>
              <w:rPr>
                <w:rStyle w:val="61"/>
                <w:rFonts w:hint="default"/>
                <w:color w:val="auto"/>
                <w:highlight w:val="none"/>
                <w:lang w:bidi="ar"/>
              </w:rPr>
              <w:t>2</w:t>
            </w:r>
            <w:r>
              <w:rPr>
                <w:rStyle w:val="60"/>
                <w:rFonts w:hint="default"/>
                <w:color w:val="auto"/>
                <w:highlight w:val="none"/>
                <w:lang w:bidi="ar"/>
              </w:rPr>
              <w:t>次面漆制作而成。木桩</w:t>
            </w:r>
            <w:r>
              <w:rPr>
                <w:rStyle w:val="60"/>
                <w:rFonts w:hint="eastAsia"/>
                <w:color w:val="auto"/>
                <w:highlight w:val="none"/>
                <w:lang w:eastAsia="zh-CN" w:bidi="ar"/>
              </w:rPr>
              <w:t>直径</w:t>
            </w:r>
            <w:r>
              <w:rPr>
                <w:rStyle w:val="61"/>
                <w:rFonts w:hint="default"/>
                <w:color w:val="auto"/>
                <w:highlight w:val="none"/>
                <w:lang w:bidi="ar"/>
              </w:rPr>
              <w:t>30cm10</w:t>
            </w:r>
            <w:r>
              <w:rPr>
                <w:rStyle w:val="60"/>
                <w:rFonts w:hint="default"/>
                <w:color w:val="auto"/>
                <w:highlight w:val="none"/>
                <w:lang w:bidi="ar"/>
              </w:rPr>
              <w:t>个。</w:t>
            </w:r>
          </w:p>
        </w:tc>
      </w:tr>
      <w:tr w14:paraId="0B7082A3">
        <w:tblPrEx>
          <w:tblCellMar>
            <w:top w:w="0" w:type="dxa"/>
            <w:left w:w="108" w:type="dxa"/>
            <w:bottom w:w="0" w:type="dxa"/>
            <w:right w:w="108" w:type="dxa"/>
          </w:tblCellMar>
        </w:tblPrEx>
        <w:trPr>
          <w:trHeight w:val="1575"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BE748">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6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39437">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弧形桌凳</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4F1D5">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ADCD7">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D44EE">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63360" behindDoc="0" locked="0" layoutInCell="1" allowOverlap="1">
                  <wp:simplePos x="0" y="0"/>
                  <wp:positionH relativeFrom="column">
                    <wp:posOffset>71755</wp:posOffset>
                  </wp:positionH>
                  <wp:positionV relativeFrom="paragraph">
                    <wp:posOffset>201930</wp:posOffset>
                  </wp:positionV>
                  <wp:extent cx="1401445" cy="655955"/>
                  <wp:effectExtent l="0" t="0" r="8255" b="10795"/>
                  <wp:wrapNone/>
                  <wp:docPr id="62" name="image7"/>
                  <wp:cNvGraphicFramePr/>
                  <a:graphic xmlns:a="http://schemas.openxmlformats.org/drawingml/2006/main">
                    <a:graphicData uri="http://schemas.openxmlformats.org/drawingml/2006/picture">
                      <pic:pic xmlns:pic="http://schemas.openxmlformats.org/drawingml/2006/picture">
                        <pic:nvPicPr>
                          <pic:cNvPr id="62" name="image7"/>
                          <pic:cNvPicPr/>
                        </pic:nvPicPr>
                        <pic:blipFill>
                          <a:blip r:embed="rId17"/>
                          <a:stretch>
                            <a:fillRect/>
                          </a:stretch>
                        </pic:blipFill>
                        <pic:spPr>
                          <a:xfrm>
                            <a:off x="0" y="0"/>
                            <a:ext cx="1401445" cy="655955"/>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5D9B8">
            <w:pPr>
              <w:widowControl/>
              <w:shd w:val="clear"/>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w:t>
            </w:r>
            <w:r>
              <w:rPr>
                <w:rStyle w:val="60"/>
                <w:rFonts w:hint="default"/>
                <w:color w:val="auto"/>
                <w:highlight w:val="none"/>
                <w:lang w:bidi="ar"/>
              </w:rPr>
              <w:t>590*70*55cm</w:t>
            </w:r>
            <w:r>
              <w:rPr>
                <w:rStyle w:val="60"/>
                <w:rFonts w:hint="eastAsia"/>
                <w:color w:val="auto"/>
                <w:highlight w:val="none"/>
                <w:lang w:eastAsia="zh-CN" w:bidi="ar"/>
              </w:rPr>
              <w:t>；</w:t>
            </w:r>
            <w:r>
              <w:rPr>
                <w:rStyle w:val="60"/>
                <w:rFonts w:hint="default"/>
                <w:color w:val="auto"/>
                <w:highlight w:val="none"/>
                <w:lang w:bidi="ar"/>
              </w:rPr>
              <w:br w:type="textWrapping"/>
            </w:r>
            <w:r>
              <w:rPr>
                <w:rStyle w:val="60"/>
                <w:rFonts w:hint="eastAsia"/>
                <w:color w:val="auto"/>
                <w:highlight w:val="none"/>
                <w:lang w:val="en-US" w:eastAsia="zh-CN" w:bidi="ar"/>
              </w:rPr>
              <w:t>2.</w:t>
            </w:r>
            <w:r>
              <w:rPr>
                <w:rStyle w:val="60"/>
                <w:rFonts w:hint="default"/>
                <w:color w:val="auto"/>
                <w:highlight w:val="none"/>
                <w:lang w:bidi="ar"/>
              </w:rPr>
              <w:t>采用芬兰木，厚度20mm,经过高温杀菌处理制作。油漆采用户外环保木油经过</w:t>
            </w:r>
            <w:r>
              <w:rPr>
                <w:rStyle w:val="61"/>
                <w:rFonts w:hint="default"/>
                <w:color w:val="auto"/>
                <w:highlight w:val="none"/>
                <w:lang w:bidi="ar"/>
              </w:rPr>
              <w:t>2</w:t>
            </w:r>
            <w:r>
              <w:rPr>
                <w:rStyle w:val="60"/>
                <w:rFonts w:hint="default"/>
                <w:color w:val="auto"/>
                <w:highlight w:val="none"/>
                <w:lang w:bidi="ar"/>
              </w:rPr>
              <w:t>次底漆</w:t>
            </w:r>
            <w:r>
              <w:rPr>
                <w:rStyle w:val="61"/>
                <w:rFonts w:hint="default"/>
                <w:color w:val="auto"/>
                <w:highlight w:val="none"/>
                <w:lang w:bidi="ar"/>
              </w:rPr>
              <w:t>2</w:t>
            </w:r>
            <w:r>
              <w:rPr>
                <w:rStyle w:val="60"/>
                <w:rFonts w:hint="default"/>
                <w:color w:val="auto"/>
                <w:highlight w:val="none"/>
                <w:lang w:bidi="ar"/>
              </w:rPr>
              <w:t>次面漆制作而成。木桩</w:t>
            </w:r>
            <w:r>
              <w:rPr>
                <w:rStyle w:val="60"/>
                <w:rFonts w:hint="eastAsia"/>
                <w:color w:val="auto"/>
                <w:highlight w:val="none"/>
                <w:lang w:val="en-US" w:eastAsia="zh-CN" w:bidi="ar"/>
              </w:rPr>
              <w:t>直径</w:t>
            </w:r>
            <w:r>
              <w:rPr>
                <w:rStyle w:val="61"/>
                <w:rFonts w:hint="default"/>
                <w:color w:val="auto"/>
                <w:highlight w:val="none"/>
                <w:lang w:bidi="ar"/>
              </w:rPr>
              <w:t>30cm，10</w:t>
            </w:r>
            <w:r>
              <w:rPr>
                <w:rStyle w:val="60"/>
                <w:rFonts w:hint="default"/>
                <w:color w:val="auto"/>
                <w:highlight w:val="none"/>
                <w:lang w:bidi="ar"/>
              </w:rPr>
              <w:t>个。</w:t>
            </w:r>
          </w:p>
        </w:tc>
      </w:tr>
      <w:tr w14:paraId="05AC4B3D">
        <w:tblPrEx>
          <w:tblCellMar>
            <w:top w:w="0" w:type="dxa"/>
            <w:left w:w="108" w:type="dxa"/>
            <w:bottom w:w="0" w:type="dxa"/>
            <w:right w:w="108" w:type="dxa"/>
          </w:tblCellMar>
        </w:tblPrEx>
        <w:trPr>
          <w:trHeight w:val="2160"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8745A">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7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8610C">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篝火组合</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C0061">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C99D1">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E3049">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64384" behindDoc="0" locked="0" layoutInCell="1" allowOverlap="1">
                  <wp:simplePos x="0" y="0"/>
                  <wp:positionH relativeFrom="column">
                    <wp:posOffset>123825</wp:posOffset>
                  </wp:positionH>
                  <wp:positionV relativeFrom="paragraph">
                    <wp:posOffset>147955</wp:posOffset>
                  </wp:positionV>
                  <wp:extent cx="1313180" cy="955675"/>
                  <wp:effectExtent l="0" t="0" r="1270" b="15875"/>
                  <wp:wrapNone/>
                  <wp:docPr id="63" name="image9"/>
                  <wp:cNvGraphicFramePr/>
                  <a:graphic xmlns:a="http://schemas.openxmlformats.org/drawingml/2006/main">
                    <a:graphicData uri="http://schemas.openxmlformats.org/drawingml/2006/picture">
                      <pic:pic xmlns:pic="http://schemas.openxmlformats.org/drawingml/2006/picture">
                        <pic:nvPicPr>
                          <pic:cNvPr id="63" name="image9"/>
                          <pic:cNvPicPr/>
                        </pic:nvPicPr>
                        <pic:blipFill>
                          <a:blip r:embed="rId18"/>
                          <a:stretch>
                            <a:fillRect/>
                          </a:stretch>
                        </pic:blipFill>
                        <pic:spPr>
                          <a:xfrm>
                            <a:off x="0" y="0"/>
                            <a:ext cx="1313180" cy="955675"/>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F52DEA">
            <w:pPr>
              <w:widowControl/>
              <w:shd w:val="clear"/>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规格：210*200*90cm</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2.</w:t>
            </w:r>
            <w:r>
              <w:rPr>
                <w:rFonts w:hint="eastAsia" w:ascii="宋体" w:hAnsi="宋体" w:cs="宋体"/>
                <w:color w:val="auto"/>
                <w:kern w:val="0"/>
                <w:sz w:val="18"/>
                <w:szCs w:val="18"/>
                <w:highlight w:val="none"/>
                <w:lang w:bidi="ar"/>
              </w:rPr>
              <w:t>主体材质芬兰木，厚度20mm,表面处理：进行压、刨、铣、冲等处理后，表面进行防腐、防蛀处理，后采用原子灰进行三次刮灰抹平，并打磨光滑，表面喷涂三次聚氨脂清漆，螺丝均采用不锈钢304#材质防盗螺丝，并采用螺栓连接，牢固可靠，不易松动脱落及变形和损坏。可常年用于海边不生锈</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val="en-US" w:eastAsia="zh-CN" w:bidi="ar"/>
              </w:rPr>
              <w:t>3.</w:t>
            </w:r>
            <w:r>
              <w:rPr>
                <w:rFonts w:hint="eastAsia" w:ascii="宋体" w:hAnsi="宋体" w:cs="宋体"/>
                <w:color w:val="auto"/>
                <w:kern w:val="0"/>
                <w:sz w:val="18"/>
                <w:szCs w:val="18"/>
                <w:highlight w:val="none"/>
                <w:lang w:bidi="ar"/>
              </w:rPr>
              <w:t>产品外表和内表以及儿童手指可触及处无毛刺及尖锐的棱角，油漆采用户外哑光漆</w:t>
            </w:r>
            <w:r>
              <w:rPr>
                <w:rFonts w:hint="eastAsia" w:ascii="宋体" w:hAnsi="宋体" w:cs="宋体"/>
                <w:color w:val="auto"/>
                <w:kern w:val="0"/>
                <w:sz w:val="18"/>
                <w:szCs w:val="18"/>
                <w:highlight w:val="none"/>
                <w:lang w:eastAsia="zh-CN" w:bidi="ar"/>
              </w:rPr>
              <w:t>；</w:t>
            </w:r>
          </w:p>
          <w:p w14:paraId="648A0F9E">
            <w:pPr>
              <w:widowControl/>
              <w:shd w:val="clear"/>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val="en-US" w:eastAsia="zh-CN" w:bidi="ar"/>
              </w:rPr>
              <w:t>4.</w:t>
            </w:r>
            <w:r>
              <w:rPr>
                <w:rFonts w:hint="eastAsia" w:ascii="宋体" w:hAnsi="宋体" w:cs="宋体"/>
                <w:color w:val="auto"/>
                <w:kern w:val="0"/>
                <w:sz w:val="18"/>
                <w:szCs w:val="18"/>
                <w:highlight w:val="none"/>
                <w:lang w:bidi="ar"/>
              </w:rPr>
              <w:t>所投产品原材料芬兰木抑菌率≥99%（检测内容须含：金黄色葡萄球菌、白色念珠菌、大肠杆菌、肺炎克雷伯氏菌）。</w:t>
            </w:r>
            <w:bookmarkStart w:id="431" w:name="_GoBack"/>
            <w:bookmarkEnd w:id="431"/>
          </w:p>
        </w:tc>
      </w:tr>
      <w:tr w14:paraId="2592970A">
        <w:tblPrEx>
          <w:tblCellMar>
            <w:top w:w="0" w:type="dxa"/>
            <w:left w:w="108" w:type="dxa"/>
            <w:bottom w:w="0" w:type="dxa"/>
            <w:right w:w="108" w:type="dxa"/>
          </w:tblCellMar>
        </w:tblPrEx>
        <w:trPr>
          <w:trHeight w:val="2740"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8689F">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8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A7054">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蔬菜铺</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74F62">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DA8F2">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215D2">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65408" behindDoc="0" locked="0" layoutInCell="1" allowOverlap="1">
                  <wp:simplePos x="0" y="0"/>
                  <wp:positionH relativeFrom="column">
                    <wp:posOffset>316865</wp:posOffset>
                  </wp:positionH>
                  <wp:positionV relativeFrom="paragraph">
                    <wp:posOffset>211455</wp:posOffset>
                  </wp:positionV>
                  <wp:extent cx="957580" cy="1052830"/>
                  <wp:effectExtent l="0" t="0" r="13970" b="13970"/>
                  <wp:wrapNone/>
                  <wp:docPr id="64" name="image10"/>
                  <wp:cNvGraphicFramePr/>
                  <a:graphic xmlns:a="http://schemas.openxmlformats.org/drawingml/2006/main">
                    <a:graphicData uri="http://schemas.openxmlformats.org/drawingml/2006/picture">
                      <pic:pic xmlns:pic="http://schemas.openxmlformats.org/drawingml/2006/picture">
                        <pic:nvPicPr>
                          <pic:cNvPr id="64" name="image10"/>
                          <pic:cNvPicPr/>
                        </pic:nvPicPr>
                        <pic:blipFill>
                          <a:blip r:embed="rId19"/>
                          <a:stretch>
                            <a:fillRect/>
                          </a:stretch>
                        </pic:blipFill>
                        <pic:spPr>
                          <a:xfrm>
                            <a:off x="0" y="0"/>
                            <a:ext cx="957580" cy="1052830"/>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64716">
            <w:pPr>
              <w:widowControl/>
              <w:shd w:val="clear"/>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规格：100*40*120cm</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2</w:t>
            </w:r>
            <w:r>
              <w:rPr>
                <w:rFonts w:hint="eastAsia" w:ascii="宋体" w:hAnsi="宋体" w:cs="宋体"/>
                <w:color w:val="auto"/>
                <w:kern w:val="0"/>
                <w:sz w:val="18"/>
                <w:szCs w:val="18"/>
                <w:highlight w:val="none"/>
                <w:lang w:bidi="ar"/>
              </w:rPr>
              <w:t>.产品边角圆润，无飞边毛刺，使用中具有足够的安全性和稳定</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3</w:t>
            </w:r>
            <w:r>
              <w:rPr>
                <w:rFonts w:hint="eastAsia" w:ascii="宋体" w:hAnsi="宋体" w:cs="宋体"/>
                <w:color w:val="auto"/>
                <w:kern w:val="0"/>
                <w:sz w:val="18"/>
                <w:szCs w:val="18"/>
                <w:highlight w:val="none"/>
                <w:lang w:bidi="ar"/>
              </w:rPr>
              <w:t>.木质部分：材质为防腐木，厚度15mm,经打磨后，用腻子灰填补木材原生裂纹，随后采用室外专用氨脂类防水清漆，经过两底一面刷漆处理，总共三道刷漆工艺后自然晾干，成品防腐、防水能力好，无锐边锐角等，整体牢固，无安全隐患</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4</w:t>
            </w:r>
            <w:r>
              <w:rPr>
                <w:rFonts w:hint="eastAsia" w:ascii="宋体" w:hAnsi="宋体" w:cs="宋体"/>
                <w:color w:val="auto"/>
                <w:kern w:val="0"/>
                <w:sz w:val="18"/>
                <w:szCs w:val="18"/>
                <w:highlight w:val="none"/>
                <w:lang w:bidi="ar"/>
              </w:rPr>
              <w:t>.五金零件：材质：不锈钢半圆头，T 型平头螺丝。表面处理：机械抛光。</w:t>
            </w:r>
          </w:p>
          <w:p w14:paraId="4731381B">
            <w:pPr>
              <w:widowControl/>
              <w:shd w:val="clear"/>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产品原材料防腐木抑菌率≥99%（内容含：金黄色葡萄球菌、白色念珠菌、大肠杆菌、肺炎克雷伯氏菌）。</w:t>
            </w:r>
          </w:p>
        </w:tc>
      </w:tr>
      <w:tr w14:paraId="5F838948">
        <w:tblPrEx>
          <w:tblCellMar>
            <w:top w:w="0" w:type="dxa"/>
            <w:left w:w="108" w:type="dxa"/>
            <w:bottom w:w="0" w:type="dxa"/>
            <w:right w:w="108" w:type="dxa"/>
          </w:tblCellMar>
        </w:tblPrEx>
        <w:trPr>
          <w:trHeight w:val="2600"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DA37B">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9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C591B">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水果铺</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3E523">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EE39A">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DEFAC">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66432" behindDoc="0" locked="0" layoutInCell="1" allowOverlap="1">
                  <wp:simplePos x="0" y="0"/>
                  <wp:positionH relativeFrom="column">
                    <wp:posOffset>288290</wp:posOffset>
                  </wp:positionH>
                  <wp:positionV relativeFrom="paragraph">
                    <wp:posOffset>31115</wp:posOffset>
                  </wp:positionV>
                  <wp:extent cx="995680" cy="1348105"/>
                  <wp:effectExtent l="0" t="0" r="13970" b="4445"/>
                  <wp:wrapNone/>
                  <wp:docPr id="96" name="image8"/>
                  <wp:cNvGraphicFramePr/>
                  <a:graphic xmlns:a="http://schemas.openxmlformats.org/drawingml/2006/main">
                    <a:graphicData uri="http://schemas.openxmlformats.org/drawingml/2006/picture">
                      <pic:pic xmlns:pic="http://schemas.openxmlformats.org/drawingml/2006/picture">
                        <pic:nvPicPr>
                          <pic:cNvPr id="96" name="image8"/>
                          <pic:cNvPicPr/>
                        </pic:nvPicPr>
                        <pic:blipFill>
                          <a:blip r:embed="rId20"/>
                          <a:stretch>
                            <a:fillRect/>
                          </a:stretch>
                        </pic:blipFill>
                        <pic:spPr>
                          <a:xfrm>
                            <a:off x="0" y="0"/>
                            <a:ext cx="995680" cy="1348105"/>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9474F">
            <w:pPr>
              <w:widowControl/>
              <w:shd w:val="clear"/>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规格：100*40*120cm</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2</w:t>
            </w:r>
            <w:r>
              <w:rPr>
                <w:rFonts w:hint="eastAsia" w:ascii="宋体" w:hAnsi="宋体" w:cs="宋体"/>
                <w:color w:val="auto"/>
                <w:kern w:val="0"/>
                <w:sz w:val="18"/>
                <w:szCs w:val="18"/>
                <w:highlight w:val="none"/>
                <w:lang w:bidi="ar"/>
              </w:rPr>
              <w:t>.产品边角圆润，无飞边毛刺，使用中具有足够的安全性和稳定</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3</w:t>
            </w:r>
            <w:r>
              <w:rPr>
                <w:rFonts w:hint="eastAsia" w:ascii="宋体" w:hAnsi="宋体" w:cs="宋体"/>
                <w:color w:val="auto"/>
                <w:kern w:val="0"/>
                <w:sz w:val="18"/>
                <w:szCs w:val="18"/>
                <w:highlight w:val="none"/>
                <w:lang w:bidi="ar"/>
              </w:rPr>
              <w:t>.木质部分：材质为防腐木，厚度15mm,经打磨后，用腻子灰填补木材原生裂纹，随后采用室外专用氨脂类防水清漆，经过两底一面刷漆处理，总共三道刷漆工艺后自然晾干，成品防腐、防水能力好，无锐边锐角等，整体牢固，无安全隐患</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4</w:t>
            </w:r>
            <w:r>
              <w:rPr>
                <w:rFonts w:hint="eastAsia" w:ascii="宋体" w:hAnsi="宋体" w:cs="宋体"/>
                <w:color w:val="auto"/>
                <w:kern w:val="0"/>
                <w:sz w:val="18"/>
                <w:szCs w:val="18"/>
                <w:highlight w:val="none"/>
                <w:lang w:bidi="ar"/>
              </w:rPr>
              <w:t>.五金零件：材质：不锈钢半圆头，T 型平头螺丝。表面处理：机械抛光</w:t>
            </w:r>
            <w:r>
              <w:rPr>
                <w:rFonts w:hint="eastAsia" w:ascii="宋体" w:hAnsi="宋体" w:cs="宋体"/>
                <w:color w:val="auto"/>
                <w:kern w:val="0"/>
                <w:sz w:val="18"/>
                <w:szCs w:val="18"/>
                <w:highlight w:val="none"/>
                <w:lang w:eastAsia="zh-CN" w:bidi="ar"/>
              </w:rPr>
              <w:t>；</w:t>
            </w:r>
          </w:p>
          <w:p w14:paraId="61724FC1">
            <w:pPr>
              <w:widowControl/>
              <w:shd w:val="clear"/>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val="en-US" w:eastAsia="zh-CN" w:bidi="ar"/>
              </w:rPr>
              <w:t>5.</w:t>
            </w:r>
            <w:r>
              <w:rPr>
                <w:rFonts w:hint="eastAsia" w:ascii="宋体" w:hAnsi="宋体" w:cs="宋体"/>
                <w:color w:val="auto"/>
                <w:kern w:val="0"/>
                <w:sz w:val="18"/>
                <w:szCs w:val="18"/>
                <w:highlight w:val="none"/>
                <w:lang w:bidi="ar"/>
              </w:rPr>
              <w:t>产品原材料防腐木检测符合黑曲霉0级、土曲霉0级、宛氏拟青霉0级、绳状青霉0级、出芽短梗霉0级、 球毛壳霉0级。</w:t>
            </w:r>
          </w:p>
        </w:tc>
      </w:tr>
      <w:tr w14:paraId="1731F4BE">
        <w:tblPrEx>
          <w:tblCellMar>
            <w:top w:w="0" w:type="dxa"/>
            <w:left w:w="108" w:type="dxa"/>
            <w:bottom w:w="0" w:type="dxa"/>
            <w:right w:w="108" w:type="dxa"/>
          </w:tblCellMar>
        </w:tblPrEx>
        <w:trPr>
          <w:trHeight w:val="1883"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B0152">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10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8A640F">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磨盘架</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F454F">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6EEBE">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96CB4">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67456" behindDoc="0" locked="0" layoutInCell="1" allowOverlap="1">
                  <wp:simplePos x="0" y="0"/>
                  <wp:positionH relativeFrom="column">
                    <wp:posOffset>545465</wp:posOffset>
                  </wp:positionH>
                  <wp:positionV relativeFrom="paragraph">
                    <wp:posOffset>233045</wp:posOffset>
                  </wp:positionV>
                  <wp:extent cx="767080" cy="728980"/>
                  <wp:effectExtent l="0" t="0" r="13970" b="13970"/>
                  <wp:wrapNone/>
                  <wp:docPr id="94" name="image13"/>
                  <wp:cNvGraphicFramePr/>
                  <a:graphic xmlns:a="http://schemas.openxmlformats.org/drawingml/2006/main">
                    <a:graphicData uri="http://schemas.openxmlformats.org/drawingml/2006/picture">
                      <pic:pic xmlns:pic="http://schemas.openxmlformats.org/drawingml/2006/picture">
                        <pic:nvPicPr>
                          <pic:cNvPr id="94" name="image13"/>
                          <pic:cNvPicPr/>
                        </pic:nvPicPr>
                        <pic:blipFill>
                          <a:blip r:embed="rId21"/>
                          <a:stretch>
                            <a:fillRect/>
                          </a:stretch>
                        </pic:blipFill>
                        <pic:spPr>
                          <a:xfrm>
                            <a:off x="0" y="0"/>
                            <a:ext cx="767080" cy="728980"/>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75977">
            <w:pPr>
              <w:widowControl/>
              <w:shd w:val="clear"/>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规格：80*25*115cm</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2.</w:t>
            </w:r>
            <w:r>
              <w:rPr>
                <w:rFonts w:hint="eastAsia" w:ascii="宋体" w:hAnsi="宋体" w:cs="宋体"/>
                <w:color w:val="auto"/>
                <w:kern w:val="0"/>
                <w:sz w:val="18"/>
                <w:szCs w:val="18"/>
                <w:highlight w:val="none"/>
                <w:lang w:bidi="ar"/>
              </w:rPr>
              <w:t>采用芬兰木，厚度15mm,经过高温杀菌处理制作。油漆采用户外环保木油经过2次底漆2次面漆制作而成</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3.</w:t>
            </w:r>
            <w:r>
              <w:rPr>
                <w:rFonts w:hint="eastAsia" w:ascii="宋体" w:hAnsi="宋体" w:cs="宋体"/>
                <w:color w:val="auto"/>
                <w:kern w:val="0"/>
                <w:sz w:val="18"/>
                <w:szCs w:val="18"/>
                <w:highlight w:val="none"/>
                <w:lang w:bidi="ar"/>
              </w:rPr>
              <w:t>含花岗岩磨盘直径60cm。</w:t>
            </w:r>
          </w:p>
        </w:tc>
      </w:tr>
      <w:tr w14:paraId="2266A216">
        <w:tblPrEx>
          <w:tblCellMar>
            <w:top w:w="0" w:type="dxa"/>
            <w:left w:w="108" w:type="dxa"/>
            <w:bottom w:w="0" w:type="dxa"/>
            <w:right w:w="108" w:type="dxa"/>
          </w:tblCellMar>
        </w:tblPrEx>
        <w:trPr>
          <w:trHeight w:val="1883"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E637E">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11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3DF16">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码头指示牌</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53ADF">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5EE1C">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个</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36E05">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68480" behindDoc="0" locked="0" layoutInCell="1" allowOverlap="1">
                  <wp:simplePos x="0" y="0"/>
                  <wp:positionH relativeFrom="column">
                    <wp:posOffset>102870</wp:posOffset>
                  </wp:positionH>
                  <wp:positionV relativeFrom="paragraph">
                    <wp:posOffset>124460</wp:posOffset>
                  </wp:positionV>
                  <wp:extent cx="1338580" cy="1033780"/>
                  <wp:effectExtent l="0" t="0" r="13970" b="13970"/>
                  <wp:wrapNone/>
                  <wp:docPr id="76" name="image12"/>
                  <wp:cNvGraphicFramePr/>
                  <a:graphic xmlns:a="http://schemas.openxmlformats.org/drawingml/2006/main">
                    <a:graphicData uri="http://schemas.openxmlformats.org/drawingml/2006/picture">
                      <pic:pic xmlns:pic="http://schemas.openxmlformats.org/drawingml/2006/picture">
                        <pic:nvPicPr>
                          <pic:cNvPr id="76" name="image12"/>
                          <pic:cNvPicPr/>
                        </pic:nvPicPr>
                        <pic:blipFill>
                          <a:blip r:embed="rId22"/>
                          <a:stretch>
                            <a:fillRect/>
                          </a:stretch>
                        </pic:blipFill>
                        <pic:spPr>
                          <a:xfrm>
                            <a:off x="0" y="0"/>
                            <a:ext cx="1338580" cy="1033780"/>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1F84A">
            <w:pPr>
              <w:widowControl/>
              <w:shd w:val="clear"/>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规格：800*45*200cm</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2.</w:t>
            </w:r>
            <w:r>
              <w:rPr>
                <w:rFonts w:hint="eastAsia" w:ascii="宋体" w:hAnsi="宋体" w:cs="宋体"/>
                <w:color w:val="auto"/>
                <w:kern w:val="0"/>
                <w:sz w:val="18"/>
                <w:szCs w:val="18"/>
                <w:highlight w:val="none"/>
                <w:lang w:bidi="ar"/>
              </w:rPr>
              <w:t>镀锌钢管框架+15mmPS塑木+防水沥青瓦+5mm透明耐力板.镀锌钢管规格3*5cm厚度2.0mm</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3.</w:t>
            </w:r>
            <w:r>
              <w:rPr>
                <w:rFonts w:hint="eastAsia" w:ascii="宋体" w:hAnsi="宋体" w:cs="宋体"/>
                <w:color w:val="auto"/>
                <w:kern w:val="0"/>
                <w:sz w:val="18"/>
                <w:szCs w:val="18"/>
                <w:highlight w:val="none"/>
                <w:lang w:bidi="ar"/>
              </w:rPr>
              <w:t>PS塑木：材质成份选用塑胶类中刚性最佳，质感最接近木材的HIPS，再经过改性提升耐冲击强度后，并添加户外专用抗老化、抗紫外线等配方，以100%纯料制造加工而成。外观四面立体压花一体成形，纹路深且明显，止滑性极佳，不易磨损，不易退色。吸水率极低0.3%以下，且水份能够挥发。在潮湿环境下不长斑、不发霉、不生虫、不开裂，相比于木材少去后期维护保养费用</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4.</w:t>
            </w:r>
            <w:r>
              <w:rPr>
                <w:rFonts w:hint="eastAsia" w:ascii="宋体" w:hAnsi="宋体" w:cs="宋体"/>
                <w:color w:val="auto"/>
                <w:kern w:val="0"/>
                <w:sz w:val="18"/>
                <w:szCs w:val="18"/>
                <w:highlight w:val="none"/>
                <w:lang w:bidi="ar"/>
              </w:rPr>
              <w:t>钢管部件：</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（1）使用钢管的部件采用符合要求的钢管，确保强度与安全性.表面处理:静电防滑表面喷涂,并以镀锌钢管为基材, 加上表面热处理与静电无毒粉末喷涂.镀锌与粉末喷涂,双重表面涂层,延长表面保护涂层寿命与钢管氧化时间</w:t>
            </w:r>
            <w:r>
              <w:rPr>
                <w:rFonts w:hint="eastAsia" w:ascii="宋体" w:hAnsi="宋体" w:cs="宋体"/>
                <w:color w:val="auto"/>
                <w:kern w:val="0"/>
                <w:sz w:val="18"/>
                <w:szCs w:val="18"/>
                <w:highlight w:val="none"/>
                <w:lang w:eastAsia="zh-CN" w:bidi="ar"/>
              </w:rPr>
              <w:t>；</w:t>
            </w:r>
          </w:p>
          <w:p w14:paraId="329300E3">
            <w:pPr>
              <w:widowControl/>
              <w:shd w:val="clear"/>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（2）防止退色:粉末喷涂材料添加抗紫外线稳定剂,确保颜色保持长久鲜艳.直接使用镀锌厚度达到每平米180克的优质环保镀锌管，除油后用户外环保聚胺酯静电粉末喷涂，确保户外正常使用8年。</w:t>
            </w:r>
          </w:p>
        </w:tc>
      </w:tr>
      <w:tr w14:paraId="158FF857">
        <w:tblPrEx>
          <w:tblCellMar>
            <w:top w:w="0" w:type="dxa"/>
            <w:left w:w="108" w:type="dxa"/>
            <w:bottom w:w="0" w:type="dxa"/>
            <w:right w:w="108" w:type="dxa"/>
          </w:tblCellMar>
        </w:tblPrEx>
        <w:trPr>
          <w:trHeight w:val="3460"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E54FE">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12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D5C51">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收纳柜组合</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7A516">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68A034">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B06C9">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69504" behindDoc="0" locked="0" layoutInCell="1" allowOverlap="1">
                  <wp:simplePos x="0" y="0"/>
                  <wp:positionH relativeFrom="column">
                    <wp:posOffset>95885</wp:posOffset>
                  </wp:positionH>
                  <wp:positionV relativeFrom="paragraph">
                    <wp:posOffset>589915</wp:posOffset>
                  </wp:positionV>
                  <wp:extent cx="1470025" cy="753110"/>
                  <wp:effectExtent l="0" t="0" r="15875" b="8890"/>
                  <wp:wrapNone/>
                  <wp:docPr id="65" name="image11"/>
                  <wp:cNvGraphicFramePr/>
                  <a:graphic xmlns:a="http://schemas.openxmlformats.org/drawingml/2006/main">
                    <a:graphicData uri="http://schemas.openxmlformats.org/drawingml/2006/picture">
                      <pic:pic xmlns:pic="http://schemas.openxmlformats.org/drawingml/2006/picture">
                        <pic:nvPicPr>
                          <pic:cNvPr id="65" name="image11"/>
                          <pic:cNvPicPr/>
                        </pic:nvPicPr>
                        <pic:blipFill>
                          <a:blip r:embed="rId23"/>
                          <a:stretch>
                            <a:fillRect/>
                          </a:stretch>
                        </pic:blipFill>
                        <pic:spPr>
                          <a:xfrm>
                            <a:off x="0" y="0"/>
                            <a:ext cx="1470025" cy="753110"/>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79271">
            <w:pPr>
              <w:widowControl/>
              <w:shd w:val="clear"/>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规格：800*45*200cm</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2.</w:t>
            </w:r>
            <w:r>
              <w:rPr>
                <w:rFonts w:hint="eastAsia" w:ascii="宋体" w:hAnsi="宋体" w:cs="宋体"/>
                <w:color w:val="auto"/>
                <w:kern w:val="0"/>
                <w:sz w:val="18"/>
                <w:szCs w:val="18"/>
                <w:highlight w:val="none"/>
                <w:lang w:bidi="ar"/>
              </w:rPr>
              <w:t>镀锌钢管框架+15mmPS塑木+防水沥青瓦+5mm透明耐力板</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3.</w:t>
            </w:r>
            <w:r>
              <w:rPr>
                <w:rFonts w:hint="eastAsia" w:ascii="宋体" w:hAnsi="宋体" w:cs="宋体"/>
                <w:color w:val="auto"/>
                <w:kern w:val="0"/>
                <w:sz w:val="18"/>
                <w:szCs w:val="18"/>
                <w:highlight w:val="none"/>
                <w:lang w:bidi="ar"/>
              </w:rPr>
              <w:t>PS塑木：材质成份选用塑胶类中刚性最佳，质感最接近木材的HIPS，再经过改性提升耐冲击强度后，并添加户外专用抗老化、抗紫外线等配方，以100%纯料制造加工而成。外观四面立体压花一体成形，纹路深且明显，止滑性极佳，不易磨损，不易退色。吸水率极低0.3%以下，且水份能够挥发。在潮湿环境下不长斑、不发霉、不生虫、不开裂，相比于木材少去后期维护保养费用</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4.</w:t>
            </w:r>
            <w:r>
              <w:rPr>
                <w:rFonts w:hint="eastAsia" w:ascii="宋体" w:hAnsi="宋体" w:cs="宋体"/>
                <w:color w:val="auto"/>
                <w:kern w:val="0"/>
                <w:sz w:val="18"/>
                <w:szCs w:val="18"/>
                <w:highlight w:val="none"/>
                <w:lang w:bidi="ar"/>
              </w:rPr>
              <w:t>钢管部件：</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（1）使用钢管的部件采用符合GB/T13793－2016要求的钢管，确保强度与安全性.表面处理:静电防滑表面喷涂,并以镀锌钢管为基材, 加上表面热处理与静电无毒粉末喷涂.镀锌与粉末喷涂,双重表面涂层,延长表面保护涂层寿命与钢管氧化时间</w:t>
            </w:r>
            <w:r>
              <w:rPr>
                <w:rFonts w:hint="eastAsia" w:ascii="宋体" w:hAnsi="宋体" w:cs="宋体"/>
                <w:color w:val="auto"/>
                <w:kern w:val="0"/>
                <w:sz w:val="18"/>
                <w:szCs w:val="18"/>
                <w:highlight w:val="none"/>
                <w:lang w:eastAsia="zh-CN" w:bidi="ar"/>
              </w:rPr>
              <w:t>；</w:t>
            </w:r>
          </w:p>
          <w:p w14:paraId="186B07A4">
            <w:pPr>
              <w:widowControl/>
              <w:shd w:val="clear"/>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（2）防止退色:粉末喷涂材料添加抗紫外线稳定剂,确保颜色保持长久鲜艳.直接使用镀锌厚度达到每平米180克的优质环保镀锌管，除油后用户外环保聚胺酯静电粉末喷涂，确保户外正常使用8年。</w:t>
            </w:r>
          </w:p>
        </w:tc>
      </w:tr>
      <w:tr w14:paraId="2D7A7099">
        <w:tblPrEx>
          <w:tblCellMar>
            <w:top w:w="0" w:type="dxa"/>
            <w:left w:w="108" w:type="dxa"/>
            <w:bottom w:w="0" w:type="dxa"/>
            <w:right w:w="108" w:type="dxa"/>
          </w:tblCellMar>
        </w:tblPrEx>
        <w:trPr>
          <w:trHeight w:val="1888"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71455">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13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791C9">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 木桥</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9F90D">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DD7BB">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座</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84D39">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70528" behindDoc="0" locked="0" layoutInCell="1" allowOverlap="1">
                  <wp:simplePos x="0" y="0"/>
                  <wp:positionH relativeFrom="column">
                    <wp:posOffset>436880</wp:posOffset>
                  </wp:positionH>
                  <wp:positionV relativeFrom="paragraph">
                    <wp:posOffset>132715</wp:posOffset>
                  </wp:positionV>
                  <wp:extent cx="861060" cy="759460"/>
                  <wp:effectExtent l="0" t="0" r="15240" b="2540"/>
                  <wp:wrapNone/>
                  <wp:docPr id="68" name="image16"/>
                  <wp:cNvGraphicFramePr/>
                  <a:graphic xmlns:a="http://schemas.openxmlformats.org/drawingml/2006/main">
                    <a:graphicData uri="http://schemas.openxmlformats.org/drawingml/2006/picture">
                      <pic:pic xmlns:pic="http://schemas.openxmlformats.org/drawingml/2006/picture">
                        <pic:nvPicPr>
                          <pic:cNvPr id="68" name="image16"/>
                          <pic:cNvPicPr/>
                        </pic:nvPicPr>
                        <pic:blipFill>
                          <a:blip r:embed="rId24"/>
                          <a:stretch>
                            <a:fillRect/>
                          </a:stretch>
                        </pic:blipFill>
                        <pic:spPr>
                          <a:xfrm>
                            <a:off x="0" y="0"/>
                            <a:ext cx="861060" cy="759460"/>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54B02">
            <w:pPr>
              <w:widowControl/>
              <w:shd w:val="clear"/>
              <w:jc w:val="left"/>
              <w:textAlignment w:val="center"/>
              <w:rPr>
                <w:rFonts w:hint="eastAsia" w:ascii="宋体" w:hAnsi="宋体" w:eastAsia="宋体" w:cs="宋体"/>
                <w:color w:val="auto"/>
                <w:sz w:val="18"/>
                <w:szCs w:val="18"/>
                <w:highlight w:val="none"/>
                <w:lang w:eastAsia="zh-CN"/>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w:t>
            </w:r>
            <w:r>
              <w:rPr>
                <w:rStyle w:val="60"/>
                <w:rFonts w:hint="default"/>
                <w:color w:val="auto"/>
                <w:highlight w:val="none"/>
                <w:lang w:bidi="ar"/>
              </w:rPr>
              <w:t>300*80*100cm</w:t>
            </w:r>
            <w:r>
              <w:rPr>
                <w:rStyle w:val="60"/>
                <w:rFonts w:hint="eastAsia"/>
                <w:color w:val="auto"/>
                <w:highlight w:val="none"/>
                <w:lang w:eastAsia="zh-CN" w:bidi="ar"/>
              </w:rPr>
              <w:t>；</w:t>
            </w:r>
            <w:r>
              <w:rPr>
                <w:rStyle w:val="60"/>
                <w:rFonts w:hint="default"/>
                <w:color w:val="auto"/>
                <w:highlight w:val="none"/>
                <w:lang w:bidi="ar"/>
              </w:rPr>
              <w:br w:type="textWrapping"/>
            </w:r>
            <w:r>
              <w:rPr>
                <w:rStyle w:val="60"/>
                <w:rFonts w:hint="eastAsia"/>
                <w:color w:val="auto"/>
                <w:highlight w:val="none"/>
                <w:lang w:val="en-US" w:eastAsia="zh-CN" w:bidi="ar"/>
              </w:rPr>
              <w:t>2.</w:t>
            </w:r>
            <w:r>
              <w:rPr>
                <w:rStyle w:val="60"/>
                <w:rFonts w:hint="default"/>
                <w:color w:val="auto"/>
                <w:highlight w:val="none"/>
                <w:lang w:bidi="ar"/>
              </w:rPr>
              <w:t>采用芬兰木，厚度20mm,护栏间距9cm,经过高温杀菌处理制作。油漆采用户外环保木油经过</w:t>
            </w:r>
            <w:r>
              <w:rPr>
                <w:rStyle w:val="61"/>
                <w:rFonts w:hint="default"/>
                <w:color w:val="auto"/>
                <w:highlight w:val="none"/>
                <w:lang w:bidi="ar"/>
              </w:rPr>
              <w:t xml:space="preserve">2 </w:t>
            </w:r>
            <w:r>
              <w:rPr>
                <w:rStyle w:val="60"/>
                <w:rFonts w:hint="default"/>
                <w:color w:val="auto"/>
                <w:highlight w:val="none"/>
                <w:lang w:bidi="ar"/>
              </w:rPr>
              <w:t>次底漆</w:t>
            </w:r>
            <w:r>
              <w:rPr>
                <w:rStyle w:val="61"/>
                <w:rFonts w:hint="default"/>
                <w:color w:val="auto"/>
                <w:highlight w:val="none"/>
                <w:lang w:bidi="ar"/>
              </w:rPr>
              <w:t xml:space="preserve">2 </w:t>
            </w:r>
            <w:r>
              <w:rPr>
                <w:rStyle w:val="60"/>
                <w:rFonts w:hint="default"/>
                <w:color w:val="auto"/>
                <w:highlight w:val="none"/>
                <w:lang w:bidi="ar"/>
              </w:rPr>
              <w:t>次面漆制作而成</w:t>
            </w:r>
            <w:r>
              <w:rPr>
                <w:rStyle w:val="60"/>
                <w:rFonts w:hint="eastAsia"/>
                <w:color w:val="auto"/>
                <w:highlight w:val="none"/>
                <w:lang w:eastAsia="zh-CN" w:bidi="ar"/>
              </w:rPr>
              <w:t>。</w:t>
            </w:r>
          </w:p>
        </w:tc>
      </w:tr>
      <w:tr w14:paraId="2EBF752B">
        <w:tblPrEx>
          <w:tblCellMar>
            <w:top w:w="0" w:type="dxa"/>
            <w:left w:w="108" w:type="dxa"/>
            <w:bottom w:w="0" w:type="dxa"/>
            <w:right w:w="108" w:type="dxa"/>
          </w:tblCellMar>
        </w:tblPrEx>
        <w:trPr>
          <w:trHeight w:val="3200"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35F1B">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14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9AAD0">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玩沙架 1</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7D5CE9">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E44AB">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62FD56">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71552" behindDoc="0" locked="0" layoutInCell="1" allowOverlap="1">
                  <wp:simplePos x="0" y="0"/>
                  <wp:positionH relativeFrom="column">
                    <wp:posOffset>158750</wp:posOffset>
                  </wp:positionH>
                  <wp:positionV relativeFrom="paragraph">
                    <wp:posOffset>397510</wp:posOffset>
                  </wp:positionV>
                  <wp:extent cx="1425575" cy="1062355"/>
                  <wp:effectExtent l="0" t="0" r="3175" b="4445"/>
                  <wp:wrapNone/>
                  <wp:docPr id="77" name="image14"/>
                  <wp:cNvGraphicFramePr/>
                  <a:graphic xmlns:a="http://schemas.openxmlformats.org/drawingml/2006/main">
                    <a:graphicData uri="http://schemas.openxmlformats.org/drawingml/2006/picture">
                      <pic:pic xmlns:pic="http://schemas.openxmlformats.org/drawingml/2006/picture">
                        <pic:nvPicPr>
                          <pic:cNvPr id="77" name="image14"/>
                          <pic:cNvPicPr/>
                        </pic:nvPicPr>
                        <pic:blipFill>
                          <a:blip r:embed="rId25"/>
                          <a:stretch>
                            <a:fillRect/>
                          </a:stretch>
                        </pic:blipFill>
                        <pic:spPr>
                          <a:xfrm>
                            <a:off x="0" y="0"/>
                            <a:ext cx="1425575" cy="1062355"/>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7E935">
            <w:pPr>
              <w:widowControl/>
              <w:shd w:val="clear"/>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规格：260*40*200cm</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2.</w:t>
            </w:r>
            <w:r>
              <w:rPr>
                <w:rFonts w:hint="eastAsia" w:ascii="宋体" w:hAnsi="宋体" w:cs="宋体"/>
                <w:color w:val="auto"/>
                <w:kern w:val="0"/>
                <w:sz w:val="18"/>
                <w:szCs w:val="18"/>
                <w:highlight w:val="none"/>
                <w:lang w:bidi="ar"/>
              </w:rPr>
              <w:t xml:space="preserve">主体材质芬兰木，主立柱：  7*7cm ，表面处理：进行压、刨、铣、冲等处理后，表面进行防腐、防蛀处理，后采用原子灰进行三次刮灰抹平，并打磨光滑，表面喷涂三次聚氨脂清漆；  </w:t>
            </w:r>
          </w:p>
          <w:p w14:paraId="13F57C79">
            <w:pPr>
              <w:widowControl/>
              <w:shd w:val="clear"/>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val="en-US" w:eastAsia="zh-CN" w:bidi="ar"/>
              </w:rPr>
              <w:t>3.</w:t>
            </w:r>
            <w:r>
              <w:rPr>
                <w:rFonts w:hint="eastAsia" w:ascii="宋体" w:hAnsi="宋体" w:cs="宋体"/>
                <w:color w:val="auto"/>
                <w:kern w:val="0"/>
                <w:sz w:val="18"/>
                <w:szCs w:val="18"/>
                <w:highlight w:val="none"/>
                <w:lang w:bidi="ar"/>
              </w:rPr>
              <w:t>螺丝均采用不锈钢 304#材质</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 xml:space="preserve">防盗螺丝，并采用防松螺母连接，牢固可靠，不易松动脱落及变形和损坏。可常年用于海边不生锈。  </w:t>
            </w:r>
            <w:r>
              <w:rPr>
                <w:rFonts w:hint="eastAsia" w:ascii="宋体" w:hAnsi="宋体" w:cs="宋体"/>
                <w:color w:val="auto"/>
                <w:kern w:val="0"/>
                <w:sz w:val="18"/>
                <w:szCs w:val="18"/>
                <w:highlight w:val="none"/>
                <w:lang w:val="en-US" w:eastAsia="zh-CN" w:bidi="ar"/>
              </w:rPr>
              <w:t>4.</w:t>
            </w:r>
            <w:r>
              <w:rPr>
                <w:rFonts w:hint="eastAsia" w:ascii="宋体" w:hAnsi="宋体" w:cs="宋体"/>
                <w:color w:val="auto"/>
                <w:kern w:val="0"/>
                <w:sz w:val="18"/>
                <w:szCs w:val="18"/>
                <w:highlight w:val="none"/>
                <w:lang w:bidi="ar"/>
              </w:rPr>
              <w:t>产品外表和内表以及儿童手指可触及处无毛刺及尖锐的棱角，油漆采用户外哑光漆。</w:t>
            </w:r>
          </w:p>
        </w:tc>
      </w:tr>
      <w:tr w14:paraId="3D8DE16F">
        <w:tblPrEx>
          <w:tblCellMar>
            <w:top w:w="0" w:type="dxa"/>
            <w:left w:w="108" w:type="dxa"/>
            <w:bottom w:w="0" w:type="dxa"/>
            <w:right w:w="108" w:type="dxa"/>
          </w:tblCellMar>
        </w:tblPrEx>
        <w:trPr>
          <w:trHeight w:val="2580"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05C973">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15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2900C">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玩沙架 2</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AE956">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E14DA">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FDB06">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72576" behindDoc="0" locked="0" layoutInCell="1" allowOverlap="1">
                  <wp:simplePos x="0" y="0"/>
                  <wp:positionH relativeFrom="column">
                    <wp:posOffset>320675</wp:posOffset>
                  </wp:positionH>
                  <wp:positionV relativeFrom="paragraph">
                    <wp:posOffset>328930</wp:posOffset>
                  </wp:positionV>
                  <wp:extent cx="1251585" cy="1122680"/>
                  <wp:effectExtent l="0" t="0" r="5715" b="1270"/>
                  <wp:wrapNone/>
                  <wp:docPr id="66" name="image15"/>
                  <wp:cNvGraphicFramePr/>
                  <a:graphic xmlns:a="http://schemas.openxmlformats.org/drawingml/2006/main">
                    <a:graphicData uri="http://schemas.openxmlformats.org/drawingml/2006/picture">
                      <pic:pic xmlns:pic="http://schemas.openxmlformats.org/drawingml/2006/picture">
                        <pic:nvPicPr>
                          <pic:cNvPr id="66" name="image15"/>
                          <pic:cNvPicPr/>
                        </pic:nvPicPr>
                        <pic:blipFill>
                          <a:blip r:embed="rId26"/>
                          <a:stretch>
                            <a:fillRect/>
                          </a:stretch>
                        </pic:blipFill>
                        <pic:spPr>
                          <a:xfrm>
                            <a:off x="0" y="0"/>
                            <a:ext cx="1251585" cy="1122680"/>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9CA07">
            <w:pPr>
              <w:widowControl/>
              <w:shd w:val="clear"/>
              <w:jc w:val="left"/>
              <w:textAlignment w:val="center"/>
              <w:rPr>
                <w:rStyle w:val="61"/>
                <w:rFonts w:hint="default"/>
                <w:color w:val="auto"/>
                <w:highlight w:val="none"/>
                <w:lang w:bidi="ar"/>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w:t>
            </w:r>
            <w:r>
              <w:rPr>
                <w:rStyle w:val="60"/>
                <w:rFonts w:hint="default"/>
                <w:color w:val="auto"/>
                <w:highlight w:val="none"/>
                <w:lang w:bidi="ar"/>
              </w:rPr>
              <w:t>345*30*320cm</w:t>
            </w:r>
            <w:r>
              <w:rPr>
                <w:rStyle w:val="60"/>
                <w:rFonts w:hint="eastAsia"/>
                <w:color w:val="auto"/>
                <w:highlight w:val="none"/>
                <w:lang w:eastAsia="zh-CN" w:bidi="ar"/>
              </w:rPr>
              <w:t>；</w:t>
            </w:r>
            <w:r>
              <w:rPr>
                <w:rStyle w:val="60"/>
                <w:rFonts w:hint="default"/>
                <w:color w:val="auto"/>
                <w:highlight w:val="none"/>
                <w:lang w:bidi="ar"/>
              </w:rPr>
              <w:br w:type="textWrapping"/>
            </w:r>
            <w:r>
              <w:rPr>
                <w:rStyle w:val="60"/>
                <w:rFonts w:hint="eastAsia"/>
                <w:color w:val="auto"/>
                <w:highlight w:val="none"/>
                <w:lang w:val="en-US" w:eastAsia="zh-CN" w:bidi="ar"/>
              </w:rPr>
              <w:t>2.</w:t>
            </w:r>
            <w:r>
              <w:rPr>
                <w:rStyle w:val="60"/>
                <w:rFonts w:hint="default"/>
                <w:color w:val="auto"/>
                <w:highlight w:val="none"/>
                <w:lang w:bidi="ar"/>
              </w:rPr>
              <w:t>主体材质芬兰木，主立柱：</w:t>
            </w:r>
            <w:r>
              <w:rPr>
                <w:rStyle w:val="61"/>
                <w:rFonts w:hint="default"/>
                <w:color w:val="auto"/>
                <w:highlight w:val="none"/>
                <w:lang w:bidi="ar"/>
              </w:rPr>
              <w:t xml:space="preserve">  7*7cm </w:t>
            </w:r>
            <w:r>
              <w:rPr>
                <w:rStyle w:val="60"/>
                <w:rFonts w:hint="default"/>
                <w:color w:val="auto"/>
                <w:highlight w:val="none"/>
                <w:lang w:bidi="ar"/>
              </w:rPr>
              <w:t>，表面处理：进行压、刨、铣、冲等处理后，表面进行防腐、防蛀处理，后采用原子灰进行三次刮灰抹平，并打磨光滑，表面喷涂三次聚氨脂清漆；</w:t>
            </w:r>
            <w:r>
              <w:rPr>
                <w:rStyle w:val="61"/>
                <w:rFonts w:hint="default"/>
                <w:color w:val="auto"/>
                <w:highlight w:val="none"/>
                <w:lang w:bidi="ar"/>
              </w:rPr>
              <w:t xml:space="preserve">  </w:t>
            </w:r>
          </w:p>
          <w:p w14:paraId="4F29679B">
            <w:pPr>
              <w:widowControl/>
              <w:shd w:val="clear"/>
              <w:jc w:val="left"/>
              <w:textAlignment w:val="center"/>
              <w:rPr>
                <w:rStyle w:val="60"/>
                <w:rFonts w:hint="eastAsia" w:eastAsia="宋体"/>
                <w:color w:val="auto"/>
                <w:highlight w:val="none"/>
                <w:lang w:eastAsia="zh-CN" w:bidi="ar"/>
              </w:rPr>
            </w:pPr>
            <w:r>
              <w:rPr>
                <w:rStyle w:val="61"/>
                <w:rFonts w:hint="eastAsia"/>
                <w:color w:val="auto"/>
                <w:highlight w:val="none"/>
                <w:lang w:val="en-US" w:eastAsia="zh-CN" w:bidi="ar"/>
              </w:rPr>
              <w:t>3.</w:t>
            </w:r>
            <w:r>
              <w:rPr>
                <w:rStyle w:val="60"/>
                <w:rFonts w:hint="default"/>
                <w:color w:val="auto"/>
                <w:highlight w:val="none"/>
                <w:lang w:bidi="ar"/>
              </w:rPr>
              <w:t>拉索由工型轴、沙漏和小水桶组成，工型轴：</w:t>
            </w:r>
            <w:r>
              <w:rPr>
                <w:rStyle w:val="61"/>
                <w:rFonts w:hint="default"/>
                <w:color w:val="auto"/>
                <w:highlight w:val="none"/>
                <w:lang w:bidi="ar"/>
              </w:rPr>
              <w:t xml:space="preserve">46*10*16cm </w:t>
            </w:r>
            <w:r>
              <w:rPr>
                <w:rStyle w:val="60"/>
                <w:rFonts w:hint="default"/>
                <w:color w:val="auto"/>
                <w:highlight w:val="none"/>
                <w:lang w:bidi="ar"/>
              </w:rPr>
              <w:t>，造型采用</w:t>
            </w:r>
            <w:r>
              <w:rPr>
                <w:rStyle w:val="61"/>
                <w:rFonts w:hint="default"/>
                <w:color w:val="auto"/>
                <w:highlight w:val="none"/>
                <w:lang w:bidi="ar"/>
              </w:rPr>
              <w:t xml:space="preserve">PE </w:t>
            </w:r>
            <w:r>
              <w:rPr>
                <w:rStyle w:val="60"/>
                <w:rFonts w:hint="default"/>
                <w:color w:val="auto"/>
                <w:highlight w:val="none"/>
                <w:lang w:bidi="ar"/>
              </w:rPr>
              <w:t>板雕刻，</w:t>
            </w:r>
            <w:r>
              <w:rPr>
                <w:rStyle w:val="61"/>
                <w:rFonts w:hint="default"/>
                <w:color w:val="auto"/>
                <w:highlight w:val="none"/>
                <w:lang w:bidi="ar"/>
              </w:rPr>
              <w:t xml:space="preserve"> </w:t>
            </w:r>
            <w:r>
              <w:rPr>
                <w:rStyle w:val="60"/>
                <w:rFonts w:hint="default"/>
                <w:color w:val="auto"/>
                <w:highlight w:val="none"/>
                <w:lang w:bidi="ar"/>
              </w:rPr>
              <w:t>中间轴承不锈钢材质，绳索采用航海绳；沙漏</w:t>
            </w:r>
            <w:r>
              <w:rPr>
                <w:rStyle w:val="61"/>
                <w:rFonts w:hint="default"/>
                <w:color w:val="auto"/>
                <w:highlight w:val="none"/>
                <w:lang w:bidi="ar"/>
              </w:rPr>
              <w:t xml:space="preserve"> 20*10*17cm </w:t>
            </w:r>
            <w:r>
              <w:rPr>
                <w:rStyle w:val="60"/>
                <w:rFonts w:hint="default"/>
                <w:color w:val="auto"/>
                <w:highlight w:val="none"/>
                <w:lang w:bidi="ar"/>
              </w:rPr>
              <w:t>，小水桶规格为</w:t>
            </w:r>
            <w:r>
              <w:rPr>
                <w:rStyle w:val="61"/>
                <w:rFonts w:hint="default"/>
                <w:color w:val="auto"/>
                <w:highlight w:val="none"/>
                <w:lang w:bidi="ar"/>
              </w:rPr>
              <w:t>17*17*8.5cm</w:t>
            </w:r>
            <w:r>
              <w:rPr>
                <w:rStyle w:val="60"/>
                <w:rFonts w:hint="eastAsia"/>
                <w:color w:val="auto"/>
                <w:highlight w:val="none"/>
                <w:lang w:eastAsia="zh-CN" w:bidi="ar"/>
              </w:rPr>
              <w:t>；</w:t>
            </w:r>
          </w:p>
          <w:p w14:paraId="7FECD50B">
            <w:pPr>
              <w:widowControl/>
              <w:shd w:val="clear"/>
              <w:jc w:val="left"/>
              <w:textAlignment w:val="center"/>
              <w:rPr>
                <w:rStyle w:val="60"/>
                <w:rFonts w:hint="eastAsia" w:eastAsia="宋体"/>
                <w:color w:val="auto"/>
                <w:highlight w:val="none"/>
                <w:lang w:eastAsia="zh-CN" w:bidi="ar"/>
              </w:rPr>
            </w:pPr>
            <w:r>
              <w:rPr>
                <w:rStyle w:val="61"/>
                <w:rFonts w:hint="eastAsia"/>
                <w:color w:val="auto"/>
                <w:highlight w:val="none"/>
                <w:lang w:val="en-US" w:eastAsia="zh-CN" w:bidi="ar"/>
              </w:rPr>
              <w:t>4.</w:t>
            </w:r>
            <w:r>
              <w:rPr>
                <w:rStyle w:val="60"/>
                <w:rFonts w:hint="default"/>
                <w:color w:val="auto"/>
                <w:highlight w:val="none"/>
                <w:lang w:bidi="ar"/>
              </w:rPr>
              <w:t>螺丝均采用不锈钢</w:t>
            </w:r>
            <w:r>
              <w:rPr>
                <w:rStyle w:val="61"/>
                <w:rFonts w:hint="default"/>
                <w:color w:val="auto"/>
                <w:highlight w:val="none"/>
                <w:lang w:bidi="ar"/>
              </w:rPr>
              <w:t xml:space="preserve"> 304#</w:t>
            </w:r>
            <w:r>
              <w:rPr>
                <w:rStyle w:val="60"/>
                <w:rFonts w:hint="default"/>
                <w:color w:val="auto"/>
                <w:highlight w:val="none"/>
                <w:lang w:bidi="ar"/>
              </w:rPr>
              <w:t>材质防盗螺丝，并采用防松螺母连接，牢固可靠，不易松动脱落及变形和损坏。可常年用于海边不生锈</w:t>
            </w:r>
            <w:r>
              <w:rPr>
                <w:rStyle w:val="60"/>
                <w:rFonts w:hint="eastAsia"/>
                <w:color w:val="auto"/>
                <w:highlight w:val="none"/>
                <w:lang w:eastAsia="zh-CN" w:bidi="ar"/>
              </w:rPr>
              <w:t>；</w:t>
            </w:r>
          </w:p>
          <w:p w14:paraId="2B40DEAA">
            <w:pPr>
              <w:widowControl/>
              <w:shd w:val="clear"/>
              <w:jc w:val="left"/>
              <w:textAlignment w:val="center"/>
              <w:rPr>
                <w:rFonts w:ascii="宋体" w:hAnsi="宋体" w:cs="宋体"/>
                <w:color w:val="auto"/>
                <w:sz w:val="18"/>
                <w:szCs w:val="18"/>
                <w:highlight w:val="none"/>
              </w:rPr>
            </w:pPr>
            <w:r>
              <w:rPr>
                <w:rStyle w:val="61"/>
                <w:rFonts w:hint="eastAsia"/>
                <w:color w:val="auto"/>
                <w:highlight w:val="none"/>
                <w:lang w:val="en-US" w:eastAsia="zh-CN" w:bidi="ar"/>
              </w:rPr>
              <w:t>5.</w:t>
            </w:r>
            <w:r>
              <w:rPr>
                <w:rStyle w:val="60"/>
                <w:rFonts w:hint="default"/>
                <w:color w:val="auto"/>
                <w:highlight w:val="none"/>
                <w:lang w:bidi="ar"/>
              </w:rPr>
              <w:t>产品外表和内表以及儿童手指可触及处无毛刺及尖锐的棱角，油漆采用户外哑光漆。</w:t>
            </w:r>
          </w:p>
        </w:tc>
      </w:tr>
      <w:tr w14:paraId="26C701B3">
        <w:tblPrEx>
          <w:tblCellMar>
            <w:top w:w="0" w:type="dxa"/>
            <w:left w:w="108" w:type="dxa"/>
            <w:bottom w:w="0" w:type="dxa"/>
            <w:right w:w="108" w:type="dxa"/>
          </w:tblCellMar>
        </w:tblPrEx>
        <w:trPr>
          <w:trHeight w:val="2080"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3FA43">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16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56E87">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玩沙架 3</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7EDBF">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571D0">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B8C61">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73600" behindDoc="0" locked="0" layoutInCell="1" allowOverlap="1">
                  <wp:simplePos x="0" y="0"/>
                  <wp:positionH relativeFrom="column">
                    <wp:posOffset>254000</wp:posOffset>
                  </wp:positionH>
                  <wp:positionV relativeFrom="paragraph">
                    <wp:posOffset>264160</wp:posOffset>
                  </wp:positionV>
                  <wp:extent cx="1138555" cy="968375"/>
                  <wp:effectExtent l="0" t="0" r="4445" b="3175"/>
                  <wp:wrapNone/>
                  <wp:docPr id="80" name="image18"/>
                  <wp:cNvGraphicFramePr/>
                  <a:graphic xmlns:a="http://schemas.openxmlformats.org/drawingml/2006/main">
                    <a:graphicData uri="http://schemas.openxmlformats.org/drawingml/2006/picture">
                      <pic:pic xmlns:pic="http://schemas.openxmlformats.org/drawingml/2006/picture">
                        <pic:nvPicPr>
                          <pic:cNvPr id="80" name="image18"/>
                          <pic:cNvPicPr/>
                        </pic:nvPicPr>
                        <pic:blipFill>
                          <a:blip r:embed="rId27"/>
                          <a:stretch>
                            <a:fillRect/>
                          </a:stretch>
                        </pic:blipFill>
                        <pic:spPr>
                          <a:xfrm>
                            <a:off x="0" y="0"/>
                            <a:ext cx="1138555" cy="968375"/>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B3887">
            <w:pPr>
              <w:widowControl/>
              <w:shd w:val="clear"/>
              <w:jc w:val="left"/>
              <w:textAlignment w:val="center"/>
              <w:rPr>
                <w:rStyle w:val="61"/>
                <w:rFonts w:hint="default"/>
                <w:color w:val="auto"/>
                <w:highlight w:val="none"/>
                <w:lang w:bidi="ar"/>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w:t>
            </w:r>
            <w:r>
              <w:rPr>
                <w:rStyle w:val="60"/>
                <w:rFonts w:hint="default"/>
                <w:color w:val="auto"/>
                <w:highlight w:val="none"/>
                <w:lang w:bidi="ar"/>
              </w:rPr>
              <w:t>195*75*200cm</w:t>
            </w:r>
            <w:r>
              <w:rPr>
                <w:rStyle w:val="60"/>
                <w:rFonts w:hint="eastAsia"/>
                <w:color w:val="auto"/>
                <w:highlight w:val="none"/>
                <w:lang w:eastAsia="zh-CN" w:bidi="ar"/>
              </w:rPr>
              <w:t>；</w:t>
            </w:r>
            <w:r>
              <w:rPr>
                <w:rStyle w:val="60"/>
                <w:rFonts w:hint="default"/>
                <w:color w:val="auto"/>
                <w:highlight w:val="none"/>
                <w:lang w:bidi="ar"/>
              </w:rPr>
              <w:br w:type="textWrapping"/>
            </w:r>
            <w:r>
              <w:rPr>
                <w:rStyle w:val="60"/>
                <w:rFonts w:hint="eastAsia"/>
                <w:color w:val="auto"/>
                <w:highlight w:val="none"/>
                <w:lang w:val="en-US" w:eastAsia="zh-CN" w:bidi="ar"/>
              </w:rPr>
              <w:t>2.</w:t>
            </w:r>
            <w:r>
              <w:rPr>
                <w:rStyle w:val="60"/>
                <w:rFonts w:hint="default"/>
                <w:color w:val="auto"/>
                <w:highlight w:val="none"/>
                <w:lang w:bidi="ar"/>
              </w:rPr>
              <w:t>主体材质芬兰木，主立柱：</w:t>
            </w:r>
            <w:r>
              <w:rPr>
                <w:rStyle w:val="61"/>
                <w:rFonts w:hint="default"/>
                <w:color w:val="auto"/>
                <w:highlight w:val="none"/>
                <w:lang w:bidi="ar"/>
              </w:rPr>
              <w:t xml:space="preserve">  7*7cm </w:t>
            </w:r>
            <w:r>
              <w:rPr>
                <w:rStyle w:val="60"/>
                <w:rFonts w:hint="default"/>
                <w:color w:val="auto"/>
                <w:highlight w:val="none"/>
                <w:lang w:bidi="ar"/>
              </w:rPr>
              <w:t>，表面处理：进行压、刨、铣、冲等处理后，表面进行防腐、防蛀处理，后采用原子灰进行三次刮灰抹平，并打磨光滑，表面喷涂三次聚氨脂清漆；</w:t>
            </w:r>
            <w:r>
              <w:rPr>
                <w:rStyle w:val="61"/>
                <w:rFonts w:hint="default"/>
                <w:color w:val="auto"/>
                <w:highlight w:val="none"/>
                <w:lang w:bidi="ar"/>
              </w:rPr>
              <w:t xml:space="preserve">  </w:t>
            </w:r>
          </w:p>
          <w:p w14:paraId="62563578">
            <w:pPr>
              <w:widowControl/>
              <w:shd w:val="clear"/>
              <w:jc w:val="left"/>
              <w:textAlignment w:val="center"/>
              <w:rPr>
                <w:rStyle w:val="61"/>
                <w:rFonts w:hint="default"/>
                <w:color w:val="auto"/>
                <w:highlight w:val="none"/>
                <w:lang w:bidi="ar"/>
              </w:rPr>
            </w:pPr>
            <w:r>
              <w:rPr>
                <w:rStyle w:val="61"/>
                <w:rFonts w:hint="eastAsia"/>
                <w:color w:val="auto"/>
                <w:highlight w:val="none"/>
                <w:lang w:val="en-US" w:eastAsia="zh-CN" w:bidi="ar"/>
              </w:rPr>
              <w:t>3.</w:t>
            </w:r>
            <w:r>
              <w:rPr>
                <w:rStyle w:val="60"/>
                <w:rFonts w:hint="default"/>
                <w:color w:val="auto"/>
                <w:highlight w:val="none"/>
                <w:lang w:bidi="ar"/>
              </w:rPr>
              <w:t>螺丝均采用不锈钢</w:t>
            </w:r>
            <w:r>
              <w:rPr>
                <w:rStyle w:val="61"/>
                <w:rFonts w:hint="default"/>
                <w:color w:val="auto"/>
                <w:highlight w:val="none"/>
                <w:lang w:bidi="ar"/>
              </w:rPr>
              <w:t xml:space="preserve"> 304#</w:t>
            </w:r>
            <w:r>
              <w:rPr>
                <w:rStyle w:val="60"/>
                <w:rFonts w:hint="default"/>
                <w:color w:val="auto"/>
                <w:highlight w:val="none"/>
                <w:lang w:bidi="ar"/>
              </w:rPr>
              <w:t>材质防盗螺丝，并采用防松螺母连接，牢固可靠，不易松动脱落及变形和损坏。可常年用于海边不生锈</w:t>
            </w:r>
            <w:r>
              <w:rPr>
                <w:rStyle w:val="60"/>
                <w:rFonts w:hint="eastAsia"/>
                <w:color w:val="auto"/>
                <w:highlight w:val="none"/>
                <w:lang w:eastAsia="zh-CN" w:bidi="ar"/>
              </w:rPr>
              <w:t>；</w:t>
            </w:r>
            <w:r>
              <w:rPr>
                <w:rStyle w:val="61"/>
                <w:rFonts w:hint="default"/>
                <w:color w:val="auto"/>
                <w:highlight w:val="none"/>
                <w:lang w:bidi="ar"/>
              </w:rPr>
              <w:t xml:space="preserve"> </w:t>
            </w:r>
          </w:p>
          <w:p w14:paraId="3240CFA5">
            <w:pPr>
              <w:widowControl/>
              <w:shd w:val="clear"/>
              <w:jc w:val="left"/>
              <w:textAlignment w:val="center"/>
              <w:rPr>
                <w:rFonts w:ascii="宋体" w:hAnsi="宋体" w:cs="宋体"/>
                <w:color w:val="auto"/>
                <w:sz w:val="18"/>
                <w:szCs w:val="18"/>
                <w:highlight w:val="none"/>
              </w:rPr>
            </w:pPr>
            <w:r>
              <w:rPr>
                <w:rStyle w:val="60"/>
                <w:rFonts w:hint="eastAsia"/>
                <w:color w:val="auto"/>
                <w:highlight w:val="none"/>
                <w:lang w:val="en-US" w:eastAsia="zh-CN" w:bidi="ar"/>
              </w:rPr>
              <w:t>4.</w:t>
            </w:r>
            <w:r>
              <w:rPr>
                <w:rStyle w:val="60"/>
                <w:rFonts w:hint="default"/>
                <w:color w:val="auto"/>
                <w:highlight w:val="none"/>
                <w:lang w:bidi="ar"/>
              </w:rPr>
              <w:t>产品外表和内表以及儿童手指可触及处无毛刺及尖锐的棱角，油漆采用户外哑光漆</w:t>
            </w:r>
            <w:r>
              <w:rPr>
                <w:rStyle w:val="61"/>
                <w:rFonts w:hint="default"/>
                <w:color w:val="auto"/>
                <w:highlight w:val="none"/>
                <w:lang w:bidi="ar"/>
              </w:rPr>
              <w:t xml:space="preserve"> </w:t>
            </w:r>
            <w:r>
              <w:rPr>
                <w:rStyle w:val="60"/>
                <w:rFonts w:hint="default"/>
                <w:color w:val="auto"/>
                <w:highlight w:val="none"/>
                <w:lang w:bidi="ar"/>
              </w:rPr>
              <w:t>。</w:t>
            </w:r>
          </w:p>
        </w:tc>
      </w:tr>
      <w:tr w14:paraId="6A35E5B5">
        <w:tblPrEx>
          <w:tblCellMar>
            <w:top w:w="0" w:type="dxa"/>
            <w:left w:w="108" w:type="dxa"/>
            <w:bottom w:w="0" w:type="dxa"/>
            <w:right w:w="108" w:type="dxa"/>
          </w:tblCellMar>
        </w:tblPrEx>
        <w:trPr>
          <w:trHeight w:val="1883"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865AF">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17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D4A335">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搅拌桌</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29B94">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56227">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个</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75FFF">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74624" behindDoc="0" locked="0" layoutInCell="1" allowOverlap="1">
                  <wp:simplePos x="0" y="0"/>
                  <wp:positionH relativeFrom="column">
                    <wp:posOffset>587375</wp:posOffset>
                  </wp:positionH>
                  <wp:positionV relativeFrom="paragraph">
                    <wp:posOffset>299720</wp:posOffset>
                  </wp:positionV>
                  <wp:extent cx="681355" cy="596265"/>
                  <wp:effectExtent l="0" t="0" r="4445" b="13335"/>
                  <wp:wrapNone/>
                  <wp:docPr id="71" name="image22"/>
                  <wp:cNvGraphicFramePr/>
                  <a:graphic xmlns:a="http://schemas.openxmlformats.org/drawingml/2006/main">
                    <a:graphicData uri="http://schemas.openxmlformats.org/drawingml/2006/picture">
                      <pic:pic xmlns:pic="http://schemas.openxmlformats.org/drawingml/2006/picture">
                        <pic:nvPicPr>
                          <pic:cNvPr id="71" name="image22"/>
                          <pic:cNvPicPr/>
                        </pic:nvPicPr>
                        <pic:blipFill>
                          <a:blip r:embed="rId28"/>
                          <a:stretch>
                            <a:fillRect/>
                          </a:stretch>
                        </pic:blipFill>
                        <pic:spPr>
                          <a:xfrm>
                            <a:off x="0" y="0"/>
                            <a:ext cx="681355" cy="596265"/>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CA7EC">
            <w:pPr>
              <w:widowControl/>
              <w:shd w:val="clear"/>
              <w:jc w:val="left"/>
              <w:textAlignment w:val="center"/>
              <w:rPr>
                <w:rFonts w:hint="eastAsia" w:ascii="宋体" w:hAnsi="宋体" w:eastAsia="宋体" w:cs="宋体"/>
                <w:color w:val="auto"/>
                <w:sz w:val="18"/>
                <w:szCs w:val="18"/>
                <w:highlight w:val="none"/>
                <w:lang w:eastAsia="zh-CN"/>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规格：80*80*60cm</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2.</w:t>
            </w:r>
            <w:r>
              <w:rPr>
                <w:rFonts w:hint="eastAsia" w:ascii="宋体" w:hAnsi="宋体" w:cs="宋体"/>
                <w:color w:val="auto"/>
                <w:kern w:val="0"/>
                <w:sz w:val="18"/>
                <w:szCs w:val="18"/>
                <w:highlight w:val="none"/>
                <w:lang w:bidi="ar"/>
              </w:rPr>
              <w:t>材质：芬兰木7*7cm，,304不锈钢10mm经过高温杀菌处理制作。油漆采用户外环保木油经过2 次底漆2 次面漆制作而成</w:t>
            </w:r>
            <w:r>
              <w:rPr>
                <w:rFonts w:hint="eastAsia" w:ascii="宋体" w:hAnsi="宋体" w:cs="宋体"/>
                <w:color w:val="auto"/>
                <w:kern w:val="0"/>
                <w:sz w:val="18"/>
                <w:szCs w:val="18"/>
                <w:highlight w:val="none"/>
                <w:lang w:eastAsia="zh-CN" w:bidi="ar"/>
              </w:rPr>
              <w:t>。</w:t>
            </w:r>
          </w:p>
        </w:tc>
      </w:tr>
      <w:tr w14:paraId="7DA5C9D7">
        <w:tblPrEx>
          <w:tblCellMar>
            <w:top w:w="0" w:type="dxa"/>
            <w:left w:w="108" w:type="dxa"/>
            <w:bottom w:w="0" w:type="dxa"/>
            <w:right w:w="108" w:type="dxa"/>
          </w:tblCellMar>
        </w:tblPrEx>
        <w:trPr>
          <w:trHeight w:val="1883"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0A167">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18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9F495">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沙漏</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BFEC0">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C6FD9">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376FD">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75648" behindDoc="0" locked="0" layoutInCell="1" allowOverlap="1">
                  <wp:simplePos x="0" y="0"/>
                  <wp:positionH relativeFrom="column">
                    <wp:posOffset>577215</wp:posOffset>
                  </wp:positionH>
                  <wp:positionV relativeFrom="paragraph">
                    <wp:posOffset>269875</wp:posOffset>
                  </wp:positionV>
                  <wp:extent cx="702310" cy="655955"/>
                  <wp:effectExtent l="0" t="0" r="2540" b="10795"/>
                  <wp:wrapNone/>
                  <wp:docPr id="78" name="image21"/>
                  <wp:cNvGraphicFramePr/>
                  <a:graphic xmlns:a="http://schemas.openxmlformats.org/drawingml/2006/main">
                    <a:graphicData uri="http://schemas.openxmlformats.org/drawingml/2006/picture">
                      <pic:pic xmlns:pic="http://schemas.openxmlformats.org/drawingml/2006/picture">
                        <pic:nvPicPr>
                          <pic:cNvPr id="78" name="image21"/>
                          <pic:cNvPicPr/>
                        </pic:nvPicPr>
                        <pic:blipFill>
                          <a:blip r:embed="rId29"/>
                          <a:stretch>
                            <a:fillRect/>
                          </a:stretch>
                        </pic:blipFill>
                        <pic:spPr>
                          <a:xfrm>
                            <a:off x="0" y="0"/>
                            <a:ext cx="702310" cy="655955"/>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A9AAE">
            <w:pPr>
              <w:widowControl/>
              <w:shd w:val="clear"/>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规格：30*30*60cm</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2.</w:t>
            </w:r>
            <w:r>
              <w:rPr>
                <w:rFonts w:hint="eastAsia" w:ascii="宋体" w:hAnsi="宋体" w:cs="宋体"/>
                <w:color w:val="auto"/>
                <w:kern w:val="0"/>
                <w:sz w:val="18"/>
                <w:szCs w:val="18"/>
                <w:highlight w:val="none"/>
                <w:lang w:bidi="ar"/>
              </w:rPr>
              <w:t>材质：芬兰木7*7cm，经过高温杀菌处理制作。油漆采用户外环保木油经过2 次底漆2 次面漆制作而成。</w:t>
            </w:r>
          </w:p>
        </w:tc>
      </w:tr>
      <w:tr w14:paraId="1457CC2E">
        <w:tblPrEx>
          <w:tblCellMar>
            <w:top w:w="0" w:type="dxa"/>
            <w:left w:w="108" w:type="dxa"/>
            <w:bottom w:w="0" w:type="dxa"/>
            <w:right w:w="108" w:type="dxa"/>
          </w:tblCellMar>
        </w:tblPrEx>
        <w:trPr>
          <w:trHeight w:val="1883"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BCF27">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19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91722A">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三层沙漏</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658ED">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B5E049">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个</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5AC35">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76672" behindDoc="0" locked="0" layoutInCell="1" allowOverlap="1">
                  <wp:simplePos x="0" y="0"/>
                  <wp:positionH relativeFrom="column">
                    <wp:posOffset>581025</wp:posOffset>
                  </wp:positionH>
                  <wp:positionV relativeFrom="paragraph">
                    <wp:posOffset>234950</wp:posOffset>
                  </wp:positionV>
                  <wp:extent cx="694055" cy="723900"/>
                  <wp:effectExtent l="0" t="0" r="10795" b="0"/>
                  <wp:wrapNone/>
                  <wp:docPr id="72" name="image20"/>
                  <wp:cNvGraphicFramePr/>
                  <a:graphic xmlns:a="http://schemas.openxmlformats.org/drawingml/2006/main">
                    <a:graphicData uri="http://schemas.openxmlformats.org/drawingml/2006/picture">
                      <pic:pic xmlns:pic="http://schemas.openxmlformats.org/drawingml/2006/picture">
                        <pic:nvPicPr>
                          <pic:cNvPr id="72" name="image20"/>
                          <pic:cNvPicPr/>
                        </pic:nvPicPr>
                        <pic:blipFill>
                          <a:blip r:embed="rId30"/>
                          <a:stretch>
                            <a:fillRect/>
                          </a:stretch>
                        </pic:blipFill>
                        <pic:spPr>
                          <a:xfrm>
                            <a:off x="0" y="0"/>
                            <a:ext cx="694055" cy="723900"/>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F713C">
            <w:pPr>
              <w:widowControl/>
              <w:shd w:val="clear"/>
              <w:jc w:val="left"/>
              <w:textAlignment w:val="center"/>
              <w:rPr>
                <w:rFonts w:hint="eastAsia" w:ascii="宋体" w:hAnsi="宋体" w:eastAsia="宋体" w:cs="宋体"/>
                <w:color w:val="auto"/>
                <w:sz w:val="18"/>
                <w:szCs w:val="18"/>
                <w:highlight w:val="none"/>
                <w:lang w:eastAsia="zh-CN"/>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规格：30*28*60cm</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2.</w:t>
            </w:r>
            <w:r>
              <w:rPr>
                <w:rFonts w:hint="eastAsia" w:ascii="宋体" w:hAnsi="宋体" w:cs="宋体"/>
                <w:color w:val="auto"/>
                <w:kern w:val="0"/>
                <w:sz w:val="18"/>
                <w:szCs w:val="18"/>
                <w:highlight w:val="none"/>
                <w:lang w:bidi="ar"/>
              </w:rPr>
              <w:t>材质：芬兰木厚度20mm，经过高温杀菌处理制作。油漆采用户外环保木油经过2 次底漆2 次面漆制作而成</w:t>
            </w:r>
            <w:r>
              <w:rPr>
                <w:rFonts w:hint="eastAsia" w:ascii="宋体" w:hAnsi="宋体" w:cs="宋体"/>
                <w:color w:val="auto"/>
                <w:kern w:val="0"/>
                <w:sz w:val="18"/>
                <w:szCs w:val="18"/>
                <w:highlight w:val="none"/>
                <w:lang w:eastAsia="zh-CN" w:bidi="ar"/>
              </w:rPr>
              <w:t>。</w:t>
            </w:r>
          </w:p>
        </w:tc>
      </w:tr>
      <w:tr w14:paraId="72908646">
        <w:tblPrEx>
          <w:tblCellMar>
            <w:top w:w="0" w:type="dxa"/>
            <w:left w:w="108" w:type="dxa"/>
            <w:bottom w:w="0" w:type="dxa"/>
            <w:right w:w="108" w:type="dxa"/>
          </w:tblCellMar>
        </w:tblPrEx>
        <w:trPr>
          <w:trHeight w:val="1883"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64A2C">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20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278D4">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天平</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DD358">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FE32E">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个</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B01DE1">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77696" behindDoc="0" locked="0" layoutInCell="1" allowOverlap="1">
                  <wp:simplePos x="0" y="0"/>
                  <wp:positionH relativeFrom="column">
                    <wp:posOffset>540385</wp:posOffset>
                  </wp:positionH>
                  <wp:positionV relativeFrom="paragraph">
                    <wp:posOffset>194945</wp:posOffset>
                  </wp:positionV>
                  <wp:extent cx="774700" cy="806450"/>
                  <wp:effectExtent l="0" t="0" r="6350" b="12700"/>
                  <wp:wrapNone/>
                  <wp:docPr id="85" name="image19"/>
                  <wp:cNvGraphicFramePr/>
                  <a:graphic xmlns:a="http://schemas.openxmlformats.org/drawingml/2006/main">
                    <a:graphicData uri="http://schemas.openxmlformats.org/drawingml/2006/picture">
                      <pic:pic xmlns:pic="http://schemas.openxmlformats.org/drawingml/2006/picture">
                        <pic:nvPicPr>
                          <pic:cNvPr id="85" name="image19"/>
                          <pic:cNvPicPr/>
                        </pic:nvPicPr>
                        <pic:blipFill>
                          <a:blip r:embed="rId31"/>
                          <a:stretch>
                            <a:fillRect/>
                          </a:stretch>
                        </pic:blipFill>
                        <pic:spPr>
                          <a:xfrm>
                            <a:off x="0" y="0"/>
                            <a:ext cx="774700" cy="806450"/>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AAA77">
            <w:pPr>
              <w:widowControl/>
              <w:shd w:val="clear"/>
              <w:jc w:val="left"/>
              <w:textAlignment w:val="center"/>
              <w:rPr>
                <w:rFonts w:hint="eastAsia" w:ascii="宋体" w:hAnsi="宋体" w:eastAsia="宋体" w:cs="宋体"/>
                <w:color w:val="auto"/>
                <w:sz w:val="18"/>
                <w:szCs w:val="18"/>
                <w:highlight w:val="none"/>
                <w:lang w:eastAsia="zh-CN"/>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规格：60*30*75cm</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2.</w:t>
            </w:r>
            <w:r>
              <w:rPr>
                <w:rFonts w:hint="eastAsia" w:ascii="宋体" w:hAnsi="宋体" w:cs="宋体"/>
                <w:color w:val="auto"/>
                <w:kern w:val="0"/>
                <w:sz w:val="18"/>
                <w:szCs w:val="18"/>
                <w:highlight w:val="none"/>
                <w:lang w:bidi="ar"/>
              </w:rPr>
              <w:t>材质：芬兰木厚度20mm，经过高温杀菌处理制作。油漆采用户外环保木油经过2 次底漆2 次面漆制作而成</w:t>
            </w:r>
            <w:r>
              <w:rPr>
                <w:rFonts w:hint="eastAsia" w:ascii="宋体" w:hAnsi="宋体" w:cs="宋体"/>
                <w:color w:val="auto"/>
                <w:kern w:val="0"/>
                <w:sz w:val="18"/>
                <w:szCs w:val="18"/>
                <w:highlight w:val="none"/>
                <w:lang w:eastAsia="zh-CN" w:bidi="ar"/>
              </w:rPr>
              <w:t>。</w:t>
            </w:r>
          </w:p>
        </w:tc>
      </w:tr>
      <w:tr w14:paraId="6FCAB997">
        <w:tblPrEx>
          <w:tblCellMar>
            <w:top w:w="0" w:type="dxa"/>
            <w:left w:w="108" w:type="dxa"/>
            <w:bottom w:w="0" w:type="dxa"/>
            <w:right w:w="108" w:type="dxa"/>
          </w:tblCellMar>
        </w:tblPrEx>
        <w:trPr>
          <w:trHeight w:val="1635"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E9335">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21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60301">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滑道组合</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B3AFE">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6E7BFC">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BABC4">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78720" behindDoc="0" locked="0" layoutInCell="1" allowOverlap="1">
                  <wp:simplePos x="0" y="0"/>
                  <wp:positionH relativeFrom="column">
                    <wp:posOffset>70485</wp:posOffset>
                  </wp:positionH>
                  <wp:positionV relativeFrom="paragraph">
                    <wp:posOffset>192405</wp:posOffset>
                  </wp:positionV>
                  <wp:extent cx="1412240" cy="748030"/>
                  <wp:effectExtent l="0" t="0" r="16510" b="13970"/>
                  <wp:wrapNone/>
                  <wp:docPr id="70" name="image17"/>
                  <wp:cNvGraphicFramePr/>
                  <a:graphic xmlns:a="http://schemas.openxmlformats.org/drawingml/2006/main">
                    <a:graphicData uri="http://schemas.openxmlformats.org/drawingml/2006/picture">
                      <pic:pic xmlns:pic="http://schemas.openxmlformats.org/drawingml/2006/picture">
                        <pic:nvPicPr>
                          <pic:cNvPr id="70" name="image17"/>
                          <pic:cNvPicPr/>
                        </pic:nvPicPr>
                        <pic:blipFill>
                          <a:blip r:embed="rId32"/>
                          <a:stretch>
                            <a:fillRect/>
                          </a:stretch>
                        </pic:blipFill>
                        <pic:spPr>
                          <a:xfrm>
                            <a:off x="0" y="0"/>
                            <a:ext cx="1412240" cy="748030"/>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CD0AB">
            <w:pPr>
              <w:widowControl/>
              <w:shd w:val="clear"/>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规格：1000*130*300cm</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2.</w:t>
            </w:r>
            <w:r>
              <w:rPr>
                <w:rFonts w:hint="eastAsia" w:ascii="宋体" w:hAnsi="宋体" w:cs="宋体"/>
                <w:color w:val="auto"/>
                <w:kern w:val="0"/>
                <w:sz w:val="18"/>
                <w:szCs w:val="18"/>
                <w:highlight w:val="none"/>
                <w:lang w:bidi="ar"/>
              </w:rPr>
              <w:t>采用芬兰木，直径12cm，经过高温杀菌处理制作。油漆采用户外环保木油经过 2 次底漆 2 次面漆制作而成。</w:t>
            </w:r>
          </w:p>
        </w:tc>
      </w:tr>
      <w:tr w14:paraId="2DF43572">
        <w:tblPrEx>
          <w:tblCellMar>
            <w:top w:w="0" w:type="dxa"/>
            <w:left w:w="108" w:type="dxa"/>
            <w:bottom w:w="0" w:type="dxa"/>
            <w:right w:w="108" w:type="dxa"/>
          </w:tblCellMar>
        </w:tblPrEx>
        <w:trPr>
          <w:trHeight w:val="1888"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B44AE1">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22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34EB1">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土坡山洞</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F0CAD">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4.5</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C550F">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米</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27C83D">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79744" behindDoc="0" locked="0" layoutInCell="1" allowOverlap="1">
                  <wp:simplePos x="0" y="0"/>
                  <wp:positionH relativeFrom="column">
                    <wp:posOffset>358775</wp:posOffset>
                  </wp:positionH>
                  <wp:positionV relativeFrom="paragraph">
                    <wp:posOffset>59055</wp:posOffset>
                  </wp:positionV>
                  <wp:extent cx="1135380" cy="883285"/>
                  <wp:effectExtent l="0" t="0" r="7620" b="12065"/>
                  <wp:wrapNone/>
                  <wp:docPr id="95" name="image25"/>
                  <wp:cNvGraphicFramePr/>
                  <a:graphic xmlns:a="http://schemas.openxmlformats.org/drawingml/2006/main">
                    <a:graphicData uri="http://schemas.openxmlformats.org/drawingml/2006/picture">
                      <pic:pic xmlns:pic="http://schemas.openxmlformats.org/drawingml/2006/picture">
                        <pic:nvPicPr>
                          <pic:cNvPr id="95" name="image25"/>
                          <pic:cNvPicPr/>
                        </pic:nvPicPr>
                        <pic:blipFill>
                          <a:blip r:embed="rId33"/>
                          <a:stretch>
                            <a:fillRect/>
                          </a:stretch>
                        </pic:blipFill>
                        <pic:spPr>
                          <a:xfrm>
                            <a:off x="0" y="0"/>
                            <a:ext cx="1135380" cy="883285"/>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231856">
            <w:pPr>
              <w:widowControl/>
              <w:shd w:val="clear"/>
              <w:jc w:val="left"/>
              <w:textAlignment w:val="center"/>
              <w:rPr>
                <w:rFonts w:hint="eastAsia" w:ascii="宋体" w:hAnsi="宋体" w:eastAsia="宋体" w:cs="宋体"/>
                <w:color w:val="auto"/>
                <w:kern w:val="0"/>
                <w:sz w:val="18"/>
                <w:szCs w:val="18"/>
                <w:highlight w:val="none"/>
                <w:lang w:eastAsia="zh-CN" w:bidi="ar"/>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材质：304不锈钢3.0mm直径 78cm，含堆土坡，长4.5米，高1.2米</w:t>
            </w:r>
            <w:r>
              <w:rPr>
                <w:rFonts w:hint="eastAsia" w:ascii="宋体" w:hAnsi="宋体" w:cs="宋体"/>
                <w:color w:val="auto"/>
                <w:kern w:val="0"/>
                <w:sz w:val="18"/>
                <w:szCs w:val="18"/>
                <w:highlight w:val="none"/>
                <w:lang w:eastAsia="zh-CN" w:bidi="ar"/>
              </w:rPr>
              <w:t>；</w:t>
            </w:r>
          </w:p>
          <w:p w14:paraId="6B282804">
            <w:pPr>
              <w:widowControl/>
              <w:shd w:val="clear"/>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val="en-US" w:eastAsia="zh-CN" w:bidi="ar"/>
              </w:rPr>
              <w:t>2.</w:t>
            </w:r>
            <w:r>
              <w:rPr>
                <w:rFonts w:hint="eastAsia" w:ascii="宋体" w:hAnsi="宋体" w:cs="宋体"/>
                <w:color w:val="auto"/>
                <w:kern w:val="0"/>
                <w:sz w:val="18"/>
                <w:szCs w:val="18"/>
                <w:highlight w:val="none"/>
                <w:lang w:bidi="ar"/>
              </w:rPr>
              <w:t>不锈钢板符合抗拉强度、规定塑性延伸强度、断后伸长率、洛氏硬度、中性盐雾实验及试验评级、高温抗拉强度、高温规定塑性延伸强度、高温断后伸长率、冲击测试、密度测试。</w:t>
            </w:r>
          </w:p>
        </w:tc>
      </w:tr>
      <w:tr w14:paraId="711416BE">
        <w:tblPrEx>
          <w:tblCellMar>
            <w:top w:w="0" w:type="dxa"/>
            <w:left w:w="108" w:type="dxa"/>
            <w:bottom w:w="0" w:type="dxa"/>
            <w:right w:w="108" w:type="dxa"/>
          </w:tblCellMar>
        </w:tblPrEx>
        <w:trPr>
          <w:trHeight w:val="620"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D4B3B">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23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FAB3A">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拓展区地面</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742D2">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250</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F2AB8">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平方</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211EC">
            <w:pPr>
              <w:shd w:val="clear"/>
              <w:jc w:val="center"/>
              <w:rPr>
                <w:rFonts w:ascii="宋体" w:hAnsi="宋体" w:cs="宋体"/>
                <w:color w:val="auto"/>
                <w:sz w:val="18"/>
                <w:szCs w:val="18"/>
                <w:highlight w:val="none"/>
              </w:rPr>
            </w:pP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980DF">
            <w:pPr>
              <w:widowControl/>
              <w:shd w:val="clear"/>
              <w:jc w:val="left"/>
              <w:textAlignment w:val="center"/>
              <w:rPr>
                <w:rFonts w:hint="eastAsia" w:ascii="宋体" w:hAnsi="宋体" w:eastAsia="宋体" w:cs="宋体"/>
                <w:color w:val="auto"/>
                <w:sz w:val="18"/>
                <w:szCs w:val="18"/>
                <w:highlight w:val="none"/>
                <w:lang w:eastAsia="zh-CN"/>
              </w:rPr>
            </w:pPr>
            <w:r>
              <w:rPr>
                <w:rFonts w:hint="eastAsia" w:ascii="宋体" w:hAnsi="宋体" w:cs="宋体"/>
                <w:color w:val="auto"/>
                <w:kern w:val="0"/>
                <w:sz w:val="18"/>
                <w:szCs w:val="18"/>
                <w:highlight w:val="none"/>
                <w:lang w:bidi="ar"/>
              </w:rPr>
              <w:t>原海绵城市填平改为山坡和拓展地，面积205㎡，深度50cm。土方为23m³,原深坑黄土回填，回填深度50cm,黄土夯实</w:t>
            </w:r>
            <w:r>
              <w:rPr>
                <w:rFonts w:hint="eastAsia" w:ascii="宋体" w:hAnsi="宋体" w:cs="宋体"/>
                <w:color w:val="auto"/>
                <w:kern w:val="0"/>
                <w:sz w:val="18"/>
                <w:szCs w:val="18"/>
                <w:highlight w:val="none"/>
                <w:lang w:eastAsia="zh-CN" w:bidi="ar"/>
              </w:rPr>
              <w:t>。</w:t>
            </w:r>
          </w:p>
        </w:tc>
      </w:tr>
      <w:tr w14:paraId="7C7A42B6">
        <w:tblPrEx>
          <w:tblCellMar>
            <w:top w:w="0" w:type="dxa"/>
            <w:left w:w="108" w:type="dxa"/>
            <w:bottom w:w="0" w:type="dxa"/>
            <w:right w:w="108" w:type="dxa"/>
          </w:tblCellMar>
        </w:tblPrEx>
        <w:trPr>
          <w:trHeight w:val="1883"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982B9">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24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B69C3">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木爬</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1A4C0">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5</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7C5BB">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根</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D0E80">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80768" behindDoc="0" locked="0" layoutInCell="1" allowOverlap="1">
                  <wp:simplePos x="0" y="0"/>
                  <wp:positionH relativeFrom="column">
                    <wp:posOffset>387350</wp:posOffset>
                  </wp:positionH>
                  <wp:positionV relativeFrom="paragraph">
                    <wp:posOffset>337820</wp:posOffset>
                  </wp:positionV>
                  <wp:extent cx="1082675" cy="520065"/>
                  <wp:effectExtent l="0" t="0" r="3175" b="13335"/>
                  <wp:wrapNone/>
                  <wp:docPr id="89" name="image27"/>
                  <wp:cNvGraphicFramePr/>
                  <a:graphic xmlns:a="http://schemas.openxmlformats.org/drawingml/2006/main">
                    <a:graphicData uri="http://schemas.openxmlformats.org/drawingml/2006/picture">
                      <pic:pic xmlns:pic="http://schemas.openxmlformats.org/drawingml/2006/picture">
                        <pic:nvPicPr>
                          <pic:cNvPr id="89" name="image27"/>
                          <pic:cNvPicPr/>
                        </pic:nvPicPr>
                        <pic:blipFill>
                          <a:blip r:embed="rId34"/>
                          <a:stretch>
                            <a:fillRect/>
                          </a:stretch>
                        </pic:blipFill>
                        <pic:spPr>
                          <a:xfrm>
                            <a:off x="0" y="0"/>
                            <a:ext cx="1082675" cy="520065"/>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E8D60">
            <w:pPr>
              <w:widowControl/>
              <w:shd w:val="clear"/>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长度 80cm采用芬兰木，圆木直径 6cm ，经过高温杀菌处理制作。油漆采用户外环保木油经过2 次底漆2 次面漆制作而成。</w:t>
            </w:r>
          </w:p>
        </w:tc>
      </w:tr>
      <w:tr w14:paraId="780FE6CD">
        <w:tblPrEx>
          <w:tblCellMar>
            <w:top w:w="0" w:type="dxa"/>
            <w:left w:w="108" w:type="dxa"/>
            <w:bottom w:w="0" w:type="dxa"/>
            <w:right w:w="108" w:type="dxa"/>
          </w:tblCellMar>
        </w:tblPrEx>
        <w:trPr>
          <w:trHeight w:val="2420"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D9AAF">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25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9DDD2">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木制体能组合</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5A6B95">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845EC">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B7465">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81792" behindDoc="0" locked="0" layoutInCell="1" allowOverlap="1">
                  <wp:simplePos x="0" y="0"/>
                  <wp:positionH relativeFrom="column">
                    <wp:posOffset>41910</wp:posOffset>
                  </wp:positionH>
                  <wp:positionV relativeFrom="paragraph">
                    <wp:posOffset>252730</wp:posOffset>
                  </wp:positionV>
                  <wp:extent cx="1478915" cy="1000125"/>
                  <wp:effectExtent l="0" t="0" r="6985" b="9525"/>
                  <wp:wrapNone/>
                  <wp:docPr id="81" name="image24"/>
                  <wp:cNvGraphicFramePr/>
                  <a:graphic xmlns:a="http://schemas.openxmlformats.org/drawingml/2006/main">
                    <a:graphicData uri="http://schemas.openxmlformats.org/drawingml/2006/picture">
                      <pic:pic xmlns:pic="http://schemas.openxmlformats.org/drawingml/2006/picture">
                        <pic:nvPicPr>
                          <pic:cNvPr id="81" name="image24"/>
                          <pic:cNvPicPr/>
                        </pic:nvPicPr>
                        <pic:blipFill>
                          <a:blip r:embed="rId35"/>
                          <a:stretch>
                            <a:fillRect/>
                          </a:stretch>
                        </pic:blipFill>
                        <pic:spPr>
                          <a:xfrm>
                            <a:off x="0" y="0"/>
                            <a:ext cx="1478915" cy="1000125"/>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70C32">
            <w:pPr>
              <w:widowControl/>
              <w:shd w:val="clear"/>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规格：1550*170*210cm</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2.</w:t>
            </w:r>
            <w:r>
              <w:rPr>
                <w:rFonts w:hint="eastAsia" w:ascii="宋体" w:hAnsi="宋体" w:cs="宋体"/>
                <w:color w:val="auto"/>
                <w:kern w:val="0"/>
                <w:sz w:val="18"/>
                <w:szCs w:val="18"/>
                <w:highlight w:val="none"/>
                <w:lang w:bidi="ar"/>
              </w:rPr>
              <w:t>立柱 10*10cm 采用芬兰木，经过高温杀菌处理制作。油漆采用户外环保木油经过 2 次底漆 2 次面漆制作而成。平行爬网：φ16mm 钢芯缆绳，网绳编织采用专用尼龙连接扣连接。爬网底再铺设六边型机编晴纶网，网孔不大于60mm。</w:t>
            </w:r>
          </w:p>
        </w:tc>
      </w:tr>
      <w:tr w14:paraId="3B5DBFF8">
        <w:tblPrEx>
          <w:tblCellMar>
            <w:top w:w="0" w:type="dxa"/>
            <w:left w:w="108" w:type="dxa"/>
            <w:bottom w:w="0" w:type="dxa"/>
            <w:right w:w="108" w:type="dxa"/>
          </w:tblCellMar>
        </w:tblPrEx>
        <w:trPr>
          <w:trHeight w:val="2505"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AE176">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26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C6165">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停车场</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07CCA">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2D2F1">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17401">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82816" behindDoc="0" locked="0" layoutInCell="1" allowOverlap="1">
                  <wp:simplePos x="0" y="0"/>
                  <wp:positionH relativeFrom="column">
                    <wp:posOffset>70485</wp:posOffset>
                  </wp:positionH>
                  <wp:positionV relativeFrom="paragraph">
                    <wp:posOffset>268605</wp:posOffset>
                  </wp:positionV>
                  <wp:extent cx="1343025" cy="1261745"/>
                  <wp:effectExtent l="0" t="0" r="9525" b="14605"/>
                  <wp:wrapNone/>
                  <wp:docPr id="88" name="image23"/>
                  <wp:cNvGraphicFramePr/>
                  <a:graphic xmlns:a="http://schemas.openxmlformats.org/drawingml/2006/main">
                    <a:graphicData uri="http://schemas.openxmlformats.org/drawingml/2006/picture">
                      <pic:pic xmlns:pic="http://schemas.openxmlformats.org/drawingml/2006/picture">
                        <pic:nvPicPr>
                          <pic:cNvPr id="88" name="image23"/>
                          <pic:cNvPicPr/>
                        </pic:nvPicPr>
                        <pic:blipFill>
                          <a:blip r:embed="rId36"/>
                          <a:stretch>
                            <a:fillRect/>
                          </a:stretch>
                        </pic:blipFill>
                        <pic:spPr>
                          <a:xfrm>
                            <a:off x="0" y="0"/>
                            <a:ext cx="1343025" cy="1261745"/>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C139A">
            <w:pPr>
              <w:widowControl/>
              <w:shd w:val="clear"/>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w:t>
            </w:r>
            <w:r>
              <w:rPr>
                <w:rStyle w:val="60"/>
                <w:rFonts w:hint="default"/>
                <w:color w:val="auto"/>
                <w:highlight w:val="none"/>
                <w:lang w:bidi="ar"/>
              </w:rPr>
              <w:t>300*120*210cm</w:t>
            </w:r>
            <w:r>
              <w:rPr>
                <w:rStyle w:val="60"/>
                <w:rFonts w:hint="eastAsia"/>
                <w:color w:val="auto"/>
                <w:highlight w:val="none"/>
                <w:lang w:eastAsia="zh-CN" w:bidi="ar"/>
              </w:rPr>
              <w:t>；</w:t>
            </w:r>
            <w:r>
              <w:rPr>
                <w:rStyle w:val="60"/>
                <w:rFonts w:hint="default"/>
                <w:color w:val="auto"/>
                <w:highlight w:val="none"/>
                <w:lang w:bidi="ar"/>
              </w:rPr>
              <w:br w:type="textWrapping"/>
            </w:r>
            <w:r>
              <w:rPr>
                <w:rStyle w:val="60"/>
                <w:rFonts w:hint="eastAsia"/>
                <w:color w:val="auto"/>
                <w:highlight w:val="none"/>
                <w:lang w:val="en-US" w:eastAsia="zh-CN" w:bidi="ar"/>
              </w:rPr>
              <w:t>2.</w:t>
            </w:r>
            <w:r>
              <w:rPr>
                <w:rStyle w:val="60"/>
                <w:rFonts w:hint="default"/>
                <w:color w:val="auto"/>
                <w:highlight w:val="none"/>
                <w:lang w:bidi="ar"/>
              </w:rPr>
              <w:t>采用芬兰木，立柱10*10cm,经过高温杀菌处理制作。油漆采用户外环保木油经过</w:t>
            </w:r>
            <w:r>
              <w:rPr>
                <w:rStyle w:val="61"/>
                <w:rFonts w:hint="default"/>
                <w:color w:val="auto"/>
                <w:highlight w:val="none"/>
                <w:lang w:bidi="ar"/>
              </w:rPr>
              <w:t>2</w:t>
            </w:r>
            <w:r>
              <w:rPr>
                <w:rStyle w:val="60"/>
                <w:rFonts w:hint="default"/>
                <w:color w:val="auto"/>
                <w:highlight w:val="none"/>
                <w:lang w:bidi="ar"/>
              </w:rPr>
              <w:t>次底漆</w:t>
            </w:r>
            <w:r>
              <w:rPr>
                <w:rStyle w:val="61"/>
                <w:rFonts w:hint="default"/>
                <w:color w:val="auto"/>
                <w:highlight w:val="none"/>
                <w:lang w:bidi="ar"/>
              </w:rPr>
              <w:t>2</w:t>
            </w:r>
            <w:r>
              <w:rPr>
                <w:rStyle w:val="60"/>
                <w:rFonts w:hint="default"/>
                <w:color w:val="auto"/>
                <w:highlight w:val="none"/>
                <w:lang w:bidi="ar"/>
              </w:rPr>
              <w:t>次面漆制作而成。</w:t>
            </w:r>
          </w:p>
        </w:tc>
      </w:tr>
      <w:tr w14:paraId="4B23FAA3">
        <w:tblPrEx>
          <w:tblCellMar>
            <w:top w:w="0" w:type="dxa"/>
            <w:left w:w="108" w:type="dxa"/>
            <w:bottom w:w="0" w:type="dxa"/>
            <w:right w:w="108" w:type="dxa"/>
          </w:tblCellMar>
        </w:tblPrEx>
        <w:trPr>
          <w:trHeight w:val="970"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721D9">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27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36BB7">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旗台</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F3F63">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BE708">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07B40">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83840" behindDoc="0" locked="0" layoutInCell="1" allowOverlap="1">
                  <wp:simplePos x="0" y="0"/>
                  <wp:positionH relativeFrom="column">
                    <wp:posOffset>71755</wp:posOffset>
                  </wp:positionH>
                  <wp:positionV relativeFrom="paragraph">
                    <wp:posOffset>129540</wp:posOffset>
                  </wp:positionV>
                  <wp:extent cx="1400175" cy="461645"/>
                  <wp:effectExtent l="0" t="0" r="9525" b="14605"/>
                  <wp:wrapNone/>
                  <wp:docPr id="82" name="image26"/>
                  <wp:cNvGraphicFramePr/>
                  <a:graphic xmlns:a="http://schemas.openxmlformats.org/drawingml/2006/main">
                    <a:graphicData uri="http://schemas.openxmlformats.org/drawingml/2006/picture">
                      <pic:pic xmlns:pic="http://schemas.openxmlformats.org/drawingml/2006/picture">
                        <pic:nvPicPr>
                          <pic:cNvPr id="82" name="image26"/>
                          <pic:cNvPicPr/>
                        </pic:nvPicPr>
                        <pic:blipFill>
                          <a:blip r:embed="rId37"/>
                          <a:stretch>
                            <a:fillRect/>
                          </a:stretch>
                        </pic:blipFill>
                        <pic:spPr>
                          <a:xfrm>
                            <a:off x="0" y="0"/>
                            <a:ext cx="1400175" cy="461645"/>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A50FD">
            <w:pPr>
              <w:widowControl/>
              <w:shd w:val="clear"/>
              <w:jc w:val="left"/>
              <w:textAlignment w:val="center"/>
              <w:rPr>
                <w:rFonts w:hint="eastAsia" w:ascii="宋体" w:hAnsi="宋体" w:eastAsia="宋体" w:cs="宋体"/>
                <w:color w:val="auto"/>
                <w:sz w:val="18"/>
                <w:szCs w:val="18"/>
                <w:highlight w:val="none"/>
                <w:lang w:eastAsia="zh-CN"/>
              </w:rPr>
            </w:pPr>
            <w:r>
              <w:rPr>
                <w:rStyle w:val="60"/>
                <w:rFonts w:hint="default"/>
                <w:color w:val="auto"/>
                <w:highlight w:val="none"/>
                <w:lang w:bidi="ar"/>
              </w:rPr>
              <w:t>拱挤木地板</w:t>
            </w:r>
            <w:r>
              <w:rPr>
                <w:rStyle w:val="61"/>
                <w:rFonts w:hint="default"/>
                <w:color w:val="auto"/>
                <w:highlight w:val="none"/>
                <w:lang w:bidi="ar"/>
              </w:rPr>
              <w:t>500*260*20cm</w:t>
            </w:r>
            <w:r>
              <w:rPr>
                <w:rStyle w:val="60"/>
                <w:rFonts w:hint="default"/>
                <w:color w:val="auto"/>
                <w:highlight w:val="none"/>
                <w:lang w:bidi="ar"/>
              </w:rPr>
              <w:t>；</w:t>
            </w:r>
            <w:r>
              <w:rPr>
                <w:rStyle w:val="61"/>
                <w:rFonts w:hint="default"/>
                <w:color w:val="auto"/>
                <w:highlight w:val="none"/>
                <w:lang w:bidi="ar"/>
              </w:rPr>
              <w:t>304</w:t>
            </w:r>
            <w:r>
              <w:rPr>
                <w:rStyle w:val="60"/>
                <w:rFonts w:hint="default"/>
                <w:color w:val="auto"/>
                <w:highlight w:val="none"/>
                <w:lang w:bidi="ar"/>
              </w:rPr>
              <w:t>不锈钢旗杆厚度2.0；旗杆高度</w:t>
            </w:r>
            <w:r>
              <w:rPr>
                <w:rStyle w:val="61"/>
                <w:rFonts w:hint="default"/>
                <w:color w:val="auto"/>
                <w:highlight w:val="none"/>
                <w:lang w:bidi="ar"/>
              </w:rPr>
              <w:t>880cm</w:t>
            </w:r>
            <w:r>
              <w:rPr>
                <w:rStyle w:val="60"/>
                <w:rFonts w:hint="default"/>
                <w:color w:val="auto"/>
                <w:highlight w:val="none"/>
                <w:lang w:bidi="ar"/>
              </w:rPr>
              <w:t>,地板规格；4000*145*23mm</w:t>
            </w:r>
            <w:r>
              <w:rPr>
                <w:rStyle w:val="60"/>
                <w:rFonts w:hint="eastAsia"/>
                <w:color w:val="auto"/>
                <w:highlight w:val="none"/>
                <w:lang w:eastAsia="zh-CN" w:bidi="ar"/>
              </w:rPr>
              <w:t>。</w:t>
            </w:r>
          </w:p>
        </w:tc>
      </w:tr>
      <w:tr w14:paraId="685FE032">
        <w:tblPrEx>
          <w:tblCellMar>
            <w:top w:w="0" w:type="dxa"/>
            <w:left w:w="108" w:type="dxa"/>
            <w:bottom w:w="0" w:type="dxa"/>
            <w:right w:w="108" w:type="dxa"/>
          </w:tblCellMar>
        </w:tblPrEx>
        <w:trPr>
          <w:trHeight w:val="2820"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76ED7">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28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638A5">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收纳屋</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2AD4D">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E7AF0">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293BE">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84864" behindDoc="0" locked="0" layoutInCell="1" allowOverlap="1">
                  <wp:simplePos x="0" y="0"/>
                  <wp:positionH relativeFrom="column">
                    <wp:posOffset>70485</wp:posOffset>
                  </wp:positionH>
                  <wp:positionV relativeFrom="paragraph">
                    <wp:posOffset>375920</wp:posOffset>
                  </wp:positionV>
                  <wp:extent cx="1394460" cy="782955"/>
                  <wp:effectExtent l="0" t="0" r="15240" b="17145"/>
                  <wp:wrapNone/>
                  <wp:docPr id="67" name="image29"/>
                  <wp:cNvGraphicFramePr/>
                  <a:graphic xmlns:a="http://schemas.openxmlformats.org/drawingml/2006/main">
                    <a:graphicData uri="http://schemas.openxmlformats.org/drawingml/2006/picture">
                      <pic:pic xmlns:pic="http://schemas.openxmlformats.org/drawingml/2006/picture">
                        <pic:nvPicPr>
                          <pic:cNvPr id="67" name="image29"/>
                          <pic:cNvPicPr/>
                        </pic:nvPicPr>
                        <pic:blipFill>
                          <a:blip r:embed="rId38"/>
                          <a:stretch>
                            <a:fillRect/>
                          </a:stretch>
                        </pic:blipFill>
                        <pic:spPr>
                          <a:xfrm>
                            <a:off x="0" y="0"/>
                            <a:ext cx="1394460" cy="782955"/>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03AF4">
            <w:pPr>
              <w:widowControl/>
              <w:shd w:val="clear"/>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规格：700*120*160cm</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2.</w:t>
            </w:r>
            <w:r>
              <w:rPr>
                <w:rFonts w:hint="eastAsia" w:ascii="宋体" w:hAnsi="宋体" w:cs="宋体"/>
                <w:color w:val="auto"/>
                <w:kern w:val="0"/>
                <w:sz w:val="18"/>
                <w:szCs w:val="18"/>
                <w:highlight w:val="none"/>
                <w:lang w:bidi="ar"/>
              </w:rPr>
              <w:t>材质：镀锌钢管+铝塑板；</w:t>
            </w:r>
          </w:p>
          <w:p w14:paraId="007798C1">
            <w:pPr>
              <w:widowControl/>
              <w:shd w:val="clear"/>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val="en-US" w:eastAsia="zh-CN" w:bidi="ar"/>
              </w:rPr>
              <w:t>3.</w:t>
            </w:r>
            <w:r>
              <w:rPr>
                <w:rFonts w:hint="eastAsia" w:ascii="宋体" w:hAnsi="宋体" w:cs="宋体"/>
                <w:color w:val="auto"/>
                <w:kern w:val="0"/>
                <w:sz w:val="18"/>
                <w:szCs w:val="18"/>
                <w:highlight w:val="none"/>
                <w:lang w:bidi="ar"/>
              </w:rPr>
              <w:t xml:space="preserve">铝塑板：厚度不小于  4mm，双面木纹，压条采用铝合金； </w:t>
            </w:r>
          </w:p>
          <w:p w14:paraId="30C49068">
            <w:pPr>
              <w:widowControl/>
              <w:shd w:val="clear"/>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val="en-US" w:eastAsia="zh-CN" w:bidi="ar"/>
              </w:rPr>
              <w:t>4.</w:t>
            </w:r>
            <w:r>
              <w:rPr>
                <w:rFonts w:hint="eastAsia" w:ascii="宋体" w:hAnsi="宋体" w:cs="宋体"/>
                <w:color w:val="auto"/>
                <w:kern w:val="0"/>
                <w:sz w:val="18"/>
                <w:szCs w:val="18"/>
                <w:highlight w:val="none"/>
                <w:lang w:bidi="ar"/>
              </w:rPr>
              <w:t xml:space="preserve">铁件立柱：5*5cm，厚度为 2mm，辅助材料：2*4cm、3*5cm 、2*2cm ，厚度  1.5mm ，镀锌钢管，表面光滑，抗紫外光线能力强，色彩鲜艳，不易脱落，耐腐蚀；  </w:t>
            </w:r>
          </w:p>
          <w:p w14:paraId="292D332F">
            <w:pPr>
              <w:widowControl/>
              <w:shd w:val="clear"/>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val="en-US" w:eastAsia="zh-CN" w:bidi="ar"/>
              </w:rPr>
              <w:t>5.</w:t>
            </w:r>
            <w:r>
              <w:rPr>
                <w:rFonts w:hint="eastAsia" w:ascii="宋体" w:hAnsi="宋体" w:cs="宋体"/>
                <w:color w:val="auto"/>
                <w:kern w:val="0"/>
                <w:sz w:val="18"/>
                <w:szCs w:val="18"/>
                <w:highlight w:val="none"/>
                <w:lang w:bidi="ar"/>
              </w:rPr>
              <w:t xml:space="preserve">顶部采用双层防水沥青瓦片。门采用铝合金百合门； </w:t>
            </w:r>
          </w:p>
          <w:p w14:paraId="13092162">
            <w:pPr>
              <w:widowControl/>
              <w:shd w:val="clear"/>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val="en-US" w:eastAsia="zh-CN" w:bidi="ar"/>
              </w:rPr>
              <w:t>6.</w:t>
            </w:r>
            <w:r>
              <w:rPr>
                <w:rFonts w:hint="eastAsia" w:ascii="宋体" w:hAnsi="宋体" w:cs="宋体"/>
                <w:color w:val="auto"/>
                <w:kern w:val="0"/>
                <w:sz w:val="18"/>
                <w:szCs w:val="18"/>
                <w:highlight w:val="none"/>
                <w:lang w:bidi="ar"/>
              </w:rPr>
              <w:t>产品外表和内表以及儿童手指可触及处无毛刺及尖锐的棱角，油漆采用户外哑光漆；</w:t>
            </w:r>
          </w:p>
          <w:p w14:paraId="535C16B2">
            <w:pPr>
              <w:widowControl/>
              <w:shd w:val="clear"/>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val="en-US" w:eastAsia="zh-CN" w:bidi="ar"/>
              </w:rPr>
              <w:t>7.</w:t>
            </w:r>
            <w:r>
              <w:rPr>
                <w:rFonts w:hint="eastAsia" w:ascii="宋体" w:hAnsi="宋体" w:cs="宋体"/>
                <w:color w:val="auto"/>
                <w:kern w:val="0"/>
                <w:sz w:val="18"/>
                <w:szCs w:val="18"/>
                <w:highlight w:val="none"/>
                <w:lang w:bidi="ar"/>
              </w:rPr>
              <w:t>螺丝均采用不锈钢 304#材质防盗螺丝，并采用防松螺母固定，牢固可靠，不易松动脱落及变形和损坏。</w:t>
            </w:r>
          </w:p>
        </w:tc>
      </w:tr>
      <w:tr w14:paraId="58FC208F">
        <w:tblPrEx>
          <w:tblCellMar>
            <w:top w:w="0" w:type="dxa"/>
            <w:left w:w="108" w:type="dxa"/>
            <w:bottom w:w="0" w:type="dxa"/>
            <w:right w:w="108" w:type="dxa"/>
          </w:tblCellMar>
        </w:tblPrEx>
        <w:trPr>
          <w:trHeight w:val="90"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033D6">
            <w:pPr>
              <w:widowControl/>
              <w:shd w:val="clear"/>
              <w:jc w:val="center"/>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 xml:space="preserve">29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B1B4D">
            <w:pPr>
              <w:widowControl/>
              <w:shd w:val="clear"/>
              <w:jc w:val="center"/>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木屋组合玩具</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185352">
            <w:pPr>
              <w:widowControl/>
              <w:shd w:val="clear"/>
              <w:jc w:val="center"/>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38EEC">
            <w:pPr>
              <w:widowControl/>
              <w:shd w:val="clear"/>
              <w:jc w:val="center"/>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组</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2CE16">
            <w:pPr>
              <w:widowControl/>
              <w:shd w:val="clear"/>
              <w:jc w:val="center"/>
              <w:textAlignment w:val="center"/>
              <w:rPr>
                <w:rFonts w:ascii="宋体" w:hAnsi="宋体" w:cs="宋体"/>
                <w:color w:val="auto"/>
                <w:kern w:val="0"/>
                <w:sz w:val="18"/>
                <w:szCs w:val="18"/>
                <w:highlight w:val="none"/>
                <w:bdr w:val="single" w:color="000000" w:sz="4" w:space="0"/>
                <w:lang w:bidi="ar"/>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715584" behindDoc="0" locked="0" layoutInCell="1" allowOverlap="1">
                  <wp:simplePos x="0" y="0"/>
                  <wp:positionH relativeFrom="column">
                    <wp:posOffset>-3175</wp:posOffset>
                  </wp:positionH>
                  <wp:positionV relativeFrom="paragraph">
                    <wp:posOffset>747395</wp:posOffset>
                  </wp:positionV>
                  <wp:extent cx="1433195" cy="1312545"/>
                  <wp:effectExtent l="0" t="0" r="14605" b="1905"/>
                  <wp:wrapNone/>
                  <wp:docPr id="57" name="image28"/>
                  <wp:cNvGraphicFramePr/>
                  <a:graphic xmlns:a="http://schemas.openxmlformats.org/drawingml/2006/main">
                    <a:graphicData uri="http://schemas.openxmlformats.org/drawingml/2006/picture">
                      <pic:pic xmlns:pic="http://schemas.openxmlformats.org/drawingml/2006/picture">
                        <pic:nvPicPr>
                          <pic:cNvPr id="57" name="image28"/>
                          <pic:cNvPicPr/>
                        </pic:nvPicPr>
                        <pic:blipFill>
                          <a:blip r:embed="rId39"/>
                          <a:stretch>
                            <a:fillRect/>
                          </a:stretch>
                        </pic:blipFill>
                        <pic:spPr>
                          <a:xfrm>
                            <a:off x="0" y="0"/>
                            <a:ext cx="1433195" cy="1312545"/>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731A4">
            <w:pPr>
              <w:widowControl/>
              <w:shd w:val="clear"/>
              <w:jc w:val="left"/>
              <w:textAlignment w:val="center"/>
              <w:rPr>
                <w:rFonts w:ascii="宋体" w:hAnsi="宋体" w:cs="宋体"/>
                <w:color w:val="auto"/>
                <w:kern w:val="0"/>
                <w:sz w:val="18"/>
                <w:szCs w:val="18"/>
                <w:highlight w:val="none"/>
                <w:lang w:bidi="ar"/>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规格：720*500*350cm</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2.</w:t>
            </w:r>
            <w:r>
              <w:rPr>
                <w:rFonts w:hint="eastAsia" w:ascii="宋体" w:hAnsi="宋体" w:cs="宋体"/>
                <w:color w:val="auto"/>
                <w:kern w:val="0"/>
                <w:sz w:val="18"/>
                <w:szCs w:val="18"/>
                <w:highlight w:val="none"/>
                <w:lang w:bidi="ar"/>
              </w:rPr>
              <w:t>平台采用2mm厚镀锌钢板激光切割折弯焊接成型，表面铺设15mm厚PS塑木。平台表面塑木板铺设方式：镙丝钉从平台底部自下而上固定，平台表面没有镙丝钉。木屋顶板和侧板也为15mm厚PS塑木，立柱采用镀锌钢管114*2mm、龙骨主料采用80*40*2.2mm辅料采用40*40*2mm、50*30*2mm、栏杆横杆采用镀锌钢管48*2mm，竖杆采用镀锌钢管32*1.8mm</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材料工艺及特点：</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3.</w:t>
            </w:r>
            <w:r>
              <w:rPr>
                <w:rFonts w:hint="eastAsia" w:ascii="宋体" w:hAnsi="宋体" w:cs="宋体"/>
                <w:color w:val="auto"/>
                <w:kern w:val="0"/>
                <w:sz w:val="18"/>
                <w:szCs w:val="18"/>
                <w:highlight w:val="none"/>
                <w:lang w:bidi="ar"/>
              </w:rPr>
              <w:t>PS塑木：材质成份选用塑胶类中刚性最佳，质感最接近木材的HIPS，再经过改性提升耐冲击强度后，并添加户外专用抗老化、抗紫外线等配方，以100%纯料制造加工而成。外观四面立体压花一体成形，纹路深且明显，止滑性极佳，不易磨损，不易退色。吸水率极低0.3%以下，且水份能够挥发</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t>在潮湿环境下不长斑、不发霉、不生虫、不开裂，相比于木材少去后期维护保养费用</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4.</w:t>
            </w:r>
            <w:r>
              <w:rPr>
                <w:rFonts w:hint="eastAsia" w:ascii="宋体" w:hAnsi="宋体" w:cs="宋体"/>
                <w:color w:val="auto"/>
                <w:kern w:val="0"/>
                <w:sz w:val="18"/>
                <w:szCs w:val="18"/>
                <w:highlight w:val="none"/>
                <w:lang w:bidi="ar"/>
              </w:rPr>
              <w:t>工程塑料：工程塑料添加抗止外线稳定及静电防止剂,表面处理:模铸面</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（1）原料:采用工程塑料,将颜色粉末与聚乙烯基材充分混合,让滚塑生产时可以充分的将颜色与基材密不可分, 让抗紫外线,退色,脆化,静电等元素长久不会流失.与一般厂家的只是将颜色粉末与聚乙烯基材以干拌方式混合有极大的性能分别. 颜色五年不退色，抗紫外线色牢度达8级</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（2）模具表面处理:采模铸面处理,展现较高的产质量感与防刮性</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5.</w:t>
            </w:r>
            <w:r>
              <w:rPr>
                <w:rFonts w:hint="eastAsia" w:ascii="宋体" w:hAnsi="宋体" w:cs="宋体"/>
                <w:color w:val="auto"/>
                <w:kern w:val="0"/>
                <w:sz w:val="18"/>
                <w:szCs w:val="18"/>
                <w:highlight w:val="none"/>
                <w:lang w:bidi="ar"/>
              </w:rPr>
              <w:t>钢管部件：镀锌钢管的部件采用符合要求的钢管，确保强度与安全性.原材料采用CO2 气体保护焊工艺、经过点焊，拉焊，补焊后，经过质检人员检查无误，通过打磨抛光的方法除绣，接着采用抛砂工艺处理铁件表面，随后将 漆粉通过喷枪，借助于喷枪压力，均匀喷涂于被涂物表面，在铁件专用高温烤箱内经过230度高温固化、最终成品表面光滑、色彩鲜艳、不易脱落 。（2）防止退色:粉末喷涂材料添加抗紫外线稳定剂,确保颜色保持长久鲜艳.直接使用镀锌厚度达到每平米120克的优质环保镀锌管，除油后用户外环保聚胺酯静电粉末喷涂，确保户外正常使用8年</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6.</w:t>
            </w:r>
            <w:r>
              <w:rPr>
                <w:rFonts w:hint="eastAsia" w:ascii="宋体" w:hAnsi="宋体" w:cs="宋体"/>
                <w:color w:val="auto"/>
                <w:kern w:val="0"/>
                <w:sz w:val="18"/>
                <w:szCs w:val="18"/>
                <w:highlight w:val="none"/>
                <w:lang w:bidi="ar"/>
              </w:rPr>
              <w:t>平行爬网：φ16mm钢芯缆绳，采用钢丝绳是将力学性能和几何尺寸符合要求的钢丝按照一定的规则捻制在一起的螺旋状钢丝束，钢丝绳由钢丝、绳芯及润滑脂组成。网绳编织采用专用尼龙连接扣连接。爬网底再铺设六边型机编晴纶网，网孔不大于60mm</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7.</w:t>
            </w:r>
            <w:r>
              <w:rPr>
                <w:rFonts w:hint="eastAsia" w:ascii="宋体" w:hAnsi="宋体" w:cs="宋体"/>
                <w:color w:val="auto"/>
                <w:kern w:val="0"/>
                <w:sz w:val="18"/>
                <w:szCs w:val="18"/>
                <w:highlight w:val="none"/>
                <w:lang w:bidi="ar"/>
              </w:rPr>
              <w:t>装饰PC板：采用纯聚甲基丙烯酸甲酯（PMMA）材料制成，厚度不小于4.5mm，透光率达80%以上，有极佳的耐候性，抗冲击力强</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8.</w:t>
            </w:r>
            <w:r>
              <w:rPr>
                <w:rFonts w:hint="eastAsia" w:ascii="宋体" w:hAnsi="宋体" w:cs="宋体"/>
                <w:color w:val="auto"/>
                <w:kern w:val="0"/>
                <w:sz w:val="18"/>
                <w:szCs w:val="18"/>
                <w:highlight w:val="none"/>
                <w:lang w:bidi="ar"/>
              </w:rPr>
              <w:t>PE板材质：高密度聚乙烯，厚度1.5cm，产品无臭，无毒，手感似蜡，具有优良的耐低温性能(最低使用温度可达-70～-100℃)，化学稳定性好</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9.</w:t>
            </w:r>
            <w:r>
              <w:rPr>
                <w:rFonts w:hint="eastAsia" w:ascii="宋体" w:hAnsi="宋体" w:cs="宋体"/>
                <w:color w:val="auto"/>
                <w:kern w:val="0"/>
                <w:sz w:val="18"/>
                <w:szCs w:val="18"/>
                <w:highlight w:val="none"/>
                <w:lang w:bidi="ar"/>
              </w:rPr>
              <w:t>五金配件采用材质：304不锈钢半圆头，T 型平头螺丝。表面处理：机械抛光 。</w:t>
            </w:r>
          </w:p>
        </w:tc>
      </w:tr>
      <w:tr w14:paraId="3F68BD31">
        <w:tblPrEx>
          <w:tblCellMar>
            <w:top w:w="0" w:type="dxa"/>
            <w:left w:w="108" w:type="dxa"/>
            <w:bottom w:w="0" w:type="dxa"/>
            <w:right w:w="108" w:type="dxa"/>
          </w:tblCellMar>
        </w:tblPrEx>
        <w:trPr>
          <w:trHeight w:val="1883"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F5992">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30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74368">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拱门花架组合</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1A9F4">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A7659">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29B53">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85888" behindDoc="0" locked="0" layoutInCell="1" allowOverlap="1">
                  <wp:simplePos x="0" y="0"/>
                  <wp:positionH relativeFrom="column">
                    <wp:posOffset>73025</wp:posOffset>
                  </wp:positionH>
                  <wp:positionV relativeFrom="paragraph">
                    <wp:posOffset>232410</wp:posOffset>
                  </wp:positionV>
                  <wp:extent cx="1355090" cy="824865"/>
                  <wp:effectExtent l="0" t="0" r="16510" b="13335"/>
                  <wp:wrapNone/>
                  <wp:docPr id="73" name="image31"/>
                  <wp:cNvGraphicFramePr/>
                  <a:graphic xmlns:a="http://schemas.openxmlformats.org/drawingml/2006/main">
                    <a:graphicData uri="http://schemas.openxmlformats.org/drawingml/2006/picture">
                      <pic:pic xmlns:pic="http://schemas.openxmlformats.org/drawingml/2006/picture">
                        <pic:nvPicPr>
                          <pic:cNvPr id="73" name="image31"/>
                          <pic:cNvPicPr/>
                        </pic:nvPicPr>
                        <pic:blipFill>
                          <a:blip r:embed="rId40"/>
                          <a:stretch>
                            <a:fillRect/>
                          </a:stretch>
                        </pic:blipFill>
                        <pic:spPr>
                          <a:xfrm>
                            <a:off x="0" y="0"/>
                            <a:ext cx="1355090" cy="824865"/>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19FC4">
            <w:pPr>
              <w:widowControl/>
              <w:shd w:val="clear"/>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规格：840*200*240cm</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2.</w:t>
            </w:r>
            <w:r>
              <w:rPr>
                <w:rFonts w:hint="eastAsia" w:ascii="宋体" w:hAnsi="宋体" w:cs="宋体"/>
                <w:color w:val="auto"/>
                <w:kern w:val="0"/>
                <w:sz w:val="18"/>
                <w:szCs w:val="18"/>
                <w:highlight w:val="none"/>
                <w:lang w:bidi="ar"/>
              </w:rPr>
              <w:t>采用芬兰木，经过高温杀菌处理制作。油漆采用户外环保木油经过2次底漆2次面漆制作而成。</w:t>
            </w:r>
          </w:p>
        </w:tc>
      </w:tr>
      <w:tr w14:paraId="19D2DD10">
        <w:tblPrEx>
          <w:tblCellMar>
            <w:top w:w="0" w:type="dxa"/>
            <w:left w:w="108" w:type="dxa"/>
            <w:bottom w:w="0" w:type="dxa"/>
            <w:right w:w="108" w:type="dxa"/>
          </w:tblCellMar>
        </w:tblPrEx>
        <w:trPr>
          <w:trHeight w:val="2505"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0F92B">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31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8580A">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指示牌</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CE8E6">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88045">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4FCC1">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86912" behindDoc="0" locked="0" layoutInCell="1" allowOverlap="1">
                  <wp:simplePos x="0" y="0"/>
                  <wp:positionH relativeFrom="column">
                    <wp:posOffset>495935</wp:posOffset>
                  </wp:positionH>
                  <wp:positionV relativeFrom="paragraph">
                    <wp:posOffset>69850</wp:posOffset>
                  </wp:positionV>
                  <wp:extent cx="588010" cy="1452880"/>
                  <wp:effectExtent l="0" t="0" r="2540" b="13970"/>
                  <wp:wrapNone/>
                  <wp:docPr id="69" name="image32"/>
                  <wp:cNvGraphicFramePr/>
                  <a:graphic xmlns:a="http://schemas.openxmlformats.org/drawingml/2006/main">
                    <a:graphicData uri="http://schemas.openxmlformats.org/drawingml/2006/picture">
                      <pic:pic xmlns:pic="http://schemas.openxmlformats.org/drawingml/2006/picture">
                        <pic:nvPicPr>
                          <pic:cNvPr id="69" name="image32"/>
                          <pic:cNvPicPr/>
                        </pic:nvPicPr>
                        <pic:blipFill>
                          <a:blip r:embed="rId41"/>
                          <a:stretch>
                            <a:fillRect/>
                          </a:stretch>
                        </pic:blipFill>
                        <pic:spPr>
                          <a:xfrm>
                            <a:off x="0" y="0"/>
                            <a:ext cx="588010" cy="1452880"/>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7A33D">
            <w:pPr>
              <w:widowControl/>
              <w:shd w:val="clear"/>
              <w:jc w:val="left"/>
              <w:textAlignment w:val="center"/>
              <w:rPr>
                <w:rFonts w:hint="eastAsia" w:ascii="宋体" w:hAnsi="宋体" w:eastAsia="宋体" w:cs="宋体"/>
                <w:color w:val="auto"/>
                <w:sz w:val="18"/>
                <w:szCs w:val="18"/>
                <w:highlight w:val="none"/>
                <w:lang w:eastAsia="zh-CN"/>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w:t>
            </w:r>
            <w:r>
              <w:rPr>
                <w:rStyle w:val="60"/>
                <w:rFonts w:hint="default"/>
                <w:color w:val="auto"/>
                <w:highlight w:val="none"/>
                <w:lang w:bidi="ar"/>
              </w:rPr>
              <w:t>840*200*240cm</w:t>
            </w:r>
            <w:r>
              <w:rPr>
                <w:rStyle w:val="60"/>
                <w:rFonts w:hint="eastAsia"/>
                <w:color w:val="auto"/>
                <w:highlight w:val="none"/>
                <w:lang w:eastAsia="zh-CN" w:bidi="ar"/>
              </w:rPr>
              <w:t>；</w:t>
            </w:r>
            <w:r>
              <w:rPr>
                <w:rStyle w:val="60"/>
                <w:rFonts w:hint="default"/>
                <w:color w:val="auto"/>
                <w:highlight w:val="none"/>
                <w:lang w:bidi="ar"/>
              </w:rPr>
              <w:br w:type="textWrapping"/>
            </w:r>
            <w:r>
              <w:rPr>
                <w:rStyle w:val="60"/>
                <w:rFonts w:hint="eastAsia"/>
                <w:color w:val="auto"/>
                <w:highlight w:val="none"/>
                <w:lang w:val="en-US" w:eastAsia="zh-CN" w:bidi="ar"/>
              </w:rPr>
              <w:t>2.</w:t>
            </w:r>
            <w:r>
              <w:rPr>
                <w:rStyle w:val="60"/>
                <w:rFonts w:hint="default"/>
                <w:color w:val="auto"/>
                <w:highlight w:val="none"/>
                <w:lang w:bidi="ar"/>
              </w:rPr>
              <w:t>采用芬兰木，5*5cm，经过高温杀菌处理制作。油漆采用户外环保木油经过</w:t>
            </w:r>
            <w:r>
              <w:rPr>
                <w:rStyle w:val="61"/>
                <w:rFonts w:hint="default"/>
                <w:color w:val="auto"/>
                <w:highlight w:val="none"/>
                <w:lang w:bidi="ar"/>
              </w:rPr>
              <w:t>2</w:t>
            </w:r>
            <w:r>
              <w:rPr>
                <w:rStyle w:val="60"/>
                <w:rFonts w:hint="default"/>
                <w:color w:val="auto"/>
                <w:highlight w:val="none"/>
                <w:lang w:bidi="ar"/>
              </w:rPr>
              <w:t>次底漆</w:t>
            </w:r>
            <w:r>
              <w:rPr>
                <w:rStyle w:val="61"/>
                <w:rFonts w:hint="default"/>
                <w:color w:val="auto"/>
                <w:highlight w:val="none"/>
                <w:lang w:bidi="ar"/>
              </w:rPr>
              <w:t>2</w:t>
            </w:r>
            <w:r>
              <w:rPr>
                <w:rStyle w:val="60"/>
                <w:rFonts w:hint="default"/>
                <w:color w:val="auto"/>
                <w:highlight w:val="none"/>
                <w:lang w:bidi="ar"/>
              </w:rPr>
              <w:t>次面漆制作而成。横梁间距25cm</w:t>
            </w:r>
            <w:r>
              <w:rPr>
                <w:rStyle w:val="60"/>
                <w:rFonts w:hint="eastAsia"/>
                <w:color w:val="auto"/>
                <w:highlight w:val="none"/>
                <w:lang w:eastAsia="zh-CN" w:bidi="ar"/>
              </w:rPr>
              <w:t>。</w:t>
            </w:r>
          </w:p>
        </w:tc>
      </w:tr>
      <w:tr w14:paraId="43D02DE7">
        <w:tblPrEx>
          <w:tblCellMar>
            <w:top w:w="0" w:type="dxa"/>
            <w:left w:w="108" w:type="dxa"/>
            <w:bottom w:w="0" w:type="dxa"/>
            <w:right w:w="108" w:type="dxa"/>
          </w:tblCellMar>
        </w:tblPrEx>
        <w:trPr>
          <w:trHeight w:val="2420"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2A905">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32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8BB901">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画室</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AA6E5">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6AA72">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座</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E1222">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87936" behindDoc="0" locked="0" layoutInCell="1" allowOverlap="1">
                  <wp:simplePos x="0" y="0"/>
                  <wp:positionH relativeFrom="column">
                    <wp:posOffset>92710</wp:posOffset>
                  </wp:positionH>
                  <wp:positionV relativeFrom="paragraph">
                    <wp:posOffset>243205</wp:posOffset>
                  </wp:positionV>
                  <wp:extent cx="1233170" cy="1186180"/>
                  <wp:effectExtent l="0" t="0" r="5080" b="13970"/>
                  <wp:wrapNone/>
                  <wp:docPr id="74" name="image30"/>
                  <wp:cNvGraphicFramePr/>
                  <a:graphic xmlns:a="http://schemas.openxmlformats.org/drawingml/2006/main">
                    <a:graphicData uri="http://schemas.openxmlformats.org/drawingml/2006/picture">
                      <pic:pic xmlns:pic="http://schemas.openxmlformats.org/drawingml/2006/picture">
                        <pic:nvPicPr>
                          <pic:cNvPr id="74" name="image30"/>
                          <pic:cNvPicPr/>
                        </pic:nvPicPr>
                        <pic:blipFill>
                          <a:blip r:embed="rId42"/>
                          <a:stretch>
                            <a:fillRect/>
                          </a:stretch>
                        </pic:blipFill>
                        <pic:spPr>
                          <a:xfrm>
                            <a:off x="0" y="0"/>
                            <a:ext cx="1233170" cy="1186180"/>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DED7F">
            <w:pPr>
              <w:widowControl/>
              <w:shd w:val="clear"/>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w:t>
            </w:r>
            <w:r>
              <w:rPr>
                <w:rStyle w:val="60"/>
                <w:rFonts w:hint="default"/>
                <w:color w:val="auto"/>
                <w:highlight w:val="none"/>
                <w:lang w:bidi="ar"/>
              </w:rPr>
              <w:t>55*12*240cm</w:t>
            </w:r>
            <w:r>
              <w:rPr>
                <w:rStyle w:val="60"/>
                <w:rFonts w:hint="eastAsia"/>
                <w:color w:val="auto"/>
                <w:highlight w:val="none"/>
                <w:lang w:eastAsia="zh-CN" w:bidi="ar"/>
              </w:rPr>
              <w:t>；</w:t>
            </w:r>
            <w:r>
              <w:rPr>
                <w:rStyle w:val="60"/>
                <w:rFonts w:hint="default"/>
                <w:color w:val="auto"/>
                <w:highlight w:val="none"/>
                <w:lang w:bidi="ar"/>
              </w:rPr>
              <w:br w:type="textWrapping"/>
            </w:r>
            <w:r>
              <w:rPr>
                <w:rStyle w:val="60"/>
                <w:rFonts w:hint="eastAsia"/>
                <w:color w:val="auto"/>
                <w:highlight w:val="none"/>
                <w:lang w:val="en-US" w:eastAsia="zh-CN" w:bidi="ar"/>
              </w:rPr>
              <w:t>2.</w:t>
            </w:r>
            <w:r>
              <w:rPr>
                <w:rStyle w:val="60"/>
                <w:rFonts w:hint="default"/>
                <w:color w:val="auto"/>
                <w:highlight w:val="none"/>
                <w:lang w:bidi="ar"/>
              </w:rPr>
              <w:t>采用芬兰木，厚度20mm,经过高温杀菌处理制作。油漆采用户外环保木油经过</w:t>
            </w:r>
            <w:r>
              <w:rPr>
                <w:rStyle w:val="61"/>
                <w:rFonts w:hint="default"/>
                <w:color w:val="auto"/>
                <w:highlight w:val="none"/>
                <w:lang w:bidi="ar"/>
              </w:rPr>
              <w:t>2</w:t>
            </w:r>
            <w:r>
              <w:rPr>
                <w:rStyle w:val="60"/>
                <w:rFonts w:hint="default"/>
                <w:color w:val="auto"/>
                <w:highlight w:val="none"/>
                <w:lang w:bidi="ar"/>
              </w:rPr>
              <w:t>次底漆</w:t>
            </w:r>
            <w:r>
              <w:rPr>
                <w:rStyle w:val="61"/>
                <w:rFonts w:hint="default"/>
                <w:color w:val="auto"/>
                <w:highlight w:val="none"/>
                <w:lang w:bidi="ar"/>
              </w:rPr>
              <w:t>2</w:t>
            </w:r>
            <w:r>
              <w:rPr>
                <w:rStyle w:val="60"/>
                <w:rFonts w:hint="default"/>
                <w:color w:val="auto"/>
                <w:highlight w:val="none"/>
                <w:lang w:bidi="ar"/>
              </w:rPr>
              <w:t>次面漆制作而成。</w:t>
            </w:r>
          </w:p>
        </w:tc>
      </w:tr>
      <w:tr w14:paraId="613797E4">
        <w:tblPrEx>
          <w:tblCellMar>
            <w:top w:w="0" w:type="dxa"/>
            <w:left w:w="108" w:type="dxa"/>
            <w:bottom w:w="0" w:type="dxa"/>
            <w:right w:w="108" w:type="dxa"/>
          </w:tblCellMar>
        </w:tblPrEx>
        <w:trPr>
          <w:trHeight w:val="1885"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721C04">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33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53C6D">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画架</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348AC7">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4</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11030">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个</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9B22F">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88960" behindDoc="0" locked="0" layoutInCell="1" allowOverlap="1">
                  <wp:simplePos x="0" y="0"/>
                  <wp:positionH relativeFrom="column">
                    <wp:posOffset>514350</wp:posOffset>
                  </wp:positionH>
                  <wp:positionV relativeFrom="paragraph">
                    <wp:posOffset>150495</wp:posOffset>
                  </wp:positionV>
                  <wp:extent cx="827405" cy="895985"/>
                  <wp:effectExtent l="0" t="0" r="10795" b="18415"/>
                  <wp:wrapNone/>
                  <wp:docPr id="75" name="image33"/>
                  <wp:cNvGraphicFramePr/>
                  <a:graphic xmlns:a="http://schemas.openxmlformats.org/drawingml/2006/main">
                    <a:graphicData uri="http://schemas.openxmlformats.org/drawingml/2006/picture">
                      <pic:pic xmlns:pic="http://schemas.openxmlformats.org/drawingml/2006/picture">
                        <pic:nvPicPr>
                          <pic:cNvPr id="75" name="image33"/>
                          <pic:cNvPicPr/>
                        </pic:nvPicPr>
                        <pic:blipFill>
                          <a:blip r:embed="rId43"/>
                          <a:stretch>
                            <a:fillRect/>
                          </a:stretch>
                        </pic:blipFill>
                        <pic:spPr>
                          <a:xfrm>
                            <a:off x="0" y="0"/>
                            <a:ext cx="827405" cy="895985"/>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28622">
            <w:pPr>
              <w:widowControl/>
              <w:shd w:val="clear"/>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w:t>
            </w:r>
            <w:r>
              <w:rPr>
                <w:rStyle w:val="60"/>
                <w:rFonts w:hint="default"/>
                <w:color w:val="auto"/>
                <w:highlight w:val="none"/>
                <w:lang w:bidi="ar"/>
              </w:rPr>
              <w:t>320*290*275cm</w:t>
            </w:r>
            <w:r>
              <w:rPr>
                <w:rStyle w:val="60"/>
                <w:rFonts w:hint="eastAsia"/>
                <w:color w:val="auto"/>
                <w:highlight w:val="none"/>
                <w:lang w:eastAsia="zh-CN" w:bidi="ar"/>
              </w:rPr>
              <w:t>；</w:t>
            </w:r>
            <w:r>
              <w:rPr>
                <w:rStyle w:val="60"/>
                <w:rFonts w:hint="default"/>
                <w:color w:val="auto"/>
                <w:highlight w:val="none"/>
                <w:lang w:bidi="ar"/>
              </w:rPr>
              <w:br w:type="textWrapping"/>
            </w:r>
            <w:r>
              <w:rPr>
                <w:rStyle w:val="60"/>
                <w:rFonts w:hint="eastAsia"/>
                <w:color w:val="auto"/>
                <w:highlight w:val="none"/>
                <w:lang w:val="en-US" w:eastAsia="zh-CN" w:bidi="ar"/>
              </w:rPr>
              <w:t>2.</w:t>
            </w:r>
            <w:r>
              <w:rPr>
                <w:rStyle w:val="60"/>
                <w:rFonts w:hint="default"/>
                <w:color w:val="auto"/>
                <w:highlight w:val="none"/>
                <w:lang w:bidi="ar"/>
              </w:rPr>
              <w:t>木头材质芬兰木，厚度15mm,表面处理：进行压、刨、铣、冲等处理后，表面进行防腐、防蛀处理，后采用原子灰进行三次刮灰抹平，并打磨光滑，表面喷涂三次聚氨脂清漆</w:t>
            </w:r>
            <w:r>
              <w:rPr>
                <w:rStyle w:val="60"/>
                <w:rFonts w:hint="eastAsia"/>
                <w:color w:val="auto"/>
                <w:highlight w:val="none"/>
                <w:lang w:eastAsia="zh-CN" w:bidi="ar"/>
              </w:rPr>
              <w:t>；</w:t>
            </w:r>
            <w:r>
              <w:rPr>
                <w:rStyle w:val="61"/>
                <w:rFonts w:hint="default"/>
                <w:color w:val="auto"/>
                <w:highlight w:val="none"/>
                <w:lang w:bidi="ar"/>
              </w:rPr>
              <w:br w:type="textWrapping"/>
            </w:r>
            <w:r>
              <w:rPr>
                <w:rStyle w:val="61"/>
                <w:rFonts w:hint="eastAsia"/>
                <w:color w:val="auto"/>
                <w:highlight w:val="none"/>
                <w:lang w:val="en-US" w:eastAsia="zh-CN" w:bidi="ar"/>
              </w:rPr>
              <w:t>3.</w:t>
            </w:r>
            <w:r>
              <w:rPr>
                <w:rStyle w:val="60"/>
                <w:rFonts w:hint="default"/>
                <w:color w:val="auto"/>
                <w:highlight w:val="none"/>
                <w:lang w:bidi="ar"/>
              </w:rPr>
              <w:t>螺丝均采用不锈钢</w:t>
            </w:r>
            <w:r>
              <w:rPr>
                <w:rStyle w:val="61"/>
                <w:rFonts w:hint="default"/>
                <w:color w:val="auto"/>
                <w:highlight w:val="none"/>
                <w:lang w:bidi="ar"/>
              </w:rPr>
              <w:t>304#</w:t>
            </w:r>
            <w:r>
              <w:rPr>
                <w:rStyle w:val="60"/>
                <w:rFonts w:hint="default"/>
                <w:color w:val="auto"/>
                <w:highlight w:val="none"/>
                <w:lang w:bidi="ar"/>
              </w:rPr>
              <w:t>材质防盗螺丝，并采用螺栓连接，牢固可靠，不易松动脱落及变形和损坏</w:t>
            </w:r>
            <w:r>
              <w:rPr>
                <w:rStyle w:val="60"/>
                <w:rFonts w:hint="eastAsia"/>
                <w:color w:val="auto"/>
                <w:highlight w:val="none"/>
                <w:lang w:eastAsia="zh-CN" w:bidi="ar"/>
              </w:rPr>
              <w:t>；</w:t>
            </w:r>
            <w:r>
              <w:rPr>
                <w:rStyle w:val="61"/>
                <w:rFonts w:hint="default"/>
                <w:color w:val="auto"/>
                <w:highlight w:val="none"/>
                <w:lang w:bidi="ar"/>
              </w:rPr>
              <w:br w:type="textWrapping"/>
            </w:r>
            <w:r>
              <w:rPr>
                <w:rStyle w:val="61"/>
                <w:rFonts w:hint="eastAsia"/>
                <w:color w:val="auto"/>
                <w:highlight w:val="none"/>
                <w:lang w:val="en-US" w:eastAsia="zh-CN" w:bidi="ar"/>
              </w:rPr>
              <w:t>4.</w:t>
            </w:r>
            <w:r>
              <w:rPr>
                <w:rStyle w:val="60"/>
                <w:rFonts w:hint="default"/>
                <w:color w:val="auto"/>
                <w:highlight w:val="none"/>
                <w:lang w:bidi="ar"/>
              </w:rPr>
              <w:t>产品外表和内表以及儿童手指可触及处无毛刺及尖锐的棱角，油漆采用户外哑光漆</w:t>
            </w:r>
            <w:r>
              <w:rPr>
                <w:rStyle w:val="61"/>
                <w:rFonts w:hint="default"/>
                <w:color w:val="auto"/>
                <w:highlight w:val="none"/>
                <w:lang w:bidi="ar"/>
              </w:rPr>
              <w:t xml:space="preserve"> </w:t>
            </w:r>
            <w:r>
              <w:rPr>
                <w:rStyle w:val="60"/>
                <w:rFonts w:hint="default"/>
                <w:color w:val="auto"/>
                <w:highlight w:val="none"/>
                <w:lang w:bidi="ar"/>
              </w:rPr>
              <w:t>。</w:t>
            </w:r>
          </w:p>
        </w:tc>
      </w:tr>
      <w:tr w14:paraId="0B2CEBDE">
        <w:tblPrEx>
          <w:tblCellMar>
            <w:top w:w="0" w:type="dxa"/>
            <w:left w:w="108" w:type="dxa"/>
            <w:bottom w:w="0" w:type="dxa"/>
            <w:right w:w="108" w:type="dxa"/>
          </w:tblCellMar>
        </w:tblPrEx>
        <w:trPr>
          <w:trHeight w:val="2200"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960EA4">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34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03BD7">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储物柜组合1</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76DE1">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C5084">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CF3D4">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89984" behindDoc="0" locked="0" layoutInCell="1" allowOverlap="1">
                  <wp:simplePos x="0" y="0"/>
                  <wp:positionH relativeFrom="column">
                    <wp:posOffset>196850</wp:posOffset>
                  </wp:positionH>
                  <wp:positionV relativeFrom="paragraph">
                    <wp:posOffset>63500</wp:posOffset>
                  </wp:positionV>
                  <wp:extent cx="1348105" cy="1055370"/>
                  <wp:effectExtent l="0" t="0" r="4445" b="11430"/>
                  <wp:wrapNone/>
                  <wp:docPr id="84" name="image34"/>
                  <wp:cNvGraphicFramePr/>
                  <a:graphic xmlns:a="http://schemas.openxmlformats.org/drawingml/2006/main">
                    <a:graphicData uri="http://schemas.openxmlformats.org/drawingml/2006/picture">
                      <pic:pic xmlns:pic="http://schemas.openxmlformats.org/drawingml/2006/picture">
                        <pic:nvPicPr>
                          <pic:cNvPr id="84" name="image34"/>
                          <pic:cNvPicPr/>
                        </pic:nvPicPr>
                        <pic:blipFill>
                          <a:blip r:embed="rId44"/>
                          <a:stretch>
                            <a:fillRect/>
                          </a:stretch>
                        </pic:blipFill>
                        <pic:spPr>
                          <a:xfrm>
                            <a:off x="0" y="0"/>
                            <a:ext cx="1348105" cy="1055370"/>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0F736">
            <w:pPr>
              <w:widowControl/>
              <w:shd w:val="clear"/>
              <w:jc w:val="left"/>
              <w:textAlignment w:val="center"/>
              <w:rPr>
                <w:rFonts w:hint="eastAsia" w:ascii="宋体" w:hAnsi="宋体" w:eastAsia="宋体" w:cs="宋体"/>
                <w:color w:val="auto"/>
                <w:sz w:val="18"/>
                <w:szCs w:val="18"/>
                <w:highlight w:val="none"/>
                <w:lang w:eastAsia="zh-CN"/>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w:t>
            </w:r>
            <w:r>
              <w:rPr>
                <w:rStyle w:val="60"/>
                <w:rFonts w:hint="default"/>
                <w:color w:val="auto"/>
                <w:highlight w:val="none"/>
                <w:lang w:bidi="ar"/>
              </w:rPr>
              <w:t>435*60*220cm</w:t>
            </w:r>
            <w:r>
              <w:rPr>
                <w:rStyle w:val="60"/>
                <w:rFonts w:hint="eastAsia"/>
                <w:color w:val="auto"/>
                <w:highlight w:val="none"/>
                <w:lang w:eastAsia="zh-CN" w:bidi="ar"/>
              </w:rPr>
              <w:t>；</w:t>
            </w:r>
            <w:r>
              <w:rPr>
                <w:rStyle w:val="60"/>
                <w:rFonts w:hint="default"/>
                <w:color w:val="auto"/>
                <w:highlight w:val="none"/>
                <w:lang w:bidi="ar"/>
              </w:rPr>
              <w:br w:type="textWrapping"/>
            </w:r>
            <w:r>
              <w:rPr>
                <w:rStyle w:val="60"/>
                <w:rFonts w:hint="eastAsia"/>
                <w:color w:val="auto"/>
                <w:highlight w:val="none"/>
                <w:lang w:val="en-US" w:eastAsia="zh-CN" w:bidi="ar"/>
              </w:rPr>
              <w:t>2.</w:t>
            </w:r>
            <w:r>
              <w:rPr>
                <w:rStyle w:val="60"/>
                <w:rFonts w:hint="default"/>
                <w:color w:val="auto"/>
                <w:highlight w:val="none"/>
                <w:lang w:bidi="ar"/>
              </w:rPr>
              <w:t>采用芬兰木，厚度15mm,经过高温杀菌处理制作。油漆采用户外环保木油经过</w:t>
            </w:r>
            <w:r>
              <w:rPr>
                <w:rStyle w:val="61"/>
                <w:rFonts w:hint="default"/>
                <w:color w:val="auto"/>
                <w:highlight w:val="none"/>
                <w:lang w:bidi="ar"/>
              </w:rPr>
              <w:t>2</w:t>
            </w:r>
            <w:r>
              <w:rPr>
                <w:rStyle w:val="60"/>
                <w:rFonts w:hint="default"/>
                <w:color w:val="auto"/>
                <w:highlight w:val="none"/>
                <w:lang w:bidi="ar"/>
              </w:rPr>
              <w:t>次底漆</w:t>
            </w:r>
            <w:r>
              <w:rPr>
                <w:rStyle w:val="61"/>
                <w:rFonts w:hint="default"/>
                <w:color w:val="auto"/>
                <w:highlight w:val="none"/>
                <w:lang w:bidi="ar"/>
              </w:rPr>
              <w:t>2</w:t>
            </w:r>
            <w:r>
              <w:rPr>
                <w:rStyle w:val="60"/>
                <w:rFonts w:hint="default"/>
                <w:color w:val="auto"/>
                <w:highlight w:val="none"/>
                <w:lang w:bidi="ar"/>
              </w:rPr>
              <w:t>次面漆制作而成。</w:t>
            </w:r>
            <w:r>
              <w:rPr>
                <w:rStyle w:val="61"/>
                <w:rFonts w:hint="default"/>
                <w:color w:val="auto"/>
                <w:highlight w:val="none"/>
                <w:lang w:bidi="ar"/>
              </w:rPr>
              <w:t>+</w:t>
            </w:r>
            <w:r>
              <w:rPr>
                <w:rStyle w:val="60"/>
                <w:rFonts w:hint="default"/>
                <w:color w:val="auto"/>
                <w:highlight w:val="none"/>
                <w:lang w:bidi="ar"/>
              </w:rPr>
              <w:t>镀锌钢管5*5cm厚度2.0mm</w:t>
            </w:r>
            <w:r>
              <w:rPr>
                <w:rStyle w:val="60"/>
                <w:rFonts w:hint="eastAsia"/>
                <w:color w:val="auto"/>
                <w:highlight w:val="none"/>
                <w:lang w:eastAsia="zh-CN" w:bidi="ar"/>
              </w:rPr>
              <w:t>。</w:t>
            </w:r>
          </w:p>
        </w:tc>
      </w:tr>
      <w:tr w14:paraId="140FAD9A">
        <w:tblPrEx>
          <w:tblCellMar>
            <w:top w:w="0" w:type="dxa"/>
            <w:left w:w="108" w:type="dxa"/>
            <w:bottom w:w="0" w:type="dxa"/>
            <w:right w:w="108" w:type="dxa"/>
          </w:tblCellMar>
        </w:tblPrEx>
        <w:trPr>
          <w:trHeight w:val="2195"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F8C38">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35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3E371">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储物柜组合2</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F259A">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ABB25">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A813E">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91008" behindDoc="0" locked="0" layoutInCell="1" allowOverlap="1">
                  <wp:simplePos x="0" y="0"/>
                  <wp:positionH relativeFrom="column">
                    <wp:posOffset>215900</wp:posOffset>
                  </wp:positionH>
                  <wp:positionV relativeFrom="paragraph">
                    <wp:posOffset>184785</wp:posOffset>
                  </wp:positionV>
                  <wp:extent cx="1148080" cy="1170940"/>
                  <wp:effectExtent l="0" t="0" r="13970" b="10160"/>
                  <wp:wrapNone/>
                  <wp:docPr id="79" name="image35"/>
                  <wp:cNvGraphicFramePr/>
                  <a:graphic xmlns:a="http://schemas.openxmlformats.org/drawingml/2006/main">
                    <a:graphicData uri="http://schemas.openxmlformats.org/drawingml/2006/picture">
                      <pic:pic xmlns:pic="http://schemas.openxmlformats.org/drawingml/2006/picture">
                        <pic:nvPicPr>
                          <pic:cNvPr id="79" name="image35"/>
                          <pic:cNvPicPr/>
                        </pic:nvPicPr>
                        <pic:blipFill>
                          <a:blip r:embed="rId45"/>
                          <a:stretch>
                            <a:fillRect/>
                          </a:stretch>
                        </pic:blipFill>
                        <pic:spPr>
                          <a:xfrm>
                            <a:off x="0" y="0"/>
                            <a:ext cx="1148080" cy="1170940"/>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60426">
            <w:pPr>
              <w:widowControl/>
              <w:shd w:val="clear"/>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w:t>
            </w:r>
            <w:r>
              <w:rPr>
                <w:rStyle w:val="60"/>
                <w:rFonts w:hint="default"/>
                <w:color w:val="auto"/>
                <w:highlight w:val="none"/>
                <w:lang w:bidi="ar"/>
              </w:rPr>
              <w:t>295*50*175cm</w:t>
            </w:r>
            <w:r>
              <w:rPr>
                <w:rStyle w:val="60"/>
                <w:rFonts w:hint="eastAsia"/>
                <w:color w:val="auto"/>
                <w:highlight w:val="none"/>
                <w:lang w:eastAsia="zh-CN" w:bidi="ar"/>
              </w:rPr>
              <w:t>；</w:t>
            </w:r>
            <w:r>
              <w:rPr>
                <w:rStyle w:val="60"/>
                <w:rFonts w:hint="default"/>
                <w:color w:val="auto"/>
                <w:highlight w:val="none"/>
                <w:lang w:bidi="ar"/>
              </w:rPr>
              <w:br w:type="textWrapping"/>
            </w:r>
            <w:r>
              <w:rPr>
                <w:rStyle w:val="60"/>
                <w:rFonts w:hint="eastAsia"/>
                <w:color w:val="auto"/>
                <w:highlight w:val="none"/>
                <w:lang w:val="en-US" w:eastAsia="zh-CN" w:bidi="ar"/>
              </w:rPr>
              <w:t>2.</w:t>
            </w:r>
            <w:r>
              <w:rPr>
                <w:rStyle w:val="60"/>
                <w:rFonts w:hint="default"/>
                <w:color w:val="auto"/>
                <w:highlight w:val="none"/>
                <w:lang w:bidi="ar"/>
              </w:rPr>
              <w:t>采用芬兰木，厚度15mm,经过高温杀菌处理制作。油漆采用户外环保木油经过</w:t>
            </w:r>
            <w:r>
              <w:rPr>
                <w:rStyle w:val="61"/>
                <w:rFonts w:hint="default"/>
                <w:color w:val="auto"/>
                <w:highlight w:val="none"/>
                <w:lang w:bidi="ar"/>
              </w:rPr>
              <w:t>2</w:t>
            </w:r>
            <w:r>
              <w:rPr>
                <w:rStyle w:val="60"/>
                <w:rFonts w:hint="default"/>
                <w:color w:val="auto"/>
                <w:highlight w:val="none"/>
                <w:lang w:bidi="ar"/>
              </w:rPr>
              <w:t>次底漆</w:t>
            </w:r>
            <w:r>
              <w:rPr>
                <w:rStyle w:val="61"/>
                <w:rFonts w:hint="default"/>
                <w:color w:val="auto"/>
                <w:highlight w:val="none"/>
                <w:lang w:bidi="ar"/>
              </w:rPr>
              <w:t>2</w:t>
            </w:r>
            <w:r>
              <w:rPr>
                <w:rStyle w:val="60"/>
                <w:rFonts w:hint="default"/>
                <w:color w:val="auto"/>
                <w:highlight w:val="none"/>
                <w:lang w:bidi="ar"/>
              </w:rPr>
              <w:t>次面漆制作而成。</w:t>
            </w:r>
          </w:p>
        </w:tc>
      </w:tr>
      <w:tr w14:paraId="115644E5">
        <w:tblPrEx>
          <w:tblCellMar>
            <w:top w:w="0" w:type="dxa"/>
            <w:left w:w="108" w:type="dxa"/>
            <w:bottom w:w="0" w:type="dxa"/>
            <w:right w:w="108" w:type="dxa"/>
          </w:tblCellMar>
        </w:tblPrEx>
        <w:trPr>
          <w:trHeight w:val="1570"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2446F">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36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FF27A">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操作桌</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FE0626">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CFA17">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24F41">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92032" behindDoc="0" locked="0" layoutInCell="1" allowOverlap="1">
                  <wp:simplePos x="0" y="0"/>
                  <wp:positionH relativeFrom="column">
                    <wp:posOffset>69850</wp:posOffset>
                  </wp:positionH>
                  <wp:positionV relativeFrom="paragraph">
                    <wp:posOffset>192405</wp:posOffset>
                  </wp:positionV>
                  <wp:extent cx="1386840" cy="516255"/>
                  <wp:effectExtent l="0" t="0" r="3810" b="17145"/>
                  <wp:wrapNone/>
                  <wp:docPr id="83" name="image39"/>
                  <wp:cNvGraphicFramePr/>
                  <a:graphic xmlns:a="http://schemas.openxmlformats.org/drawingml/2006/main">
                    <a:graphicData uri="http://schemas.openxmlformats.org/drawingml/2006/picture">
                      <pic:pic xmlns:pic="http://schemas.openxmlformats.org/drawingml/2006/picture">
                        <pic:nvPicPr>
                          <pic:cNvPr id="83" name="image39"/>
                          <pic:cNvPicPr/>
                        </pic:nvPicPr>
                        <pic:blipFill>
                          <a:blip r:embed="rId46"/>
                          <a:stretch>
                            <a:fillRect/>
                          </a:stretch>
                        </pic:blipFill>
                        <pic:spPr>
                          <a:xfrm>
                            <a:off x="0" y="0"/>
                            <a:ext cx="1386840" cy="516255"/>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2979D">
            <w:pPr>
              <w:widowControl/>
              <w:shd w:val="clear"/>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规格：315*105*60cm</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2.</w:t>
            </w:r>
            <w:r>
              <w:rPr>
                <w:rFonts w:hint="eastAsia" w:ascii="宋体" w:hAnsi="宋体" w:cs="宋体"/>
                <w:color w:val="auto"/>
                <w:kern w:val="0"/>
                <w:sz w:val="18"/>
                <w:szCs w:val="18"/>
                <w:highlight w:val="none"/>
                <w:lang w:bidi="ar"/>
              </w:rPr>
              <w:t>采用芬兰木厚度20mm，不含凳子。</w:t>
            </w:r>
          </w:p>
        </w:tc>
      </w:tr>
      <w:tr w14:paraId="26C9CF17">
        <w:tblPrEx>
          <w:tblCellMar>
            <w:top w:w="0" w:type="dxa"/>
            <w:left w:w="108" w:type="dxa"/>
            <w:bottom w:w="0" w:type="dxa"/>
            <w:right w:w="108" w:type="dxa"/>
          </w:tblCellMar>
        </w:tblPrEx>
        <w:trPr>
          <w:trHeight w:val="1840"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01B83">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37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0C977">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涂鸦桌椅组合</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ACD90">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C78E4">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047FF">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93056" behindDoc="0" locked="0" layoutInCell="1" allowOverlap="1">
                  <wp:simplePos x="0" y="0"/>
                  <wp:positionH relativeFrom="column">
                    <wp:posOffset>71755</wp:posOffset>
                  </wp:positionH>
                  <wp:positionV relativeFrom="paragraph">
                    <wp:posOffset>427990</wp:posOffset>
                  </wp:positionV>
                  <wp:extent cx="1254125" cy="675640"/>
                  <wp:effectExtent l="0" t="0" r="3175" b="10160"/>
                  <wp:wrapNone/>
                  <wp:docPr id="86" name="image38"/>
                  <wp:cNvGraphicFramePr/>
                  <a:graphic xmlns:a="http://schemas.openxmlformats.org/drawingml/2006/main">
                    <a:graphicData uri="http://schemas.openxmlformats.org/drawingml/2006/picture">
                      <pic:pic xmlns:pic="http://schemas.openxmlformats.org/drawingml/2006/picture">
                        <pic:nvPicPr>
                          <pic:cNvPr id="86" name="image38"/>
                          <pic:cNvPicPr/>
                        </pic:nvPicPr>
                        <pic:blipFill>
                          <a:blip r:embed="rId47"/>
                          <a:stretch>
                            <a:fillRect/>
                          </a:stretch>
                        </pic:blipFill>
                        <pic:spPr>
                          <a:xfrm>
                            <a:off x="0" y="0"/>
                            <a:ext cx="1254125" cy="675640"/>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16ECBD">
            <w:pPr>
              <w:widowControl/>
              <w:numPr>
                <w:ilvl w:val="0"/>
                <w:numId w:val="0"/>
              </w:numPr>
              <w:shd w:val="clear"/>
              <w:ind w:left="180" w:leftChars="0" w:hanging="180" w:hangingChars="100"/>
              <w:jc w:val="left"/>
              <w:textAlignment w:val="center"/>
              <w:rPr>
                <w:rFonts w:hint="eastAsia" w:ascii="宋体" w:hAnsi="宋体" w:cs="宋体"/>
                <w:color w:val="auto"/>
                <w:kern w:val="0"/>
                <w:sz w:val="18"/>
                <w:szCs w:val="18"/>
                <w:highlight w:val="none"/>
                <w:lang w:bidi="ar"/>
              </w:rPr>
            </w:pPr>
            <w:r>
              <w:rPr>
                <w:rFonts w:hint="eastAsia" w:ascii="宋体" w:hAnsi="宋体" w:eastAsia="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桌120*120*54cm，1张/祖</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长椅70*30*27cm，2张/组</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单人座椅30*30*27cm，2张/组</w:t>
            </w:r>
          </w:p>
          <w:p w14:paraId="22D630EF">
            <w:pPr>
              <w:widowControl/>
              <w:numPr>
                <w:ilvl w:val="0"/>
                <w:numId w:val="0"/>
              </w:numPr>
              <w:shd w:val="clear"/>
              <w:ind w:left="180" w:leftChars="0" w:hanging="180" w:hangingChars="100"/>
              <w:jc w:val="left"/>
              <w:textAlignment w:val="center"/>
              <w:rPr>
                <w:rFonts w:ascii="宋体" w:hAnsi="宋体" w:cs="宋体"/>
                <w:color w:val="auto"/>
                <w:sz w:val="18"/>
                <w:szCs w:val="18"/>
                <w:highlight w:val="none"/>
              </w:rPr>
            </w:pPr>
            <w:r>
              <w:rPr>
                <w:rFonts w:ascii="宋体" w:hAnsi="宋体" w:eastAsia="宋体" w:cs="宋体"/>
                <w:color w:val="auto"/>
                <w:kern w:val="2"/>
                <w:sz w:val="18"/>
                <w:szCs w:val="18"/>
                <w:highlight w:val="none"/>
                <w:lang w:val="en-US" w:eastAsia="zh-CN" w:bidi="ar-SA"/>
              </w:rPr>
              <w:t>2.</w:t>
            </w:r>
            <w:r>
              <w:rPr>
                <w:rFonts w:hint="eastAsia" w:ascii="宋体" w:hAnsi="宋体" w:cs="宋体"/>
                <w:color w:val="auto"/>
                <w:kern w:val="0"/>
                <w:sz w:val="18"/>
                <w:szCs w:val="18"/>
                <w:highlight w:val="none"/>
                <w:lang w:bidi="ar"/>
              </w:rPr>
              <w:t>采用芬兰木，厚度20mm,经过高温杀菌处理制作。油漆采用户外环保木油经过2次底漆2次面漆制作而成。</w:t>
            </w:r>
          </w:p>
        </w:tc>
      </w:tr>
      <w:tr w14:paraId="4BCE867E">
        <w:tblPrEx>
          <w:tblCellMar>
            <w:top w:w="0" w:type="dxa"/>
            <w:left w:w="108" w:type="dxa"/>
            <w:bottom w:w="0" w:type="dxa"/>
            <w:right w:w="108" w:type="dxa"/>
          </w:tblCellMar>
        </w:tblPrEx>
        <w:trPr>
          <w:trHeight w:val="1883"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B4968">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38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92D7B">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收纳组合架</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E1D15">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EA819">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88647">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94080" behindDoc="0" locked="0" layoutInCell="1" allowOverlap="1">
                  <wp:simplePos x="0" y="0"/>
                  <wp:positionH relativeFrom="column">
                    <wp:posOffset>142875</wp:posOffset>
                  </wp:positionH>
                  <wp:positionV relativeFrom="paragraph">
                    <wp:posOffset>37465</wp:posOffset>
                  </wp:positionV>
                  <wp:extent cx="1274445" cy="1120775"/>
                  <wp:effectExtent l="0" t="0" r="1905" b="3175"/>
                  <wp:wrapNone/>
                  <wp:docPr id="87" name="image36"/>
                  <wp:cNvGraphicFramePr/>
                  <a:graphic xmlns:a="http://schemas.openxmlformats.org/drawingml/2006/main">
                    <a:graphicData uri="http://schemas.openxmlformats.org/drawingml/2006/picture">
                      <pic:pic xmlns:pic="http://schemas.openxmlformats.org/drawingml/2006/picture">
                        <pic:nvPicPr>
                          <pic:cNvPr id="87" name="image36"/>
                          <pic:cNvPicPr/>
                        </pic:nvPicPr>
                        <pic:blipFill>
                          <a:blip r:embed="rId48"/>
                          <a:stretch>
                            <a:fillRect/>
                          </a:stretch>
                        </pic:blipFill>
                        <pic:spPr>
                          <a:xfrm>
                            <a:off x="0" y="0"/>
                            <a:ext cx="1274445" cy="1120775"/>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80F79">
            <w:pPr>
              <w:widowControl/>
              <w:shd w:val="clear"/>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w:t>
            </w:r>
            <w:r>
              <w:rPr>
                <w:rStyle w:val="61"/>
                <w:rFonts w:hint="default"/>
                <w:color w:val="auto"/>
                <w:highlight w:val="none"/>
                <w:lang w:bidi="ar"/>
              </w:rPr>
              <w:t>240*40*150cm</w:t>
            </w:r>
            <w:r>
              <w:rPr>
                <w:rStyle w:val="61"/>
                <w:rFonts w:hint="eastAsia"/>
                <w:color w:val="auto"/>
                <w:highlight w:val="none"/>
                <w:lang w:eastAsia="zh-CN" w:bidi="ar"/>
              </w:rPr>
              <w:t>；</w:t>
            </w:r>
            <w:r>
              <w:rPr>
                <w:rStyle w:val="61"/>
                <w:rFonts w:hint="default"/>
                <w:color w:val="auto"/>
                <w:highlight w:val="none"/>
                <w:lang w:bidi="ar"/>
              </w:rPr>
              <w:br w:type="textWrapping"/>
            </w:r>
            <w:r>
              <w:rPr>
                <w:rStyle w:val="61"/>
                <w:rFonts w:hint="eastAsia"/>
                <w:color w:val="auto"/>
                <w:highlight w:val="none"/>
                <w:lang w:val="en-US" w:eastAsia="zh-CN" w:bidi="ar"/>
              </w:rPr>
              <w:t>2.</w:t>
            </w:r>
            <w:r>
              <w:rPr>
                <w:rStyle w:val="60"/>
                <w:rFonts w:hint="default"/>
                <w:color w:val="auto"/>
                <w:highlight w:val="none"/>
                <w:lang w:bidi="ar"/>
              </w:rPr>
              <w:t>采用芬兰木，经过高温杀菌处理制作。油漆采用户外环保木油经过</w:t>
            </w:r>
            <w:r>
              <w:rPr>
                <w:rStyle w:val="61"/>
                <w:rFonts w:hint="default"/>
                <w:color w:val="auto"/>
                <w:highlight w:val="none"/>
                <w:lang w:bidi="ar"/>
              </w:rPr>
              <w:t>2</w:t>
            </w:r>
            <w:r>
              <w:rPr>
                <w:rStyle w:val="60"/>
                <w:rFonts w:hint="default"/>
                <w:color w:val="auto"/>
                <w:highlight w:val="none"/>
                <w:lang w:bidi="ar"/>
              </w:rPr>
              <w:t>次底漆</w:t>
            </w:r>
            <w:r>
              <w:rPr>
                <w:rStyle w:val="61"/>
                <w:rFonts w:hint="default"/>
                <w:color w:val="auto"/>
                <w:highlight w:val="none"/>
                <w:lang w:bidi="ar"/>
              </w:rPr>
              <w:t>2</w:t>
            </w:r>
            <w:r>
              <w:rPr>
                <w:rStyle w:val="60"/>
                <w:rFonts w:hint="default"/>
                <w:color w:val="auto"/>
                <w:highlight w:val="none"/>
                <w:lang w:bidi="ar"/>
              </w:rPr>
              <w:t>次面漆制作而成。</w:t>
            </w:r>
          </w:p>
        </w:tc>
      </w:tr>
      <w:tr w14:paraId="6567F3CD">
        <w:tblPrEx>
          <w:tblCellMar>
            <w:top w:w="0" w:type="dxa"/>
            <w:left w:w="108" w:type="dxa"/>
            <w:bottom w:w="0" w:type="dxa"/>
            <w:right w:w="108" w:type="dxa"/>
          </w:tblCellMar>
        </w:tblPrEx>
        <w:trPr>
          <w:trHeight w:val="2510"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145F6">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39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313B0">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收纳柜</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4BA4A">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D74EF">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9A573">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95104" behindDoc="0" locked="0" layoutInCell="1" allowOverlap="1">
                  <wp:simplePos x="0" y="0"/>
                  <wp:positionH relativeFrom="column">
                    <wp:posOffset>288290</wp:posOffset>
                  </wp:positionH>
                  <wp:positionV relativeFrom="paragraph">
                    <wp:posOffset>46355</wp:posOffset>
                  </wp:positionV>
                  <wp:extent cx="899160" cy="1516380"/>
                  <wp:effectExtent l="0" t="0" r="15240" b="7620"/>
                  <wp:wrapNone/>
                  <wp:docPr id="90" name="image37"/>
                  <wp:cNvGraphicFramePr/>
                  <a:graphic xmlns:a="http://schemas.openxmlformats.org/drawingml/2006/main">
                    <a:graphicData uri="http://schemas.openxmlformats.org/drawingml/2006/picture">
                      <pic:pic xmlns:pic="http://schemas.openxmlformats.org/drawingml/2006/picture">
                        <pic:nvPicPr>
                          <pic:cNvPr id="90" name="image37"/>
                          <pic:cNvPicPr/>
                        </pic:nvPicPr>
                        <pic:blipFill>
                          <a:blip r:embed="rId49"/>
                          <a:stretch>
                            <a:fillRect/>
                          </a:stretch>
                        </pic:blipFill>
                        <pic:spPr>
                          <a:xfrm>
                            <a:off x="0" y="0"/>
                            <a:ext cx="899160" cy="1516380"/>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BFAD5">
            <w:pPr>
              <w:widowControl/>
              <w:shd w:val="clear"/>
              <w:jc w:val="left"/>
              <w:textAlignment w:val="center"/>
              <w:rPr>
                <w:rFonts w:hint="eastAsia" w:ascii="宋体" w:hAnsi="宋体" w:eastAsia="宋体" w:cs="宋体"/>
                <w:color w:val="auto"/>
                <w:sz w:val="18"/>
                <w:szCs w:val="18"/>
                <w:highlight w:val="none"/>
                <w:lang w:eastAsia="zh-CN"/>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w:t>
            </w:r>
            <w:r>
              <w:rPr>
                <w:rStyle w:val="60"/>
                <w:rFonts w:hint="default"/>
                <w:color w:val="auto"/>
                <w:highlight w:val="none"/>
                <w:lang w:bidi="ar"/>
              </w:rPr>
              <w:t>130*40*185cm</w:t>
            </w:r>
            <w:r>
              <w:rPr>
                <w:rStyle w:val="60"/>
                <w:rFonts w:hint="eastAsia"/>
                <w:color w:val="auto"/>
                <w:highlight w:val="none"/>
                <w:lang w:eastAsia="zh-CN" w:bidi="ar"/>
              </w:rPr>
              <w:t>；</w:t>
            </w:r>
            <w:r>
              <w:rPr>
                <w:rStyle w:val="60"/>
                <w:rFonts w:hint="default"/>
                <w:color w:val="auto"/>
                <w:highlight w:val="none"/>
                <w:lang w:bidi="ar"/>
              </w:rPr>
              <w:br w:type="textWrapping"/>
            </w:r>
            <w:r>
              <w:rPr>
                <w:rStyle w:val="60"/>
                <w:rFonts w:hint="eastAsia"/>
                <w:color w:val="auto"/>
                <w:highlight w:val="none"/>
                <w:lang w:val="en-US" w:eastAsia="zh-CN" w:bidi="ar"/>
              </w:rPr>
              <w:t>2.</w:t>
            </w:r>
            <w:r>
              <w:rPr>
                <w:rStyle w:val="60"/>
                <w:rFonts w:hint="default"/>
                <w:color w:val="auto"/>
                <w:highlight w:val="none"/>
                <w:lang w:bidi="ar"/>
              </w:rPr>
              <w:t>采用芬兰木，厚度15mm经过高温杀菌处理制作。油漆采用户外环保木油经过</w:t>
            </w:r>
            <w:r>
              <w:rPr>
                <w:rStyle w:val="61"/>
                <w:rFonts w:hint="default"/>
                <w:color w:val="auto"/>
                <w:highlight w:val="none"/>
                <w:lang w:bidi="ar"/>
              </w:rPr>
              <w:t>2</w:t>
            </w:r>
            <w:r>
              <w:rPr>
                <w:rStyle w:val="60"/>
                <w:rFonts w:hint="default"/>
                <w:color w:val="auto"/>
                <w:highlight w:val="none"/>
                <w:lang w:bidi="ar"/>
              </w:rPr>
              <w:t>次底漆</w:t>
            </w:r>
            <w:r>
              <w:rPr>
                <w:rStyle w:val="61"/>
                <w:rFonts w:hint="default"/>
                <w:color w:val="auto"/>
                <w:highlight w:val="none"/>
                <w:lang w:bidi="ar"/>
              </w:rPr>
              <w:t>2</w:t>
            </w:r>
            <w:r>
              <w:rPr>
                <w:rStyle w:val="60"/>
                <w:rFonts w:hint="default"/>
                <w:color w:val="auto"/>
                <w:highlight w:val="none"/>
                <w:lang w:bidi="ar"/>
              </w:rPr>
              <w:t>次面漆制作而成。3*5cn厚度2.omm镀锌钢管框架</w:t>
            </w:r>
            <w:r>
              <w:rPr>
                <w:rStyle w:val="61"/>
                <w:rFonts w:hint="default"/>
                <w:color w:val="auto"/>
                <w:highlight w:val="none"/>
                <w:lang w:bidi="ar"/>
              </w:rPr>
              <w:t>+</w:t>
            </w:r>
            <w:r>
              <w:rPr>
                <w:rStyle w:val="60"/>
                <w:rFonts w:hint="default"/>
                <w:color w:val="auto"/>
                <w:highlight w:val="none"/>
                <w:lang w:bidi="ar"/>
              </w:rPr>
              <w:t>门板为</w:t>
            </w:r>
            <w:r>
              <w:rPr>
                <w:rStyle w:val="61"/>
                <w:rFonts w:hint="default"/>
                <w:color w:val="auto"/>
                <w:highlight w:val="none"/>
                <w:lang w:bidi="ar"/>
              </w:rPr>
              <w:t>5mm</w:t>
            </w:r>
            <w:r>
              <w:rPr>
                <w:rStyle w:val="60"/>
                <w:rFonts w:hint="default"/>
                <w:color w:val="auto"/>
                <w:highlight w:val="none"/>
                <w:lang w:bidi="ar"/>
              </w:rPr>
              <w:t>厚的耐力板</w:t>
            </w:r>
            <w:r>
              <w:rPr>
                <w:rStyle w:val="60"/>
                <w:rFonts w:hint="eastAsia"/>
                <w:color w:val="auto"/>
                <w:highlight w:val="none"/>
                <w:lang w:eastAsia="zh-CN" w:bidi="ar"/>
              </w:rPr>
              <w:t>。</w:t>
            </w:r>
          </w:p>
        </w:tc>
      </w:tr>
      <w:tr w14:paraId="43BF6C92">
        <w:tblPrEx>
          <w:tblCellMar>
            <w:top w:w="0" w:type="dxa"/>
            <w:left w:w="108" w:type="dxa"/>
            <w:bottom w:w="0" w:type="dxa"/>
            <w:right w:w="108" w:type="dxa"/>
          </w:tblCellMar>
        </w:tblPrEx>
        <w:trPr>
          <w:trHeight w:val="2200"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F9D8B">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40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C3238">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火车头涂鸦板</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52635">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FA70F">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个</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3E8A0">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96128" behindDoc="0" locked="0" layoutInCell="1" allowOverlap="1">
                  <wp:simplePos x="0" y="0"/>
                  <wp:positionH relativeFrom="column">
                    <wp:posOffset>352425</wp:posOffset>
                  </wp:positionH>
                  <wp:positionV relativeFrom="paragraph">
                    <wp:posOffset>47625</wp:posOffset>
                  </wp:positionV>
                  <wp:extent cx="1149985" cy="1301750"/>
                  <wp:effectExtent l="0" t="0" r="12065" b="12700"/>
                  <wp:wrapNone/>
                  <wp:docPr id="92" name="image44"/>
                  <wp:cNvGraphicFramePr/>
                  <a:graphic xmlns:a="http://schemas.openxmlformats.org/drawingml/2006/main">
                    <a:graphicData uri="http://schemas.openxmlformats.org/drawingml/2006/picture">
                      <pic:pic xmlns:pic="http://schemas.openxmlformats.org/drawingml/2006/picture">
                        <pic:nvPicPr>
                          <pic:cNvPr id="92" name="image44"/>
                          <pic:cNvPicPr/>
                        </pic:nvPicPr>
                        <pic:blipFill>
                          <a:blip r:embed="rId50"/>
                          <a:stretch>
                            <a:fillRect/>
                          </a:stretch>
                        </pic:blipFill>
                        <pic:spPr>
                          <a:xfrm>
                            <a:off x="0" y="0"/>
                            <a:ext cx="1149985" cy="1301750"/>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A90B9">
            <w:pPr>
              <w:widowControl/>
              <w:shd w:val="clear"/>
              <w:jc w:val="left"/>
              <w:textAlignment w:val="center"/>
              <w:rPr>
                <w:rFonts w:hint="eastAsia" w:ascii="宋体" w:hAnsi="宋体" w:eastAsia="宋体" w:cs="宋体"/>
                <w:color w:val="auto"/>
                <w:sz w:val="18"/>
                <w:szCs w:val="18"/>
                <w:highlight w:val="none"/>
                <w:lang w:eastAsia="zh-CN"/>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w:t>
            </w:r>
            <w:r>
              <w:rPr>
                <w:rStyle w:val="60"/>
                <w:rFonts w:hint="default"/>
                <w:color w:val="auto"/>
                <w:highlight w:val="none"/>
                <w:lang w:bidi="ar"/>
              </w:rPr>
              <w:t>150*10*155cm</w:t>
            </w:r>
            <w:r>
              <w:rPr>
                <w:rStyle w:val="60"/>
                <w:rFonts w:hint="eastAsia"/>
                <w:color w:val="auto"/>
                <w:highlight w:val="none"/>
                <w:lang w:eastAsia="zh-CN" w:bidi="ar"/>
              </w:rPr>
              <w:t>；</w:t>
            </w:r>
            <w:r>
              <w:rPr>
                <w:rStyle w:val="60"/>
                <w:rFonts w:hint="default"/>
                <w:color w:val="auto"/>
                <w:highlight w:val="none"/>
                <w:lang w:bidi="ar"/>
              </w:rPr>
              <w:br w:type="textWrapping"/>
            </w:r>
            <w:r>
              <w:rPr>
                <w:rStyle w:val="60"/>
                <w:rFonts w:hint="eastAsia"/>
                <w:color w:val="auto"/>
                <w:highlight w:val="none"/>
                <w:lang w:val="en-US" w:eastAsia="zh-CN" w:bidi="ar"/>
              </w:rPr>
              <w:t>2.</w:t>
            </w:r>
            <w:r>
              <w:rPr>
                <w:rStyle w:val="60"/>
                <w:rFonts w:hint="default"/>
                <w:color w:val="auto"/>
                <w:highlight w:val="none"/>
                <w:lang w:bidi="ar"/>
              </w:rPr>
              <w:t>3*5cn厚度2.omm镀锌钢管框架</w:t>
            </w:r>
            <w:r>
              <w:rPr>
                <w:rStyle w:val="61"/>
                <w:rFonts w:hint="default"/>
                <w:color w:val="auto"/>
                <w:highlight w:val="none"/>
                <w:lang w:bidi="ar"/>
              </w:rPr>
              <w:t>+</w:t>
            </w:r>
            <w:r>
              <w:rPr>
                <w:rStyle w:val="60"/>
                <w:rFonts w:hint="default"/>
                <w:color w:val="auto"/>
                <w:highlight w:val="none"/>
                <w:lang w:bidi="ar"/>
              </w:rPr>
              <w:t>金属蜂窝板画板</w:t>
            </w:r>
            <w:r>
              <w:rPr>
                <w:rStyle w:val="60"/>
                <w:rFonts w:hint="eastAsia"/>
                <w:color w:val="auto"/>
                <w:highlight w:val="none"/>
                <w:lang w:eastAsia="zh-CN" w:bidi="ar"/>
              </w:rPr>
              <w:t>。</w:t>
            </w:r>
          </w:p>
        </w:tc>
      </w:tr>
      <w:tr w14:paraId="7E7D70FF">
        <w:tblPrEx>
          <w:tblCellMar>
            <w:top w:w="0" w:type="dxa"/>
            <w:left w:w="108" w:type="dxa"/>
            <w:bottom w:w="0" w:type="dxa"/>
            <w:right w:w="108" w:type="dxa"/>
          </w:tblCellMar>
        </w:tblPrEx>
        <w:trPr>
          <w:trHeight w:val="1570"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582BC">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41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B90BF">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车厢涂鸦板</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0C218">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5</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B6C86">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个</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7BBA1">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97152" behindDoc="0" locked="0" layoutInCell="1" allowOverlap="1">
                  <wp:simplePos x="0" y="0"/>
                  <wp:positionH relativeFrom="column">
                    <wp:posOffset>73660</wp:posOffset>
                  </wp:positionH>
                  <wp:positionV relativeFrom="paragraph">
                    <wp:posOffset>191135</wp:posOffset>
                  </wp:positionV>
                  <wp:extent cx="1389380" cy="718185"/>
                  <wp:effectExtent l="0" t="0" r="1270" b="5715"/>
                  <wp:wrapNone/>
                  <wp:docPr id="93" name="image45"/>
                  <wp:cNvGraphicFramePr/>
                  <a:graphic xmlns:a="http://schemas.openxmlformats.org/drawingml/2006/main">
                    <a:graphicData uri="http://schemas.openxmlformats.org/drawingml/2006/picture">
                      <pic:pic xmlns:pic="http://schemas.openxmlformats.org/drawingml/2006/picture">
                        <pic:nvPicPr>
                          <pic:cNvPr id="93" name="image45"/>
                          <pic:cNvPicPr/>
                        </pic:nvPicPr>
                        <pic:blipFill>
                          <a:blip r:embed="rId51"/>
                          <a:stretch>
                            <a:fillRect/>
                          </a:stretch>
                        </pic:blipFill>
                        <pic:spPr>
                          <a:xfrm>
                            <a:off x="0" y="0"/>
                            <a:ext cx="1389380" cy="718185"/>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6CBD8">
            <w:pPr>
              <w:widowControl/>
              <w:shd w:val="clear"/>
              <w:jc w:val="left"/>
              <w:textAlignment w:val="center"/>
              <w:rPr>
                <w:rFonts w:hint="eastAsia" w:ascii="宋体" w:hAnsi="宋体" w:eastAsia="宋体" w:cs="宋体"/>
                <w:color w:val="auto"/>
                <w:sz w:val="18"/>
                <w:szCs w:val="18"/>
                <w:highlight w:val="none"/>
                <w:lang w:eastAsia="zh-CN"/>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w:t>
            </w:r>
            <w:r>
              <w:rPr>
                <w:rStyle w:val="60"/>
                <w:rFonts w:hint="default"/>
                <w:color w:val="auto"/>
                <w:highlight w:val="none"/>
                <w:lang w:bidi="ar"/>
              </w:rPr>
              <w:t>120*10*140cm</w:t>
            </w:r>
            <w:r>
              <w:rPr>
                <w:rStyle w:val="60"/>
                <w:rFonts w:hint="eastAsia"/>
                <w:color w:val="auto"/>
                <w:highlight w:val="none"/>
                <w:lang w:eastAsia="zh-CN" w:bidi="ar"/>
              </w:rPr>
              <w:t>；</w:t>
            </w:r>
            <w:r>
              <w:rPr>
                <w:rStyle w:val="60"/>
                <w:rFonts w:hint="default"/>
                <w:color w:val="auto"/>
                <w:highlight w:val="none"/>
                <w:lang w:bidi="ar"/>
              </w:rPr>
              <w:br w:type="textWrapping"/>
            </w:r>
            <w:r>
              <w:rPr>
                <w:rStyle w:val="60"/>
                <w:rFonts w:hint="eastAsia"/>
                <w:color w:val="auto"/>
                <w:highlight w:val="none"/>
                <w:lang w:val="en-US" w:eastAsia="zh-CN" w:bidi="ar"/>
              </w:rPr>
              <w:t>2.</w:t>
            </w:r>
            <w:r>
              <w:rPr>
                <w:rStyle w:val="60"/>
                <w:rFonts w:hint="default"/>
                <w:color w:val="auto"/>
                <w:highlight w:val="none"/>
                <w:lang w:bidi="ar"/>
              </w:rPr>
              <w:t>3*5cn厚度2.omm镀锌钢管框架</w:t>
            </w:r>
            <w:r>
              <w:rPr>
                <w:rStyle w:val="61"/>
                <w:rFonts w:hint="default"/>
                <w:color w:val="auto"/>
                <w:highlight w:val="none"/>
                <w:lang w:bidi="ar"/>
              </w:rPr>
              <w:t>+</w:t>
            </w:r>
            <w:r>
              <w:rPr>
                <w:rStyle w:val="60"/>
                <w:rFonts w:hint="default"/>
                <w:color w:val="auto"/>
                <w:highlight w:val="none"/>
                <w:lang w:bidi="ar"/>
              </w:rPr>
              <w:t>金属蜂窝板画板</w:t>
            </w:r>
            <w:r>
              <w:rPr>
                <w:rStyle w:val="60"/>
                <w:rFonts w:hint="eastAsia"/>
                <w:color w:val="auto"/>
                <w:highlight w:val="none"/>
                <w:lang w:eastAsia="zh-CN" w:bidi="ar"/>
              </w:rPr>
              <w:t>。</w:t>
            </w:r>
          </w:p>
        </w:tc>
      </w:tr>
      <w:tr w14:paraId="504F05DF">
        <w:tblPrEx>
          <w:tblCellMar>
            <w:top w:w="0" w:type="dxa"/>
            <w:left w:w="108" w:type="dxa"/>
            <w:bottom w:w="0" w:type="dxa"/>
            <w:right w:w="108" w:type="dxa"/>
          </w:tblCellMar>
        </w:tblPrEx>
        <w:trPr>
          <w:trHeight w:val="2195"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85B4C">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42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FF081">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户外涂鸦组合</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DF254">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E2FDA">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40D357">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98176" behindDoc="0" locked="0" layoutInCell="1" allowOverlap="1">
                  <wp:simplePos x="0" y="0"/>
                  <wp:positionH relativeFrom="column">
                    <wp:posOffset>70485</wp:posOffset>
                  </wp:positionH>
                  <wp:positionV relativeFrom="paragraph">
                    <wp:posOffset>281305</wp:posOffset>
                  </wp:positionV>
                  <wp:extent cx="1247140" cy="1021715"/>
                  <wp:effectExtent l="0" t="0" r="10160" b="6985"/>
                  <wp:wrapNone/>
                  <wp:docPr id="97" name="image40"/>
                  <wp:cNvGraphicFramePr/>
                  <a:graphic xmlns:a="http://schemas.openxmlformats.org/drawingml/2006/main">
                    <a:graphicData uri="http://schemas.openxmlformats.org/drawingml/2006/picture">
                      <pic:pic xmlns:pic="http://schemas.openxmlformats.org/drawingml/2006/picture">
                        <pic:nvPicPr>
                          <pic:cNvPr id="97" name="image40"/>
                          <pic:cNvPicPr/>
                        </pic:nvPicPr>
                        <pic:blipFill>
                          <a:blip r:embed="rId52"/>
                          <a:stretch>
                            <a:fillRect/>
                          </a:stretch>
                        </pic:blipFill>
                        <pic:spPr>
                          <a:xfrm>
                            <a:off x="0" y="0"/>
                            <a:ext cx="1247140" cy="1021715"/>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E1296">
            <w:pPr>
              <w:widowControl/>
              <w:shd w:val="clear"/>
              <w:jc w:val="left"/>
              <w:textAlignment w:val="center"/>
              <w:rPr>
                <w:rFonts w:hint="eastAsia" w:ascii="宋体" w:hAnsi="宋体" w:eastAsia="宋体" w:cs="宋体"/>
                <w:color w:val="auto"/>
                <w:sz w:val="18"/>
                <w:szCs w:val="18"/>
                <w:highlight w:val="none"/>
                <w:lang w:eastAsia="zh-CN"/>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w:t>
            </w:r>
            <w:r>
              <w:rPr>
                <w:rStyle w:val="60"/>
                <w:rFonts w:hint="default"/>
                <w:color w:val="auto"/>
                <w:highlight w:val="none"/>
                <w:lang w:bidi="ar"/>
              </w:rPr>
              <w:t>360*50*110cm</w:t>
            </w:r>
            <w:r>
              <w:rPr>
                <w:rStyle w:val="60"/>
                <w:rFonts w:hint="eastAsia"/>
                <w:color w:val="auto"/>
                <w:highlight w:val="none"/>
                <w:lang w:eastAsia="zh-CN" w:bidi="ar"/>
              </w:rPr>
              <w:t>；</w:t>
            </w:r>
            <w:r>
              <w:rPr>
                <w:rStyle w:val="60"/>
                <w:rFonts w:hint="default"/>
                <w:color w:val="auto"/>
                <w:highlight w:val="none"/>
                <w:lang w:bidi="ar"/>
              </w:rPr>
              <w:br w:type="textWrapping"/>
            </w:r>
            <w:r>
              <w:rPr>
                <w:rStyle w:val="60"/>
                <w:rFonts w:hint="eastAsia"/>
                <w:color w:val="auto"/>
                <w:highlight w:val="none"/>
                <w:lang w:val="en-US" w:eastAsia="zh-CN" w:bidi="ar"/>
              </w:rPr>
              <w:t>2.</w:t>
            </w:r>
            <w:r>
              <w:rPr>
                <w:rStyle w:val="60"/>
                <w:rFonts w:hint="default"/>
                <w:color w:val="auto"/>
                <w:highlight w:val="none"/>
                <w:lang w:bidi="ar"/>
              </w:rPr>
              <w:t>采用芬兰木，厚度20mm,经过高温杀菌处理制作。油漆采用户外环保木油经过</w:t>
            </w:r>
            <w:r>
              <w:rPr>
                <w:rStyle w:val="61"/>
                <w:rFonts w:hint="default"/>
                <w:color w:val="auto"/>
                <w:highlight w:val="none"/>
                <w:lang w:bidi="ar"/>
              </w:rPr>
              <w:t>2</w:t>
            </w:r>
            <w:r>
              <w:rPr>
                <w:rStyle w:val="60"/>
                <w:rFonts w:hint="default"/>
                <w:color w:val="auto"/>
                <w:highlight w:val="none"/>
                <w:lang w:bidi="ar"/>
              </w:rPr>
              <w:t>次底漆</w:t>
            </w:r>
            <w:r>
              <w:rPr>
                <w:rStyle w:val="61"/>
                <w:rFonts w:hint="default"/>
                <w:color w:val="auto"/>
                <w:highlight w:val="none"/>
                <w:lang w:bidi="ar"/>
              </w:rPr>
              <w:t>2</w:t>
            </w:r>
            <w:r>
              <w:rPr>
                <w:rStyle w:val="60"/>
                <w:rFonts w:hint="default"/>
                <w:color w:val="auto"/>
                <w:highlight w:val="none"/>
                <w:lang w:bidi="ar"/>
              </w:rPr>
              <w:t>次面漆制作而成</w:t>
            </w:r>
            <w:r>
              <w:rPr>
                <w:rStyle w:val="60"/>
                <w:rFonts w:hint="eastAsia"/>
                <w:color w:val="auto"/>
                <w:highlight w:val="none"/>
                <w:lang w:eastAsia="zh-CN" w:bidi="ar"/>
              </w:rPr>
              <w:t>。</w:t>
            </w:r>
          </w:p>
        </w:tc>
      </w:tr>
      <w:tr w14:paraId="548BC638">
        <w:tblPrEx>
          <w:tblCellMar>
            <w:top w:w="0" w:type="dxa"/>
            <w:left w:w="108" w:type="dxa"/>
            <w:bottom w:w="0" w:type="dxa"/>
            <w:right w:w="108" w:type="dxa"/>
          </w:tblCellMar>
        </w:tblPrEx>
        <w:trPr>
          <w:trHeight w:val="1883"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0EABE">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43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42EFE">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冲洗画架</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41437">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3</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05567">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个</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FCA12">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699200" behindDoc="0" locked="0" layoutInCell="1" allowOverlap="1">
                  <wp:simplePos x="0" y="0"/>
                  <wp:positionH relativeFrom="column">
                    <wp:posOffset>71755</wp:posOffset>
                  </wp:positionH>
                  <wp:positionV relativeFrom="paragraph">
                    <wp:posOffset>205105</wp:posOffset>
                  </wp:positionV>
                  <wp:extent cx="1236345" cy="897890"/>
                  <wp:effectExtent l="0" t="0" r="1905" b="16510"/>
                  <wp:wrapNone/>
                  <wp:docPr id="99" name="image42"/>
                  <wp:cNvGraphicFramePr/>
                  <a:graphic xmlns:a="http://schemas.openxmlformats.org/drawingml/2006/main">
                    <a:graphicData uri="http://schemas.openxmlformats.org/drawingml/2006/picture">
                      <pic:pic xmlns:pic="http://schemas.openxmlformats.org/drawingml/2006/picture">
                        <pic:nvPicPr>
                          <pic:cNvPr id="99" name="image42"/>
                          <pic:cNvPicPr/>
                        </pic:nvPicPr>
                        <pic:blipFill>
                          <a:blip r:embed="rId53"/>
                          <a:stretch>
                            <a:fillRect/>
                          </a:stretch>
                        </pic:blipFill>
                        <pic:spPr>
                          <a:xfrm>
                            <a:off x="0" y="0"/>
                            <a:ext cx="1236345" cy="897890"/>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4472A">
            <w:pPr>
              <w:widowControl/>
              <w:shd w:val="clear"/>
              <w:jc w:val="left"/>
              <w:textAlignment w:val="center"/>
              <w:rPr>
                <w:rFonts w:hint="eastAsia" w:ascii="宋体" w:hAnsi="宋体" w:eastAsia="宋体" w:cs="宋体"/>
                <w:color w:val="auto"/>
                <w:sz w:val="18"/>
                <w:szCs w:val="18"/>
                <w:highlight w:val="none"/>
                <w:lang w:eastAsia="zh-CN"/>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w:t>
            </w:r>
            <w:r>
              <w:rPr>
                <w:rStyle w:val="60"/>
                <w:rFonts w:hint="default"/>
                <w:color w:val="auto"/>
                <w:highlight w:val="none"/>
                <w:lang w:bidi="ar"/>
              </w:rPr>
              <w:t>100*55*110cm</w:t>
            </w:r>
            <w:r>
              <w:rPr>
                <w:rStyle w:val="60"/>
                <w:rFonts w:hint="eastAsia"/>
                <w:color w:val="auto"/>
                <w:highlight w:val="none"/>
                <w:lang w:eastAsia="zh-CN" w:bidi="ar"/>
              </w:rPr>
              <w:t>；</w:t>
            </w:r>
            <w:r>
              <w:rPr>
                <w:rStyle w:val="60"/>
                <w:rFonts w:hint="default"/>
                <w:color w:val="auto"/>
                <w:highlight w:val="none"/>
                <w:lang w:bidi="ar"/>
              </w:rPr>
              <w:br w:type="textWrapping"/>
            </w:r>
            <w:r>
              <w:rPr>
                <w:rStyle w:val="60"/>
                <w:rFonts w:hint="eastAsia"/>
                <w:color w:val="auto"/>
                <w:highlight w:val="none"/>
                <w:lang w:val="en-US" w:eastAsia="zh-CN" w:bidi="ar"/>
              </w:rPr>
              <w:t>2.</w:t>
            </w:r>
            <w:r>
              <w:rPr>
                <w:rStyle w:val="60"/>
                <w:rFonts w:hint="default"/>
                <w:color w:val="auto"/>
                <w:highlight w:val="none"/>
                <w:lang w:bidi="ar"/>
              </w:rPr>
              <w:t>采用芬兰木，厚度20mm,经过高温杀菌处理制作。油漆采用户外环保木油经过</w:t>
            </w:r>
            <w:r>
              <w:rPr>
                <w:rStyle w:val="61"/>
                <w:rFonts w:hint="default"/>
                <w:color w:val="auto"/>
                <w:highlight w:val="none"/>
                <w:lang w:bidi="ar"/>
              </w:rPr>
              <w:t>2</w:t>
            </w:r>
            <w:r>
              <w:rPr>
                <w:rStyle w:val="60"/>
                <w:rFonts w:hint="default"/>
                <w:color w:val="auto"/>
                <w:highlight w:val="none"/>
                <w:lang w:bidi="ar"/>
              </w:rPr>
              <w:t>次底漆</w:t>
            </w:r>
            <w:r>
              <w:rPr>
                <w:rStyle w:val="61"/>
                <w:rFonts w:hint="default"/>
                <w:color w:val="auto"/>
                <w:highlight w:val="none"/>
                <w:lang w:bidi="ar"/>
              </w:rPr>
              <w:t>2</w:t>
            </w:r>
            <w:r>
              <w:rPr>
                <w:rStyle w:val="60"/>
                <w:rFonts w:hint="default"/>
                <w:color w:val="auto"/>
                <w:highlight w:val="none"/>
                <w:lang w:bidi="ar"/>
              </w:rPr>
              <w:t>次面漆制作而成</w:t>
            </w:r>
            <w:r>
              <w:rPr>
                <w:rStyle w:val="61"/>
                <w:rFonts w:hint="eastAsia"/>
                <w:color w:val="auto"/>
                <w:highlight w:val="none"/>
                <w:lang w:eastAsia="zh-CN" w:bidi="ar"/>
              </w:rPr>
              <w:t>。</w:t>
            </w:r>
          </w:p>
        </w:tc>
      </w:tr>
      <w:tr w14:paraId="43BB76BD">
        <w:tblPrEx>
          <w:tblCellMar>
            <w:top w:w="0" w:type="dxa"/>
            <w:left w:w="108" w:type="dxa"/>
            <w:bottom w:w="0" w:type="dxa"/>
            <w:right w:w="108" w:type="dxa"/>
          </w:tblCellMar>
        </w:tblPrEx>
        <w:trPr>
          <w:trHeight w:val="2195"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11C46">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44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7C44A">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收纳屋组合</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ACC39">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BA3C6">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C8213">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700224" behindDoc="0" locked="0" layoutInCell="1" allowOverlap="1">
                  <wp:simplePos x="0" y="0"/>
                  <wp:positionH relativeFrom="column">
                    <wp:posOffset>73025</wp:posOffset>
                  </wp:positionH>
                  <wp:positionV relativeFrom="paragraph">
                    <wp:posOffset>313690</wp:posOffset>
                  </wp:positionV>
                  <wp:extent cx="1268095" cy="965200"/>
                  <wp:effectExtent l="0" t="0" r="8255" b="6350"/>
                  <wp:wrapNone/>
                  <wp:docPr id="110" name="image41"/>
                  <wp:cNvGraphicFramePr/>
                  <a:graphic xmlns:a="http://schemas.openxmlformats.org/drawingml/2006/main">
                    <a:graphicData uri="http://schemas.openxmlformats.org/drawingml/2006/picture">
                      <pic:pic xmlns:pic="http://schemas.openxmlformats.org/drawingml/2006/picture">
                        <pic:nvPicPr>
                          <pic:cNvPr id="110" name="image41"/>
                          <pic:cNvPicPr/>
                        </pic:nvPicPr>
                        <pic:blipFill>
                          <a:blip r:embed="rId54"/>
                          <a:stretch>
                            <a:fillRect/>
                          </a:stretch>
                        </pic:blipFill>
                        <pic:spPr>
                          <a:xfrm>
                            <a:off x="0" y="0"/>
                            <a:ext cx="1268095" cy="965200"/>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B917A">
            <w:pPr>
              <w:widowControl/>
              <w:shd w:val="clear"/>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w:t>
            </w:r>
            <w:r>
              <w:rPr>
                <w:rStyle w:val="60"/>
                <w:rFonts w:hint="default"/>
                <w:color w:val="auto"/>
                <w:highlight w:val="none"/>
                <w:lang w:bidi="ar"/>
              </w:rPr>
              <w:t>575*80*185cm</w:t>
            </w:r>
            <w:r>
              <w:rPr>
                <w:rStyle w:val="60"/>
                <w:rFonts w:hint="eastAsia"/>
                <w:color w:val="auto"/>
                <w:highlight w:val="none"/>
                <w:lang w:eastAsia="zh-CN" w:bidi="ar"/>
              </w:rPr>
              <w:t>；</w:t>
            </w:r>
            <w:r>
              <w:rPr>
                <w:rStyle w:val="60"/>
                <w:rFonts w:hint="default"/>
                <w:color w:val="auto"/>
                <w:highlight w:val="none"/>
                <w:lang w:bidi="ar"/>
              </w:rPr>
              <w:br w:type="textWrapping"/>
            </w:r>
            <w:r>
              <w:rPr>
                <w:rStyle w:val="60"/>
                <w:rFonts w:hint="eastAsia"/>
                <w:color w:val="auto"/>
                <w:highlight w:val="none"/>
                <w:lang w:val="en-US" w:eastAsia="zh-CN" w:bidi="ar"/>
              </w:rPr>
              <w:t>2.</w:t>
            </w:r>
            <w:r>
              <w:rPr>
                <w:rStyle w:val="60"/>
                <w:rFonts w:hint="default"/>
                <w:color w:val="auto"/>
                <w:highlight w:val="none"/>
                <w:lang w:bidi="ar"/>
              </w:rPr>
              <w:t>采用芬兰木，厚度15mm,经过高温杀菌处理制作。油漆采用户外环保木油经过</w:t>
            </w:r>
            <w:r>
              <w:rPr>
                <w:rStyle w:val="61"/>
                <w:rFonts w:hint="default"/>
                <w:color w:val="auto"/>
                <w:highlight w:val="none"/>
                <w:lang w:bidi="ar"/>
              </w:rPr>
              <w:t>2</w:t>
            </w:r>
            <w:r>
              <w:rPr>
                <w:rStyle w:val="60"/>
                <w:rFonts w:hint="default"/>
                <w:color w:val="auto"/>
                <w:highlight w:val="none"/>
                <w:lang w:bidi="ar"/>
              </w:rPr>
              <w:t>次底漆</w:t>
            </w:r>
            <w:r>
              <w:rPr>
                <w:rStyle w:val="61"/>
                <w:rFonts w:hint="default"/>
                <w:color w:val="auto"/>
                <w:highlight w:val="none"/>
                <w:lang w:bidi="ar"/>
              </w:rPr>
              <w:t>2</w:t>
            </w:r>
            <w:r>
              <w:rPr>
                <w:rStyle w:val="60"/>
                <w:rFonts w:hint="default"/>
                <w:color w:val="auto"/>
                <w:highlight w:val="none"/>
                <w:lang w:bidi="ar"/>
              </w:rPr>
              <w:t>次面漆制作而成</w:t>
            </w:r>
            <w:r>
              <w:rPr>
                <w:rStyle w:val="61"/>
                <w:rFonts w:hint="default"/>
                <w:color w:val="auto"/>
                <w:highlight w:val="none"/>
                <w:lang w:bidi="ar"/>
              </w:rPr>
              <w:t>+</w:t>
            </w:r>
            <w:r>
              <w:rPr>
                <w:rStyle w:val="60"/>
                <w:rFonts w:hint="default"/>
                <w:color w:val="auto"/>
                <w:highlight w:val="none"/>
                <w:lang w:bidi="ar"/>
              </w:rPr>
              <w:t>顶部防水沥青瓦。</w:t>
            </w:r>
          </w:p>
        </w:tc>
      </w:tr>
      <w:tr w14:paraId="2B75A468">
        <w:tblPrEx>
          <w:tblCellMar>
            <w:top w:w="0" w:type="dxa"/>
            <w:left w:w="108" w:type="dxa"/>
            <w:bottom w:w="0" w:type="dxa"/>
            <w:right w:w="108" w:type="dxa"/>
          </w:tblCellMar>
        </w:tblPrEx>
        <w:trPr>
          <w:trHeight w:val="2523"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9BFB9">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45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556FA">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种植架</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574EF">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9D072C">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个</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713F4">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701248" behindDoc="0" locked="0" layoutInCell="1" allowOverlap="1">
                  <wp:simplePos x="0" y="0"/>
                  <wp:positionH relativeFrom="column">
                    <wp:posOffset>533400</wp:posOffset>
                  </wp:positionH>
                  <wp:positionV relativeFrom="paragraph">
                    <wp:posOffset>26035</wp:posOffset>
                  </wp:positionV>
                  <wp:extent cx="790575" cy="1548130"/>
                  <wp:effectExtent l="0" t="0" r="9525" b="13970"/>
                  <wp:wrapNone/>
                  <wp:docPr id="112" name="image46"/>
                  <wp:cNvGraphicFramePr/>
                  <a:graphic xmlns:a="http://schemas.openxmlformats.org/drawingml/2006/main">
                    <a:graphicData uri="http://schemas.openxmlformats.org/drawingml/2006/picture">
                      <pic:pic xmlns:pic="http://schemas.openxmlformats.org/drawingml/2006/picture">
                        <pic:nvPicPr>
                          <pic:cNvPr id="112" name="image46"/>
                          <pic:cNvPicPr/>
                        </pic:nvPicPr>
                        <pic:blipFill>
                          <a:blip r:embed="rId55"/>
                          <a:stretch>
                            <a:fillRect/>
                          </a:stretch>
                        </pic:blipFill>
                        <pic:spPr>
                          <a:xfrm>
                            <a:off x="0" y="0"/>
                            <a:ext cx="790575" cy="1548130"/>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F3B7D">
            <w:pPr>
              <w:widowControl/>
              <w:shd w:val="clear"/>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w:t>
            </w:r>
            <w:r>
              <w:rPr>
                <w:rStyle w:val="60"/>
                <w:rFonts w:hint="default"/>
                <w:color w:val="auto"/>
                <w:highlight w:val="none"/>
                <w:lang w:bidi="ar"/>
              </w:rPr>
              <w:t>55*40*160cm</w:t>
            </w:r>
            <w:r>
              <w:rPr>
                <w:rStyle w:val="60"/>
                <w:rFonts w:hint="eastAsia"/>
                <w:color w:val="auto"/>
                <w:highlight w:val="none"/>
                <w:lang w:eastAsia="zh-CN" w:bidi="ar"/>
              </w:rPr>
              <w:t>；</w:t>
            </w:r>
            <w:r>
              <w:rPr>
                <w:rStyle w:val="60"/>
                <w:rFonts w:hint="default"/>
                <w:color w:val="auto"/>
                <w:highlight w:val="none"/>
                <w:lang w:bidi="ar"/>
              </w:rPr>
              <w:br w:type="textWrapping"/>
            </w:r>
            <w:r>
              <w:rPr>
                <w:rStyle w:val="60"/>
                <w:rFonts w:hint="eastAsia"/>
                <w:color w:val="auto"/>
                <w:highlight w:val="none"/>
                <w:lang w:val="en-US" w:eastAsia="zh-CN" w:bidi="ar"/>
              </w:rPr>
              <w:t>2.</w:t>
            </w:r>
            <w:r>
              <w:rPr>
                <w:rStyle w:val="60"/>
                <w:rFonts w:hint="default"/>
                <w:color w:val="auto"/>
                <w:highlight w:val="none"/>
                <w:lang w:bidi="ar"/>
              </w:rPr>
              <w:t>采用芬兰木，圆立柱直径8cm,经过高温杀菌处理制作。油漆采用户外环保木油经过</w:t>
            </w:r>
            <w:r>
              <w:rPr>
                <w:rStyle w:val="61"/>
                <w:rFonts w:hint="default"/>
                <w:color w:val="auto"/>
                <w:highlight w:val="none"/>
                <w:lang w:bidi="ar"/>
              </w:rPr>
              <w:t>2</w:t>
            </w:r>
            <w:r>
              <w:rPr>
                <w:rStyle w:val="60"/>
                <w:rFonts w:hint="default"/>
                <w:color w:val="auto"/>
                <w:highlight w:val="none"/>
                <w:lang w:bidi="ar"/>
              </w:rPr>
              <w:t>次底漆</w:t>
            </w:r>
            <w:r>
              <w:rPr>
                <w:rStyle w:val="61"/>
                <w:rFonts w:hint="default"/>
                <w:color w:val="auto"/>
                <w:highlight w:val="none"/>
                <w:lang w:bidi="ar"/>
              </w:rPr>
              <w:t>2</w:t>
            </w:r>
            <w:r>
              <w:rPr>
                <w:rStyle w:val="60"/>
                <w:rFonts w:hint="default"/>
                <w:color w:val="auto"/>
                <w:highlight w:val="none"/>
                <w:lang w:bidi="ar"/>
              </w:rPr>
              <w:t>次面漆制作而成。</w:t>
            </w:r>
          </w:p>
        </w:tc>
      </w:tr>
      <w:tr w14:paraId="2AB0576C">
        <w:tblPrEx>
          <w:tblCellMar>
            <w:top w:w="0" w:type="dxa"/>
            <w:left w:w="108" w:type="dxa"/>
            <w:bottom w:w="0" w:type="dxa"/>
            <w:right w:w="108" w:type="dxa"/>
          </w:tblCellMar>
        </w:tblPrEx>
        <w:trPr>
          <w:trHeight w:val="1885"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DA6E2">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46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D08FE">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自然门头组合</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188223">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ABD713">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8A60F">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702272" behindDoc="0" locked="0" layoutInCell="1" allowOverlap="1">
                  <wp:simplePos x="0" y="0"/>
                  <wp:positionH relativeFrom="column">
                    <wp:posOffset>71755</wp:posOffset>
                  </wp:positionH>
                  <wp:positionV relativeFrom="paragraph">
                    <wp:posOffset>166370</wp:posOffset>
                  </wp:positionV>
                  <wp:extent cx="1374775" cy="925830"/>
                  <wp:effectExtent l="0" t="0" r="15875" b="7620"/>
                  <wp:wrapNone/>
                  <wp:docPr id="109" name="image43"/>
                  <wp:cNvGraphicFramePr/>
                  <a:graphic xmlns:a="http://schemas.openxmlformats.org/drawingml/2006/main">
                    <a:graphicData uri="http://schemas.openxmlformats.org/drawingml/2006/picture">
                      <pic:pic xmlns:pic="http://schemas.openxmlformats.org/drawingml/2006/picture">
                        <pic:nvPicPr>
                          <pic:cNvPr id="109" name="image43"/>
                          <pic:cNvPicPr/>
                        </pic:nvPicPr>
                        <pic:blipFill>
                          <a:blip r:embed="rId56"/>
                          <a:stretch>
                            <a:fillRect/>
                          </a:stretch>
                        </pic:blipFill>
                        <pic:spPr>
                          <a:xfrm>
                            <a:off x="0" y="0"/>
                            <a:ext cx="1374775" cy="925830"/>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B496CA">
            <w:pPr>
              <w:widowControl/>
              <w:shd w:val="clear"/>
              <w:jc w:val="left"/>
              <w:textAlignment w:val="center"/>
              <w:rPr>
                <w:rFonts w:hint="eastAsia" w:ascii="宋体" w:hAnsi="宋体" w:eastAsia="宋体" w:cs="宋体"/>
                <w:color w:val="auto"/>
                <w:sz w:val="18"/>
                <w:szCs w:val="18"/>
                <w:highlight w:val="none"/>
                <w:lang w:eastAsia="zh-CN"/>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规格：650*90*310cm</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val="en-US" w:eastAsia="zh-CN" w:bidi="ar"/>
              </w:rPr>
              <w:t>2.</w:t>
            </w:r>
            <w:r>
              <w:rPr>
                <w:rFonts w:hint="eastAsia" w:ascii="宋体" w:hAnsi="宋体" w:cs="宋体"/>
                <w:color w:val="auto"/>
                <w:kern w:val="0"/>
                <w:sz w:val="18"/>
                <w:szCs w:val="18"/>
                <w:highlight w:val="none"/>
                <w:lang w:bidi="ar"/>
              </w:rPr>
              <w:t>采用芬兰木，厚度20mm,经过高温杀菌处理制作。油漆采用户外环保木油经过2次底漆2次面漆制作而成。+仿真茅草顶宽度100cm，厚度3cm</w:t>
            </w:r>
            <w:r>
              <w:rPr>
                <w:rFonts w:hint="eastAsia" w:ascii="宋体" w:hAnsi="宋体" w:cs="宋体"/>
                <w:color w:val="auto"/>
                <w:kern w:val="0"/>
                <w:sz w:val="18"/>
                <w:szCs w:val="18"/>
                <w:highlight w:val="none"/>
                <w:lang w:eastAsia="zh-CN" w:bidi="ar"/>
              </w:rPr>
              <w:t>。</w:t>
            </w:r>
          </w:p>
        </w:tc>
      </w:tr>
      <w:tr w14:paraId="43F8F1F0">
        <w:tblPrEx>
          <w:tblCellMar>
            <w:top w:w="0" w:type="dxa"/>
            <w:left w:w="108" w:type="dxa"/>
            <w:bottom w:w="0" w:type="dxa"/>
            <w:right w:w="108" w:type="dxa"/>
          </w:tblCellMar>
        </w:tblPrEx>
        <w:trPr>
          <w:trHeight w:val="1575"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3F614">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47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A1AC6">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围栏</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9F1DF">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F41BD">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米</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0FBFC">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703296" behindDoc="0" locked="0" layoutInCell="1" allowOverlap="1">
                  <wp:simplePos x="0" y="0"/>
                  <wp:positionH relativeFrom="column">
                    <wp:posOffset>70485</wp:posOffset>
                  </wp:positionH>
                  <wp:positionV relativeFrom="paragraph">
                    <wp:posOffset>193675</wp:posOffset>
                  </wp:positionV>
                  <wp:extent cx="1316990" cy="690880"/>
                  <wp:effectExtent l="0" t="0" r="16510" b="13970"/>
                  <wp:wrapNone/>
                  <wp:docPr id="98" name="image51"/>
                  <wp:cNvGraphicFramePr/>
                  <a:graphic xmlns:a="http://schemas.openxmlformats.org/drawingml/2006/main">
                    <a:graphicData uri="http://schemas.openxmlformats.org/drawingml/2006/picture">
                      <pic:pic xmlns:pic="http://schemas.openxmlformats.org/drawingml/2006/picture">
                        <pic:nvPicPr>
                          <pic:cNvPr id="98" name="image51"/>
                          <pic:cNvPicPr/>
                        </pic:nvPicPr>
                        <pic:blipFill>
                          <a:blip r:embed="rId57"/>
                          <a:stretch>
                            <a:fillRect/>
                          </a:stretch>
                        </pic:blipFill>
                        <pic:spPr>
                          <a:xfrm>
                            <a:off x="0" y="0"/>
                            <a:ext cx="1316990" cy="690880"/>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7261D">
            <w:pPr>
              <w:widowControl/>
              <w:shd w:val="clear"/>
              <w:jc w:val="left"/>
              <w:textAlignment w:val="center"/>
              <w:rPr>
                <w:rFonts w:hint="eastAsia" w:ascii="宋体" w:hAnsi="宋体" w:eastAsia="宋体" w:cs="宋体"/>
                <w:color w:val="auto"/>
                <w:sz w:val="18"/>
                <w:szCs w:val="18"/>
                <w:highlight w:val="none"/>
                <w:lang w:eastAsia="zh-CN"/>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w:t>
            </w:r>
            <w:r>
              <w:rPr>
                <w:rStyle w:val="60"/>
                <w:rFonts w:hint="default"/>
                <w:color w:val="auto"/>
                <w:highlight w:val="none"/>
                <w:lang w:bidi="ar"/>
              </w:rPr>
              <w:t>高</w:t>
            </w:r>
            <w:r>
              <w:rPr>
                <w:rStyle w:val="61"/>
                <w:rFonts w:hint="default"/>
                <w:color w:val="auto"/>
                <w:highlight w:val="none"/>
                <w:lang w:bidi="ar"/>
              </w:rPr>
              <w:t>30-50cm</w:t>
            </w:r>
            <w:r>
              <w:rPr>
                <w:rStyle w:val="61"/>
                <w:rFonts w:hint="eastAsia"/>
                <w:color w:val="auto"/>
                <w:highlight w:val="none"/>
                <w:lang w:eastAsia="zh-CN" w:bidi="ar"/>
              </w:rPr>
              <w:t>；</w:t>
            </w:r>
            <w:r>
              <w:rPr>
                <w:rStyle w:val="61"/>
                <w:rFonts w:hint="default"/>
                <w:color w:val="auto"/>
                <w:highlight w:val="none"/>
                <w:lang w:bidi="ar"/>
              </w:rPr>
              <w:br w:type="textWrapping"/>
            </w:r>
            <w:r>
              <w:rPr>
                <w:rStyle w:val="61"/>
                <w:rFonts w:hint="eastAsia"/>
                <w:color w:val="auto"/>
                <w:highlight w:val="none"/>
                <w:lang w:val="en-US" w:eastAsia="zh-CN" w:bidi="ar"/>
              </w:rPr>
              <w:t>2.</w:t>
            </w:r>
            <w:r>
              <w:rPr>
                <w:rStyle w:val="60"/>
                <w:rFonts w:hint="default"/>
                <w:color w:val="auto"/>
                <w:highlight w:val="none"/>
                <w:lang w:bidi="ar"/>
              </w:rPr>
              <w:t>采用芬兰木，厚度15mm,经过高温杀菌处理制作。油漆采用户外环保木油经过</w:t>
            </w:r>
            <w:r>
              <w:rPr>
                <w:rStyle w:val="61"/>
                <w:rFonts w:hint="default"/>
                <w:color w:val="auto"/>
                <w:highlight w:val="none"/>
                <w:lang w:bidi="ar"/>
              </w:rPr>
              <w:t>2</w:t>
            </w:r>
            <w:r>
              <w:rPr>
                <w:rStyle w:val="60"/>
                <w:rFonts w:hint="default"/>
                <w:color w:val="auto"/>
                <w:highlight w:val="none"/>
                <w:lang w:bidi="ar"/>
              </w:rPr>
              <w:t>次底漆</w:t>
            </w:r>
            <w:r>
              <w:rPr>
                <w:rStyle w:val="61"/>
                <w:rFonts w:hint="default"/>
                <w:color w:val="auto"/>
                <w:highlight w:val="none"/>
                <w:lang w:bidi="ar"/>
              </w:rPr>
              <w:t>2</w:t>
            </w:r>
            <w:r>
              <w:rPr>
                <w:rStyle w:val="60"/>
                <w:rFonts w:hint="default"/>
                <w:color w:val="auto"/>
                <w:highlight w:val="none"/>
                <w:lang w:bidi="ar"/>
              </w:rPr>
              <w:t>次面漆制作而成。护栏间距5cm</w:t>
            </w:r>
            <w:r>
              <w:rPr>
                <w:rStyle w:val="60"/>
                <w:rFonts w:hint="eastAsia"/>
                <w:color w:val="auto"/>
                <w:highlight w:val="none"/>
                <w:lang w:eastAsia="zh-CN" w:bidi="ar"/>
              </w:rPr>
              <w:t>。</w:t>
            </w:r>
          </w:p>
        </w:tc>
      </w:tr>
      <w:tr w14:paraId="5EDB0BA5">
        <w:tblPrEx>
          <w:tblCellMar>
            <w:top w:w="0" w:type="dxa"/>
            <w:left w:w="108" w:type="dxa"/>
            <w:bottom w:w="0" w:type="dxa"/>
            <w:right w:w="108" w:type="dxa"/>
          </w:tblCellMar>
        </w:tblPrEx>
        <w:trPr>
          <w:trHeight w:val="2195"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EA596">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48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EABFE">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养殖房</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4012D">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43298">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座</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DCCCA">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704320" behindDoc="0" locked="0" layoutInCell="1" allowOverlap="1">
                  <wp:simplePos x="0" y="0"/>
                  <wp:positionH relativeFrom="column">
                    <wp:posOffset>70485</wp:posOffset>
                  </wp:positionH>
                  <wp:positionV relativeFrom="paragraph">
                    <wp:posOffset>237490</wp:posOffset>
                  </wp:positionV>
                  <wp:extent cx="1316990" cy="1109980"/>
                  <wp:effectExtent l="0" t="0" r="16510" b="13970"/>
                  <wp:wrapNone/>
                  <wp:docPr id="107" name="image47"/>
                  <wp:cNvGraphicFramePr/>
                  <a:graphic xmlns:a="http://schemas.openxmlformats.org/drawingml/2006/main">
                    <a:graphicData uri="http://schemas.openxmlformats.org/drawingml/2006/picture">
                      <pic:pic xmlns:pic="http://schemas.openxmlformats.org/drawingml/2006/picture">
                        <pic:nvPicPr>
                          <pic:cNvPr id="107" name="image47"/>
                          <pic:cNvPicPr/>
                        </pic:nvPicPr>
                        <pic:blipFill>
                          <a:blip r:embed="rId58"/>
                          <a:stretch>
                            <a:fillRect/>
                          </a:stretch>
                        </pic:blipFill>
                        <pic:spPr>
                          <a:xfrm>
                            <a:off x="0" y="0"/>
                            <a:ext cx="1316990" cy="1109980"/>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B9500">
            <w:pPr>
              <w:widowControl/>
              <w:shd w:val="clear"/>
              <w:jc w:val="left"/>
              <w:textAlignment w:val="center"/>
              <w:rPr>
                <w:rFonts w:hint="eastAsia" w:ascii="宋体" w:hAnsi="宋体" w:eastAsia="宋体" w:cs="宋体"/>
                <w:color w:val="auto"/>
                <w:sz w:val="18"/>
                <w:szCs w:val="18"/>
                <w:highlight w:val="none"/>
                <w:lang w:eastAsia="zh-CN"/>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w:t>
            </w:r>
            <w:r>
              <w:rPr>
                <w:rStyle w:val="60"/>
                <w:rFonts w:hint="default"/>
                <w:color w:val="auto"/>
                <w:highlight w:val="none"/>
                <w:lang w:bidi="ar"/>
              </w:rPr>
              <w:t>320*180*240cm</w:t>
            </w:r>
            <w:r>
              <w:rPr>
                <w:rStyle w:val="60"/>
                <w:rFonts w:hint="eastAsia"/>
                <w:color w:val="auto"/>
                <w:highlight w:val="none"/>
                <w:lang w:eastAsia="zh-CN" w:bidi="ar"/>
              </w:rPr>
              <w:t>；</w:t>
            </w:r>
            <w:r>
              <w:rPr>
                <w:rStyle w:val="60"/>
                <w:rFonts w:hint="default"/>
                <w:color w:val="auto"/>
                <w:highlight w:val="none"/>
                <w:lang w:bidi="ar"/>
              </w:rPr>
              <w:br w:type="textWrapping"/>
            </w:r>
            <w:r>
              <w:rPr>
                <w:rStyle w:val="60"/>
                <w:rFonts w:hint="eastAsia"/>
                <w:color w:val="auto"/>
                <w:highlight w:val="none"/>
                <w:lang w:val="en-US" w:eastAsia="zh-CN" w:bidi="ar"/>
              </w:rPr>
              <w:t>2.</w:t>
            </w:r>
            <w:r>
              <w:rPr>
                <w:rStyle w:val="60"/>
                <w:rFonts w:hint="default"/>
                <w:color w:val="auto"/>
                <w:highlight w:val="none"/>
                <w:lang w:bidi="ar"/>
              </w:rPr>
              <w:t>采用芬兰木，厚度15mm,经过高温杀菌处理制作。油漆采用户外环保木油经过</w:t>
            </w:r>
            <w:r>
              <w:rPr>
                <w:rStyle w:val="61"/>
                <w:rFonts w:hint="default"/>
                <w:color w:val="auto"/>
                <w:highlight w:val="none"/>
                <w:lang w:bidi="ar"/>
              </w:rPr>
              <w:t>2</w:t>
            </w:r>
            <w:r>
              <w:rPr>
                <w:rStyle w:val="60"/>
                <w:rFonts w:hint="default"/>
                <w:color w:val="auto"/>
                <w:highlight w:val="none"/>
                <w:lang w:bidi="ar"/>
              </w:rPr>
              <w:t>次底漆</w:t>
            </w:r>
            <w:r>
              <w:rPr>
                <w:rStyle w:val="61"/>
                <w:rFonts w:hint="default"/>
                <w:color w:val="auto"/>
                <w:highlight w:val="none"/>
                <w:lang w:bidi="ar"/>
              </w:rPr>
              <w:t>2</w:t>
            </w:r>
            <w:r>
              <w:rPr>
                <w:rStyle w:val="60"/>
                <w:rFonts w:hint="default"/>
                <w:color w:val="auto"/>
                <w:highlight w:val="none"/>
                <w:lang w:bidi="ar"/>
              </w:rPr>
              <w:t>次面漆制作而成。护栏间距5cm</w:t>
            </w:r>
            <w:r>
              <w:rPr>
                <w:rStyle w:val="60"/>
                <w:rFonts w:hint="eastAsia"/>
                <w:color w:val="auto"/>
                <w:highlight w:val="none"/>
                <w:lang w:eastAsia="zh-CN" w:bidi="ar"/>
              </w:rPr>
              <w:t>。</w:t>
            </w:r>
          </w:p>
        </w:tc>
      </w:tr>
      <w:tr w14:paraId="71D0A9B8">
        <w:tblPrEx>
          <w:tblCellMar>
            <w:top w:w="0" w:type="dxa"/>
            <w:left w:w="108" w:type="dxa"/>
            <w:bottom w:w="0" w:type="dxa"/>
            <w:right w:w="108" w:type="dxa"/>
          </w:tblCellMar>
        </w:tblPrEx>
        <w:trPr>
          <w:trHeight w:val="1570"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CAEEC">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49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4721B">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围栏</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13028">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6.5</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57463">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米</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4AA58">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705344" behindDoc="0" locked="0" layoutInCell="1" allowOverlap="1">
                  <wp:simplePos x="0" y="0"/>
                  <wp:positionH relativeFrom="column">
                    <wp:posOffset>71755</wp:posOffset>
                  </wp:positionH>
                  <wp:positionV relativeFrom="paragraph">
                    <wp:posOffset>257175</wp:posOffset>
                  </wp:positionV>
                  <wp:extent cx="1254125" cy="638175"/>
                  <wp:effectExtent l="0" t="0" r="3175" b="9525"/>
                  <wp:wrapNone/>
                  <wp:docPr id="104" name="image50"/>
                  <wp:cNvGraphicFramePr/>
                  <a:graphic xmlns:a="http://schemas.openxmlformats.org/drawingml/2006/main">
                    <a:graphicData uri="http://schemas.openxmlformats.org/drawingml/2006/picture">
                      <pic:pic xmlns:pic="http://schemas.openxmlformats.org/drawingml/2006/picture">
                        <pic:nvPicPr>
                          <pic:cNvPr id="104" name="image50"/>
                          <pic:cNvPicPr/>
                        </pic:nvPicPr>
                        <pic:blipFill>
                          <a:blip r:embed="rId59"/>
                          <a:stretch>
                            <a:fillRect/>
                          </a:stretch>
                        </pic:blipFill>
                        <pic:spPr>
                          <a:xfrm>
                            <a:off x="0" y="0"/>
                            <a:ext cx="1254125" cy="638175"/>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7B04A">
            <w:pPr>
              <w:widowControl/>
              <w:shd w:val="clear"/>
              <w:jc w:val="left"/>
              <w:textAlignment w:val="center"/>
              <w:rPr>
                <w:rFonts w:hint="eastAsia" w:ascii="宋体" w:hAnsi="宋体" w:eastAsia="宋体" w:cs="宋体"/>
                <w:color w:val="auto"/>
                <w:sz w:val="18"/>
                <w:szCs w:val="18"/>
                <w:highlight w:val="none"/>
                <w:lang w:eastAsia="zh-CN"/>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w:t>
            </w:r>
            <w:r>
              <w:rPr>
                <w:rStyle w:val="60"/>
                <w:rFonts w:hint="default"/>
                <w:color w:val="auto"/>
                <w:highlight w:val="none"/>
                <w:lang w:bidi="ar"/>
              </w:rPr>
              <w:t>高</w:t>
            </w:r>
            <w:r>
              <w:rPr>
                <w:rStyle w:val="61"/>
                <w:rFonts w:hint="default"/>
                <w:color w:val="auto"/>
                <w:highlight w:val="none"/>
                <w:lang w:bidi="ar"/>
              </w:rPr>
              <w:t>60cm</w:t>
            </w:r>
            <w:r>
              <w:rPr>
                <w:rStyle w:val="61"/>
                <w:rFonts w:hint="eastAsia"/>
                <w:color w:val="auto"/>
                <w:highlight w:val="none"/>
                <w:lang w:eastAsia="zh-CN" w:bidi="ar"/>
              </w:rPr>
              <w:t>；</w:t>
            </w:r>
            <w:r>
              <w:rPr>
                <w:rStyle w:val="61"/>
                <w:rFonts w:hint="default"/>
                <w:color w:val="auto"/>
                <w:highlight w:val="none"/>
                <w:lang w:bidi="ar"/>
              </w:rPr>
              <w:br w:type="textWrapping"/>
            </w:r>
            <w:r>
              <w:rPr>
                <w:rStyle w:val="61"/>
                <w:rFonts w:hint="eastAsia"/>
                <w:color w:val="auto"/>
                <w:highlight w:val="none"/>
                <w:lang w:val="en-US" w:eastAsia="zh-CN" w:bidi="ar"/>
              </w:rPr>
              <w:t>2.</w:t>
            </w:r>
            <w:r>
              <w:rPr>
                <w:rStyle w:val="60"/>
                <w:rFonts w:hint="default"/>
                <w:color w:val="auto"/>
                <w:highlight w:val="none"/>
                <w:lang w:bidi="ar"/>
              </w:rPr>
              <w:t>采用芬兰木，圆立柱直径8cm,经过高温杀菌处理制作。油漆采用户外环保木油经过</w:t>
            </w:r>
            <w:r>
              <w:rPr>
                <w:rStyle w:val="61"/>
                <w:rFonts w:hint="default"/>
                <w:color w:val="auto"/>
                <w:highlight w:val="none"/>
                <w:lang w:bidi="ar"/>
              </w:rPr>
              <w:t>2</w:t>
            </w:r>
            <w:r>
              <w:rPr>
                <w:rStyle w:val="60"/>
                <w:rFonts w:hint="default"/>
                <w:color w:val="auto"/>
                <w:highlight w:val="none"/>
                <w:lang w:bidi="ar"/>
              </w:rPr>
              <w:t>次底漆</w:t>
            </w:r>
            <w:r>
              <w:rPr>
                <w:rStyle w:val="61"/>
                <w:rFonts w:hint="default"/>
                <w:color w:val="auto"/>
                <w:highlight w:val="none"/>
                <w:lang w:bidi="ar"/>
              </w:rPr>
              <w:t>2</w:t>
            </w:r>
            <w:r>
              <w:rPr>
                <w:rStyle w:val="60"/>
                <w:rFonts w:hint="default"/>
                <w:color w:val="auto"/>
                <w:highlight w:val="none"/>
                <w:lang w:bidi="ar"/>
              </w:rPr>
              <w:t>次面漆制作而成。护栏间距30cm</w:t>
            </w:r>
            <w:r>
              <w:rPr>
                <w:rStyle w:val="60"/>
                <w:rFonts w:hint="eastAsia"/>
                <w:color w:val="auto"/>
                <w:highlight w:val="none"/>
                <w:lang w:eastAsia="zh-CN" w:bidi="ar"/>
              </w:rPr>
              <w:t>。</w:t>
            </w:r>
          </w:p>
        </w:tc>
      </w:tr>
      <w:tr w14:paraId="3D0A7062">
        <w:tblPrEx>
          <w:tblCellMar>
            <w:top w:w="0" w:type="dxa"/>
            <w:left w:w="108" w:type="dxa"/>
            <w:bottom w:w="0" w:type="dxa"/>
            <w:right w:w="108" w:type="dxa"/>
          </w:tblCellMar>
        </w:tblPrEx>
        <w:trPr>
          <w:trHeight w:val="1883"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32BAD">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50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E588B">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小木门</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4023B">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8ABF0">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个</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B4EF4">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706368" behindDoc="0" locked="0" layoutInCell="1" allowOverlap="1">
                  <wp:simplePos x="0" y="0"/>
                  <wp:positionH relativeFrom="column">
                    <wp:posOffset>577850</wp:posOffset>
                  </wp:positionH>
                  <wp:positionV relativeFrom="paragraph">
                    <wp:posOffset>133350</wp:posOffset>
                  </wp:positionV>
                  <wp:extent cx="701675" cy="929005"/>
                  <wp:effectExtent l="0" t="0" r="3175" b="4445"/>
                  <wp:wrapNone/>
                  <wp:docPr id="100" name="image52"/>
                  <wp:cNvGraphicFramePr/>
                  <a:graphic xmlns:a="http://schemas.openxmlformats.org/drawingml/2006/main">
                    <a:graphicData uri="http://schemas.openxmlformats.org/drawingml/2006/picture">
                      <pic:pic xmlns:pic="http://schemas.openxmlformats.org/drawingml/2006/picture">
                        <pic:nvPicPr>
                          <pic:cNvPr id="100" name="image52"/>
                          <pic:cNvPicPr/>
                        </pic:nvPicPr>
                        <pic:blipFill>
                          <a:blip r:embed="rId60"/>
                          <a:stretch>
                            <a:fillRect/>
                          </a:stretch>
                        </pic:blipFill>
                        <pic:spPr>
                          <a:xfrm>
                            <a:off x="0" y="0"/>
                            <a:ext cx="701675" cy="929005"/>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42AD0">
            <w:pPr>
              <w:widowControl/>
              <w:shd w:val="clear"/>
              <w:jc w:val="left"/>
              <w:textAlignment w:val="center"/>
              <w:rPr>
                <w:rFonts w:hint="eastAsia" w:ascii="宋体" w:hAnsi="宋体" w:eastAsia="宋体" w:cs="宋体"/>
                <w:color w:val="auto"/>
                <w:sz w:val="18"/>
                <w:szCs w:val="18"/>
                <w:highlight w:val="none"/>
                <w:lang w:eastAsia="zh-CN"/>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w:t>
            </w:r>
            <w:r>
              <w:rPr>
                <w:rStyle w:val="60"/>
                <w:rFonts w:hint="default"/>
                <w:color w:val="auto"/>
                <w:highlight w:val="none"/>
                <w:lang w:bidi="ar"/>
              </w:rPr>
              <w:t>80cm（宽）*6cm（厚）*120cm（高）cm</w:t>
            </w:r>
            <w:r>
              <w:rPr>
                <w:rStyle w:val="60"/>
                <w:rFonts w:hint="eastAsia"/>
                <w:color w:val="auto"/>
                <w:highlight w:val="none"/>
                <w:lang w:eastAsia="zh-CN" w:bidi="ar"/>
              </w:rPr>
              <w:t>；</w:t>
            </w:r>
            <w:r>
              <w:rPr>
                <w:rStyle w:val="60"/>
                <w:rFonts w:hint="default"/>
                <w:color w:val="auto"/>
                <w:highlight w:val="none"/>
                <w:lang w:bidi="ar"/>
              </w:rPr>
              <w:br w:type="textWrapping"/>
            </w:r>
            <w:r>
              <w:rPr>
                <w:rStyle w:val="60"/>
                <w:rFonts w:hint="eastAsia"/>
                <w:color w:val="auto"/>
                <w:highlight w:val="none"/>
                <w:lang w:val="en-US" w:eastAsia="zh-CN" w:bidi="ar"/>
              </w:rPr>
              <w:t>2.</w:t>
            </w:r>
            <w:r>
              <w:rPr>
                <w:rStyle w:val="60"/>
                <w:rFonts w:hint="default"/>
                <w:color w:val="auto"/>
                <w:highlight w:val="none"/>
                <w:lang w:bidi="ar"/>
              </w:rPr>
              <w:t>采用芬兰木，厚度20mm,经过高温杀菌处理制作。油漆采用户外环保木油经过</w:t>
            </w:r>
            <w:r>
              <w:rPr>
                <w:rStyle w:val="61"/>
                <w:rFonts w:hint="default"/>
                <w:color w:val="auto"/>
                <w:highlight w:val="none"/>
                <w:lang w:bidi="ar"/>
              </w:rPr>
              <w:t>2</w:t>
            </w:r>
            <w:r>
              <w:rPr>
                <w:rStyle w:val="60"/>
                <w:rFonts w:hint="default"/>
                <w:color w:val="auto"/>
                <w:highlight w:val="none"/>
                <w:lang w:bidi="ar"/>
              </w:rPr>
              <w:t>次底漆</w:t>
            </w:r>
            <w:r>
              <w:rPr>
                <w:rStyle w:val="61"/>
                <w:rFonts w:hint="default"/>
                <w:color w:val="auto"/>
                <w:highlight w:val="none"/>
                <w:lang w:bidi="ar"/>
              </w:rPr>
              <w:t>2</w:t>
            </w:r>
            <w:r>
              <w:rPr>
                <w:rStyle w:val="60"/>
                <w:rFonts w:hint="default"/>
                <w:color w:val="auto"/>
                <w:highlight w:val="none"/>
                <w:lang w:bidi="ar"/>
              </w:rPr>
              <w:t>次面漆制作而成。门缝间隙3cm</w:t>
            </w:r>
            <w:r>
              <w:rPr>
                <w:rStyle w:val="60"/>
                <w:rFonts w:hint="eastAsia"/>
                <w:color w:val="auto"/>
                <w:highlight w:val="none"/>
                <w:lang w:eastAsia="zh-CN" w:bidi="ar"/>
              </w:rPr>
              <w:t>。</w:t>
            </w:r>
          </w:p>
        </w:tc>
      </w:tr>
      <w:tr w14:paraId="42FF99A2">
        <w:tblPrEx>
          <w:tblCellMar>
            <w:top w:w="0" w:type="dxa"/>
            <w:left w:w="108" w:type="dxa"/>
            <w:bottom w:w="0" w:type="dxa"/>
            <w:right w:w="108" w:type="dxa"/>
          </w:tblCellMar>
        </w:tblPrEx>
        <w:trPr>
          <w:trHeight w:val="2700"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35DD2">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51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FC1B4">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养鸡房</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9F26D">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8DDAC">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CD794D">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707392" behindDoc="0" locked="0" layoutInCell="1" allowOverlap="1">
                  <wp:simplePos x="0" y="0"/>
                  <wp:positionH relativeFrom="column">
                    <wp:posOffset>52705</wp:posOffset>
                  </wp:positionH>
                  <wp:positionV relativeFrom="paragraph">
                    <wp:posOffset>375920</wp:posOffset>
                  </wp:positionV>
                  <wp:extent cx="1245235" cy="939165"/>
                  <wp:effectExtent l="0" t="0" r="12065" b="13335"/>
                  <wp:wrapNone/>
                  <wp:docPr id="106" name="image49"/>
                  <wp:cNvGraphicFramePr/>
                  <a:graphic xmlns:a="http://schemas.openxmlformats.org/drawingml/2006/main">
                    <a:graphicData uri="http://schemas.openxmlformats.org/drawingml/2006/picture">
                      <pic:pic xmlns:pic="http://schemas.openxmlformats.org/drawingml/2006/picture">
                        <pic:nvPicPr>
                          <pic:cNvPr id="106" name="image49"/>
                          <pic:cNvPicPr/>
                        </pic:nvPicPr>
                        <pic:blipFill>
                          <a:blip r:embed="rId61"/>
                          <a:stretch>
                            <a:fillRect/>
                          </a:stretch>
                        </pic:blipFill>
                        <pic:spPr>
                          <a:xfrm>
                            <a:off x="0" y="0"/>
                            <a:ext cx="1245235" cy="939165"/>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82B7B">
            <w:pPr>
              <w:widowControl/>
              <w:shd w:val="clear"/>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w:t>
            </w:r>
            <w:r>
              <w:rPr>
                <w:rStyle w:val="60"/>
                <w:rFonts w:hint="default"/>
                <w:color w:val="auto"/>
                <w:highlight w:val="none"/>
                <w:lang w:bidi="ar"/>
              </w:rPr>
              <w:t>230*200*125cm</w:t>
            </w:r>
            <w:r>
              <w:rPr>
                <w:rStyle w:val="60"/>
                <w:rFonts w:hint="eastAsia"/>
                <w:color w:val="auto"/>
                <w:highlight w:val="none"/>
                <w:lang w:eastAsia="zh-CN" w:bidi="ar"/>
              </w:rPr>
              <w:t>；</w:t>
            </w:r>
            <w:r>
              <w:rPr>
                <w:rStyle w:val="60"/>
                <w:rFonts w:hint="default"/>
                <w:color w:val="auto"/>
                <w:highlight w:val="none"/>
                <w:lang w:bidi="ar"/>
              </w:rPr>
              <w:br w:type="textWrapping"/>
            </w:r>
            <w:r>
              <w:rPr>
                <w:rStyle w:val="60"/>
                <w:rFonts w:hint="eastAsia"/>
                <w:color w:val="auto"/>
                <w:highlight w:val="none"/>
                <w:lang w:val="en-US" w:eastAsia="zh-CN" w:bidi="ar"/>
              </w:rPr>
              <w:t>2.</w:t>
            </w:r>
            <w:r>
              <w:rPr>
                <w:rStyle w:val="60"/>
                <w:rFonts w:hint="default"/>
                <w:color w:val="auto"/>
                <w:highlight w:val="none"/>
                <w:lang w:bidi="ar"/>
              </w:rPr>
              <w:t>主体材质芬兰木，厚度15mm,表面处理：进行压、刨、铣、冲等处理后，表面进行防腐、防蛀处理，后采用原子灰进行三次刮灰抹平，并打磨光滑，表面喷涂三次聚氨脂清漆。</w:t>
            </w:r>
            <w:r>
              <w:rPr>
                <w:rStyle w:val="61"/>
                <w:rFonts w:hint="default"/>
                <w:color w:val="auto"/>
                <w:highlight w:val="none"/>
                <w:lang w:bidi="ar"/>
              </w:rPr>
              <w:t>+</w:t>
            </w:r>
            <w:r>
              <w:rPr>
                <w:rStyle w:val="60"/>
                <w:rFonts w:hint="default"/>
                <w:color w:val="auto"/>
                <w:highlight w:val="none"/>
                <w:lang w:bidi="ar"/>
              </w:rPr>
              <w:t>钢丝围网跑笼。网格3*3cm</w:t>
            </w:r>
            <w:r>
              <w:rPr>
                <w:rStyle w:val="60"/>
                <w:rFonts w:hint="eastAsia"/>
                <w:color w:val="auto"/>
                <w:highlight w:val="none"/>
                <w:lang w:eastAsia="zh-CN" w:bidi="ar"/>
              </w:rPr>
              <w:t>；</w:t>
            </w:r>
            <w:r>
              <w:rPr>
                <w:rStyle w:val="61"/>
                <w:rFonts w:hint="default"/>
                <w:color w:val="auto"/>
                <w:highlight w:val="none"/>
                <w:lang w:bidi="ar"/>
              </w:rPr>
              <w:br w:type="textWrapping"/>
            </w:r>
            <w:r>
              <w:rPr>
                <w:rStyle w:val="61"/>
                <w:rFonts w:hint="eastAsia"/>
                <w:color w:val="auto"/>
                <w:highlight w:val="none"/>
                <w:lang w:val="en-US" w:eastAsia="zh-CN" w:bidi="ar"/>
              </w:rPr>
              <w:t>3.</w:t>
            </w:r>
            <w:r>
              <w:rPr>
                <w:rStyle w:val="60"/>
                <w:rFonts w:hint="default"/>
                <w:color w:val="auto"/>
                <w:highlight w:val="none"/>
                <w:lang w:bidi="ar"/>
              </w:rPr>
              <w:t>螺丝均采用不锈钢</w:t>
            </w:r>
            <w:r>
              <w:rPr>
                <w:rStyle w:val="61"/>
                <w:rFonts w:hint="default"/>
                <w:color w:val="auto"/>
                <w:highlight w:val="none"/>
                <w:lang w:bidi="ar"/>
              </w:rPr>
              <w:t>304#</w:t>
            </w:r>
            <w:r>
              <w:rPr>
                <w:rStyle w:val="60"/>
                <w:rFonts w:hint="default"/>
                <w:color w:val="auto"/>
                <w:highlight w:val="none"/>
                <w:lang w:bidi="ar"/>
              </w:rPr>
              <w:t>材质防盗螺丝，牢固可靠，不易松动脱落及变形和损坏</w:t>
            </w:r>
            <w:r>
              <w:rPr>
                <w:rStyle w:val="60"/>
                <w:rFonts w:hint="eastAsia"/>
                <w:color w:val="auto"/>
                <w:highlight w:val="none"/>
                <w:lang w:eastAsia="zh-CN" w:bidi="ar"/>
              </w:rPr>
              <w:t>；</w:t>
            </w:r>
            <w:r>
              <w:rPr>
                <w:rStyle w:val="61"/>
                <w:rFonts w:hint="default"/>
                <w:color w:val="auto"/>
                <w:highlight w:val="none"/>
                <w:lang w:bidi="ar"/>
              </w:rPr>
              <w:br w:type="textWrapping"/>
            </w:r>
            <w:r>
              <w:rPr>
                <w:rStyle w:val="61"/>
                <w:rFonts w:hint="eastAsia"/>
                <w:color w:val="auto"/>
                <w:highlight w:val="none"/>
                <w:lang w:val="en-US" w:eastAsia="zh-CN" w:bidi="ar"/>
              </w:rPr>
              <w:t>4.</w:t>
            </w:r>
            <w:r>
              <w:rPr>
                <w:rStyle w:val="60"/>
                <w:rFonts w:hint="default"/>
                <w:color w:val="auto"/>
                <w:highlight w:val="none"/>
                <w:lang w:bidi="ar"/>
              </w:rPr>
              <w:t>产品外表和内表以及儿童手指可触及处无毛刺及尖锐的棱角，油漆采用户外哑光漆</w:t>
            </w:r>
            <w:r>
              <w:rPr>
                <w:rStyle w:val="61"/>
                <w:rFonts w:hint="default"/>
                <w:color w:val="auto"/>
                <w:highlight w:val="none"/>
                <w:lang w:bidi="ar"/>
              </w:rPr>
              <w:t xml:space="preserve"> </w:t>
            </w:r>
            <w:r>
              <w:rPr>
                <w:rStyle w:val="60"/>
                <w:rFonts w:hint="default"/>
                <w:color w:val="auto"/>
                <w:highlight w:val="none"/>
                <w:lang w:bidi="ar"/>
              </w:rPr>
              <w:t>。</w:t>
            </w:r>
          </w:p>
        </w:tc>
      </w:tr>
      <w:tr w14:paraId="136A10F0">
        <w:tblPrEx>
          <w:tblCellMar>
            <w:top w:w="0" w:type="dxa"/>
            <w:left w:w="108" w:type="dxa"/>
            <w:bottom w:w="0" w:type="dxa"/>
            <w:right w:w="108" w:type="dxa"/>
          </w:tblCellMar>
        </w:tblPrEx>
        <w:trPr>
          <w:trHeight w:val="2198"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1877CB">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52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78352">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养鸡围栏</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10690">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18.5</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9F1E2">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米</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99DB0">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708416" behindDoc="0" locked="0" layoutInCell="1" allowOverlap="1">
                  <wp:simplePos x="0" y="0"/>
                  <wp:positionH relativeFrom="column">
                    <wp:posOffset>70485</wp:posOffset>
                  </wp:positionH>
                  <wp:positionV relativeFrom="paragraph">
                    <wp:posOffset>273685</wp:posOffset>
                  </wp:positionV>
                  <wp:extent cx="1343025" cy="1028065"/>
                  <wp:effectExtent l="0" t="0" r="9525" b="635"/>
                  <wp:wrapNone/>
                  <wp:docPr id="103" name="image48"/>
                  <wp:cNvGraphicFramePr/>
                  <a:graphic xmlns:a="http://schemas.openxmlformats.org/drawingml/2006/main">
                    <a:graphicData uri="http://schemas.openxmlformats.org/drawingml/2006/picture">
                      <pic:pic xmlns:pic="http://schemas.openxmlformats.org/drawingml/2006/picture">
                        <pic:nvPicPr>
                          <pic:cNvPr id="103" name="image48"/>
                          <pic:cNvPicPr/>
                        </pic:nvPicPr>
                        <pic:blipFill>
                          <a:blip r:embed="rId62"/>
                          <a:stretch>
                            <a:fillRect/>
                          </a:stretch>
                        </pic:blipFill>
                        <pic:spPr>
                          <a:xfrm>
                            <a:off x="0" y="0"/>
                            <a:ext cx="1343025" cy="1028065"/>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90EC3">
            <w:pPr>
              <w:widowControl/>
              <w:shd w:val="clear"/>
              <w:jc w:val="left"/>
              <w:textAlignment w:val="center"/>
              <w:rPr>
                <w:rFonts w:hint="eastAsia" w:ascii="宋体" w:hAnsi="宋体" w:eastAsia="宋体" w:cs="宋体"/>
                <w:color w:val="auto"/>
                <w:sz w:val="18"/>
                <w:szCs w:val="18"/>
                <w:highlight w:val="none"/>
                <w:lang w:eastAsia="zh-CN"/>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w:t>
            </w:r>
            <w:r>
              <w:rPr>
                <w:rStyle w:val="60"/>
                <w:rFonts w:hint="default"/>
                <w:color w:val="auto"/>
                <w:highlight w:val="none"/>
                <w:lang w:bidi="ar"/>
              </w:rPr>
              <w:t>高</w:t>
            </w:r>
            <w:r>
              <w:rPr>
                <w:rStyle w:val="61"/>
                <w:rFonts w:hint="default"/>
                <w:color w:val="auto"/>
                <w:highlight w:val="none"/>
                <w:lang w:bidi="ar"/>
              </w:rPr>
              <w:t>100cm</w:t>
            </w:r>
            <w:r>
              <w:rPr>
                <w:rStyle w:val="61"/>
                <w:rFonts w:hint="eastAsia"/>
                <w:color w:val="auto"/>
                <w:highlight w:val="none"/>
                <w:lang w:eastAsia="zh-CN" w:bidi="ar"/>
              </w:rPr>
              <w:t>；</w:t>
            </w:r>
            <w:r>
              <w:rPr>
                <w:rStyle w:val="61"/>
                <w:rFonts w:hint="default"/>
                <w:color w:val="auto"/>
                <w:highlight w:val="none"/>
                <w:lang w:bidi="ar"/>
              </w:rPr>
              <w:br w:type="textWrapping"/>
            </w:r>
            <w:r>
              <w:rPr>
                <w:rStyle w:val="61"/>
                <w:rFonts w:hint="eastAsia"/>
                <w:color w:val="auto"/>
                <w:highlight w:val="none"/>
                <w:lang w:val="en-US" w:eastAsia="zh-CN" w:bidi="ar"/>
              </w:rPr>
              <w:t>2.</w:t>
            </w:r>
            <w:r>
              <w:rPr>
                <w:rStyle w:val="60"/>
                <w:rFonts w:hint="default"/>
                <w:color w:val="auto"/>
                <w:highlight w:val="none"/>
                <w:lang w:bidi="ar"/>
              </w:rPr>
              <w:t>立柱采用芬兰木，立柱5*7cm,经过高温杀菌处理制作。油漆采用户外环保木油经过</w:t>
            </w:r>
            <w:r>
              <w:rPr>
                <w:rStyle w:val="61"/>
                <w:rFonts w:hint="default"/>
                <w:color w:val="auto"/>
                <w:highlight w:val="none"/>
                <w:lang w:bidi="ar"/>
              </w:rPr>
              <w:t>2</w:t>
            </w:r>
            <w:r>
              <w:rPr>
                <w:rStyle w:val="60"/>
                <w:rFonts w:hint="default"/>
                <w:color w:val="auto"/>
                <w:highlight w:val="none"/>
                <w:lang w:bidi="ar"/>
              </w:rPr>
              <w:t>次底漆</w:t>
            </w:r>
            <w:r>
              <w:rPr>
                <w:rStyle w:val="61"/>
                <w:rFonts w:hint="default"/>
                <w:color w:val="auto"/>
                <w:highlight w:val="none"/>
                <w:lang w:bidi="ar"/>
              </w:rPr>
              <w:t>2</w:t>
            </w:r>
            <w:r>
              <w:rPr>
                <w:rStyle w:val="60"/>
                <w:rFonts w:hint="default"/>
                <w:color w:val="auto"/>
                <w:highlight w:val="none"/>
                <w:lang w:bidi="ar"/>
              </w:rPr>
              <w:t>次面漆制作而成。</w:t>
            </w:r>
            <w:r>
              <w:rPr>
                <w:rStyle w:val="61"/>
                <w:rFonts w:hint="default"/>
                <w:color w:val="auto"/>
                <w:highlight w:val="none"/>
                <w:lang w:bidi="ar"/>
              </w:rPr>
              <w:t>+</w:t>
            </w:r>
            <w:r>
              <w:rPr>
                <w:rStyle w:val="60"/>
                <w:rFonts w:hint="default"/>
                <w:color w:val="auto"/>
                <w:highlight w:val="none"/>
                <w:lang w:bidi="ar"/>
              </w:rPr>
              <w:t>钢丝围网。网格3*3cm</w:t>
            </w:r>
            <w:r>
              <w:rPr>
                <w:rStyle w:val="60"/>
                <w:rFonts w:hint="eastAsia"/>
                <w:color w:val="auto"/>
                <w:highlight w:val="none"/>
                <w:lang w:eastAsia="zh-CN" w:bidi="ar"/>
              </w:rPr>
              <w:t>。</w:t>
            </w:r>
          </w:p>
        </w:tc>
      </w:tr>
      <w:tr w14:paraId="191A7987">
        <w:tblPrEx>
          <w:tblCellMar>
            <w:top w:w="0" w:type="dxa"/>
            <w:left w:w="108" w:type="dxa"/>
            <w:bottom w:w="0" w:type="dxa"/>
            <w:right w:w="108" w:type="dxa"/>
          </w:tblCellMar>
        </w:tblPrEx>
        <w:trPr>
          <w:trHeight w:val="2580"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746CA">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53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F429D">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兔子房</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0AC83">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17E979">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512D6">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709440" behindDoc="0" locked="0" layoutInCell="1" allowOverlap="1">
                  <wp:simplePos x="0" y="0"/>
                  <wp:positionH relativeFrom="column">
                    <wp:posOffset>114300</wp:posOffset>
                  </wp:positionH>
                  <wp:positionV relativeFrom="paragraph">
                    <wp:posOffset>501015</wp:posOffset>
                  </wp:positionV>
                  <wp:extent cx="1238250" cy="699770"/>
                  <wp:effectExtent l="0" t="0" r="0" b="5080"/>
                  <wp:wrapNone/>
                  <wp:docPr id="111" name="image55"/>
                  <wp:cNvGraphicFramePr/>
                  <a:graphic xmlns:a="http://schemas.openxmlformats.org/drawingml/2006/main">
                    <a:graphicData uri="http://schemas.openxmlformats.org/drawingml/2006/picture">
                      <pic:pic xmlns:pic="http://schemas.openxmlformats.org/drawingml/2006/picture">
                        <pic:nvPicPr>
                          <pic:cNvPr id="111" name="image55"/>
                          <pic:cNvPicPr/>
                        </pic:nvPicPr>
                        <pic:blipFill>
                          <a:blip r:embed="rId63"/>
                          <a:stretch>
                            <a:fillRect/>
                          </a:stretch>
                        </pic:blipFill>
                        <pic:spPr>
                          <a:xfrm>
                            <a:off x="0" y="0"/>
                            <a:ext cx="1238250" cy="699770"/>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57AFD">
            <w:pPr>
              <w:widowControl/>
              <w:shd w:val="clear"/>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w:t>
            </w:r>
            <w:r>
              <w:rPr>
                <w:rStyle w:val="60"/>
                <w:rFonts w:hint="default"/>
                <w:color w:val="auto"/>
                <w:highlight w:val="none"/>
                <w:lang w:bidi="ar"/>
              </w:rPr>
              <w:t>450*210*200cm</w:t>
            </w:r>
            <w:r>
              <w:rPr>
                <w:rStyle w:val="60"/>
                <w:rFonts w:hint="eastAsia"/>
                <w:color w:val="auto"/>
                <w:highlight w:val="none"/>
                <w:lang w:eastAsia="zh-CN" w:bidi="ar"/>
              </w:rPr>
              <w:t>；</w:t>
            </w:r>
            <w:r>
              <w:rPr>
                <w:rStyle w:val="60"/>
                <w:rFonts w:hint="default"/>
                <w:color w:val="auto"/>
                <w:highlight w:val="none"/>
                <w:lang w:bidi="ar"/>
              </w:rPr>
              <w:br w:type="textWrapping"/>
            </w:r>
            <w:r>
              <w:rPr>
                <w:rStyle w:val="60"/>
                <w:rFonts w:hint="eastAsia"/>
                <w:color w:val="auto"/>
                <w:highlight w:val="none"/>
                <w:lang w:val="en-US" w:eastAsia="zh-CN" w:bidi="ar"/>
              </w:rPr>
              <w:t>2.</w:t>
            </w:r>
            <w:r>
              <w:rPr>
                <w:rStyle w:val="60"/>
                <w:rFonts w:hint="default"/>
                <w:color w:val="auto"/>
                <w:highlight w:val="none"/>
                <w:lang w:bidi="ar"/>
              </w:rPr>
              <w:t>主体材质芬兰木，厚度15mm表面处理：进行压、刨、铣、冲等处理后，表面进行防腐、防蛀处理，后采用原子灰进行三次刮灰抹平，并打磨光滑，表面喷涂三次聚氨脂清漆。</w:t>
            </w:r>
            <w:r>
              <w:rPr>
                <w:rStyle w:val="61"/>
                <w:rFonts w:hint="default"/>
                <w:color w:val="auto"/>
                <w:highlight w:val="none"/>
                <w:lang w:bidi="ar"/>
              </w:rPr>
              <w:t>+</w:t>
            </w:r>
            <w:r>
              <w:rPr>
                <w:rStyle w:val="60"/>
                <w:rFonts w:hint="default"/>
                <w:color w:val="auto"/>
                <w:highlight w:val="none"/>
                <w:lang w:bidi="ar"/>
              </w:rPr>
              <w:t>钢丝围网跑笼。网格3*3cm</w:t>
            </w:r>
            <w:r>
              <w:rPr>
                <w:rStyle w:val="60"/>
                <w:rFonts w:hint="eastAsia"/>
                <w:color w:val="auto"/>
                <w:highlight w:val="none"/>
                <w:lang w:eastAsia="zh-CN" w:bidi="ar"/>
              </w:rPr>
              <w:t>；</w:t>
            </w:r>
            <w:r>
              <w:rPr>
                <w:rStyle w:val="61"/>
                <w:rFonts w:hint="default"/>
                <w:color w:val="auto"/>
                <w:highlight w:val="none"/>
                <w:lang w:bidi="ar"/>
              </w:rPr>
              <w:br w:type="textWrapping"/>
            </w:r>
            <w:r>
              <w:rPr>
                <w:rStyle w:val="61"/>
                <w:rFonts w:hint="eastAsia"/>
                <w:color w:val="auto"/>
                <w:highlight w:val="none"/>
                <w:lang w:val="en-US" w:eastAsia="zh-CN" w:bidi="ar"/>
              </w:rPr>
              <w:t>3.</w:t>
            </w:r>
            <w:r>
              <w:rPr>
                <w:rStyle w:val="60"/>
                <w:rFonts w:hint="default"/>
                <w:color w:val="auto"/>
                <w:highlight w:val="none"/>
                <w:lang w:bidi="ar"/>
              </w:rPr>
              <w:t>螺丝均采用不锈钢</w:t>
            </w:r>
            <w:r>
              <w:rPr>
                <w:rStyle w:val="61"/>
                <w:rFonts w:hint="default"/>
                <w:color w:val="auto"/>
                <w:highlight w:val="none"/>
                <w:lang w:bidi="ar"/>
              </w:rPr>
              <w:t>304#</w:t>
            </w:r>
            <w:r>
              <w:rPr>
                <w:rStyle w:val="60"/>
                <w:rFonts w:hint="default"/>
                <w:color w:val="auto"/>
                <w:highlight w:val="none"/>
                <w:lang w:bidi="ar"/>
              </w:rPr>
              <w:t>材质防盗螺丝，牢固可靠，不易松动脱落及变形和损坏</w:t>
            </w:r>
            <w:r>
              <w:rPr>
                <w:rStyle w:val="60"/>
                <w:rFonts w:hint="eastAsia"/>
                <w:color w:val="auto"/>
                <w:highlight w:val="none"/>
                <w:lang w:eastAsia="zh-CN" w:bidi="ar"/>
              </w:rPr>
              <w:t>；</w:t>
            </w:r>
            <w:r>
              <w:rPr>
                <w:rStyle w:val="61"/>
                <w:rFonts w:hint="default"/>
                <w:color w:val="auto"/>
                <w:highlight w:val="none"/>
                <w:lang w:bidi="ar"/>
              </w:rPr>
              <w:br w:type="textWrapping"/>
            </w:r>
            <w:r>
              <w:rPr>
                <w:rStyle w:val="61"/>
                <w:rFonts w:hint="eastAsia"/>
                <w:color w:val="auto"/>
                <w:highlight w:val="none"/>
                <w:lang w:val="en-US" w:eastAsia="zh-CN" w:bidi="ar"/>
              </w:rPr>
              <w:t>4.</w:t>
            </w:r>
            <w:r>
              <w:rPr>
                <w:rStyle w:val="60"/>
                <w:rFonts w:hint="default"/>
                <w:color w:val="auto"/>
                <w:highlight w:val="none"/>
                <w:lang w:bidi="ar"/>
              </w:rPr>
              <w:t>产品外表和内表以及儿童手指可触及处无毛刺及尖锐的棱角，油漆采用户外哑光漆</w:t>
            </w:r>
            <w:r>
              <w:rPr>
                <w:rStyle w:val="61"/>
                <w:rFonts w:hint="default"/>
                <w:color w:val="auto"/>
                <w:highlight w:val="none"/>
                <w:lang w:bidi="ar"/>
              </w:rPr>
              <w:t xml:space="preserve"> </w:t>
            </w:r>
            <w:r>
              <w:rPr>
                <w:rStyle w:val="60"/>
                <w:rFonts w:hint="default"/>
                <w:color w:val="auto"/>
                <w:highlight w:val="none"/>
                <w:lang w:bidi="ar"/>
              </w:rPr>
              <w:t>。</w:t>
            </w:r>
          </w:p>
        </w:tc>
      </w:tr>
      <w:tr w14:paraId="5F568B2E">
        <w:tblPrEx>
          <w:tblCellMar>
            <w:top w:w="0" w:type="dxa"/>
            <w:left w:w="108" w:type="dxa"/>
            <w:bottom w:w="0" w:type="dxa"/>
            <w:right w:w="108" w:type="dxa"/>
          </w:tblCellMar>
        </w:tblPrEx>
        <w:trPr>
          <w:trHeight w:val="2680"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5B26F">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54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F88294">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松鼠房</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F6067">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96CD2">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组</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D8C99">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710464" behindDoc="0" locked="0" layoutInCell="1" allowOverlap="1">
                  <wp:simplePos x="0" y="0"/>
                  <wp:positionH relativeFrom="column">
                    <wp:posOffset>130175</wp:posOffset>
                  </wp:positionH>
                  <wp:positionV relativeFrom="paragraph">
                    <wp:posOffset>372110</wp:posOffset>
                  </wp:positionV>
                  <wp:extent cx="1245235" cy="719455"/>
                  <wp:effectExtent l="0" t="0" r="12065" b="4445"/>
                  <wp:wrapNone/>
                  <wp:docPr id="108" name="image54"/>
                  <wp:cNvGraphicFramePr/>
                  <a:graphic xmlns:a="http://schemas.openxmlformats.org/drawingml/2006/main">
                    <a:graphicData uri="http://schemas.openxmlformats.org/drawingml/2006/picture">
                      <pic:pic xmlns:pic="http://schemas.openxmlformats.org/drawingml/2006/picture">
                        <pic:nvPicPr>
                          <pic:cNvPr id="108" name="image54"/>
                          <pic:cNvPicPr/>
                        </pic:nvPicPr>
                        <pic:blipFill>
                          <a:blip r:embed="rId64"/>
                          <a:stretch>
                            <a:fillRect/>
                          </a:stretch>
                        </pic:blipFill>
                        <pic:spPr>
                          <a:xfrm>
                            <a:off x="0" y="0"/>
                            <a:ext cx="1245235" cy="719455"/>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1D3E0">
            <w:pPr>
              <w:widowControl/>
              <w:shd w:val="clear"/>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val="en-US" w:eastAsia="zh-CN" w:bidi="ar"/>
              </w:rPr>
              <w:t>1.</w:t>
            </w:r>
            <w:r>
              <w:rPr>
                <w:rFonts w:hint="eastAsia" w:ascii="宋体" w:hAnsi="宋体" w:cs="宋体"/>
                <w:color w:val="auto"/>
                <w:kern w:val="0"/>
                <w:sz w:val="18"/>
                <w:szCs w:val="18"/>
                <w:highlight w:val="none"/>
                <w:lang w:bidi="ar"/>
              </w:rPr>
              <w:t>规格：</w:t>
            </w:r>
            <w:r>
              <w:rPr>
                <w:rStyle w:val="60"/>
                <w:rFonts w:hint="default"/>
                <w:color w:val="auto"/>
                <w:highlight w:val="none"/>
                <w:lang w:bidi="ar"/>
              </w:rPr>
              <w:t>600*650*150cm</w:t>
            </w:r>
            <w:r>
              <w:rPr>
                <w:rStyle w:val="60"/>
                <w:rFonts w:hint="eastAsia"/>
                <w:color w:val="auto"/>
                <w:highlight w:val="none"/>
                <w:lang w:eastAsia="zh-CN" w:bidi="ar"/>
              </w:rPr>
              <w:t>；</w:t>
            </w:r>
            <w:r>
              <w:rPr>
                <w:rStyle w:val="60"/>
                <w:rFonts w:hint="default"/>
                <w:color w:val="auto"/>
                <w:highlight w:val="none"/>
                <w:lang w:bidi="ar"/>
              </w:rPr>
              <w:br w:type="textWrapping"/>
            </w:r>
            <w:r>
              <w:rPr>
                <w:rStyle w:val="60"/>
                <w:rFonts w:hint="eastAsia"/>
                <w:color w:val="auto"/>
                <w:highlight w:val="none"/>
                <w:lang w:val="en-US" w:eastAsia="zh-CN" w:bidi="ar"/>
              </w:rPr>
              <w:t>2.</w:t>
            </w:r>
            <w:r>
              <w:rPr>
                <w:rStyle w:val="60"/>
                <w:rFonts w:hint="default"/>
                <w:color w:val="auto"/>
                <w:highlight w:val="none"/>
                <w:lang w:bidi="ar"/>
              </w:rPr>
              <w:t>主体材质芬兰木，厚度15mm,表面处理：进行压、刨、铣、冲等处理后，表面进行防腐、防蛀处理，后采用原子灰进行三次刮灰抹平，并打磨光滑，表面喷涂三次聚氨脂清漆。</w:t>
            </w:r>
            <w:r>
              <w:rPr>
                <w:rStyle w:val="61"/>
                <w:rFonts w:hint="default"/>
                <w:color w:val="auto"/>
                <w:highlight w:val="none"/>
                <w:lang w:bidi="ar"/>
              </w:rPr>
              <w:t>+</w:t>
            </w:r>
            <w:r>
              <w:rPr>
                <w:rStyle w:val="60"/>
                <w:rFonts w:hint="default"/>
                <w:color w:val="auto"/>
                <w:highlight w:val="none"/>
                <w:lang w:bidi="ar"/>
              </w:rPr>
              <w:t>钢丝围网跑笼。网格2*2cm</w:t>
            </w:r>
            <w:r>
              <w:rPr>
                <w:rStyle w:val="60"/>
                <w:rFonts w:hint="eastAsia"/>
                <w:color w:val="auto"/>
                <w:highlight w:val="none"/>
                <w:lang w:eastAsia="zh-CN" w:bidi="ar"/>
              </w:rPr>
              <w:t>；</w:t>
            </w:r>
            <w:r>
              <w:rPr>
                <w:rStyle w:val="61"/>
                <w:rFonts w:hint="default"/>
                <w:color w:val="auto"/>
                <w:highlight w:val="none"/>
                <w:lang w:bidi="ar"/>
              </w:rPr>
              <w:br w:type="textWrapping"/>
            </w:r>
            <w:r>
              <w:rPr>
                <w:rStyle w:val="61"/>
                <w:rFonts w:hint="eastAsia"/>
                <w:color w:val="auto"/>
                <w:highlight w:val="none"/>
                <w:lang w:val="en-US" w:eastAsia="zh-CN" w:bidi="ar"/>
              </w:rPr>
              <w:t>3.</w:t>
            </w:r>
            <w:r>
              <w:rPr>
                <w:rStyle w:val="60"/>
                <w:rFonts w:hint="default"/>
                <w:color w:val="auto"/>
                <w:highlight w:val="none"/>
                <w:lang w:bidi="ar"/>
              </w:rPr>
              <w:t>螺丝均采用不锈钢</w:t>
            </w:r>
            <w:r>
              <w:rPr>
                <w:rStyle w:val="61"/>
                <w:rFonts w:hint="default"/>
                <w:color w:val="auto"/>
                <w:highlight w:val="none"/>
                <w:lang w:bidi="ar"/>
              </w:rPr>
              <w:t>304#</w:t>
            </w:r>
            <w:r>
              <w:rPr>
                <w:rStyle w:val="60"/>
                <w:rFonts w:hint="default"/>
                <w:color w:val="auto"/>
                <w:highlight w:val="none"/>
                <w:lang w:bidi="ar"/>
              </w:rPr>
              <w:t>材质防盗螺丝，牢固可靠，不易松动脱落及变形和损坏</w:t>
            </w:r>
            <w:r>
              <w:rPr>
                <w:rStyle w:val="60"/>
                <w:rFonts w:hint="eastAsia"/>
                <w:color w:val="auto"/>
                <w:highlight w:val="none"/>
                <w:lang w:eastAsia="zh-CN" w:bidi="ar"/>
              </w:rPr>
              <w:t>；</w:t>
            </w:r>
            <w:r>
              <w:rPr>
                <w:rStyle w:val="61"/>
                <w:rFonts w:hint="default"/>
                <w:color w:val="auto"/>
                <w:highlight w:val="none"/>
                <w:lang w:bidi="ar"/>
              </w:rPr>
              <w:br w:type="textWrapping"/>
            </w:r>
            <w:r>
              <w:rPr>
                <w:rStyle w:val="61"/>
                <w:rFonts w:hint="eastAsia"/>
                <w:color w:val="auto"/>
                <w:highlight w:val="none"/>
                <w:lang w:val="en-US" w:eastAsia="zh-CN" w:bidi="ar"/>
              </w:rPr>
              <w:t>4.</w:t>
            </w:r>
            <w:r>
              <w:rPr>
                <w:rStyle w:val="60"/>
                <w:rFonts w:hint="default"/>
                <w:color w:val="auto"/>
                <w:highlight w:val="none"/>
                <w:lang w:bidi="ar"/>
              </w:rPr>
              <w:t>产品外表和内表以及儿童手指可触及处无毛刺及尖锐的棱角，油漆采用户外哑光漆</w:t>
            </w:r>
            <w:r>
              <w:rPr>
                <w:rStyle w:val="61"/>
                <w:rFonts w:hint="default"/>
                <w:color w:val="auto"/>
                <w:highlight w:val="none"/>
                <w:lang w:bidi="ar"/>
              </w:rPr>
              <w:t xml:space="preserve"> </w:t>
            </w:r>
            <w:r>
              <w:rPr>
                <w:rStyle w:val="60"/>
                <w:rFonts w:hint="default"/>
                <w:color w:val="auto"/>
                <w:highlight w:val="none"/>
                <w:lang w:bidi="ar"/>
              </w:rPr>
              <w:t>。</w:t>
            </w:r>
          </w:p>
        </w:tc>
      </w:tr>
      <w:tr w14:paraId="73B5D165">
        <w:tblPrEx>
          <w:tblCellMar>
            <w:top w:w="0" w:type="dxa"/>
            <w:left w:w="108" w:type="dxa"/>
            <w:bottom w:w="0" w:type="dxa"/>
            <w:right w:w="108" w:type="dxa"/>
          </w:tblCellMar>
        </w:tblPrEx>
        <w:trPr>
          <w:trHeight w:val="297"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90DD4">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55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4C137F">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沙水区主体定制</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F0EF4">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210</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D369A">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平方</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FF575">
            <w:pPr>
              <w:shd w:val="clear"/>
              <w:jc w:val="center"/>
              <w:rPr>
                <w:rFonts w:ascii="宋体" w:hAnsi="宋体" w:cs="宋体"/>
                <w:color w:val="auto"/>
                <w:sz w:val="18"/>
                <w:szCs w:val="18"/>
                <w:highlight w:val="none"/>
              </w:rPr>
            </w:pP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714CE9">
            <w:pPr>
              <w:widowControl/>
              <w:shd w:val="clear"/>
              <w:jc w:val="left"/>
              <w:textAlignment w:val="center"/>
              <w:rPr>
                <w:rStyle w:val="60"/>
                <w:rFonts w:hint="default"/>
                <w:color w:val="auto"/>
                <w:highlight w:val="none"/>
                <w:lang w:bidi="ar"/>
              </w:rPr>
            </w:pPr>
            <w:r>
              <w:rPr>
                <w:rStyle w:val="60"/>
                <w:rFonts w:hint="default"/>
                <w:color w:val="auto"/>
                <w:highlight w:val="none"/>
                <w:lang w:bidi="ar"/>
              </w:rPr>
              <w:t>1、清除原来混泥土基层，</w:t>
            </w:r>
            <w:r>
              <w:rPr>
                <w:rStyle w:val="61"/>
                <w:rFonts w:hint="default"/>
                <w:color w:val="auto"/>
                <w:highlight w:val="none"/>
                <w:lang w:bidi="ar"/>
              </w:rPr>
              <w:t xml:space="preserve"> </w:t>
            </w:r>
            <w:r>
              <w:rPr>
                <w:rStyle w:val="60"/>
                <w:rFonts w:hint="default"/>
                <w:color w:val="auto"/>
                <w:highlight w:val="none"/>
                <w:lang w:bidi="ar"/>
              </w:rPr>
              <w:t>垃圾外运距离12千米；</w:t>
            </w:r>
          </w:p>
          <w:p w14:paraId="18286972">
            <w:pPr>
              <w:widowControl/>
              <w:shd w:val="clear"/>
              <w:jc w:val="left"/>
              <w:textAlignment w:val="center"/>
              <w:rPr>
                <w:rStyle w:val="60"/>
                <w:rFonts w:hint="default"/>
                <w:color w:val="auto"/>
                <w:highlight w:val="none"/>
                <w:lang w:bidi="ar"/>
              </w:rPr>
            </w:pPr>
            <w:r>
              <w:rPr>
                <w:rStyle w:val="61"/>
                <w:rFonts w:hint="default"/>
                <w:color w:val="auto"/>
                <w:highlight w:val="none"/>
                <w:lang w:bidi="ar"/>
              </w:rPr>
              <w:t>2</w:t>
            </w:r>
            <w:r>
              <w:rPr>
                <w:rStyle w:val="60"/>
                <w:rFonts w:hint="default"/>
                <w:color w:val="auto"/>
                <w:highlight w:val="none"/>
                <w:lang w:bidi="ar"/>
              </w:rPr>
              <w:t>、砖规格24*12*5cm砌砖墙围边，水泥砂浆抹光；</w:t>
            </w:r>
          </w:p>
          <w:p w14:paraId="148DF0EF">
            <w:pPr>
              <w:widowControl/>
              <w:shd w:val="clear"/>
              <w:jc w:val="left"/>
              <w:textAlignment w:val="center"/>
              <w:rPr>
                <w:rStyle w:val="60"/>
                <w:rFonts w:hint="default"/>
                <w:color w:val="auto"/>
                <w:highlight w:val="none"/>
                <w:lang w:bidi="ar"/>
              </w:rPr>
            </w:pPr>
            <w:r>
              <w:rPr>
                <w:rStyle w:val="61"/>
                <w:rFonts w:hint="default"/>
                <w:color w:val="auto"/>
                <w:highlight w:val="none"/>
                <w:lang w:bidi="ar"/>
              </w:rPr>
              <w:t>3</w:t>
            </w:r>
            <w:r>
              <w:rPr>
                <w:rStyle w:val="60"/>
                <w:rFonts w:hint="default"/>
                <w:color w:val="auto"/>
                <w:highlight w:val="none"/>
                <w:lang w:bidi="ar"/>
              </w:rPr>
              <w:t>、给排水管溢水管铺设；</w:t>
            </w:r>
          </w:p>
          <w:p w14:paraId="38319ADD">
            <w:pPr>
              <w:widowControl/>
              <w:shd w:val="clear"/>
              <w:jc w:val="left"/>
              <w:textAlignment w:val="center"/>
              <w:rPr>
                <w:rStyle w:val="60"/>
                <w:rFonts w:hint="default"/>
                <w:color w:val="auto"/>
                <w:highlight w:val="none"/>
                <w:lang w:bidi="ar"/>
              </w:rPr>
            </w:pPr>
            <w:r>
              <w:rPr>
                <w:rStyle w:val="61"/>
                <w:rFonts w:hint="default"/>
                <w:color w:val="auto"/>
                <w:highlight w:val="none"/>
                <w:lang w:bidi="ar"/>
              </w:rPr>
              <w:t>4</w:t>
            </w:r>
            <w:r>
              <w:rPr>
                <w:rStyle w:val="60"/>
                <w:rFonts w:hint="default"/>
                <w:color w:val="auto"/>
                <w:highlight w:val="none"/>
                <w:lang w:bidi="ar"/>
              </w:rPr>
              <w:t>、</w:t>
            </w:r>
            <w:r>
              <w:rPr>
                <w:rStyle w:val="61"/>
                <w:rFonts w:hint="default"/>
                <w:color w:val="auto"/>
                <w:highlight w:val="none"/>
                <w:lang w:bidi="ar"/>
              </w:rPr>
              <w:t>200</w:t>
            </w:r>
            <w:r>
              <w:rPr>
                <w:rStyle w:val="60"/>
                <w:rFonts w:hint="default"/>
                <w:color w:val="auto"/>
                <w:highlight w:val="none"/>
                <w:lang w:bidi="ar"/>
              </w:rPr>
              <w:t>厚</w:t>
            </w:r>
            <w:r>
              <w:rPr>
                <w:rStyle w:val="61"/>
                <w:rFonts w:hint="default"/>
                <w:color w:val="auto"/>
                <w:highlight w:val="none"/>
                <w:lang w:bidi="ar"/>
              </w:rPr>
              <w:t>30~40</w:t>
            </w:r>
            <w:r>
              <w:rPr>
                <w:rStyle w:val="60"/>
                <w:rFonts w:hint="default"/>
                <w:color w:val="auto"/>
                <w:highlight w:val="none"/>
                <w:lang w:bidi="ar"/>
              </w:rPr>
              <w:t>碎石满铺。内置</w:t>
            </w:r>
            <w:r>
              <w:rPr>
                <w:rStyle w:val="61"/>
                <w:rFonts w:hint="default"/>
                <w:color w:val="auto"/>
                <w:highlight w:val="none"/>
                <w:lang w:bidi="ar"/>
              </w:rPr>
              <w:t>Ф110</w:t>
            </w:r>
            <w:r>
              <w:rPr>
                <w:rStyle w:val="60"/>
                <w:rFonts w:hint="default"/>
                <w:color w:val="auto"/>
                <w:highlight w:val="none"/>
                <w:lang w:bidi="ar"/>
              </w:rPr>
              <w:t>透水管</w:t>
            </w:r>
            <w:r>
              <w:rPr>
                <w:rStyle w:val="61"/>
                <w:rFonts w:hint="default"/>
                <w:color w:val="auto"/>
                <w:highlight w:val="none"/>
                <w:lang w:bidi="ar"/>
              </w:rPr>
              <w:t>@200CM</w:t>
            </w:r>
            <w:r>
              <w:rPr>
                <w:rStyle w:val="60"/>
                <w:rFonts w:hint="default"/>
                <w:color w:val="auto"/>
                <w:highlight w:val="none"/>
                <w:lang w:bidi="ar"/>
              </w:rPr>
              <w:t>；</w:t>
            </w:r>
          </w:p>
          <w:p w14:paraId="3B76CB7E">
            <w:pPr>
              <w:widowControl/>
              <w:shd w:val="clear"/>
              <w:jc w:val="left"/>
              <w:textAlignment w:val="center"/>
              <w:rPr>
                <w:rStyle w:val="60"/>
                <w:rFonts w:hint="default"/>
                <w:color w:val="auto"/>
                <w:highlight w:val="none"/>
                <w:lang w:bidi="ar"/>
              </w:rPr>
            </w:pPr>
            <w:r>
              <w:rPr>
                <w:rStyle w:val="61"/>
                <w:rFonts w:hint="default"/>
                <w:color w:val="auto"/>
                <w:highlight w:val="none"/>
                <w:lang w:bidi="ar"/>
              </w:rPr>
              <w:t>5</w:t>
            </w:r>
            <w:r>
              <w:rPr>
                <w:rStyle w:val="60"/>
                <w:rFonts w:hint="default"/>
                <w:color w:val="auto"/>
                <w:highlight w:val="none"/>
                <w:lang w:bidi="ar"/>
              </w:rPr>
              <w:t>、</w:t>
            </w:r>
            <w:r>
              <w:rPr>
                <w:rStyle w:val="61"/>
                <w:rFonts w:hint="default"/>
                <w:color w:val="auto"/>
                <w:highlight w:val="none"/>
                <w:lang w:bidi="ar"/>
              </w:rPr>
              <w:t>3~8</w:t>
            </w:r>
            <w:r>
              <w:rPr>
                <w:rStyle w:val="60"/>
                <w:rFonts w:hint="default"/>
                <w:color w:val="auto"/>
                <w:highlight w:val="none"/>
                <w:lang w:bidi="ar"/>
              </w:rPr>
              <w:t>鹅卵石铺设厚度6cm；</w:t>
            </w:r>
          </w:p>
          <w:p w14:paraId="57D9E310">
            <w:pPr>
              <w:widowControl/>
              <w:shd w:val="clear"/>
              <w:jc w:val="left"/>
              <w:textAlignment w:val="center"/>
              <w:rPr>
                <w:rStyle w:val="60"/>
                <w:rFonts w:hint="default"/>
                <w:color w:val="auto"/>
                <w:highlight w:val="none"/>
                <w:lang w:bidi="ar"/>
              </w:rPr>
            </w:pPr>
            <w:r>
              <w:rPr>
                <w:rFonts w:hint="eastAsia" w:ascii="宋体" w:hAnsi="宋体" w:cs="宋体"/>
                <w:color w:val="auto"/>
                <w:sz w:val="18"/>
                <w:szCs w:val="18"/>
                <w:highlight w:val="none"/>
                <w:lang w:bidi="ar"/>
              </w:rPr>
              <w:t>6、</w:t>
            </w:r>
            <w:r>
              <w:rPr>
                <w:rStyle w:val="60"/>
                <w:rFonts w:hint="default"/>
                <w:color w:val="auto"/>
                <w:highlight w:val="none"/>
                <w:lang w:bidi="ar"/>
              </w:rPr>
              <w:t>透</w:t>
            </w:r>
            <w:r>
              <w:rPr>
                <w:rStyle w:val="61"/>
                <w:rFonts w:hint="default"/>
                <w:color w:val="auto"/>
                <w:highlight w:val="none"/>
                <w:lang w:bidi="ar"/>
              </w:rPr>
              <w:t xml:space="preserve">  </w:t>
            </w:r>
            <w:r>
              <w:rPr>
                <w:rStyle w:val="60"/>
                <w:rFonts w:hint="default"/>
                <w:color w:val="auto"/>
                <w:highlight w:val="none"/>
                <w:lang w:bidi="ar"/>
              </w:rPr>
              <w:t>水布一道；</w:t>
            </w:r>
          </w:p>
          <w:p w14:paraId="44EF549C">
            <w:pPr>
              <w:widowControl/>
              <w:shd w:val="clear"/>
              <w:jc w:val="left"/>
              <w:textAlignment w:val="center"/>
              <w:rPr>
                <w:rFonts w:ascii="宋体" w:hAnsi="宋体" w:cs="宋体"/>
                <w:color w:val="auto"/>
                <w:sz w:val="18"/>
                <w:szCs w:val="18"/>
                <w:highlight w:val="none"/>
              </w:rPr>
            </w:pPr>
            <w:r>
              <w:rPr>
                <w:rFonts w:hint="eastAsia" w:ascii="宋体" w:hAnsi="宋体" w:cs="宋体"/>
                <w:color w:val="auto"/>
                <w:sz w:val="18"/>
                <w:szCs w:val="18"/>
                <w:highlight w:val="none"/>
              </w:rPr>
              <w:t>7、</w:t>
            </w:r>
            <w:r>
              <w:rPr>
                <w:rStyle w:val="60"/>
                <w:rFonts w:hint="default"/>
                <w:color w:val="auto"/>
                <w:highlight w:val="none"/>
                <w:lang w:bidi="ar"/>
              </w:rPr>
              <w:t>选择干净河沙铺</w:t>
            </w:r>
            <w:r>
              <w:rPr>
                <w:rStyle w:val="61"/>
                <w:rFonts w:hint="default"/>
                <w:color w:val="auto"/>
                <w:highlight w:val="none"/>
                <w:lang w:bidi="ar"/>
              </w:rPr>
              <w:t>300MM</w:t>
            </w:r>
            <w:r>
              <w:rPr>
                <w:rStyle w:val="60"/>
                <w:rFonts w:hint="default"/>
                <w:color w:val="auto"/>
                <w:highlight w:val="none"/>
                <w:lang w:bidi="ar"/>
              </w:rPr>
              <w:t>厚。</w:t>
            </w:r>
          </w:p>
        </w:tc>
      </w:tr>
      <w:tr w14:paraId="65037A12">
        <w:tblPrEx>
          <w:tblCellMar>
            <w:top w:w="0" w:type="dxa"/>
            <w:left w:w="108" w:type="dxa"/>
            <w:bottom w:w="0" w:type="dxa"/>
            <w:right w:w="108" w:type="dxa"/>
          </w:tblCellMar>
        </w:tblPrEx>
        <w:trPr>
          <w:trHeight w:val="1000"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318CF">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56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72956">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种植园地</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2ED19">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55</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9926C">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平方</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AEBB1">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711488" behindDoc="0" locked="0" layoutInCell="1" allowOverlap="1">
                  <wp:simplePos x="0" y="0"/>
                  <wp:positionH relativeFrom="column">
                    <wp:posOffset>46990</wp:posOffset>
                  </wp:positionH>
                  <wp:positionV relativeFrom="paragraph">
                    <wp:posOffset>160655</wp:posOffset>
                  </wp:positionV>
                  <wp:extent cx="1332230" cy="340360"/>
                  <wp:effectExtent l="0" t="0" r="1270" b="2540"/>
                  <wp:wrapNone/>
                  <wp:docPr id="101" name="图片_2"/>
                  <wp:cNvGraphicFramePr/>
                  <a:graphic xmlns:a="http://schemas.openxmlformats.org/drawingml/2006/main">
                    <a:graphicData uri="http://schemas.openxmlformats.org/drawingml/2006/picture">
                      <pic:pic xmlns:pic="http://schemas.openxmlformats.org/drawingml/2006/picture">
                        <pic:nvPicPr>
                          <pic:cNvPr id="101" name="图片_2"/>
                          <pic:cNvPicPr/>
                        </pic:nvPicPr>
                        <pic:blipFill>
                          <a:blip r:embed="rId65"/>
                          <a:stretch>
                            <a:fillRect/>
                          </a:stretch>
                        </pic:blipFill>
                        <pic:spPr>
                          <a:xfrm>
                            <a:off x="0" y="0"/>
                            <a:ext cx="1332230" cy="340360"/>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5745F">
            <w:pPr>
              <w:widowControl/>
              <w:shd w:val="clear"/>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1.长方形规格：1800*300*15CM</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t>（现场定制）</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2.材质：芬兰木，鹅软石，水泥；</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3.种植围栏高0.25m、长度17.8m，浇灌系统，20cm种植土。</w:t>
            </w:r>
          </w:p>
        </w:tc>
      </w:tr>
      <w:tr w14:paraId="0AC6C81F">
        <w:tblPrEx>
          <w:tblCellMar>
            <w:top w:w="0" w:type="dxa"/>
            <w:left w:w="108" w:type="dxa"/>
            <w:bottom w:w="0" w:type="dxa"/>
            <w:right w:w="108" w:type="dxa"/>
          </w:tblCellMar>
        </w:tblPrEx>
        <w:trPr>
          <w:trHeight w:val="720"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CE7FD">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57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574F53">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马尼拉草坪</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D6943">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980</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123C95">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平方</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75C8E">
            <w:pPr>
              <w:shd w:val="clear"/>
              <w:jc w:val="center"/>
              <w:rPr>
                <w:rFonts w:ascii="宋体" w:hAnsi="宋体" w:cs="宋体"/>
                <w:color w:val="auto"/>
                <w:sz w:val="18"/>
                <w:szCs w:val="18"/>
                <w:highlight w:val="none"/>
              </w:rPr>
            </w:pP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15BB9">
            <w:pPr>
              <w:widowControl/>
              <w:shd w:val="clear"/>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混合草,养护时间一年。</w:t>
            </w:r>
          </w:p>
        </w:tc>
      </w:tr>
      <w:tr w14:paraId="2E9D7CF9">
        <w:tblPrEx>
          <w:tblCellMar>
            <w:top w:w="0" w:type="dxa"/>
            <w:left w:w="108" w:type="dxa"/>
            <w:bottom w:w="0" w:type="dxa"/>
            <w:right w:w="108" w:type="dxa"/>
          </w:tblCellMar>
        </w:tblPrEx>
        <w:trPr>
          <w:trHeight w:val="324"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2E8C85">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58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1C064">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悬浮地板</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F684D">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1807</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45CAF">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平方</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C1973">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712512" behindDoc="0" locked="0" layoutInCell="1" allowOverlap="1">
                  <wp:simplePos x="0" y="0"/>
                  <wp:positionH relativeFrom="column">
                    <wp:posOffset>151765</wp:posOffset>
                  </wp:positionH>
                  <wp:positionV relativeFrom="paragraph">
                    <wp:posOffset>1043940</wp:posOffset>
                  </wp:positionV>
                  <wp:extent cx="1403985" cy="762000"/>
                  <wp:effectExtent l="0" t="0" r="5715" b="0"/>
                  <wp:wrapNone/>
                  <wp:docPr id="105" name="图片_56"/>
                  <wp:cNvGraphicFramePr/>
                  <a:graphic xmlns:a="http://schemas.openxmlformats.org/drawingml/2006/main">
                    <a:graphicData uri="http://schemas.openxmlformats.org/drawingml/2006/picture">
                      <pic:pic xmlns:pic="http://schemas.openxmlformats.org/drawingml/2006/picture">
                        <pic:nvPicPr>
                          <pic:cNvPr id="105" name="图片_56"/>
                          <pic:cNvPicPr/>
                        </pic:nvPicPr>
                        <pic:blipFill>
                          <a:blip r:embed="rId66"/>
                          <a:stretch>
                            <a:fillRect/>
                          </a:stretch>
                        </pic:blipFill>
                        <pic:spPr>
                          <a:xfrm>
                            <a:off x="0" y="0"/>
                            <a:ext cx="1403985" cy="762000"/>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0C344F">
            <w:pPr>
              <w:widowControl/>
              <w:shd w:val="clear"/>
              <w:jc w:val="left"/>
              <w:textAlignment w:val="center"/>
              <w:rPr>
                <w:rFonts w:hint="eastAsia" w:ascii="宋体" w:hAnsi="宋体" w:cs="宋体"/>
                <w:color w:val="auto"/>
                <w:kern w:val="0"/>
                <w:sz w:val="18"/>
                <w:szCs w:val="18"/>
                <w:highlight w:val="none"/>
                <w:lang w:eastAsia="zh-CN" w:bidi="ar"/>
              </w:rPr>
            </w:pPr>
            <w:r>
              <w:rPr>
                <w:rFonts w:hint="eastAsia" w:ascii="宋体" w:hAnsi="宋体" w:cs="宋体"/>
                <w:color w:val="auto"/>
                <w:kern w:val="0"/>
                <w:sz w:val="18"/>
                <w:szCs w:val="18"/>
                <w:highlight w:val="none"/>
                <w:lang w:bidi="ar"/>
              </w:rPr>
              <w:t>1、产品规格：248mm（±2mm）×248mm（±0.2mm）×15mm（±0.2mm），190g（±2g)</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2、食品级改性聚丙烯材质，100%原生料，无毒无味，绿色、安全，环保；</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3、磨砂纹理：不反光，不刺眼，色泽柔和，极大提供摩擦力，防滑效果更显著</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4、缓冲系统：由不少于32颗弹性垫组成且单颗弹性垫直径不低于16mm</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5、安全系统：由不少于1个安全固定装置组成，中间可拆卸卡扣的长宽不低于34mm，可打膨胀螺丝固定于地面，防止悬浮地板移位。</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具体参数</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1、冲击吸收≥26%；</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2、垂直变形≤5mm；</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3、阻燃：I级；</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4、篮球反弹率≥95；</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5、摩擦系数：0.5-0.7；</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6、滚动负荷：施加载荷1500N时，地板不应有裂纹、断裂、劈裂等损坏；</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7、高温试验（100℃，72h）:无融化、无龟裂、无明显色差；</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8、低温试验（-50℃，72h）:无龟裂、无明显色差；</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9、悬浮式拼装运动地板提供连续4年的灼热丝试验，结果均为合格</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10、悬浮地板安全卫士材料通过标准冻融循环检测，检测结果：无开裂、粉化</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11、悬浮式拼装运动地板低温（零下18℃）试验条件下4500h，依据GB36246-2018《中小学合成材料面层运动场地》相关要求，冲击吸收≥20%；</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12、悬浮式拼装运动地板耐热水测试（30℃）试验条件下4500h，依据GB36246-2018《中小学合成材料面层运动场地》相关要求，断裂伸长率≥40%；</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 xml:space="preserve">13、悬浮地板在-30℃-80℃高低温循环下经过1万小时，依据GB36246-2018《中小学合成材料面层运动场地》及GB/T 14833-2020《合成材料运动场地面层》相关要求，拉伸强度≥0.5MPa </w:t>
            </w:r>
            <w:r>
              <w:rPr>
                <w:rFonts w:hint="eastAsia" w:ascii="宋体" w:hAnsi="宋体" w:cs="宋体"/>
                <w:color w:val="auto"/>
                <w:kern w:val="0"/>
                <w:sz w:val="18"/>
                <w:szCs w:val="18"/>
                <w:highlight w:val="none"/>
                <w:lang w:eastAsia="zh-CN" w:bidi="ar"/>
              </w:rPr>
              <w:t>；</w:t>
            </w:r>
          </w:p>
          <w:p w14:paraId="1AAB8934">
            <w:pPr>
              <w:widowControl/>
              <w:shd w:val="clear"/>
              <w:jc w:val="left"/>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14、悬浮地板在环境温度为70℃时在20KN的重力下经过1万次的反复压缩，依据GB36246-2018《中小学合成材料面层运动场地》相关要求，拉断伸长率≥45%。</w:t>
            </w:r>
          </w:p>
        </w:tc>
      </w:tr>
      <w:tr w14:paraId="4C602C89">
        <w:tblPrEx>
          <w:tblCellMar>
            <w:top w:w="0" w:type="dxa"/>
            <w:left w:w="108" w:type="dxa"/>
            <w:bottom w:w="0" w:type="dxa"/>
            <w:right w:w="108" w:type="dxa"/>
          </w:tblCellMar>
        </w:tblPrEx>
        <w:trPr>
          <w:trHeight w:val="1580"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9FBFA">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59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0BF9E">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护栏</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855BD">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18</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599122">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米</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7324A">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bdr w:val="single" w:color="000000" w:sz="4" w:space="0"/>
              </w:rPr>
              <w:drawing>
                <wp:anchor distT="0" distB="0" distL="114300" distR="114300" simplePos="0" relativeHeight="251713536" behindDoc="0" locked="0" layoutInCell="1" allowOverlap="1">
                  <wp:simplePos x="0" y="0"/>
                  <wp:positionH relativeFrom="column">
                    <wp:posOffset>540385</wp:posOffset>
                  </wp:positionH>
                  <wp:positionV relativeFrom="paragraph">
                    <wp:posOffset>97155</wp:posOffset>
                  </wp:positionV>
                  <wp:extent cx="644525" cy="784860"/>
                  <wp:effectExtent l="0" t="0" r="3175" b="15240"/>
                  <wp:wrapNone/>
                  <wp:docPr id="102" name="image53"/>
                  <wp:cNvGraphicFramePr/>
                  <a:graphic xmlns:a="http://schemas.openxmlformats.org/drawingml/2006/main">
                    <a:graphicData uri="http://schemas.openxmlformats.org/drawingml/2006/picture">
                      <pic:pic xmlns:pic="http://schemas.openxmlformats.org/drawingml/2006/picture">
                        <pic:nvPicPr>
                          <pic:cNvPr id="102" name="image53"/>
                          <pic:cNvPicPr/>
                        </pic:nvPicPr>
                        <pic:blipFill>
                          <a:blip r:embed="rId67"/>
                          <a:stretch>
                            <a:fillRect/>
                          </a:stretch>
                        </pic:blipFill>
                        <pic:spPr>
                          <a:xfrm>
                            <a:off x="0" y="0"/>
                            <a:ext cx="644525" cy="784860"/>
                          </a:xfrm>
                          <a:prstGeom prst="rect">
                            <a:avLst/>
                          </a:prstGeom>
                          <a:noFill/>
                          <a:ln>
                            <a:noFill/>
                          </a:ln>
                        </pic:spPr>
                      </pic:pic>
                    </a:graphicData>
                  </a:graphic>
                </wp:anchor>
              </w:drawing>
            </w: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A1BD7">
            <w:pPr>
              <w:widowControl/>
              <w:shd w:val="clear"/>
              <w:jc w:val="left"/>
              <w:textAlignment w:val="center"/>
              <w:rPr>
                <w:rFonts w:ascii="宋体" w:hAnsi="宋体" w:cs="宋体"/>
                <w:color w:val="auto"/>
                <w:sz w:val="18"/>
                <w:szCs w:val="18"/>
                <w:highlight w:val="none"/>
              </w:rPr>
            </w:pPr>
            <w:r>
              <w:rPr>
                <w:rStyle w:val="60"/>
                <w:rFonts w:hint="default"/>
                <w:color w:val="auto"/>
                <w:highlight w:val="none"/>
                <w:lang w:bidi="ar"/>
              </w:rPr>
              <w:t>采用芬兰木厚度15mm，护栏高度55cm,经过高温杀菌处理制作。油漆采用户外环保木油经过</w:t>
            </w:r>
            <w:r>
              <w:rPr>
                <w:rStyle w:val="61"/>
                <w:rFonts w:hint="default"/>
                <w:color w:val="auto"/>
                <w:highlight w:val="none"/>
                <w:lang w:bidi="ar"/>
              </w:rPr>
              <w:t>2</w:t>
            </w:r>
            <w:r>
              <w:rPr>
                <w:rStyle w:val="60"/>
                <w:rFonts w:hint="default"/>
                <w:color w:val="auto"/>
                <w:highlight w:val="none"/>
                <w:lang w:bidi="ar"/>
              </w:rPr>
              <w:t>次底漆</w:t>
            </w:r>
            <w:r>
              <w:rPr>
                <w:rStyle w:val="61"/>
                <w:rFonts w:hint="default"/>
                <w:color w:val="auto"/>
                <w:highlight w:val="none"/>
                <w:lang w:bidi="ar"/>
              </w:rPr>
              <w:t>2</w:t>
            </w:r>
            <w:r>
              <w:rPr>
                <w:rStyle w:val="60"/>
                <w:rFonts w:hint="default"/>
                <w:color w:val="auto"/>
                <w:highlight w:val="none"/>
                <w:lang w:bidi="ar"/>
              </w:rPr>
              <w:t>次面漆制作而成。</w:t>
            </w:r>
          </w:p>
        </w:tc>
      </w:tr>
      <w:tr w14:paraId="57B75CCA">
        <w:tblPrEx>
          <w:tblCellMar>
            <w:top w:w="0" w:type="dxa"/>
            <w:left w:w="108" w:type="dxa"/>
            <w:bottom w:w="0" w:type="dxa"/>
            <w:right w:w="108" w:type="dxa"/>
          </w:tblCellMar>
        </w:tblPrEx>
        <w:trPr>
          <w:trHeight w:val="900" w:hRule="atLeast"/>
        </w:trPr>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58DFD">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 xml:space="preserve">60 </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B10A3">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透水砖小路</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FBC67">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34.2</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CADF2">
            <w:pPr>
              <w:widowControl/>
              <w:shd w:val="clear"/>
              <w:jc w:val="center"/>
              <w:textAlignment w:val="center"/>
              <w:rPr>
                <w:rFonts w:ascii="宋体" w:hAnsi="宋体" w:cs="宋体"/>
                <w:color w:val="auto"/>
                <w:sz w:val="18"/>
                <w:szCs w:val="18"/>
                <w:highlight w:val="none"/>
              </w:rPr>
            </w:pPr>
            <w:r>
              <w:rPr>
                <w:rFonts w:hint="eastAsia" w:ascii="宋体" w:hAnsi="宋体" w:cs="宋体"/>
                <w:color w:val="auto"/>
                <w:kern w:val="0"/>
                <w:sz w:val="18"/>
                <w:szCs w:val="18"/>
                <w:highlight w:val="none"/>
                <w:lang w:bidi="ar"/>
              </w:rPr>
              <w:t>平方</w:t>
            </w:r>
          </w:p>
        </w:tc>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E900E">
            <w:pPr>
              <w:shd w:val="clear"/>
              <w:jc w:val="center"/>
              <w:rPr>
                <w:rFonts w:ascii="宋体" w:hAnsi="宋体" w:cs="宋体"/>
                <w:color w:val="auto"/>
                <w:sz w:val="18"/>
                <w:szCs w:val="18"/>
                <w:highlight w:val="none"/>
              </w:rPr>
            </w:pPr>
          </w:p>
        </w:tc>
        <w:tc>
          <w:tcPr>
            <w:tcW w:w="2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6C50C">
            <w:pPr>
              <w:widowControl/>
              <w:shd w:val="clear"/>
              <w:jc w:val="left"/>
              <w:textAlignment w:val="center"/>
              <w:rPr>
                <w:rFonts w:hint="eastAsia" w:ascii="宋体" w:hAnsi="宋体" w:eastAsia="宋体" w:cs="宋体"/>
                <w:color w:val="auto"/>
                <w:sz w:val="18"/>
                <w:szCs w:val="18"/>
                <w:highlight w:val="none"/>
                <w:lang w:eastAsia="zh-CN"/>
              </w:rPr>
            </w:pPr>
            <w:r>
              <w:rPr>
                <w:rFonts w:hint="eastAsia" w:ascii="宋体" w:hAnsi="宋体" w:cs="宋体"/>
                <w:color w:val="auto"/>
                <w:kern w:val="0"/>
                <w:sz w:val="18"/>
                <w:szCs w:val="18"/>
                <w:highlight w:val="none"/>
                <w:lang w:bidi="ar"/>
              </w:rPr>
              <w:t>1.长方形规格：5700*60CM</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2.材质：透水砖规格;20*10*5cm</w:t>
            </w:r>
            <w:r>
              <w:rPr>
                <w:rFonts w:hint="eastAsia" w:ascii="宋体" w:hAnsi="宋体" w:cs="宋体"/>
                <w:color w:val="auto"/>
                <w:kern w:val="0"/>
                <w:sz w:val="18"/>
                <w:szCs w:val="18"/>
                <w:highlight w:val="none"/>
                <w:lang w:eastAsia="zh-CN" w:bidi="ar"/>
              </w:rPr>
              <w:t>；</w:t>
            </w:r>
            <w:r>
              <w:rPr>
                <w:rFonts w:hint="eastAsia" w:ascii="宋体" w:hAnsi="宋体" w:cs="宋体"/>
                <w:color w:val="auto"/>
                <w:kern w:val="0"/>
                <w:sz w:val="18"/>
                <w:szCs w:val="18"/>
                <w:highlight w:val="none"/>
                <w:lang w:bidi="ar"/>
              </w:rPr>
              <w:br w:type="textWrapping"/>
            </w:r>
            <w:r>
              <w:rPr>
                <w:rFonts w:hint="eastAsia" w:ascii="宋体" w:hAnsi="宋体" w:cs="宋体"/>
                <w:color w:val="auto"/>
                <w:kern w:val="0"/>
                <w:sz w:val="18"/>
                <w:szCs w:val="18"/>
                <w:highlight w:val="none"/>
                <w:lang w:bidi="ar"/>
              </w:rPr>
              <w:t>3.混凝土基层厚度8cm，铺透水砖</w:t>
            </w:r>
            <w:r>
              <w:rPr>
                <w:rFonts w:hint="eastAsia" w:ascii="宋体" w:hAnsi="宋体" w:cs="宋体"/>
                <w:color w:val="auto"/>
                <w:kern w:val="0"/>
                <w:sz w:val="18"/>
                <w:szCs w:val="18"/>
                <w:highlight w:val="none"/>
                <w:lang w:eastAsia="zh-CN" w:bidi="ar"/>
              </w:rPr>
              <w:t>。</w:t>
            </w:r>
          </w:p>
        </w:tc>
      </w:tr>
    </w:tbl>
    <w:p w14:paraId="6B8BA683">
      <w:pPr>
        <w:shd w:val="clear"/>
        <w:spacing w:line="360" w:lineRule="auto"/>
        <w:rPr>
          <w:rFonts w:asciiTheme="minorEastAsia" w:hAnsiTheme="minorEastAsia" w:eastAsiaTheme="minorEastAsia"/>
          <w:color w:val="auto"/>
          <w:sz w:val="24"/>
          <w:highlight w:val="none"/>
        </w:rPr>
      </w:pPr>
    </w:p>
    <w:p w14:paraId="3EEFB712">
      <w:pPr>
        <w:shd w:val="clear"/>
        <w:spacing w:line="360" w:lineRule="auto"/>
        <w:rPr>
          <w:rFonts w:asciiTheme="minorEastAsia" w:hAnsiTheme="minorEastAsia" w:eastAsiaTheme="minorEastAsia"/>
          <w:color w:val="auto"/>
          <w:sz w:val="24"/>
          <w:highlight w:val="none"/>
        </w:rPr>
      </w:pPr>
    </w:p>
    <w:p w14:paraId="6511B87A">
      <w:pPr>
        <w:shd w:val="clear"/>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注</w:t>
      </w:r>
      <w:r>
        <w:rPr>
          <w:rFonts w:hint="eastAsia" w:asciiTheme="minorEastAsia" w:hAnsiTheme="minorEastAsia" w:eastAsiaTheme="minorEastAsia"/>
          <w:color w:val="auto"/>
          <w:sz w:val="24"/>
          <w:highlight w:val="none"/>
        </w:rPr>
        <w:t>：1、以上</w:t>
      </w:r>
      <w:r>
        <w:rPr>
          <w:rFonts w:hint="eastAsia" w:asciiTheme="minorEastAsia" w:hAnsiTheme="minorEastAsia" w:eastAsiaTheme="minorEastAsia"/>
          <w:color w:val="auto"/>
          <w:sz w:val="24"/>
          <w:highlight w:val="none"/>
          <w:lang w:val="en-US" w:eastAsia="zh-CN"/>
        </w:rPr>
        <w:t>数量</w:t>
      </w:r>
      <w:r>
        <w:rPr>
          <w:rFonts w:hint="eastAsia" w:asciiTheme="minorEastAsia" w:hAnsiTheme="minorEastAsia" w:eastAsiaTheme="minorEastAsia"/>
          <w:color w:val="auto"/>
          <w:sz w:val="24"/>
          <w:highlight w:val="none"/>
        </w:rPr>
        <w:t>及图片供参考，投标人应根据图纸结合以上采购要求划分不同功能区域并进行深化设计，内容不得缺项，同时投标人深化设计后的</w:t>
      </w:r>
      <w:r>
        <w:rPr>
          <w:rFonts w:hint="eastAsia" w:asciiTheme="minorEastAsia" w:hAnsiTheme="minorEastAsia" w:eastAsiaTheme="minorEastAsia"/>
          <w:color w:val="auto"/>
          <w:sz w:val="24"/>
          <w:highlight w:val="none"/>
          <w:lang w:eastAsia="zh-CN"/>
        </w:rPr>
        <w:t>数量</w:t>
      </w:r>
      <w:r>
        <w:rPr>
          <w:rFonts w:hint="eastAsia" w:asciiTheme="minorEastAsia" w:hAnsiTheme="minorEastAsia" w:eastAsiaTheme="minorEastAsia"/>
          <w:color w:val="auto"/>
          <w:sz w:val="24"/>
          <w:highlight w:val="none"/>
        </w:rPr>
        <w:t>不得少于表中所列。（规格、材质要求</w:t>
      </w:r>
      <w:r>
        <w:rPr>
          <w:rFonts w:hint="eastAsia" w:asciiTheme="minorEastAsia" w:hAnsiTheme="minorEastAsia" w:eastAsiaTheme="minorEastAsia"/>
          <w:color w:val="auto"/>
          <w:sz w:val="24"/>
          <w:highlight w:val="none"/>
          <w:lang w:val="en-US" w:eastAsia="zh-CN"/>
        </w:rPr>
        <w:t>也需符合采购清单要求</w:t>
      </w:r>
      <w:r>
        <w:rPr>
          <w:rFonts w:hint="eastAsia" w:asciiTheme="minorEastAsia" w:hAnsiTheme="minorEastAsia" w:eastAsiaTheme="minorEastAsia"/>
          <w:color w:val="auto"/>
          <w:sz w:val="24"/>
          <w:highlight w:val="none"/>
        </w:rPr>
        <w:t>）</w:t>
      </w:r>
    </w:p>
    <w:p w14:paraId="0CE2141E">
      <w:pPr>
        <w:pStyle w:val="25"/>
        <w:shd w:val="clear"/>
        <w:ind w:firstLine="480"/>
        <w:rPr>
          <w:rFonts w:eastAsiaTheme="minorEastAsia"/>
          <w:color w:val="auto"/>
          <w:highlight w:val="none"/>
        </w:rPr>
      </w:pPr>
      <w:r>
        <w:rPr>
          <w:rFonts w:hint="eastAsia" w:asciiTheme="minorEastAsia" w:hAnsiTheme="minorEastAsia" w:eastAsiaTheme="minorEastAsia"/>
          <w:color w:val="auto"/>
          <w:sz w:val="24"/>
          <w:highlight w:val="none"/>
        </w:rPr>
        <w:t>2、以上产品尺寸允许偏离±1%。</w:t>
      </w:r>
    </w:p>
    <w:p w14:paraId="19A06519">
      <w:pPr>
        <w:shd w:val="clear"/>
        <w:spacing w:line="360" w:lineRule="auto"/>
        <w:rPr>
          <w:rFonts w:asciiTheme="minorEastAsia" w:hAnsiTheme="minorEastAsia" w:eastAsiaTheme="minorEastAsia"/>
          <w:b/>
          <w:bCs/>
          <w:color w:val="auto"/>
          <w:sz w:val="28"/>
          <w:highlight w:val="none"/>
        </w:rPr>
      </w:pPr>
      <w:r>
        <w:rPr>
          <w:rFonts w:hint="eastAsia" w:asciiTheme="minorEastAsia" w:hAnsiTheme="minorEastAsia" w:eastAsiaTheme="minorEastAsia"/>
          <w:b/>
          <w:bCs/>
          <w:color w:val="auto"/>
          <w:sz w:val="28"/>
          <w:highlight w:val="none"/>
        </w:rPr>
        <w:t>五、图纸</w:t>
      </w:r>
    </w:p>
    <w:p w14:paraId="0D1A907B">
      <w:pPr>
        <w:pStyle w:val="25"/>
        <w:shd w:val="clear"/>
        <w:spacing w:line="360" w:lineRule="auto"/>
        <w:ind w:firstLine="480"/>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olor w:val="auto"/>
          <w:sz w:val="24"/>
          <w:highlight w:val="none"/>
        </w:rPr>
        <w:t>详见附件：图纸</w:t>
      </w:r>
    </w:p>
    <w:p w14:paraId="6AF5249F">
      <w:pPr>
        <w:pStyle w:val="25"/>
        <w:shd w:val="clear"/>
        <w:spacing w:line="360" w:lineRule="auto"/>
        <w:ind w:firstLine="480"/>
        <w:rPr>
          <w:rFonts w:asciiTheme="minorEastAsia" w:hAnsiTheme="minorEastAsia" w:eastAsiaTheme="minorEastAsia" w:cstheme="minorEastAsia"/>
          <w:color w:val="auto"/>
          <w:sz w:val="24"/>
          <w:highlight w:val="none"/>
        </w:rPr>
      </w:pPr>
    </w:p>
    <w:p w14:paraId="60560C65">
      <w:pPr>
        <w:pStyle w:val="25"/>
        <w:shd w:val="clear"/>
        <w:spacing w:line="360" w:lineRule="auto"/>
        <w:ind w:firstLine="480"/>
        <w:rPr>
          <w:rFonts w:asciiTheme="minorEastAsia" w:hAnsiTheme="minorEastAsia" w:eastAsiaTheme="minorEastAsia" w:cstheme="minorEastAsia"/>
          <w:color w:val="auto"/>
          <w:sz w:val="24"/>
          <w:highlight w:val="none"/>
        </w:rPr>
        <w:sectPr>
          <w:pgSz w:w="16838" w:h="11906" w:orient="landscape"/>
          <w:pgMar w:top="1418" w:right="1276" w:bottom="1418" w:left="1247" w:header="851" w:footer="992" w:gutter="0"/>
          <w:cols w:space="720" w:num="1"/>
          <w:titlePg/>
          <w:docGrid w:linePitch="312" w:charSpace="0"/>
        </w:sectPr>
      </w:pPr>
    </w:p>
    <w:p w14:paraId="794119A8">
      <w:pPr>
        <w:widowControl/>
        <w:shd w:val="clear"/>
        <w:spacing w:line="360" w:lineRule="auto"/>
        <w:jc w:val="left"/>
        <w:rPr>
          <w:rFonts w:asciiTheme="majorEastAsia" w:hAnsiTheme="majorEastAsia" w:eastAsiaTheme="majorEastAsia"/>
          <w:b/>
          <w:color w:val="auto"/>
          <w:sz w:val="28"/>
          <w:highlight w:val="none"/>
        </w:rPr>
      </w:pPr>
      <w:r>
        <w:rPr>
          <w:rFonts w:hint="eastAsia" w:asciiTheme="majorEastAsia" w:hAnsiTheme="majorEastAsia" w:eastAsiaTheme="majorEastAsia"/>
          <w:b/>
          <w:color w:val="auto"/>
          <w:sz w:val="28"/>
          <w:highlight w:val="none"/>
        </w:rPr>
        <w:t>六、商务要求</w:t>
      </w:r>
    </w:p>
    <w:tbl>
      <w:tblPr>
        <w:tblStyle w:val="18"/>
        <w:tblW w:w="0" w:type="auto"/>
        <w:tblInd w:w="0" w:type="dxa"/>
        <w:tblLayout w:type="fixed"/>
        <w:tblCellMar>
          <w:top w:w="0" w:type="dxa"/>
          <w:left w:w="108" w:type="dxa"/>
          <w:bottom w:w="0" w:type="dxa"/>
          <w:right w:w="108" w:type="dxa"/>
        </w:tblCellMar>
      </w:tblPr>
      <w:tblGrid>
        <w:gridCol w:w="1936"/>
        <w:gridCol w:w="7186"/>
      </w:tblGrid>
      <w:tr w14:paraId="27E5369C">
        <w:tblPrEx>
          <w:tblCellMar>
            <w:top w:w="0" w:type="dxa"/>
            <w:left w:w="108" w:type="dxa"/>
            <w:bottom w:w="0" w:type="dxa"/>
            <w:right w:w="108" w:type="dxa"/>
          </w:tblCellMar>
        </w:tblPrEx>
        <w:trPr>
          <w:trHeight w:val="359"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600F6F17">
            <w:pPr>
              <w:shd w:val="clear"/>
              <w:tabs>
                <w:tab w:val="left" w:pos="0"/>
              </w:tabs>
              <w:adjustRightInd w:val="0"/>
              <w:snapToGrid w:val="0"/>
              <w:spacing w:line="360" w:lineRule="auto"/>
              <w:jc w:val="center"/>
              <w:rPr>
                <w:rFonts w:cs="仿宋" w:asciiTheme="majorEastAsia" w:hAnsiTheme="majorEastAsia" w:eastAsiaTheme="majorEastAsia"/>
                <w:b/>
                <w:bCs/>
                <w:color w:val="auto"/>
                <w:kern w:val="0"/>
                <w:sz w:val="24"/>
                <w:highlight w:val="none"/>
              </w:rPr>
            </w:pPr>
            <w:r>
              <w:rPr>
                <w:rFonts w:hint="eastAsia" w:cs="仿宋" w:asciiTheme="majorEastAsia" w:hAnsiTheme="majorEastAsia" w:eastAsiaTheme="majorEastAsia"/>
                <w:b/>
                <w:bCs/>
                <w:color w:val="auto"/>
                <w:kern w:val="0"/>
                <w:sz w:val="24"/>
                <w:highlight w:val="none"/>
              </w:rPr>
              <w:t>项目</w:t>
            </w:r>
          </w:p>
        </w:tc>
        <w:tc>
          <w:tcPr>
            <w:tcW w:w="7186" w:type="dxa"/>
            <w:tcBorders>
              <w:top w:val="single" w:color="000000" w:sz="4" w:space="0"/>
              <w:left w:val="single" w:color="000000" w:sz="4" w:space="0"/>
              <w:bottom w:val="single" w:color="000000" w:sz="4" w:space="0"/>
              <w:right w:val="single" w:color="000000" w:sz="4" w:space="0"/>
            </w:tcBorders>
            <w:vAlign w:val="center"/>
          </w:tcPr>
          <w:p w14:paraId="09FADF4D">
            <w:pPr>
              <w:shd w:val="clear"/>
              <w:tabs>
                <w:tab w:val="left" w:pos="0"/>
              </w:tabs>
              <w:adjustRightInd w:val="0"/>
              <w:snapToGrid w:val="0"/>
              <w:spacing w:line="360" w:lineRule="auto"/>
              <w:jc w:val="center"/>
              <w:rPr>
                <w:rFonts w:cs="仿宋" w:asciiTheme="majorEastAsia" w:hAnsiTheme="majorEastAsia" w:eastAsiaTheme="majorEastAsia"/>
                <w:b/>
                <w:bCs/>
                <w:color w:val="auto"/>
                <w:kern w:val="0"/>
                <w:sz w:val="24"/>
                <w:highlight w:val="none"/>
              </w:rPr>
            </w:pPr>
            <w:r>
              <w:rPr>
                <w:rFonts w:hint="eastAsia" w:cs="仿宋" w:asciiTheme="majorEastAsia" w:hAnsiTheme="majorEastAsia" w:eastAsiaTheme="majorEastAsia"/>
                <w:b/>
                <w:bCs/>
                <w:color w:val="auto"/>
                <w:kern w:val="0"/>
                <w:sz w:val="24"/>
                <w:highlight w:val="none"/>
              </w:rPr>
              <w:t>要 求</w:t>
            </w:r>
          </w:p>
        </w:tc>
      </w:tr>
      <w:tr w14:paraId="08B0BEB3">
        <w:tblPrEx>
          <w:tblCellMar>
            <w:top w:w="0" w:type="dxa"/>
            <w:left w:w="108" w:type="dxa"/>
            <w:bottom w:w="0" w:type="dxa"/>
            <w:right w:w="108" w:type="dxa"/>
          </w:tblCellMar>
        </w:tblPrEx>
        <w:trPr>
          <w:trHeight w:val="469"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0F576AE8">
            <w:pPr>
              <w:shd w:val="clear"/>
              <w:tabs>
                <w:tab w:val="left" w:pos="0"/>
              </w:tabs>
              <w:adjustRightInd w:val="0"/>
              <w:snapToGrid w:val="0"/>
              <w:spacing w:line="360" w:lineRule="auto"/>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投标报价</w:t>
            </w:r>
          </w:p>
        </w:tc>
        <w:tc>
          <w:tcPr>
            <w:tcW w:w="7186" w:type="dxa"/>
            <w:tcBorders>
              <w:top w:val="single" w:color="000000" w:sz="4" w:space="0"/>
              <w:left w:val="single" w:color="000000" w:sz="4" w:space="0"/>
              <w:bottom w:val="single" w:color="000000" w:sz="4" w:space="0"/>
              <w:right w:val="single" w:color="000000" w:sz="4" w:space="0"/>
            </w:tcBorders>
            <w:vAlign w:val="center"/>
          </w:tcPr>
          <w:p w14:paraId="66F1398C">
            <w:pPr>
              <w:pStyle w:val="25"/>
              <w:shd w:val="clear"/>
              <w:ind w:firstLine="0" w:firstLineChars="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投标报价应包括完成招标文件及“采购清单”范围内的货款、深化设计、标准附件、备品备件、专用工具、包装、运输、装卸、保险、税金、货到就位以及保管、安装及所需要配件、辅助材料、调试、验收、保修等一切税金和费用。</w:t>
            </w:r>
          </w:p>
          <w:p w14:paraId="6CEAAE21">
            <w:pPr>
              <w:pStyle w:val="25"/>
              <w:shd w:val="clear"/>
              <w:ind w:firstLine="0" w:firstLineChars="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（2）中标人应考虑交货期间内材料等价格上涨因素，中标后的价格将不予调整。</w:t>
            </w:r>
          </w:p>
          <w:p w14:paraId="00DD79EB">
            <w:pPr>
              <w:pStyle w:val="25"/>
              <w:shd w:val="clear"/>
              <w:ind w:firstLine="0" w:firstLineChars="0"/>
              <w:rPr>
                <w:rFonts w:hint="eastAsia"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（3）投标人须提供保证货物在验收合格后保修期内正常使用所必需的辅助材料、人员服务费用和检查、维护、保养费用等，其价格含在总价中。</w:t>
            </w:r>
          </w:p>
          <w:p w14:paraId="47592F4E">
            <w:pPr>
              <w:pStyle w:val="25"/>
              <w:shd w:val="clear"/>
              <w:ind w:firstLine="0" w:firstLineChars="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（4）本项目不对未中标单位进行深化设计补偿。</w:t>
            </w:r>
          </w:p>
        </w:tc>
      </w:tr>
      <w:tr w14:paraId="3DCF8781">
        <w:tblPrEx>
          <w:tblCellMar>
            <w:top w:w="0" w:type="dxa"/>
            <w:left w:w="108" w:type="dxa"/>
            <w:bottom w:w="0" w:type="dxa"/>
            <w:right w:w="108" w:type="dxa"/>
          </w:tblCellMar>
        </w:tblPrEx>
        <w:trPr>
          <w:trHeight w:val="469"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46A962DF">
            <w:pPr>
              <w:shd w:val="clear"/>
              <w:tabs>
                <w:tab w:val="left" w:pos="0"/>
              </w:tabs>
              <w:adjustRightInd w:val="0"/>
              <w:snapToGrid w:val="0"/>
              <w:spacing w:line="360" w:lineRule="auto"/>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付款条件</w:t>
            </w:r>
          </w:p>
        </w:tc>
        <w:tc>
          <w:tcPr>
            <w:tcW w:w="7186" w:type="dxa"/>
            <w:tcBorders>
              <w:top w:val="single" w:color="000000" w:sz="4" w:space="0"/>
              <w:left w:val="single" w:color="000000" w:sz="4" w:space="0"/>
              <w:bottom w:val="single" w:color="000000" w:sz="4" w:space="0"/>
              <w:right w:val="single" w:color="000000" w:sz="4" w:space="0"/>
            </w:tcBorders>
            <w:vAlign w:val="center"/>
          </w:tcPr>
          <w:p w14:paraId="6FB28A20">
            <w:pPr>
              <w:shd w:val="clear"/>
              <w:ind w:left="1"/>
              <w:rPr>
                <w:rFonts w:eastAsiaTheme="majorEastAsia"/>
                <w:color w:val="auto"/>
                <w:highlight w:val="none"/>
              </w:rPr>
            </w:pPr>
            <w:r>
              <w:rPr>
                <w:rFonts w:hint="eastAsia" w:cs="仿宋" w:asciiTheme="majorEastAsia" w:hAnsiTheme="majorEastAsia" w:eastAsiaTheme="majorEastAsia"/>
                <w:color w:val="auto"/>
                <w:kern w:val="0"/>
                <w:sz w:val="24"/>
                <w:highlight w:val="none"/>
              </w:rPr>
              <w:t>合同签订后招标人向中标人支付合同价的25%的货物预付款；项目验收合格后支付至合同价的98%；余款在质保期满后付清。（支付款项前，中标人需提供有效正规增值税</w:t>
            </w:r>
            <w:r>
              <w:rPr>
                <w:rFonts w:hint="eastAsia" w:cs="仿宋" w:asciiTheme="majorEastAsia" w:hAnsiTheme="majorEastAsia" w:eastAsiaTheme="majorEastAsia"/>
                <w:color w:val="auto"/>
                <w:kern w:val="0"/>
                <w:sz w:val="24"/>
                <w:highlight w:val="none"/>
                <w:lang w:val="en-US" w:eastAsia="zh-CN"/>
              </w:rPr>
              <w:t>专用</w:t>
            </w:r>
            <w:r>
              <w:rPr>
                <w:rFonts w:hint="eastAsia" w:cs="仿宋" w:asciiTheme="majorEastAsia" w:hAnsiTheme="majorEastAsia" w:eastAsiaTheme="majorEastAsia"/>
                <w:color w:val="auto"/>
                <w:kern w:val="0"/>
                <w:sz w:val="24"/>
                <w:highlight w:val="none"/>
              </w:rPr>
              <w:t>发票，采购人在收到中标供应商提供的发票后在合同约定的时间支付相应款项，否则采购人有权延迟支付相应费用而不被视为违约，亦无须承担任何违约责任。）</w:t>
            </w:r>
          </w:p>
        </w:tc>
      </w:tr>
      <w:tr w14:paraId="430B0A05">
        <w:tblPrEx>
          <w:tblCellMar>
            <w:top w:w="0" w:type="dxa"/>
            <w:left w:w="108" w:type="dxa"/>
            <w:bottom w:w="0" w:type="dxa"/>
            <w:right w:w="108" w:type="dxa"/>
          </w:tblCellMar>
        </w:tblPrEx>
        <w:trPr>
          <w:trHeight w:val="342"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3448013B">
            <w:pPr>
              <w:pStyle w:val="25"/>
              <w:shd w:val="clear"/>
              <w:ind w:firstLine="0" w:firstLineChars="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交货期及地点</w:t>
            </w:r>
          </w:p>
        </w:tc>
        <w:tc>
          <w:tcPr>
            <w:tcW w:w="7186" w:type="dxa"/>
            <w:tcBorders>
              <w:top w:val="single" w:color="000000" w:sz="4" w:space="0"/>
              <w:left w:val="single" w:color="000000" w:sz="4" w:space="0"/>
              <w:bottom w:val="single" w:color="000000" w:sz="4" w:space="0"/>
              <w:right w:val="single" w:color="000000" w:sz="4" w:space="0"/>
            </w:tcBorders>
            <w:vAlign w:val="center"/>
          </w:tcPr>
          <w:p w14:paraId="5187B207">
            <w:pPr>
              <w:pStyle w:val="25"/>
              <w:shd w:val="clear"/>
              <w:ind w:firstLine="0" w:firstLineChars="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交货期：</w:t>
            </w:r>
            <w:r>
              <w:rPr>
                <w:rFonts w:hint="eastAsia" w:cs="仿宋" w:asciiTheme="majorEastAsia" w:hAnsiTheme="majorEastAsia" w:eastAsiaTheme="majorEastAsia"/>
                <w:color w:val="auto"/>
                <w:kern w:val="0"/>
                <w:sz w:val="24"/>
                <w:highlight w:val="none"/>
                <w:lang w:val="en-US" w:eastAsia="zh-CN"/>
              </w:rPr>
              <w:t>接到业主通知之日起</w:t>
            </w:r>
            <w:r>
              <w:rPr>
                <w:rFonts w:hint="eastAsia" w:cs="仿宋" w:asciiTheme="majorEastAsia" w:hAnsiTheme="majorEastAsia" w:eastAsiaTheme="majorEastAsia"/>
                <w:color w:val="auto"/>
                <w:kern w:val="0"/>
                <w:sz w:val="24"/>
                <w:highlight w:val="none"/>
              </w:rPr>
              <w:t>60日历天。</w:t>
            </w:r>
          </w:p>
          <w:p w14:paraId="7E08E30E">
            <w:pPr>
              <w:pStyle w:val="25"/>
              <w:shd w:val="clear"/>
              <w:ind w:firstLine="0" w:firstLineChars="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地点：业主指定地点。</w:t>
            </w:r>
          </w:p>
        </w:tc>
      </w:tr>
      <w:tr w14:paraId="0BB85B59">
        <w:tblPrEx>
          <w:tblCellMar>
            <w:top w:w="0" w:type="dxa"/>
            <w:left w:w="108" w:type="dxa"/>
            <w:bottom w:w="0" w:type="dxa"/>
            <w:right w:w="108" w:type="dxa"/>
          </w:tblCellMar>
        </w:tblPrEx>
        <w:trPr>
          <w:trHeight w:val="469"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10D6B40C">
            <w:pPr>
              <w:pStyle w:val="25"/>
              <w:shd w:val="clear"/>
              <w:ind w:firstLine="0" w:firstLineChars="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产品及服务质量保证</w:t>
            </w:r>
          </w:p>
        </w:tc>
        <w:tc>
          <w:tcPr>
            <w:tcW w:w="7186" w:type="dxa"/>
            <w:tcBorders>
              <w:top w:val="single" w:color="000000" w:sz="4" w:space="0"/>
              <w:left w:val="single" w:color="000000" w:sz="4" w:space="0"/>
              <w:bottom w:val="single" w:color="000000" w:sz="4" w:space="0"/>
              <w:right w:val="single" w:color="000000" w:sz="4" w:space="0"/>
            </w:tcBorders>
            <w:vAlign w:val="center"/>
          </w:tcPr>
          <w:p w14:paraId="5E30DD1F">
            <w:pPr>
              <w:pStyle w:val="25"/>
              <w:shd w:val="clear"/>
              <w:ind w:firstLine="0" w:firstLineChars="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（一）供应商保证所供的商品必须是出厂原装合格产品,如发生所供的商品与合同不符,采购人有权拒收或退货,由此产生的一切责任和后果由供应商承担。</w:t>
            </w:r>
          </w:p>
          <w:p w14:paraId="55446BDD">
            <w:pPr>
              <w:pStyle w:val="25"/>
              <w:shd w:val="clear"/>
              <w:ind w:firstLine="0" w:firstLineChars="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（二）在所供商品交付时，供应商必须向采购人提供产品说明书、质量保证书、保修卡等必须具备的相关资料和必备附件。</w:t>
            </w:r>
          </w:p>
        </w:tc>
      </w:tr>
      <w:tr w14:paraId="0A4D94CB">
        <w:tblPrEx>
          <w:tblCellMar>
            <w:top w:w="0" w:type="dxa"/>
            <w:left w:w="108" w:type="dxa"/>
            <w:bottom w:w="0" w:type="dxa"/>
            <w:right w:w="108" w:type="dxa"/>
          </w:tblCellMar>
        </w:tblPrEx>
        <w:trPr>
          <w:trHeight w:val="549"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2A1B743E">
            <w:pPr>
              <w:pStyle w:val="25"/>
              <w:shd w:val="clear"/>
              <w:ind w:firstLine="0" w:firstLineChars="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质保期</w:t>
            </w:r>
          </w:p>
        </w:tc>
        <w:tc>
          <w:tcPr>
            <w:tcW w:w="7186" w:type="dxa"/>
            <w:tcBorders>
              <w:top w:val="single" w:color="000000" w:sz="4" w:space="0"/>
              <w:left w:val="single" w:color="000000" w:sz="4" w:space="0"/>
              <w:bottom w:val="single" w:color="000000" w:sz="4" w:space="0"/>
              <w:right w:val="single" w:color="000000" w:sz="4" w:space="0"/>
            </w:tcBorders>
            <w:vAlign w:val="center"/>
          </w:tcPr>
          <w:p w14:paraId="565A23FC">
            <w:pPr>
              <w:pStyle w:val="25"/>
              <w:shd w:val="clear"/>
              <w:ind w:firstLine="0" w:firstLineChars="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质保期自供货完成并验收合格移交之日起24个月。质保期内被免费更换的零部件质量保证：自更换之日起计24个月。</w:t>
            </w:r>
          </w:p>
        </w:tc>
      </w:tr>
      <w:tr w14:paraId="05E7793A">
        <w:tblPrEx>
          <w:tblCellMar>
            <w:top w:w="0" w:type="dxa"/>
            <w:left w:w="108" w:type="dxa"/>
            <w:bottom w:w="0" w:type="dxa"/>
            <w:right w:w="108" w:type="dxa"/>
          </w:tblCellMar>
        </w:tblPrEx>
        <w:trPr>
          <w:trHeight w:val="666"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4BD7D1FA">
            <w:pPr>
              <w:pStyle w:val="25"/>
              <w:shd w:val="clear"/>
              <w:ind w:firstLine="0" w:firstLineChars="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售后技术服务要求</w:t>
            </w:r>
          </w:p>
        </w:tc>
        <w:tc>
          <w:tcPr>
            <w:tcW w:w="7186" w:type="dxa"/>
            <w:tcBorders>
              <w:top w:val="single" w:color="000000" w:sz="4" w:space="0"/>
              <w:left w:val="single" w:color="000000" w:sz="4" w:space="0"/>
              <w:bottom w:val="single" w:color="000000" w:sz="4" w:space="0"/>
              <w:right w:val="single" w:color="000000" w:sz="4" w:space="0"/>
            </w:tcBorders>
            <w:vAlign w:val="center"/>
          </w:tcPr>
          <w:p w14:paraId="42644A22">
            <w:pPr>
              <w:pStyle w:val="25"/>
              <w:shd w:val="clear"/>
              <w:ind w:firstLine="0" w:firstLineChars="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中标人需为本项目提供7×24小时售后服务。接到要求提供服务的电话后立即做出响应。60分钟内派出合格的服务人员到达业主设备使用现场。一般故障4小时内修复，重大故障12小时内修复。规定时间内不能修复的免费提供同档次产品供甲方使用。</w:t>
            </w:r>
          </w:p>
        </w:tc>
      </w:tr>
      <w:tr w14:paraId="64C49E89">
        <w:tblPrEx>
          <w:tblCellMar>
            <w:top w:w="0" w:type="dxa"/>
            <w:left w:w="108" w:type="dxa"/>
            <w:bottom w:w="0" w:type="dxa"/>
            <w:right w:w="108" w:type="dxa"/>
          </w:tblCellMar>
        </w:tblPrEx>
        <w:tc>
          <w:tcPr>
            <w:tcW w:w="1936" w:type="dxa"/>
            <w:tcBorders>
              <w:top w:val="single" w:color="000000" w:sz="4" w:space="0"/>
              <w:left w:val="single" w:color="000000" w:sz="4" w:space="0"/>
              <w:bottom w:val="single" w:color="000000" w:sz="4" w:space="0"/>
              <w:right w:val="single" w:color="000000" w:sz="4" w:space="0"/>
            </w:tcBorders>
            <w:vAlign w:val="center"/>
          </w:tcPr>
          <w:p w14:paraId="585FDEAB">
            <w:pPr>
              <w:pStyle w:val="25"/>
              <w:shd w:val="clear"/>
              <w:ind w:firstLine="0" w:firstLineChars="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合同终止</w:t>
            </w:r>
          </w:p>
        </w:tc>
        <w:tc>
          <w:tcPr>
            <w:tcW w:w="7186" w:type="dxa"/>
            <w:tcBorders>
              <w:top w:val="single" w:color="000000" w:sz="4" w:space="0"/>
              <w:left w:val="single" w:color="000000" w:sz="4" w:space="0"/>
              <w:bottom w:val="single" w:color="000000" w:sz="4" w:space="0"/>
              <w:right w:val="single" w:color="000000" w:sz="4" w:space="0"/>
            </w:tcBorders>
            <w:vAlign w:val="center"/>
          </w:tcPr>
          <w:p w14:paraId="6915A496">
            <w:pPr>
              <w:pStyle w:val="25"/>
              <w:shd w:val="clear"/>
              <w:ind w:firstLine="0" w:firstLineChars="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（一）未能使合同货物达到合同附件规定的技术性能和指标的；</w:t>
            </w:r>
          </w:p>
          <w:p w14:paraId="2D7103FD">
            <w:pPr>
              <w:pStyle w:val="25"/>
              <w:shd w:val="clear"/>
              <w:ind w:firstLine="0" w:firstLineChars="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（二）未能在合同规定的期限（或采购人同意延长的最终期限）内提供全部或部分货物的；</w:t>
            </w:r>
          </w:p>
          <w:p w14:paraId="660CCD2E">
            <w:pPr>
              <w:pStyle w:val="25"/>
              <w:shd w:val="clear"/>
              <w:ind w:firstLine="0" w:firstLineChars="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（三）未能履行合同规定的其它义务。</w:t>
            </w:r>
          </w:p>
        </w:tc>
      </w:tr>
    </w:tbl>
    <w:p w14:paraId="2C96DACC">
      <w:pPr>
        <w:widowControl/>
        <w:shd w:val="clear"/>
        <w:jc w:val="center"/>
        <w:rPr>
          <w:rFonts w:cs="仿宋" w:asciiTheme="majorEastAsia" w:hAnsiTheme="majorEastAsia" w:eastAsiaTheme="majorEastAsia"/>
          <w:b/>
          <w:color w:val="auto"/>
          <w:sz w:val="36"/>
          <w:szCs w:val="36"/>
          <w:highlight w:val="none"/>
        </w:rPr>
      </w:pPr>
      <w:r>
        <w:rPr>
          <w:color w:val="auto"/>
          <w:highlight w:val="none"/>
        </w:rPr>
        <w:br w:type="page"/>
      </w:r>
      <w:r>
        <w:rPr>
          <w:rFonts w:hint="eastAsia" w:cs="仿宋" w:asciiTheme="majorEastAsia" w:hAnsiTheme="majorEastAsia" w:eastAsiaTheme="majorEastAsia"/>
          <w:b/>
          <w:color w:val="auto"/>
          <w:sz w:val="36"/>
          <w:szCs w:val="36"/>
          <w:highlight w:val="none"/>
        </w:rPr>
        <w:t xml:space="preserve">第四部分   </w:t>
      </w:r>
      <w:bookmarkStart w:id="37" w:name="_Toc184308074"/>
      <w:bookmarkEnd w:id="37"/>
      <w:bookmarkStart w:id="38" w:name="_Toc184314468"/>
      <w:bookmarkEnd w:id="38"/>
      <w:bookmarkStart w:id="39" w:name="_Toc184308083"/>
      <w:bookmarkEnd w:id="39"/>
      <w:bookmarkStart w:id="40" w:name="_Toc184312102"/>
      <w:bookmarkEnd w:id="40"/>
      <w:bookmarkStart w:id="41" w:name="_Toc184308104"/>
      <w:bookmarkEnd w:id="41"/>
      <w:bookmarkStart w:id="42" w:name="_Toc184313287"/>
      <w:bookmarkEnd w:id="42"/>
      <w:bookmarkStart w:id="43" w:name="_Toc184308079"/>
      <w:bookmarkEnd w:id="43"/>
      <w:bookmarkStart w:id="44" w:name="_Toc184313266"/>
      <w:bookmarkEnd w:id="44"/>
      <w:bookmarkStart w:id="45" w:name="_Toc184312127"/>
      <w:bookmarkEnd w:id="45"/>
      <w:bookmarkStart w:id="46" w:name="_Toc184313281"/>
      <w:bookmarkEnd w:id="46"/>
      <w:bookmarkStart w:id="47" w:name="_Toc184310324"/>
      <w:bookmarkEnd w:id="47"/>
      <w:bookmarkStart w:id="48" w:name="_Toc184314454"/>
      <w:bookmarkEnd w:id="48"/>
      <w:bookmarkStart w:id="49" w:name="_Toc184313274"/>
      <w:bookmarkEnd w:id="49"/>
      <w:bookmarkStart w:id="50" w:name="_Toc184313294"/>
      <w:bookmarkEnd w:id="50"/>
      <w:bookmarkStart w:id="51" w:name="_Toc184314458"/>
      <w:bookmarkEnd w:id="51"/>
      <w:bookmarkStart w:id="52" w:name="_Toc184314420"/>
      <w:bookmarkEnd w:id="52"/>
      <w:bookmarkStart w:id="53" w:name="_Toc184314412"/>
      <w:bookmarkEnd w:id="53"/>
      <w:bookmarkStart w:id="54" w:name="_Toc184312104"/>
      <w:bookmarkEnd w:id="54"/>
      <w:bookmarkStart w:id="55" w:name="_Toc184310297"/>
      <w:bookmarkEnd w:id="55"/>
      <w:bookmarkStart w:id="56" w:name="_Toc184312099"/>
      <w:bookmarkEnd w:id="56"/>
      <w:bookmarkStart w:id="57" w:name="_Toc184310304"/>
      <w:bookmarkEnd w:id="57"/>
      <w:bookmarkStart w:id="58" w:name="_Toc184310307"/>
      <w:bookmarkEnd w:id="58"/>
      <w:bookmarkStart w:id="59" w:name="_Toc184308099"/>
      <w:bookmarkEnd w:id="59"/>
      <w:bookmarkStart w:id="60" w:name="_Toc184308105"/>
      <w:bookmarkEnd w:id="60"/>
      <w:bookmarkStart w:id="61" w:name="_Toc184313272"/>
      <w:bookmarkEnd w:id="61"/>
      <w:bookmarkStart w:id="62" w:name="_Toc184308106"/>
      <w:bookmarkEnd w:id="62"/>
      <w:bookmarkStart w:id="63" w:name="_Toc184313277"/>
      <w:bookmarkEnd w:id="63"/>
      <w:bookmarkStart w:id="64" w:name="_Toc184314464"/>
      <w:bookmarkEnd w:id="64"/>
      <w:bookmarkStart w:id="65" w:name="_Toc184312110"/>
      <w:bookmarkEnd w:id="65"/>
      <w:bookmarkStart w:id="66" w:name="_Toc184310323"/>
      <w:bookmarkEnd w:id="66"/>
      <w:bookmarkStart w:id="67" w:name="_Toc184313275"/>
      <w:bookmarkEnd w:id="67"/>
      <w:bookmarkStart w:id="68" w:name="_Toc184313257"/>
      <w:bookmarkEnd w:id="68"/>
      <w:bookmarkStart w:id="69" w:name="_Toc184314411"/>
      <w:bookmarkEnd w:id="69"/>
      <w:bookmarkStart w:id="70" w:name="_Toc184313249"/>
      <w:bookmarkEnd w:id="70"/>
      <w:bookmarkStart w:id="71" w:name="_Toc184314426"/>
      <w:bookmarkEnd w:id="71"/>
      <w:bookmarkStart w:id="72" w:name="_Toc184312129"/>
      <w:bookmarkEnd w:id="72"/>
      <w:bookmarkStart w:id="73" w:name="_Toc184310289"/>
      <w:bookmarkEnd w:id="73"/>
      <w:bookmarkStart w:id="74" w:name="_Toc184312103"/>
      <w:bookmarkEnd w:id="74"/>
      <w:bookmarkStart w:id="75" w:name="_Toc184314479"/>
      <w:bookmarkEnd w:id="75"/>
      <w:bookmarkStart w:id="76" w:name="_Toc184308103"/>
      <w:bookmarkEnd w:id="76"/>
      <w:bookmarkStart w:id="77" w:name="_Toc184314461"/>
      <w:bookmarkEnd w:id="77"/>
      <w:bookmarkStart w:id="78" w:name="_Toc184312137"/>
      <w:bookmarkEnd w:id="78"/>
      <w:bookmarkStart w:id="79" w:name="_Toc184310322"/>
      <w:bookmarkEnd w:id="79"/>
      <w:bookmarkStart w:id="80" w:name="_Toc184312112"/>
      <w:bookmarkEnd w:id="80"/>
      <w:bookmarkStart w:id="81" w:name="_Toc184312090"/>
      <w:bookmarkEnd w:id="81"/>
      <w:bookmarkStart w:id="82" w:name="_Toc184313310"/>
      <w:bookmarkEnd w:id="82"/>
      <w:bookmarkStart w:id="83" w:name="_Toc184314421"/>
      <w:bookmarkEnd w:id="83"/>
      <w:bookmarkStart w:id="84" w:name="_Toc184310288"/>
      <w:bookmarkEnd w:id="84"/>
      <w:bookmarkStart w:id="85" w:name="_Toc184313303"/>
      <w:bookmarkEnd w:id="85"/>
      <w:bookmarkStart w:id="86" w:name="_Toc184310298"/>
      <w:bookmarkEnd w:id="86"/>
      <w:bookmarkStart w:id="87" w:name="_Toc184314444"/>
      <w:bookmarkEnd w:id="87"/>
      <w:bookmarkStart w:id="88" w:name="_Toc184312095"/>
      <w:bookmarkEnd w:id="88"/>
      <w:bookmarkStart w:id="89" w:name="_Toc184312131"/>
      <w:bookmarkEnd w:id="89"/>
      <w:bookmarkStart w:id="90" w:name="_Toc184308085"/>
      <w:bookmarkEnd w:id="90"/>
      <w:bookmarkStart w:id="91" w:name="_Toc184313254"/>
      <w:bookmarkEnd w:id="91"/>
      <w:bookmarkStart w:id="92" w:name="_Toc184308045"/>
      <w:bookmarkEnd w:id="92"/>
      <w:bookmarkStart w:id="93" w:name="_Toc184314478"/>
      <w:bookmarkEnd w:id="93"/>
      <w:bookmarkStart w:id="94" w:name="_Toc184310281"/>
      <w:bookmarkEnd w:id="94"/>
      <w:bookmarkStart w:id="95" w:name="_Toc184312082"/>
      <w:bookmarkEnd w:id="95"/>
      <w:bookmarkStart w:id="96" w:name="_Toc184313286"/>
      <w:bookmarkEnd w:id="96"/>
      <w:bookmarkStart w:id="97" w:name="_Toc184308089"/>
      <w:bookmarkEnd w:id="97"/>
      <w:bookmarkStart w:id="98" w:name="_Toc184314436"/>
      <w:bookmarkEnd w:id="98"/>
      <w:bookmarkStart w:id="99" w:name="_Toc184308057"/>
      <w:bookmarkEnd w:id="99"/>
      <w:bookmarkStart w:id="100" w:name="_Toc184314432"/>
      <w:bookmarkEnd w:id="100"/>
      <w:bookmarkStart w:id="101" w:name="_Toc184313252"/>
      <w:bookmarkEnd w:id="101"/>
      <w:bookmarkStart w:id="102" w:name="_Toc184308040"/>
      <w:bookmarkEnd w:id="102"/>
      <w:bookmarkStart w:id="103" w:name="_Toc184308091"/>
      <w:bookmarkEnd w:id="103"/>
      <w:bookmarkStart w:id="104" w:name="_Toc184310341"/>
      <w:bookmarkEnd w:id="104"/>
      <w:bookmarkStart w:id="105" w:name="_Toc184312136"/>
      <w:bookmarkEnd w:id="105"/>
      <w:bookmarkStart w:id="106" w:name="_Toc184313250"/>
      <w:bookmarkEnd w:id="106"/>
      <w:bookmarkStart w:id="107" w:name="_Toc184314480"/>
      <w:bookmarkEnd w:id="107"/>
      <w:bookmarkStart w:id="108" w:name="_Toc184312114"/>
      <w:bookmarkEnd w:id="108"/>
      <w:bookmarkStart w:id="109" w:name="_Toc184312125"/>
      <w:bookmarkEnd w:id="109"/>
      <w:bookmarkStart w:id="110" w:name="_Toc184308075"/>
      <w:bookmarkEnd w:id="110"/>
      <w:bookmarkStart w:id="111" w:name="_Toc184308081"/>
      <w:bookmarkEnd w:id="111"/>
      <w:bookmarkStart w:id="112" w:name="_Toc184313283"/>
      <w:bookmarkEnd w:id="112"/>
      <w:bookmarkStart w:id="113" w:name="_Toc184310333"/>
      <w:bookmarkEnd w:id="113"/>
      <w:bookmarkStart w:id="114" w:name="_Toc184308053"/>
      <w:bookmarkEnd w:id="114"/>
      <w:bookmarkStart w:id="115" w:name="_Toc184308108"/>
      <w:bookmarkEnd w:id="115"/>
      <w:bookmarkStart w:id="116" w:name="_Toc184314441"/>
      <w:bookmarkEnd w:id="116"/>
      <w:bookmarkStart w:id="117" w:name="_Toc184314434"/>
      <w:bookmarkEnd w:id="117"/>
      <w:bookmarkStart w:id="118" w:name="_Toc184313248"/>
      <w:bookmarkEnd w:id="118"/>
      <w:bookmarkStart w:id="119" w:name="_Toc184312091"/>
      <w:bookmarkEnd w:id="119"/>
      <w:bookmarkStart w:id="120" w:name="_Toc184314419"/>
      <w:bookmarkEnd w:id="120"/>
      <w:bookmarkStart w:id="121" w:name="_Toc184308071"/>
      <w:bookmarkEnd w:id="121"/>
      <w:bookmarkStart w:id="122" w:name="_Toc184308084"/>
      <w:bookmarkEnd w:id="122"/>
      <w:bookmarkStart w:id="123" w:name="_Toc184314456"/>
      <w:bookmarkEnd w:id="123"/>
      <w:bookmarkStart w:id="124" w:name="_Toc184314413"/>
      <w:bookmarkEnd w:id="124"/>
      <w:bookmarkStart w:id="125" w:name="_Toc184310314"/>
      <w:bookmarkEnd w:id="125"/>
      <w:bookmarkStart w:id="126" w:name="_Toc184313264"/>
      <w:bookmarkEnd w:id="126"/>
      <w:bookmarkStart w:id="127" w:name="_Toc184310328"/>
      <w:bookmarkEnd w:id="127"/>
      <w:bookmarkStart w:id="128" w:name="_Toc184314451"/>
      <w:bookmarkEnd w:id="128"/>
      <w:bookmarkStart w:id="129" w:name="_Toc184308066"/>
      <w:bookmarkEnd w:id="129"/>
      <w:bookmarkStart w:id="130" w:name="_Toc184310312"/>
      <w:bookmarkEnd w:id="130"/>
      <w:bookmarkStart w:id="131" w:name="_Toc184312107"/>
      <w:bookmarkEnd w:id="131"/>
      <w:bookmarkStart w:id="132" w:name="_Toc184314447"/>
      <w:bookmarkEnd w:id="132"/>
      <w:bookmarkStart w:id="133" w:name="_Toc184310320"/>
      <w:bookmarkEnd w:id="133"/>
      <w:bookmarkStart w:id="134" w:name="_Toc184312070"/>
      <w:bookmarkEnd w:id="134"/>
      <w:bookmarkStart w:id="135" w:name="_Toc184310315"/>
      <w:bookmarkEnd w:id="135"/>
      <w:bookmarkStart w:id="136" w:name="_Toc184313293"/>
      <w:bookmarkEnd w:id="136"/>
      <w:bookmarkStart w:id="137" w:name="_Toc184308047"/>
      <w:bookmarkEnd w:id="137"/>
      <w:bookmarkStart w:id="138" w:name="_Toc184314473"/>
      <w:bookmarkEnd w:id="138"/>
      <w:bookmarkStart w:id="139" w:name="_Toc184314415"/>
      <w:bookmarkEnd w:id="139"/>
      <w:bookmarkStart w:id="140" w:name="_Toc184314438"/>
      <w:bookmarkEnd w:id="140"/>
      <w:bookmarkStart w:id="141" w:name="_Toc184314463"/>
      <w:bookmarkEnd w:id="141"/>
      <w:bookmarkStart w:id="142" w:name="_Toc184310284"/>
      <w:bookmarkEnd w:id="142"/>
      <w:bookmarkStart w:id="143" w:name="_Toc184312081"/>
      <w:bookmarkEnd w:id="143"/>
      <w:bookmarkStart w:id="144" w:name="_Toc184314449"/>
      <w:bookmarkEnd w:id="144"/>
      <w:bookmarkStart w:id="145" w:name="_Toc184313265"/>
      <w:bookmarkEnd w:id="145"/>
      <w:bookmarkStart w:id="146" w:name="_Toc184312089"/>
      <w:bookmarkEnd w:id="146"/>
      <w:bookmarkStart w:id="147" w:name="_Toc184313278"/>
      <w:bookmarkEnd w:id="147"/>
      <w:bookmarkStart w:id="148" w:name="_Toc184310277"/>
      <w:bookmarkEnd w:id="148"/>
      <w:bookmarkStart w:id="149" w:name="_Toc184314440"/>
      <w:bookmarkEnd w:id="149"/>
      <w:bookmarkStart w:id="150" w:name="_Toc184313306"/>
      <w:bookmarkEnd w:id="150"/>
      <w:bookmarkStart w:id="151" w:name="_Toc184310310"/>
      <w:bookmarkEnd w:id="151"/>
      <w:bookmarkStart w:id="152" w:name="_Toc184312126"/>
      <w:bookmarkEnd w:id="152"/>
      <w:bookmarkStart w:id="153" w:name="_Toc184310294"/>
      <w:bookmarkEnd w:id="153"/>
      <w:bookmarkStart w:id="154" w:name="_Toc184314445"/>
      <w:bookmarkEnd w:id="154"/>
      <w:bookmarkStart w:id="155" w:name="_Toc184312111"/>
      <w:bookmarkEnd w:id="155"/>
      <w:bookmarkStart w:id="156" w:name="_Toc184314471"/>
      <w:bookmarkEnd w:id="156"/>
      <w:bookmarkStart w:id="157" w:name="_Toc184312135"/>
      <w:bookmarkEnd w:id="157"/>
      <w:bookmarkStart w:id="158" w:name="_Toc184310299"/>
      <w:bookmarkEnd w:id="158"/>
      <w:bookmarkStart w:id="159" w:name="_Toc184308100"/>
      <w:bookmarkEnd w:id="159"/>
      <w:bookmarkStart w:id="160" w:name="_Toc184312097"/>
      <w:bookmarkEnd w:id="160"/>
      <w:bookmarkStart w:id="161" w:name="_Toc184312096"/>
      <w:bookmarkEnd w:id="161"/>
      <w:bookmarkStart w:id="162" w:name="_Toc184310313"/>
      <w:bookmarkEnd w:id="162"/>
      <w:bookmarkStart w:id="163" w:name="_Toc184314425"/>
      <w:bookmarkEnd w:id="163"/>
      <w:bookmarkStart w:id="164" w:name="_Toc184314476"/>
      <w:bookmarkEnd w:id="164"/>
      <w:bookmarkStart w:id="165" w:name="_Toc184312073"/>
      <w:bookmarkEnd w:id="165"/>
      <w:bookmarkStart w:id="166" w:name="_Toc184314470"/>
      <w:bookmarkEnd w:id="166"/>
      <w:bookmarkStart w:id="167" w:name="_Toc184312133"/>
      <w:bookmarkEnd w:id="167"/>
      <w:bookmarkStart w:id="168" w:name="_Toc184310309"/>
      <w:bookmarkEnd w:id="168"/>
      <w:bookmarkStart w:id="169" w:name="_Toc184308090"/>
      <w:bookmarkEnd w:id="169"/>
      <w:bookmarkStart w:id="170" w:name="_Toc184312101"/>
      <w:bookmarkEnd w:id="170"/>
      <w:bookmarkStart w:id="171" w:name="_Toc184314433"/>
      <w:bookmarkEnd w:id="171"/>
      <w:bookmarkStart w:id="172" w:name="_Toc184313258"/>
      <w:bookmarkEnd w:id="172"/>
      <w:bookmarkStart w:id="173" w:name="_Toc184314469"/>
      <w:bookmarkEnd w:id="173"/>
      <w:bookmarkStart w:id="174" w:name="_Toc184313238"/>
      <w:bookmarkEnd w:id="174"/>
      <w:bookmarkStart w:id="175" w:name="_Toc184313259"/>
      <w:bookmarkEnd w:id="175"/>
      <w:bookmarkStart w:id="176" w:name="_Toc184312130"/>
      <w:bookmarkEnd w:id="176"/>
      <w:bookmarkStart w:id="177" w:name="_Toc184308041"/>
      <w:bookmarkEnd w:id="177"/>
      <w:bookmarkStart w:id="178" w:name="_Toc184308076"/>
      <w:bookmarkEnd w:id="178"/>
      <w:bookmarkStart w:id="179" w:name="_Toc184308096"/>
      <w:bookmarkEnd w:id="179"/>
      <w:bookmarkStart w:id="180" w:name="_Toc184312116"/>
      <w:bookmarkEnd w:id="180"/>
      <w:bookmarkStart w:id="181" w:name="_Toc184308094"/>
      <w:bookmarkEnd w:id="181"/>
      <w:bookmarkStart w:id="182" w:name="_Toc184312139"/>
      <w:bookmarkEnd w:id="182"/>
      <w:bookmarkStart w:id="183" w:name="_Toc184308051"/>
      <w:bookmarkEnd w:id="183"/>
      <w:bookmarkStart w:id="184" w:name="_Toc184313301"/>
      <w:bookmarkEnd w:id="184"/>
      <w:bookmarkStart w:id="185" w:name="_Toc184314457"/>
      <w:bookmarkEnd w:id="185"/>
      <w:bookmarkStart w:id="186" w:name="_Toc184310274"/>
      <w:bookmarkEnd w:id="186"/>
      <w:bookmarkStart w:id="187" w:name="_Toc184308054"/>
      <w:bookmarkEnd w:id="187"/>
      <w:bookmarkStart w:id="188" w:name="_Toc184308069"/>
      <w:bookmarkEnd w:id="188"/>
      <w:bookmarkStart w:id="189" w:name="_Toc184312086"/>
      <w:bookmarkEnd w:id="189"/>
      <w:bookmarkStart w:id="190" w:name="_Toc184308055"/>
      <w:bookmarkEnd w:id="190"/>
      <w:bookmarkStart w:id="191" w:name="_Toc184310282"/>
      <w:bookmarkEnd w:id="191"/>
      <w:bookmarkStart w:id="192" w:name="_Toc184308077"/>
      <w:bookmarkEnd w:id="192"/>
      <w:bookmarkStart w:id="193" w:name="_Toc184308093"/>
      <w:bookmarkEnd w:id="193"/>
      <w:bookmarkStart w:id="194" w:name="_Toc184308052"/>
      <w:bookmarkEnd w:id="194"/>
      <w:bookmarkStart w:id="195" w:name="_Toc184308063"/>
      <w:bookmarkEnd w:id="195"/>
      <w:bookmarkStart w:id="196" w:name="_Toc184312115"/>
      <w:bookmarkEnd w:id="196"/>
      <w:bookmarkStart w:id="197" w:name="_Toc184312083"/>
      <w:bookmarkEnd w:id="197"/>
      <w:bookmarkStart w:id="198" w:name="_Toc184312076"/>
      <w:bookmarkEnd w:id="198"/>
      <w:bookmarkStart w:id="199" w:name="_Toc184313260"/>
      <w:bookmarkEnd w:id="199"/>
      <w:bookmarkStart w:id="200" w:name="_Toc184314439"/>
      <w:bookmarkEnd w:id="200"/>
      <w:bookmarkStart w:id="201" w:name="_Toc184310285"/>
      <w:bookmarkEnd w:id="201"/>
      <w:bookmarkStart w:id="202" w:name="_Toc184312093"/>
      <w:bookmarkEnd w:id="202"/>
      <w:bookmarkStart w:id="203" w:name="_Toc184313243"/>
      <w:bookmarkEnd w:id="203"/>
      <w:bookmarkStart w:id="204" w:name="_Toc184310296"/>
      <w:bookmarkEnd w:id="204"/>
      <w:bookmarkStart w:id="205" w:name="_Toc184314410"/>
      <w:bookmarkEnd w:id="205"/>
      <w:bookmarkStart w:id="206" w:name="_Toc184312079"/>
      <w:bookmarkEnd w:id="206"/>
      <w:bookmarkStart w:id="207" w:name="_Toc184313309"/>
      <w:bookmarkEnd w:id="207"/>
      <w:bookmarkStart w:id="208" w:name="_Toc184310291"/>
      <w:bookmarkEnd w:id="208"/>
      <w:bookmarkStart w:id="209" w:name="_Toc184310336"/>
      <w:bookmarkEnd w:id="209"/>
      <w:bookmarkStart w:id="210" w:name="_Toc184310275"/>
      <w:bookmarkEnd w:id="210"/>
      <w:bookmarkStart w:id="211" w:name="_Toc184314414"/>
      <w:bookmarkEnd w:id="211"/>
      <w:bookmarkStart w:id="212" w:name="_Toc184310295"/>
      <w:bookmarkEnd w:id="212"/>
      <w:bookmarkStart w:id="213" w:name="_Toc184313300"/>
      <w:bookmarkEnd w:id="213"/>
      <w:bookmarkStart w:id="214" w:name="_Toc184314459"/>
      <w:bookmarkEnd w:id="214"/>
      <w:bookmarkStart w:id="215" w:name="_Toc184312094"/>
      <w:bookmarkEnd w:id="215"/>
      <w:bookmarkStart w:id="216" w:name="_Toc184313246"/>
      <w:bookmarkEnd w:id="216"/>
      <w:bookmarkStart w:id="217" w:name="_Toc184313292"/>
      <w:bookmarkEnd w:id="217"/>
      <w:bookmarkStart w:id="218" w:name="_Toc184312134"/>
      <w:bookmarkEnd w:id="218"/>
      <w:bookmarkStart w:id="219" w:name="_Toc184310317"/>
      <w:bookmarkEnd w:id="219"/>
      <w:bookmarkStart w:id="220" w:name="_Toc184314453"/>
      <w:bookmarkEnd w:id="220"/>
      <w:bookmarkStart w:id="221" w:name="_Toc184314477"/>
      <w:bookmarkEnd w:id="221"/>
      <w:bookmarkStart w:id="222" w:name="_Toc184312069"/>
      <w:bookmarkEnd w:id="222"/>
      <w:bookmarkStart w:id="223" w:name="_Toc184308087"/>
      <w:bookmarkEnd w:id="223"/>
      <w:bookmarkStart w:id="224" w:name="_Toc184312132"/>
      <w:bookmarkEnd w:id="224"/>
      <w:bookmarkStart w:id="225" w:name="_Toc184310334"/>
      <w:bookmarkEnd w:id="225"/>
      <w:bookmarkStart w:id="226" w:name="_Toc184314446"/>
      <w:bookmarkEnd w:id="226"/>
      <w:bookmarkStart w:id="227" w:name="_Toc184313242"/>
      <w:bookmarkEnd w:id="227"/>
      <w:bookmarkStart w:id="228" w:name="_Toc184310278"/>
      <w:bookmarkEnd w:id="228"/>
      <w:bookmarkStart w:id="229" w:name="_Toc184310286"/>
      <w:bookmarkEnd w:id="229"/>
      <w:bookmarkStart w:id="230" w:name="_Toc184310329"/>
      <w:bookmarkEnd w:id="230"/>
      <w:bookmarkStart w:id="231" w:name="_Toc184314450"/>
      <w:bookmarkEnd w:id="231"/>
      <w:bookmarkStart w:id="232" w:name="_Toc184312120"/>
      <w:bookmarkEnd w:id="232"/>
      <w:bookmarkStart w:id="233" w:name="_Toc184308062"/>
      <w:bookmarkEnd w:id="233"/>
      <w:bookmarkStart w:id="234" w:name="_Toc184310342"/>
      <w:bookmarkEnd w:id="234"/>
      <w:bookmarkStart w:id="235" w:name="_Toc184313284"/>
      <w:bookmarkEnd w:id="235"/>
      <w:bookmarkStart w:id="236" w:name="_Toc184313297"/>
      <w:bookmarkEnd w:id="236"/>
      <w:bookmarkStart w:id="237" w:name="_Toc184314452"/>
      <w:bookmarkEnd w:id="237"/>
      <w:bookmarkStart w:id="238" w:name="_Toc184312118"/>
      <w:bookmarkEnd w:id="238"/>
      <w:bookmarkStart w:id="239" w:name="_Toc184312071"/>
      <w:bookmarkEnd w:id="239"/>
      <w:bookmarkStart w:id="240" w:name="_Toc184312117"/>
      <w:bookmarkEnd w:id="240"/>
      <w:bookmarkStart w:id="241" w:name="_Toc184310318"/>
      <w:bookmarkEnd w:id="241"/>
      <w:bookmarkStart w:id="242" w:name="_Toc184312123"/>
      <w:bookmarkEnd w:id="242"/>
      <w:bookmarkStart w:id="243" w:name="_Toc184312113"/>
      <w:bookmarkEnd w:id="243"/>
      <w:bookmarkStart w:id="244" w:name="_Toc184312085"/>
      <w:bookmarkEnd w:id="244"/>
      <w:bookmarkStart w:id="245" w:name="_Toc184312077"/>
      <w:bookmarkEnd w:id="245"/>
      <w:bookmarkStart w:id="246" w:name="_Toc184313276"/>
      <w:bookmarkEnd w:id="246"/>
      <w:bookmarkStart w:id="247" w:name="_Toc184313269"/>
      <w:bookmarkEnd w:id="247"/>
      <w:bookmarkStart w:id="248" w:name="_Toc184310311"/>
      <w:bookmarkEnd w:id="248"/>
      <w:bookmarkStart w:id="249" w:name="_Toc184314475"/>
      <w:bookmarkEnd w:id="249"/>
      <w:bookmarkStart w:id="250" w:name="_Toc184314430"/>
      <w:bookmarkEnd w:id="250"/>
      <w:bookmarkStart w:id="251" w:name="_Toc184312078"/>
      <w:bookmarkEnd w:id="251"/>
      <w:bookmarkStart w:id="252" w:name="_Toc184310301"/>
      <w:bookmarkEnd w:id="252"/>
      <w:bookmarkStart w:id="253" w:name="_Toc184308058"/>
      <w:bookmarkEnd w:id="253"/>
      <w:bookmarkStart w:id="254" w:name="_Toc184308107"/>
      <w:bookmarkEnd w:id="254"/>
      <w:bookmarkStart w:id="255" w:name="_Toc184310332"/>
      <w:bookmarkEnd w:id="255"/>
      <w:bookmarkStart w:id="256" w:name="_Toc184308042"/>
      <w:bookmarkEnd w:id="256"/>
      <w:bookmarkStart w:id="257" w:name="_Toc184312122"/>
      <w:bookmarkEnd w:id="257"/>
      <w:bookmarkStart w:id="258" w:name="_Toc184308056"/>
      <w:bookmarkEnd w:id="258"/>
      <w:bookmarkStart w:id="259" w:name="_Toc184313290"/>
      <w:bookmarkEnd w:id="259"/>
      <w:bookmarkStart w:id="260" w:name="_Toc184312121"/>
      <w:bookmarkEnd w:id="260"/>
      <w:bookmarkStart w:id="261" w:name="_Toc184314460"/>
      <w:bookmarkEnd w:id="261"/>
      <w:bookmarkStart w:id="262" w:name="_Toc184313288"/>
      <w:bookmarkEnd w:id="262"/>
      <w:bookmarkStart w:id="263" w:name="_Toc184313305"/>
      <w:bookmarkEnd w:id="263"/>
      <w:bookmarkStart w:id="264" w:name="_Toc184313270"/>
      <w:bookmarkEnd w:id="264"/>
      <w:bookmarkStart w:id="265" w:name="_Toc184308073"/>
      <w:bookmarkEnd w:id="265"/>
      <w:bookmarkStart w:id="266" w:name="_Toc184314417"/>
      <w:bookmarkEnd w:id="266"/>
      <w:bookmarkStart w:id="267" w:name="_Toc184310340"/>
      <w:bookmarkEnd w:id="267"/>
      <w:bookmarkStart w:id="268" w:name="_Toc184310330"/>
      <w:bookmarkEnd w:id="268"/>
      <w:bookmarkStart w:id="269" w:name="_Toc184312080"/>
      <w:bookmarkEnd w:id="269"/>
      <w:bookmarkStart w:id="270" w:name="_Toc184314448"/>
      <w:bookmarkEnd w:id="270"/>
      <w:bookmarkStart w:id="271" w:name="_Toc184313256"/>
      <w:bookmarkEnd w:id="271"/>
      <w:bookmarkStart w:id="272" w:name="_Toc184314442"/>
      <w:bookmarkEnd w:id="272"/>
      <w:bookmarkStart w:id="273" w:name="_Toc184313251"/>
      <w:bookmarkEnd w:id="273"/>
      <w:bookmarkStart w:id="274" w:name="_Toc184314429"/>
      <w:bookmarkEnd w:id="274"/>
      <w:bookmarkStart w:id="275" w:name="_Toc184313304"/>
      <w:bookmarkEnd w:id="275"/>
      <w:bookmarkStart w:id="276" w:name="_Toc184310302"/>
      <w:bookmarkEnd w:id="276"/>
      <w:bookmarkStart w:id="277" w:name="_Toc184310339"/>
      <w:bookmarkEnd w:id="277"/>
      <w:bookmarkStart w:id="278" w:name="_Toc184310308"/>
      <w:bookmarkEnd w:id="278"/>
      <w:bookmarkStart w:id="279" w:name="_Toc184310293"/>
      <w:bookmarkEnd w:id="279"/>
      <w:bookmarkStart w:id="280" w:name="_Toc184308080"/>
      <w:bookmarkEnd w:id="280"/>
      <w:bookmarkStart w:id="281" w:name="_Toc184310303"/>
      <w:bookmarkEnd w:id="281"/>
      <w:bookmarkStart w:id="282" w:name="_Toc184313285"/>
      <w:bookmarkEnd w:id="282"/>
      <w:bookmarkStart w:id="283" w:name="_Toc184314435"/>
      <w:bookmarkEnd w:id="283"/>
      <w:bookmarkStart w:id="284" w:name="_Toc184310338"/>
      <w:bookmarkEnd w:id="284"/>
      <w:bookmarkStart w:id="285" w:name="_Toc184308061"/>
      <w:bookmarkEnd w:id="285"/>
      <w:bookmarkStart w:id="286" w:name="_Toc184313263"/>
      <w:bookmarkEnd w:id="286"/>
      <w:bookmarkStart w:id="287" w:name="_Toc184308070"/>
      <w:bookmarkEnd w:id="287"/>
      <w:bookmarkStart w:id="288" w:name="_Toc184308067"/>
      <w:bookmarkEnd w:id="288"/>
      <w:bookmarkStart w:id="289" w:name="_Toc184313289"/>
      <w:bookmarkEnd w:id="289"/>
      <w:bookmarkStart w:id="290" w:name="_Toc184310300"/>
      <w:bookmarkEnd w:id="290"/>
      <w:bookmarkStart w:id="291" w:name="_Toc184308046"/>
      <w:bookmarkEnd w:id="291"/>
      <w:bookmarkStart w:id="292" w:name="_Toc184313247"/>
      <w:bookmarkEnd w:id="292"/>
      <w:bookmarkStart w:id="293" w:name="_Toc184312124"/>
      <w:bookmarkEnd w:id="293"/>
      <w:bookmarkStart w:id="294" w:name="_Toc184314462"/>
      <w:bookmarkEnd w:id="294"/>
      <w:bookmarkStart w:id="295" w:name="_Toc184312084"/>
      <w:bookmarkEnd w:id="295"/>
      <w:bookmarkStart w:id="296" w:name="_Toc184312074"/>
      <w:bookmarkEnd w:id="296"/>
      <w:bookmarkStart w:id="297" w:name="_Toc184313299"/>
      <w:bookmarkEnd w:id="297"/>
      <w:bookmarkStart w:id="298" w:name="_Toc184313261"/>
      <w:bookmarkEnd w:id="298"/>
      <w:bookmarkStart w:id="299" w:name="_Toc184308043"/>
      <w:bookmarkEnd w:id="299"/>
      <w:bookmarkStart w:id="300" w:name="_Toc184310321"/>
      <w:bookmarkEnd w:id="300"/>
      <w:bookmarkStart w:id="301" w:name="_Toc184308097"/>
      <w:bookmarkEnd w:id="301"/>
      <w:bookmarkStart w:id="302" w:name="_Toc184310343"/>
      <w:bookmarkEnd w:id="302"/>
      <w:bookmarkStart w:id="303" w:name="_Toc184312109"/>
      <w:bookmarkEnd w:id="303"/>
      <w:bookmarkStart w:id="304" w:name="_Toc184310283"/>
      <w:bookmarkEnd w:id="304"/>
      <w:bookmarkStart w:id="305" w:name="_Toc184313302"/>
      <w:bookmarkEnd w:id="305"/>
      <w:bookmarkStart w:id="306" w:name="_Toc184310276"/>
      <w:bookmarkEnd w:id="306"/>
      <w:bookmarkStart w:id="307" w:name="_Toc184312119"/>
      <w:bookmarkEnd w:id="307"/>
      <w:bookmarkStart w:id="308" w:name="_Toc184308095"/>
      <w:bookmarkEnd w:id="308"/>
      <w:bookmarkStart w:id="309" w:name="_Toc184310326"/>
      <w:bookmarkEnd w:id="309"/>
      <w:bookmarkStart w:id="310" w:name="_Toc184308092"/>
      <w:bookmarkEnd w:id="310"/>
      <w:bookmarkStart w:id="311" w:name="_Toc184312088"/>
      <w:bookmarkEnd w:id="311"/>
      <w:bookmarkStart w:id="312" w:name="_Toc184313255"/>
      <w:bookmarkEnd w:id="312"/>
      <w:bookmarkStart w:id="313" w:name="_Toc184314424"/>
      <w:bookmarkEnd w:id="313"/>
      <w:bookmarkStart w:id="314" w:name="_Toc184312108"/>
      <w:bookmarkEnd w:id="314"/>
      <w:bookmarkStart w:id="315" w:name="_Toc184314481"/>
      <w:bookmarkEnd w:id="315"/>
      <w:bookmarkStart w:id="316" w:name="_Toc184310279"/>
      <w:bookmarkEnd w:id="316"/>
      <w:bookmarkStart w:id="317" w:name="_Toc184313298"/>
      <w:bookmarkEnd w:id="317"/>
      <w:bookmarkStart w:id="318" w:name="_Toc184313262"/>
      <w:bookmarkEnd w:id="318"/>
      <w:bookmarkStart w:id="319" w:name="_Toc184314416"/>
      <w:bookmarkEnd w:id="319"/>
      <w:bookmarkStart w:id="320" w:name="_Toc184312092"/>
      <w:bookmarkEnd w:id="320"/>
      <w:bookmarkStart w:id="321" w:name="_Toc184314431"/>
      <w:bookmarkEnd w:id="321"/>
      <w:bookmarkStart w:id="322" w:name="_Toc184313241"/>
      <w:bookmarkEnd w:id="322"/>
      <w:bookmarkStart w:id="323" w:name="_Toc184308060"/>
      <w:bookmarkEnd w:id="323"/>
      <w:bookmarkStart w:id="324" w:name="_Toc184308072"/>
      <w:bookmarkEnd w:id="324"/>
      <w:bookmarkStart w:id="325" w:name="_Toc184313244"/>
      <w:bookmarkEnd w:id="325"/>
      <w:bookmarkStart w:id="326" w:name="_Toc184310305"/>
      <w:bookmarkEnd w:id="326"/>
      <w:bookmarkStart w:id="327" w:name="_Toc184313296"/>
      <w:bookmarkEnd w:id="327"/>
      <w:bookmarkStart w:id="328" w:name="_Toc184308101"/>
      <w:bookmarkEnd w:id="328"/>
      <w:bookmarkStart w:id="329" w:name="_Toc184308068"/>
      <w:bookmarkEnd w:id="329"/>
      <w:bookmarkStart w:id="330" w:name="_Toc184313295"/>
      <w:bookmarkEnd w:id="330"/>
      <w:bookmarkStart w:id="331" w:name="_Toc184313268"/>
      <w:bookmarkEnd w:id="331"/>
      <w:bookmarkStart w:id="332" w:name="_Toc184314474"/>
      <w:bookmarkEnd w:id="332"/>
      <w:bookmarkStart w:id="333" w:name="_Toc184313239"/>
      <w:bookmarkEnd w:id="333"/>
      <w:bookmarkStart w:id="334" w:name="_Toc184310290"/>
      <w:bookmarkEnd w:id="334"/>
      <w:bookmarkStart w:id="335" w:name="_Toc184308044"/>
      <w:bookmarkEnd w:id="335"/>
      <w:bookmarkStart w:id="336" w:name="_Toc184312128"/>
      <w:bookmarkEnd w:id="336"/>
      <w:bookmarkStart w:id="337" w:name="_Toc184308036"/>
      <w:bookmarkEnd w:id="337"/>
      <w:bookmarkStart w:id="338" w:name="_Toc184308049"/>
      <w:bookmarkEnd w:id="338"/>
      <w:bookmarkStart w:id="339" w:name="_Toc184310344"/>
      <w:bookmarkEnd w:id="339"/>
      <w:bookmarkStart w:id="340" w:name="_Toc184310325"/>
      <w:bookmarkEnd w:id="340"/>
      <w:bookmarkStart w:id="341" w:name="_Toc184314423"/>
      <w:bookmarkEnd w:id="341"/>
      <w:bookmarkStart w:id="342" w:name="_Toc184310327"/>
      <w:bookmarkEnd w:id="342"/>
      <w:bookmarkStart w:id="343" w:name="_Toc184312100"/>
      <w:bookmarkEnd w:id="343"/>
      <w:bookmarkStart w:id="344" w:name="_Toc184310292"/>
      <w:bookmarkEnd w:id="344"/>
      <w:bookmarkStart w:id="345" w:name="_Toc184314472"/>
      <w:bookmarkEnd w:id="345"/>
      <w:bookmarkStart w:id="346" w:name="_Toc184312075"/>
      <w:bookmarkEnd w:id="346"/>
      <w:bookmarkStart w:id="347" w:name="_Toc184314418"/>
      <w:bookmarkEnd w:id="347"/>
      <w:bookmarkStart w:id="348" w:name="_Toc184312138"/>
      <w:bookmarkEnd w:id="348"/>
      <w:bookmarkStart w:id="349" w:name="_Toc184308064"/>
      <w:bookmarkEnd w:id="349"/>
      <w:bookmarkStart w:id="350" w:name="_Toc184313267"/>
      <w:bookmarkEnd w:id="350"/>
      <w:bookmarkStart w:id="351" w:name="_Toc184308037"/>
      <w:bookmarkEnd w:id="351"/>
      <w:bookmarkStart w:id="352" w:name="_Toc184312072"/>
      <w:bookmarkEnd w:id="352"/>
      <w:bookmarkStart w:id="353" w:name="_Toc184312068"/>
      <w:bookmarkEnd w:id="353"/>
      <w:bookmarkStart w:id="354" w:name="_Toc184313307"/>
      <w:bookmarkEnd w:id="354"/>
      <w:bookmarkStart w:id="355" w:name="_Toc184308039"/>
      <w:bookmarkEnd w:id="355"/>
      <w:bookmarkStart w:id="356" w:name="_Toc184314466"/>
      <w:bookmarkEnd w:id="356"/>
      <w:bookmarkStart w:id="357" w:name="_Toc184310280"/>
      <w:bookmarkEnd w:id="357"/>
      <w:bookmarkStart w:id="358" w:name="_Toc184313240"/>
      <w:bookmarkEnd w:id="358"/>
      <w:bookmarkStart w:id="359" w:name="_Toc184310272"/>
      <w:bookmarkEnd w:id="359"/>
      <w:bookmarkStart w:id="360" w:name="_Toc184308048"/>
      <w:bookmarkEnd w:id="360"/>
      <w:bookmarkStart w:id="361" w:name="_Toc184312067"/>
      <w:bookmarkEnd w:id="361"/>
      <w:bookmarkStart w:id="362" w:name="_Toc184314465"/>
      <w:bookmarkEnd w:id="362"/>
      <w:bookmarkStart w:id="363" w:name="_Toc184310319"/>
      <w:bookmarkEnd w:id="363"/>
      <w:bookmarkStart w:id="364" w:name="_Toc184312087"/>
      <w:bookmarkEnd w:id="364"/>
      <w:bookmarkStart w:id="365" w:name="_Toc184308102"/>
      <w:bookmarkEnd w:id="365"/>
      <w:bookmarkStart w:id="366" w:name="_Toc184314443"/>
      <w:bookmarkEnd w:id="366"/>
      <w:bookmarkStart w:id="367" w:name="_Toc184308086"/>
      <w:bookmarkEnd w:id="367"/>
      <w:bookmarkStart w:id="368" w:name="_Toc184308082"/>
      <w:bookmarkEnd w:id="368"/>
      <w:bookmarkStart w:id="369" w:name="_Toc184314428"/>
      <w:bookmarkEnd w:id="369"/>
      <w:bookmarkStart w:id="370" w:name="_Toc184310337"/>
      <w:bookmarkEnd w:id="370"/>
      <w:bookmarkStart w:id="371" w:name="_Toc184314482"/>
      <w:bookmarkEnd w:id="371"/>
      <w:bookmarkStart w:id="372" w:name="_Toc184313308"/>
      <w:bookmarkEnd w:id="372"/>
      <w:bookmarkStart w:id="373" w:name="_Toc184312106"/>
      <w:bookmarkEnd w:id="373"/>
      <w:bookmarkStart w:id="374" w:name="_Toc184310306"/>
      <w:bookmarkEnd w:id="374"/>
      <w:bookmarkStart w:id="375" w:name="_Toc184314427"/>
      <w:bookmarkEnd w:id="375"/>
      <w:bookmarkStart w:id="376" w:name="_Toc184313253"/>
      <w:bookmarkEnd w:id="376"/>
      <w:bookmarkStart w:id="377" w:name="_Toc184313271"/>
      <w:bookmarkEnd w:id="377"/>
      <w:bookmarkStart w:id="378" w:name="_Toc184310273"/>
      <w:bookmarkEnd w:id="378"/>
      <w:bookmarkStart w:id="379" w:name="_Toc184313280"/>
      <w:bookmarkEnd w:id="379"/>
      <w:bookmarkStart w:id="380" w:name="_Toc184313282"/>
      <w:bookmarkEnd w:id="380"/>
      <w:bookmarkStart w:id="381" w:name="_Toc184308050"/>
      <w:bookmarkEnd w:id="381"/>
      <w:bookmarkStart w:id="382" w:name="_Toc184313279"/>
      <w:bookmarkEnd w:id="382"/>
      <w:bookmarkStart w:id="383" w:name="_Toc184313273"/>
      <w:bookmarkEnd w:id="383"/>
      <w:bookmarkStart w:id="384" w:name="_Toc184308038"/>
      <w:bookmarkEnd w:id="384"/>
      <w:bookmarkStart w:id="385" w:name="_Toc184312105"/>
      <w:bookmarkEnd w:id="385"/>
      <w:bookmarkStart w:id="386" w:name="_Toc184310316"/>
      <w:bookmarkEnd w:id="386"/>
      <w:bookmarkStart w:id="387" w:name="_Toc184310287"/>
      <w:bookmarkEnd w:id="387"/>
      <w:bookmarkStart w:id="388" w:name="_Toc184310331"/>
      <w:bookmarkEnd w:id="388"/>
      <w:bookmarkStart w:id="389" w:name="_Toc184308078"/>
      <w:bookmarkEnd w:id="389"/>
      <w:bookmarkStart w:id="390" w:name="_Toc184308059"/>
      <w:bookmarkEnd w:id="390"/>
      <w:bookmarkStart w:id="391" w:name="_Toc184314467"/>
      <w:bookmarkEnd w:id="391"/>
      <w:bookmarkStart w:id="392" w:name="_Toc184313291"/>
      <w:bookmarkEnd w:id="392"/>
      <w:bookmarkStart w:id="393" w:name="_Toc184308088"/>
      <w:bookmarkEnd w:id="393"/>
      <w:bookmarkStart w:id="394" w:name="_Toc184310335"/>
      <w:bookmarkEnd w:id="394"/>
      <w:bookmarkStart w:id="395" w:name="_Toc184313245"/>
      <w:bookmarkEnd w:id="395"/>
      <w:bookmarkStart w:id="396" w:name="_Toc184314437"/>
      <w:bookmarkEnd w:id="396"/>
      <w:bookmarkStart w:id="397" w:name="_Toc184308098"/>
      <w:bookmarkEnd w:id="397"/>
      <w:bookmarkStart w:id="398" w:name="_Toc184314422"/>
      <w:bookmarkEnd w:id="398"/>
      <w:bookmarkStart w:id="399" w:name="_Toc184308065"/>
      <w:bookmarkEnd w:id="399"/>
      <w:bookmarkStart w:id="400" w:name="_Toc184314455"/>
      <w:bookmarkEnd w:id="400"/>
      <w:bookmarkStart w:id="401" w:name="_Toc184312098"/>
      <w:bookmarkEnd w:id="401"/>
      <w:r>
        <w:rPr>
          <w:rFonts w:hint="eastAsia" w:cs="仿宋" w:asciiTheme="majorEastAsia" w:hAnsiTheme="majorEastAsia" w:eastAsiaTheme="majorEastAsia"/>
          <w:b/>
          <w:color w:val="auto"/>
          <w:sz w:val="36"/>
          <w:szCs w:val="36"/>
          <w:highlight w:val="none"/>
        </w:rPr>
        <w:t>评标办法</w:t>
      </w:r>
    </w:p>
    <w:p w14:paraId="09B8B3F6">
      <w:pPr>
        <w:shd w:val="clear"/>
        <w:snapToGrid w:val="0"/>
        <w:spacing w:line="360" w:lineRule="auto"/>
        <w:jc w:val="center"/>
        <w:rPr>
          <w:rFonts w:cs="仿宋" w:asciiTheme="majorEastAsia" w:hAnsiTheme="majorEastAsia" w:eastAsiaTheme="majorEastAsia"/>
          <w:b/>
          <w:color w:val="auto"/>
          <w:sz w:val="32"/>
          <w:szCs w:val="20"/>
          <w:highlight w:val="none"/>
        </w:rPr>
      </w:pPr>
      <w:r>
        <w:rPr>
          <w:rFonts w:hint="eastAsia" w:cs="仿宋" w:asciiTheme="majorEastAsia" w:hAnsiTheme="majorEastAsia" w:eastAsiaTheme="majorEastAsia"/>
          <w:b/>
          <w:color w:val="auto"/>
          <w:sz w:val="32"/>
          <w:szCs w:val="20"/>
          <w:highlight w:val="none"/>
        </w:rPr>
        <w:t>评标办法前附表</w:t>
      </w:r>
    </w:p>
    <w:tbl>
      <w:tblPr>
        <w:tblStyle w:val="18"/>
        <w:tblpPr w:leftFromText="180" w:rightFromText="180" w:vertAnchor="text" w:horzAnchor="page" w:tblpX="1301" w:tblpY="306"/>
        <w:tblOverlap w:val="never"/>
        <w:tblW w:w="99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7"/>
        <w:gridCol w:w="1201"/>
        <w:gridCol w:w="34"/>
        <w:gridCol w:w="736"/>
        <w:gridCol w:w="6704"/>
      </w:tblGrid>
      <w:tr w14:paraId="0400D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blHeader/>
        </w:trPr>
        <w:tc>
          <w:tcPr>
            <w:tcW w:w="3288" w:type="dxa"/>
            <w:gridSpan w:val="4"/>
            <w:vAlign w:val="center"/>
          </w:tcPr>
          <w:p w14:paraId="0461B6D7">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投标单位评分项及分值</w:t>
            </w:r>
          </w:p>
        </w:tc>
        <w:tc>
          <w:tcPr>
            <w:tcW w:w="6704" w:type="dxa"/>
            <w:vAlign w:val="center"/>
          </w:tcPr>
          <w:p w14:paraId="4A621C5A">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说明备注</w:t>
            </w:r>
          </w:p>
        </w:tc>
      </w:tr>
      <w:tr w14:paraId="04D00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9992" w:type="dxa"/>
            <w:gridSpan w:val="5"/>
            <w:vAlign w:val="center"/>
          </w:tcPr>
          <w:p w14:paraId="62698A30">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资信技术分60分</w:t>
            </w:r>
          </w:p>
        </w:tc>
      </w:tr>
      <w:tr w14:paraId="3B97C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2552" w:type="dxa"/>
            <w:gridSpan w:val="3"/>
            <w:vAlign w:val="center"/>
          </w:tcPr>
          <w:p w14:paraId="460E03F7">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一、技术参数响应情况（1</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分）</w:t>
            </w:r>
          </w:p>
        </w:tc>
        <w:tc>
          <w:tcPr>
            <w:tcW w:w="7440" w:type="dxa"/>
            <w:gridSpan w:val="2"/>
            <w:vAlign w:val="center"/>
          </w:tcPr>
          <w:p w14:paraId="4F470649">
            <w:pPr>
              <w:shd w:val="clear"/>
              <w:rPr>
                <w:rFonts w:ascii="宋体" w:hAnsi="宋体" w:cs="宋体"/>
                <w:color w:val="auto"/>
                <w:sz w:val="24"/>
                <w:highlight w:val="none"/>
              </w:rPr>
            </w:pPr>
            <w:r>
              <w:rPr>
                <w:rFonts w:hint="eastAsia" w:ascii="宋体" w:hAnsi="宋体" w:cs="宋体"/>
                <w:color w:val="auto"/>
                <w:sz w:val="24"/>
                <w:highlight w:val="none"/>
              </w:rPr>
              <w:t>投标人所投产品的技术参数完全符合招标文件采购需求的得1</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分；一般技术参数每负偏离一项扣1分，标★的技术参数有负偏离的每条扣2分；负偏离达</w:t>
            </w:r>
            <w:r>
              <w:rPr>
                <w:rFonts w:hint="eastAsia" w:ascii="宋体" w:hAnsi="宋体" w:cs="宋体"/>
                <w:color w:val="auto"/>
                <w:sz w:val="24"/>
                <w:highlight w:val="none"/>
                <w:lang w:val="en-US" w:eastAsia="zh-CN"/>
              </w:rPr>
              <w:t>7</w:t>
            </w:r>
            <w:r>
              <w:rPr>
                <w:rFonts w:hint="eastAsia" w:ascii="宋体" w:hAnsi="宋体" w:cs="宋体"/>
                <w:color w:val="auto"/>
                <w:sz w:val="24"/>
                <w:highlight w:val="none"/>
              </w:rPr>
              <w:t>项及以上的作无效投标处理。投标文件中如要求提供相关证明文件材料，未提供或提供不满足的视为负偏离。</w:t>
            </w:r>
          </w:p>
        </w:tc>
      </w:tr>
      <w:tr w14:paraId="4495F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317" w:type="dxa"/>
            <w:vMerge w:val="restart"/>
            <w:vAlign w:val="center"/>
          </w:tcPr>
          <w:p w14:paraId="6D753D73">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二、设备选型的合理性(20分)</w:t>
            </w:r>
          </w:p>
        </w:tc>
        <w:tc>
          <w:tcPr>
            <w:tcW w:w="1235" w:type="dxa"/>
            <w:gridSpan w:val="2"/>
            <w:vAlign w:val="center"/>
          </w:tcPr>
          <w:p w14:paraId="18B8E516">
            <w:pPr>
              <w:shd w:val="clear"/>
              <w:spacing w:line="0" w:lineRule="atLeast"/>
              <w:jc w:val="left"/>
              <w:rPr>
                <w:rFonts w:ascii="宋体" w:hAnsi="宋体" w:cs="宋体"/>
                <w:color w:val="auto"/>
                <w:sz w:val="24"/>
                <w:highlight w:val="none"/>
              </w:rPr>
            </w:pPr>
            <w:r>
              <w:rPr>
                <w:rFonts w:hint="eastAsia" w:ascii="宋体" w:hAnsi="宋体" w:cs="宋体"/>
                <w:color w:val="auto"/>
                <w:sz w:val="24"/>
                <w:highlight w:val="none"/>
              </w:rPr>
              <w:t>木屋功能架组合(8分)</w:t>
            </w:r>
          </w:p>
        </w:tc>
        <w:tc>
          <w:tcPr>
            <w:tcW w:w="7440" w:type="dxa"/>
            <w:gridSpan w:val="2"/>
            <w:vAlign w:val="center"/>
          </w:tcPr>
          <w:p w14:paraId="7BA74854">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1、投标人在投标文件中提供木屋功能架组合五视图、安装图及结构分解图，并进行评议：图纸满足采购需求的得1.5分，结构明确清晰、分解合理的得1.5分，安装步骤明确、实用的得1.5分，各个视图内容完整、尺寸表述清楚、详尽的得1.5分，以上内容存在不足或有所欠缺的对应项得0.5分，不符合的对应项不得分，共6分。</w:t>
            </w:r>
          </w:p>
          <w:p w14:paraId="27C8FE6F">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注：投标文件中提供木屋功能架组合五视图、安装图及结构分解图，未提供或提供不全的不得分。</w:t>
            </w:r>
          </w:p>
          <w:p w14:paraId="2605FD1A">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2、木屋功能架组合所选用主材、油漆、五金配件等使用原材料质量良好、环保安全的得1分，以上内容存在不足或有所欠缺的得0.5分，未提供或不符合的不得分；</w:t>
            </w:r>
          </w:p>
          <w:p w14:paraId="273803BB">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3、木屋功能架组合造型样式、色彩搭配等外观美观适用的得1分，以上内容存在不足或有所欠缺的得0.5分，未提供或不符合的不得分。</w:t>
            </w:r>
          </w:p>
        </w:tc>
      </w:tr>
      <w:tr w14:paraId="621DB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317" w:type="dxa"/>
            <w:vMerge w:val="continue"/>
            <w:vAlign w:val="center"/>
          </w:tcPr>
          <w:p w14:paraId="339DE45E">
            <w:pPr>
              <w:shd w:val="clear"/>
              <w:spacing w:line="0" w:lineRule="atLeast"/>
              <w:rPr>
                <w:rFonts w:ascii="宋体" w:hAnsi="宋体" w:cs="宋体"/>
                <w:color w:val="auto"/>
                <w:sz w:val="24"/>
                <w:highlight w:val="none"/>
              </w:rPr>
            </w:pPr>
          </w:p>
        </w:tc>
        <w:tc>
          <w:tcPr>
            <w:tcW w:w="1235" w:type="dxa"/>
            <w:gridSpan w:val="2"/>
            <w:shd w:val="clear" w:color="auto" w:fill="auto"/>
            <w:vAlign w:val="center"/>
          </w:tcPr>
          <w:p w14:paraId="0177A92D">
            <w:pPr>
              <w:shd w:val="clear"/>
              <w:spacing w:line="0" w:lineRule="atLeast"/>
              <w:jc w:val="left"/>
              <w:rPr>
                <w:rFonts w:ascii="宋体" w:hAnsi="宋体" w:cs="宋体"/>
                <w:color w:val="auto"/>
                <w:sz w:val="24"/>
                <w:highlight w:val="none"/>
              </w:rPr>
            </w:pPr>
            <w:r>
              <w:rPr>
                <w:rFonts w:hint="eastAsia" w:ascii="宋体" w:hAnsi="宋体" w:cs="宋体"/>
                <w:color w:val="auto"/>
                <w:sz w:val="24"/>
                <w:highlight w:val="none"/>
              </w:rPr>
              <w:t>木屋组合玩具（4分）</w:t>
            </w:r>
          </w:p>
        </w:tc>
        <w:tc>
          <w:tcPr>
            <w:tcW w:w="7440" w:type="dxa"/>
            <w:gridSpan w:val="2"/>
            <w:shd w:val="clear" w:color="auto" w:fill="auto"/>
            <w:vAlign w:val="center"/>
          </w:tcPr>
          <w:p w14:paraId="36BFF3B8">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1、投标人在投标文件中提供木屋组合玩具五视图、安装图及结构分解图，并进行评议：图纸满足采购需求的得1分，结构明确清晰、分解合理的得1分，安装步骤明确、实用的得1分，各个视图内容完整、尺寸表述清楚、详尽的得1分，以上内容存在不足或有所欠缺的对应项得0.5分，不符合的对应项不得分，共</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分。</w:t>
            </w:r>
          </w:p>
          <w:p w14:paraId="5F658251">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注：投标文件中提供木屋组合玩具五视图、安装图及结构分解图，未提供或提供不全的不得分。</w:t>
            </w:r>
          </w:p>
        </w:tc>
      </w:tr>
      <w:tr w14:paraId="3A660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317" w:type="dxa"/>
            <w:vMerge w:val="continue"/>
            <w:vAlign w:val="center"/>
          </w:tcPr>
          <w:p w14:paraId="23F3A5AB">
            <w:pPr>
              <w:shd w:val="clear"/>
              <w:spacing w:line="0" w:lineRule="atLeast"/>
              <w:rPr>
                <w:rFonts w:ascii="宋体" w:hAnsi="宋体" w:cs="宋体"/>
                <w:color w:val="auto"/>
                <w:sz w:val="24"/>
                <w:highlight w:val="none"/>
              </w:rPr>
            </w:pPr>
          </w:p>
        </w:tc>
        <w:tc>
          <w:tcPr>
            <w:tcW w:w="1235" w:type="dxa"/>
            <w:gridSpan w:val="2"/>
            <w:shd w:val="clear" w:color="auto" w:fill="auto"/>
            <w:vAlign w:val="center"/>
          </w:tcPr>
          <w:p w14:paraId="720FDB52">
            <w:pPr>
              <w:shd w:val="clear"/>
              <w:spacing w:line="0" w:lineRule="atLeast"/>
              <w:jc w:val="left"/>
              <w:rPr>
                <w:rFonts w:ascii="宋体" w:hAnsi="宋体" w:cs="宋体"/>
                <w:color w:val="auto"/>
                <w:sz w:val="24"/>
                <w:highlight w:val="none"/>
              </w:rPr>
            </w:pPr>
            <w:r>
              <w:rPr>
                <w:rFonts w:hint="eastAsia" w:ascii="宋体" w:hAnsi="宋体" w:cs="宋体"/>
                <w:color w:val="auto"/>
                <w:sz w:val="24"/>
                <w:highlight w:val="none"/>
              </w:rPr>
              <w:t>悬浮运动地板（8分）</w:t>
            </w:r>
          </w:p>
        </w:tc>
        <w:tc>
          <w:tcPr>
            <w:tcW w:w="7440" w:type="dxa"/>
            <w:gridSpan w:val="2"/>
            <w:shd w:val="clear" w:color="auto" w:fill="auto"/>
            <w:vAlign w:val="center"/>
          </w:tcPr>
          <w:p w14:paraId="44A124A5">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1、投标人根据采购要求提供尺寸为248mm（±2mm）×248mm（±0.2mm）×15mm（±0.2mm），190g（±2g)的悬浮运动地板一块，并对所提供样品进行评议：</w:t>
            </w:r>
          </w:p>
          <w:p w14:paraId="690475A9">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所投悬浮运动地板外观整洁美观的得1分，制作工艺良好、无毛边、无缺陷的得1分，材质材料安全可靠的得1分，产品底部弹性垫设计合理、缓冲效果好的得1分，拼接便捷、咬合牢固的得1分，以上内容存在不足或有所欠缺的对应项得0.5分，共5分。</w:t>
            </w:r>
          </w:p>
          <w:p w14:paraId="4A0F76EA">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2、所投产品制造商具有有效期内的质量管理体系认证、环境管理体系认证、职业健康安全管理体系认证证书（认证范围均包括悬浮式拼装运动地板</w:t>
            </w:r>
            <w:r>
              <w:rPr>
                <w:rFonts w:hint="eastAsia" w:ascii="宋体" w:hAnsi="宋体" w:cs="宋体"/>
                <w:color w:val="auto"/>
                <w:sz w:val="24"/>
                <w:highlight w:val="none"/>
                <w:lang w:val="en-US" w:eastAsia="zh-CN"/>
              </w:rPr>
              <w:t>相关内容</w:t>
            </w:r>
            <w:r>
              <w:rPr>
                <w:rFonts w:hint="eastAsia" w:ascii="宋体" w:hAnsi="宋体" w:cs="宋体"/>
                <w:color w:val="auto"/>
                <w:sz w:val="24"/>
                <w:highlight w:val="none"/>
              </w:rPr>
              <w:t>）的，每提供一个得1分，共3分。</w:t>
            </w:r>
          </w:p>
          <w:p w14:paraId="67A570FE">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注：投标文件中提供相关证书复印件等证明材料，未提供的对应证书不得分，认证范围</w:t>
            </w:r>
            <w:r>
              <w:rPr>
                <w:rFonts w:hint="eastAsia" w:ascii="宋体" w:hAnsi="宋体" w:cs="宋体"/>
                <w:color w:val="auto"/>
                <w:sz w:val="24"/>
                <w:highlight w:val="none"/>
                <w:lang w:val="en-US" w:eastAsia="zh-CN"/>
              </w:rPr>
              <w:t>不符合</w:t>
            </w:r>
            <w:r>
              <w:rPr>
                <w:rFonts w:hint="eastAsia" w:ascii="宋体" w:hAnsi="宋体" w:cs="宋体"/>
                <w:color w:val="auto"/>
                <w:sz w:val="24"/>
                <w:highlight w:val="none"/>
              </w:rPr>
              <w:t>的对应证书不得分。</w:t>
            </w:r>
          </w:p>
        </w:tc>
      </w:tr>
      <w:tr w14:paraId="12792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 w:hRule="atLeast"/>
        </w:trPr>
        <w:tc>
          <w:tcPr>
            <w:tcW w:w="1317" w:type="dxa"/>
            <w:vMerge w:val="restart"/>
            <w:vAlign w:val="center"/>
          </w:tcPr>
          <w:p w14:paraId="116E11BF">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三、项目深化设计方案（</w:t>
            </w:r>
            <w:r>
              <w:rPr>
                <w:rFonts w:hint="eastAsia" w:ascii="宋体" w:hAnsi="宋体" w:cs="宋体"/>
                <w:color w:val="auto"/>
                <w:sz w:val="24"/>
                <w:highlight w:val="none"/>
                <w:lang w:val="en-US" w:eastAsia="zh-CN"/>
              </w:rPr>
              <w:t>18</w:t>
            </w:r>
            <w:r>
              <w:rPr>
                <w:rFonts w:hint="eastAsia" w:ascii="宋体" w:hAnsi="宋体" w:cs="宋体"/>
                <w:color w:val="auto"/>
                <w:sz w:val="24"/>
                <w:highlight w:val="none"/>
              </w:rPr>
              <w:t>分）</w:t>
            </w:r>
          </w:p>
        </w:tc>
        <w:tc>
          <w:tcPr>
            <w:tcW w:w="1235" w:type="dxa"/>
            <w:gridSpan w:val="2"/>
            <w:vAlign w:val="center"/>
          </w:tcPr>
          <w:p w14:paraId="2F05B540">
            <w:pPr>
              <w:shd w:val="clear"/>
              <w:spacing w:line="0" w:lineRule="atLeast"/>
              <w:jc w:val="left"/>
              <w:rPr>
                <w:rFonts w:ascii="宋体" w:hAnsi="宋体" w:cs="宋体"/>
                <w:color w:val="auto"/>
                <w:sz w:val="24"/>
                <w:highlight w:val="none"/>
              </w:rPr>
            </w:pPr>
            <w:r>
              <w:rPr>
                <w:rFonts w:hint="eastAsia" w:ascii="宋体" w:hAnsi="宋体" w:cs="宋体"/>
                <w:color w:val="auto"/>
                <w:sz w:val="24"/>
                <w:highlight w:val="none"/>
              </w:rPr>
              <w:t>种植体验区（2分）</w:t>
            </w:r>
          </w:p>
        </w:tc>
        <w:tc>
          <w:tcPr>
            <w:tcW w:w="7440" w:type="dxa"/>
            <w:gridSpan w:val="2"/>
            <w:vAlign w:val="center"/>
          </w:tcPr>
          <w:p w14:paraId="45979A51">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投标人结合本项目采购清单中设备配置情况及图纸，提供种植体验区规划设计及效果图，并进行评议：规划设计清晰合理的得0.5分、设备布局合理的得0.5分、效果展示美观的得0.5分、幼童的适用性高的得0.5分，未提供或不符合的对应项不得分，共2分。</w:t>
            </w:r>
          </w:p>
        </w:tc>
      </w:tr>
      <w:tr w14:paraId="1D8E9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1317" w:type="dxa"/>
            <w:vMerge w:val="continue"/>
            <w:vAlign w:val="center"/>
          </w:tcPr>
          <w:p w14:paraId="02DFEA14">
            <w:pPr>
              <w:shd w:val="clear"/>
              <w:spacing w:line="0" w:lineRule="atLeast"/>
              <w:rPr>
                <w:rFonts w:ascii="宋体" w:hAnsi="宋体" w:cs="宋体"/>
                <w:color w:val="auto"/>
                <w:sz w:val="24"/>
                <w:highlight w:val="none"/>
              </w:rPr>
            </w:pPr>
          </w:p>
        </w:tc>
        <w:tc>
          <w:tcPr>
            <w:tcW w:w="1235" w:type="dxa"/>
            <w:gridSpan w:val="2"/>
            <w:vAlign w:val="center"/>
          </w:tcPr>
          <w:p w14:paraId="223B11F3">
            <w:pPr>
              <w:shd w:val="clear"/>
              <w:spacing w:line="0" w:lineRule="atLeast"/>
              <w:jc w:val="left"/>
              <w:rPr>
                <w:rFonts w:ascii="宋体" w:hAnsi="宋体" w:cs="宋体"/>
                <w:color w:val="auto"/>
                <w:sz w:val="24"/>
                <w:highlight w:val="none"/>
              </w:rPr>
            </w:pPr>
            <w:r>
              <w:rPr>
                <w:rFonts w:hint="eastAsia" w:ascii="宋体" w:hAnsi="宋体" w:cs="宋体"/>
                <w:color w:val="auto"/>
                <w:sz w:val="24"/>
                <w:highlight w:val="none"/>
              </w:rPr>
              <w:t>户外生活体验区（2分）</w:t>
            </w:r>
          </w:p>
        </w:tc>
        <w:tc>
          <w:tcPr>
            <w:tcW w:w="7440" w:type="dxa"/>
            <w:gridSpan w:val="2"/>
            <w:vAlign w:val="center"/>
          </w:tcPr>
          <w:p w14:paraId="70BFD3FD">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投标人结合本项目采购清单中设备配置情况及图纸，提供户外生活体验区规划设计及效果图，并进行评议：规划设计清晰合理的得0.5分、设备布局合理的得0.5分、效果展示美观的得0.5分、幼童的适用性高的得0.5分，未提供或不符合的对应项不得分，共2分。</w:t>
            </w:r>
          </w:p>
        </w:tc>
      </w:tr>
      <w:tr w14:paraId="5FAF9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1317" w:type="dxa"/>
            <w:vMerge w:val="continue"/>
            <w:vAlign w:val="center"/>
          </w:tcPr>
          <w:p w14:paraId="2E2261A1">
            <w:pPr>
              <w:shd w:val="clear"/>
              <w:spacing w:line="0" w:lineRule="atLeast"/>
              <w:rPr>
                <w:rFonts w:ascii="宋体" w:hAnsi="宋体" w:cs="宋体"/>
                <w:color w:val="auto"/>
                <w:sz w:val="24"/>
                <w:highlight w:val="none"/>
              </w:rPr>
            </w:pPr>
          </w:p>
        </w:tc>
        <w:tc>
          <w:tcPr>
            <w:tcW w:w="1235" w:type="dxa"/>
            <w:gridSpan w:val="2"/>
            <w:vAlign w:val="center"/>
          </w:tcPr>
          <w:p w14:paraId="72688278">
            <w:pPr>
              <w:shd w:val="clear"/>
              <w:spacing w:line="0" w:lineRule="atLeast"/>
              <w:jc w:val="left"/>
              <w:rPr>
                <w:rFonts w:ascii="宋体" w:hAnsi="宋体" w:cs="宋体"/>
                <w:color w:val="auto"/>
                <w:sz w:val="24"/>
                <w:highlight w:val="none"/>
              </w:rPr>
            </w:pPr>
            <w:r>
              <w:rPr>
                <w:rFonts w:hint="eastAsia" w:ascii="宋体" w:hAnsi="宋体" w:cs="宋体"/>
                <w:color w:val="auto"/>
                <w:sz w:val="24"/>
                <w:highlight w:val="none"/>
              </w:rPr>
              <w:t>沙水区（2分）</w:t>
            </w:r>
          </w:p>
        </w:tc>
        <w:tc>
          <w:tcPr>
            <w:tcW w:w="7440" w:type="dxa"/>
            <w:gridSpan w:val="2"/>
            <w:vAlign w:val="center"/>
          </w:tcPr>
          <w:p w14:paraId="7581FAA7">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投标人结合本项目采购清单中设备配置情况及图纸，提供沙水区规划设计及效果图，并进行评议：规划设计清晰合理的得0.5分、设备布局合理的得0.5分、效果展示美观的得0.5分、幼童的适用性高的得0.5分，未提供或不符合的对应项不得分，共2分。</w:t>
            </w:r>
          </w:p>
        </w:tc>
      </w:tr>
      <w:tr w14:paraId="4A84A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317" w:type="dxa"/>
            <w:vMerge w:val="continue"/>
            <w:vAlign w:val="center"/>
          </w:tcPr>
          <w:p w14:paraId="0F7D717D">
            <w:pPr>
              <w:shd w:val="clear"/>
              <w:spacing w:line="0" w:lineRule="atLeast"/>
              <w:rPr>
                <w:rFonts w:ascii="宋体" w:hAnsi="宋体" w:cs="宋体"/>
                <w:color w:val="auto"/>
                <w:sz w:val="24"/>
                <w:highlight w:val="none"/>
              </w:rPr>
            </w:pPr>
          </w:p>
        </w:tc>
        <w:tc>
          <w:tcPr>
            <w:tcW w:w="1235" w:type="dxa"/>
            <w:gridSpan w:val="2"/>
            <w:vAlign w:val="center"/>
          </w:tcPr>
          <w:p w14:paraId="73874453">
            <w:pPr>
              <w:shd w:val="clear"/>
              <w:spacing w:line="0" w:lineRule="atLeast"/>
              <w:jc w:val="left"/>
              <w:rPr>
                <w:rFonts w:ascii="宋体" w:hAnsi="宋体" w:cs="宋体"/>
                <w:color w:val="auto"/>
                <w:sz w:val="24"/>
                <w:highlight w:val="none"/>
              </w:rPr>
            </w:pPr>
            <w:r>
              <w:rPr>
                <w:rFonts w:hint="eastAsia" w:ascii="宋体" w:hAnsi="宋体" w:cs="宋体"/>
                <w:color w:val="auto"/>
                <w:sz w:val="24"/>
                <w:highlight w:val="none"/>
              </w:rPr>
              <w:t>土坡拓展区（2分）</w:t>
            </w:r>
          </w:p>
        </w:tc>
        <w:tc>
          <w:tcPr>
            <w:tcW w:w="7440" w:type="dxa"/>
            <w:gridSpan w:val="2"/>
            <w:vAlign w:val="center"/>
          </w:tcPr>
          <w:p w14:paraId="23FC1B00">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投标人结合本项目采购清单中设备配置情况及图纸，提供土坡拓展区规划设计及效果图，并进行评议：规划设计清晰合理的得0.5分、设备布局合理的得0.5分、效果展示美观的得0.5分、幼童的适用性高的得0.5分，未提供或不符合的对应项不得分，共2分。</w:t>
            </w:r>
          </w:p>
        </w:tc>
      </w:tr>
      <w:tr w14:paraId="012D9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317" w:type="dxa"/>
            <w:vMerge w:val="continue"/>
            <w:vAlign w:val="center"/>
          </w:tcPr>
          <w:p w14:paraId="6C7B7858">
            <w:pPr>
              <w:shd w:val="clear"/>
              <w:spacing w:line="0" w:lineRule="atLeast"/>
              <w:rPr>
                <w:rFonts w:ascii="宋体" w:hAnsi="宋体" w:cs="宋体"/>
                <w:color w:val="auto"/>
                <w:sz w:val="24"/>
                <w:highlight w:val="none"/>
              </w:rPr>
            </w:pPr>
          </w:p>
        </w:tc>
        <w:tc>
          <w:tcPr>
            <w:tcW w:w="1235" w:type="dxa"/>
            <w:gridSpan w:val="2"/>
            <w:vAlign w:val="center"/>
          </w:tcPr>
          <w:p w14:paraId="37D9496C">
            <w:pPr>
              <w:shd w:val="clear"/>
              <w:spacing w:line="0" w:lineRule="atLeast"/>
              <w:jc w:val="left"/>
              <w:rPr>
                <w:rFonts w:ascii="宋体" w:hAnsi="宋体" w:cs="宋体"/>
                <w:color w:val="auto"/>
                <w:sz w:val="24"/>
                <w:highlight w:val="none"/>
              </w:rPr>
            </w:pPr>
            <w:r>
              <w:rPr>
                <w:rFonts w:hint="eastAsia" w:ascii="宋体" w:hAnsi="宋体" w:cs="宋体"/>
                <w:color w:val="auto"/>
                <w:sz w:val="24"/>
                <w:highlight w:val="none"/>
              </w:rPr>
              <w:t>休闲区（2分）</w:t>
            </w:r>
          </w:p>
        </w:tc>
        <w:tc>
          <w:tcPr>
            <w:tcW w:w="7440" w:type="dxa"/>
            <w:gridSpan w:val="2"/>
            <w:vAlign w:val="center"/>
          </w:tcPr>
          <w:p w14:paraId="4BC3A58C">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投标人结合本项目采购清单中设备配置情况及图纸，提供休闲区规划设计及效果图，并进行评议：规划设计清晰合理的得0.5分、设备布局合理的得0.5分、效果展示美观的得0.5分、幼童的适用性高的得0.5分，未提供或不符合的对应项不得分，共2分。</w:t>
            </w:r>
          </w:p>
        </w:tc>
      </w:tr>
      <w:tr w14:paraId="6CB08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317" w:type="dxa"/>
            <w:vMerge w:val="continue"/>
            <w:vAlign w:val="center"/>
          </w:tcPr>
          <w:p w14:paraId="23DE4AD5">
            <w:pPr>
              <w:shd w:val="clear"/>
              <w:spacing w:line="0" w:lineRule="atLeast"/>
              <w:rPr>
                <w:rFonts w:ascii="宋体" w:hAnsi="宋体" w:cs="宋体"/>
                <w:color w:val="auto"/>
                <w:sz w:val="24"/>
                <w:highlight w:val="none"/>
              </w:rPr>
            </w:pPr>
          </w:p>
        </w:tc>
        <w:tc>
          <w:tcPr>
            <w:tcW w:w="1235" w:type="dxa"/>
            <w:gridSpan w:val="2"/>
            <w:vAlign w:val="center"/>
          </w:tcPr>
          <w:p w14:paraId="7DAF9993">
            <w:pPr>
              <w:shd w:val="clear"/>
              <w:spacing w:line="0" w:lineRule="atLeast"/>
              <w:jc w:val="left"/>
              <w:rPr>
                <w:rFonts w:ascii="宋体" w:hAnsi="宋体" w:cs="宋体"/>
                <w:color w:val="auto"/>
                <w:sz w:val="24"/>
                <w:highlight w:val="none"/>
              </w:rPr>
            </w:pPr>
            <w:r>
              <w:rPr>
                <w:rFonts w:hint="eastAsia" w:ascii="宋体" w:hAnsi="宋体" w:cs="宋体"/>
                <w:color w:val="auto"/>
                <w:sz w:val="24"/>
                <w:highlight w:val="none"/>
              </w:rPr>
              <w:t>养殖区（2分）</w:t>
            </w:r>
          </w:p>
        </w:tc>
        <w:tc>
          <w:tcPr>
            <w:tcW w:w="7440" w:type="dxa"/>
            <w:gridSpan w:val="2"/>
            <w:vAlign w:val="center"/>
          </w:tcPr>
          <w:p w14:paraId="45F16BD2">
            <w:pPr>
              <w:shd w:val="clear"/>
              <w:spacing w:line="0" w:lineRule="atLeast"/>
              <w:rPr>
                <w:rFonts w:asciiTheme="minorEastAsia" w:hAnsiTheme="minorEastAsia" w:eastAsiaTheme="minorEastAsia"/>
                <w:color w:val="auto"/>
                <w:sz w:val="24"/>
                <w:highlight w:val="none"/>
              </w:rPr>
            </w:pPr>
            <w:r>
              <w:rPr>
                <w:rFonts w:hint="eastAsia" w:ascii="宋体" w:hAnsi="宋体" w:cs="宋体"/>
                <w:color w:val="auto"/>
                <w:sz w:val="24"/>
                <w:highlight w:val="none"/>
              </w:rPr>
              <w:t>投标人结合本项目采购清单中设备配置情况及图纸，提供养殖区规划设计及效果图，并进行评议：规划设计清晰合理的得0.5分、设备布局合理的得0.5分、效果展示美观的得0.5分、幼童的适用性高的得0.5分，未提供或不符合的对应项不得分，共2分。</w:t>
            </w:r>
          </w:p>
        </w:tc>
      </w:tr>
      <w:tr w14:paraId="5D937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317" w:type="dxa"/>
            <w:vMerge w:val="continue"/>
            <w:vAlign w:val="center"/>
          </w:tcPr>
          <w:p w14:paraId="4BFECFF9">
            <w:pPr>
              <w:shd w:val="clear"/>
              <w:spacing w:line="0" w:lineRule="atLeast"/>
              <w:rPr>
                <w:rFonts w:ascii="宋体" w:hAnsi="宋体" w:cs="宋体"/>
                <w:color w:val="auto"/>
                <w:sz w:val="24"/>
                <w:highlight w:val="none"/>
              </w:rPr>
            </w:pPr>
          </w:p>
        </w:tc>
        <w:tc>
          <w:tcPr>
            <w:tcW w:w="1235" w:type="dxa"/>
            <w:gridSpan w:val="2"/>
            <w:vAlign w:val="center"/>
          </w:tcPr>
          <w:p w14:paraId="1D613B79">
            <w:pPr>
              <w:shd w:val="clear"/>
              <w:spacing w:line="0" w:lineRule="atLeast"/>
              <w:jc w:val="left"/>
              <w:rPr>
                <w:rFonts w:ascii="宋体" w:hAnsi="宋体" w:cs="宋体"/>
                <w:color w:val="auto"/>
                <w:sz w:val="24"/>
                <w:highlight w:val="none"/>
              </w:rPr>
            </w:pPr>
            <w:r>
              <w:rPr>
                <w:rFonts w:hint="eastAsia" w:ascii="宋体" w:hAnsi="宋体" w:cs="宋体"/>
                <w:color w:val="auto"/>
                <w:sz w:val="24"/>
                <w:highlight w:val="none"/>
              </w:rPr>
              <w:t>涂鸦区（2分）</w:t>
            </w:r>
          </w:p>
        </w:tc>
        <w:tc>
          <w:tcPr>
            <w:tcW w:w="7440" w:type="dxa"/>
            <w:gridSpan w:val="2"/>
            <w:vAlign w:val="center"/>
          </w:tcPr>
          <w:p w14:paraId="4E7E6D43">
            <w:pPr>
              <w:shd w:val="clear"/>
              <w:spacing w:line="0" w:lineRule="atLeast"/>
              <w:rPr>
                <w:rFonts w:asciiTheme="minorEastAsia" w:hAnsiTheme="minorEastAsia" w:eastAsiaTheme="minorEastAsia"/>
                <w:color w:val="auto"/>
                <w:sz w:val="24"/>
                <w:highlight w:val="none"/>
              </w:rPr>
            </w:pPr>
            <w:r>
              <w:rPr>
                <w:rFonts w:hint="eastAsia" w:ascii="宋体" w:hAnsi="宋体" w:cs="宋体"/>
                <w:color w:val="auto"/>
                <w:sz w:val="24"/>
                <w:highlight w:val="none"/>
              </w:rPr>
              <w:t>投标人结合本项目采购清单中设备配置情况及图纸，提供涂鸦区规划设计及效果图，并进行评议：规划设计清晰合理的得0.5分、设备布局合理的得0.5分、效果展示美观的得0.5分、幼童的适用性高的得0.5分，未提供或不符合的对应项不得分，共2分。</w:t>
            </w:r>
          </w:p>
        </w:tc>
      </w:tr>
      <w:tr w14:paraId="77009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trPr>
        <w:tc>
          <w:tcPr>
            <w:tcW w:w="1317" w:type="dxa"/>
            <w:vMerge w:val="continue"/>
            <w:vAlign w:val="center"/>
          </w:tcPr>
          <w:p w14:paraId="4DC9EB31">
            <w:pPr>
              <w:shd w:val="clear"/>
              <w:spacing w:line="0" w:lineRule="atLeast"/>
              <w:rPr>
                <w:rFonts w:ascii="宋体" w:hAnsi="宋体" w:cs="宋体"/>
                <w:color w:val="auto"/>
                <w:sz w:val="24"/>
                <w:highlight w:val="none"/>
              </w:rPr>
            </w:pPr>
          </w:p>
        </w:tc>
        <w:tc>
          <w:tcPr>
            <w:tcW w:w="1235" w:type="dxa"/>
            <w:gridSpan w:val="2"/>
            <w:vAlign w:val="center"/>
          </w:tcPr>
          <w:p w14:paraId="6E9F5246">
            <w:pPr>
              <w:shd w:val="clear"/>
              <w:spacing w:line="0" w:lineRule="atLeast"/>
              <w:jc w:val="left"/>
              <w:rPr>
                <w:rFonts w:ascii="宋体" w:hAnsi="宋体" w:cs="宋体"/>
                <w:color w:val="auto"/>
                <w:sz w:val="24"/>
                <w:highlight w:val="none"/>
              </w:rPr>
            </w:pPr>
            <w:r>
              <w:rPr>
                <w:rFonts w:ascii="宋体" w:hAnsi="宋体" w:cs="宋体"/>
                <w:color w:val="auto"/>
                <w:sz w:val="24"/>
                <w:highlight w:val="none"/>
              </w:rPr>
              <w:t>方案讲解演示</w:t>
            </w:r>
            <w:r>
              <w:rPr>
                <w:rFonts w:hint="eastAsia" w:ascii="宋体" w:hAnsi="宋体" w:cs="宋体"/>
                <w:color w:val="auto"/>
                <w:sz w:val="24"/>
                <w:highlight w:val="none"/>
              </w:rPr>
              <w:t>（4分）</w:t>
            </w:r>
          </w:p>
        </w:tc>
        <w:tc>
          <w:tcPr>
            <w:tcW w:w="7440" w:type="dxa"/>
            <w:gridSpan w:val="2"/>
            <w:vAlign w:val="center"/>
          </w:tcPr>
          <w:p w14:paraId="142E4B0E">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1、针对本项目总体深化设计方案的讲解与演示进行评议：深化设计理念先进的得0.5分、深化设计思路清晰的得0.5分、整体规划科学合理的得0.5分、区域的衔接与过渡流畅且安全的得0.5分，未提供或不符合的对应项不得分，共2分；</w:t>
            </w:r>
          </w:p>
          <w:p w14:paraId="63B981E4">
            <w:pPr>
              <w:shd w:val="clear"/>
              <w:spacing w:line="0" w:lineRule="atLeast"/>
              <w:rPr>
                <w:color w:val="auto"/>
                <w:sz w:val="24"/>
                <w:highlight w:val="none"/>
              </w:rPr>
            </w:pPr>
            <w:r>
              <w:rPr>
                <w:rFonts w:hint="eastAsia" w:ascii="宋体" w:hAnsi="宋体" w:cs="宋体"/>
                <w:color w:val="auto"/>
                <w:sz w:val="24"/>
                <w:highlight w:val="none"/>
              </w:rPr>
              <w:t>2、针对本项目的各项区域设计布局的讲解与演示进行评议：方案合理的得0.5分、可行的得0.5分、安全性高的得0.5分、美观度好的得0.5分，未提供或不符合的对应项不得分，共2分。</w:t>
            </w:r>
          </w:p>
        </w:tc>
      </w:tr>
      <w:tr w14:paraId="477DB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2552" w:type="dxa"/>
            <w:gridSpan w:val="3"/>
            <w:vAlign w:val="center"/>
          </w:tcPr>
          <w:p w14:paraId="58008C81">
            <w:pPr>
              <w:shd w:val="clear"/>
              <w:spacing w:line="300" w:lineRule="exact"/>
              <w:rPr>
                <w:rFonts w:ascii="宋体" w:hAnsi="宋体" w:cs="宋体"/>
                <w:color w:val="auto"/>
                <w:sz w:val="24"/>
                <w:highlight w:val="none"/>
              </w:rPr>
            </w:pPr>
            <w:r>
              <w:rPr>
                <w:rFonts w:hint="eastAsia" w:ascii="宋体" w:hAnsi="宋体" w:cs="宋体"/>
                <w:color w:val="auto"/>
                <w:sz w:val="24"/>
                <w:highlight w:val="none"/>
              </w:rPr>
              <w:t>四、</w:t>
            </w:r>
            <w:r>
              <w:rPr>
                <w:rFonts w:ascii="宋体" w:hAnsi="宋体" w:cs="宋体"/>
                <w:color w:val="auto"/>
                <w:sz w:val="24"/>
                <w:highlight w:val="none"/>
              </w:rPr>
              <w:t>实施方案</w:t>
            </w:r>
            <w:r>
              <w:rPr>
                <w:rFonts w:hint="eastAsia" w:ascii="宋体" w:hAnsi="宋体" w:cs="宋体"/>
                <w:color w:val="auto"/>
                <w:sz w:val="24"/>
                <w:highlight w:val="none"/>
              </w:rPr>
              <w:t>（2分）</w:t>
            </w:r>
          </w:p>
        </w:tc>
        <w:tc>
          <w:tcPr>
            <w:tcW w:w="7440" w:type="dxa"/>
            <w:gridSpan w:val="2"/>
            <w:vAlign w:val="center"/>
          </w:tcPr>
          <w:p w14:paraId="6CF6AA6F">
            <w:pPr>
              <w:shd w:val="clear"/>
              <w:spacing w:line="300" w:lineRule="exact"/>
              <w:rPr>
                <w:rFonts w:ascii="宋体" w:hAnsi="宋体" w:cs="宋体"/>
                <w:color w:val="auto"/>
                <w:sz w:val="24"/>
                <w:highlight w:val="none"/>
              </w:rPr>
            </w:pPr>
            <w:r>
              <w:rPr>
                <w:rFonts w:hint="eastAsia" w:ascii="宋体" w:hAnsi="宋体" w:cs="宋体"/>
                <w:color w:val="auto"/>
                <w:sz w:val="24"/>
                <w:highlight w:val="none"/>
              </w:rPr>
              <w:t>根据投标人提供的项目实施方案，包括人员计划安排、组织方案、设备供货方案、验收方案，方案合理详细、可行性强的对应项得0.5分，未提供或不符合的对应项不得分，最多得2分。</w:t>
            </w:r>
          </w:p>
        </w:tc>
      </w:tr>
      <w:tr w14:paraId="530FB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2552" w:type="dxa"/>
            <w:gridSpan w:val="3"/>
            <w:vAlign w:val="center"/>
          </w:tcPr>
          <w:p w14:paraId="125707B8">
            <w:pPr>
              <w:pStyle w:val="25"/>
              <w:shd w:val="clear"/>
              <w:ind w:firstLine="0" w:firstLineChars="0"/>
              <w:rPr>
                <w:rFonts w:ascii="宋体" w:hAnsi="宋体" w:eastAsia="宋体" w:cs="宋体"/>
                <w:color w:val="auto"/>
                <w:sz w:val="24"/>
                <w:highlight w:val="none"/>
              </w:rPr>
            </w:pPr>
            <w:r>
              <w:rPr>
                <w:rFonts w:hint="eastAsia" w:ascii="宋体" w:hAnsi="宋体" w:eastAsia="宋体" w:cs="宋体"/>
                <w:color w:val="auto"/>
                <w:sz w:val="24"/>
                <w:highlight w:val="none"/>
              </w:rPr>
              <w:t>五、工期计划（2分）</w:t>
            </w:r>
          </w:p>
        </w:tc>
        <w:tc>
          <w:tcPr>
            <w:tcW w:w="7440" w:type="dxa"/>
            <w:gridSpan w:val="2"/>
            <w:vAlign w:val="center"/>
          </w:tcPr>
          <w:p w14:paraId="16DC3A9E">
            <w:pPr>
              <w:shd w:val="clear"/>
              <w:spacing w:line="300" w:lineRule="exact"/>
              <w:rPr>
                <w:color w:val="auto"/>
                <w:sz w:val="24"/>
                <w:highlight w:val="none"/>
              </w:rPr>
            </w:pPr>
            <w:r>
              <w:rPr>
                <w:rFonts w:hint="eastAsia" w:ascii="宋体" w:hAnsi="宋体" w:cs="宋体"/>
                <w:color w:val="auto"/>
                <w:sz w:val="24"/>
                <w:highlight w:val="none"/>
              </w:rPr>
              <w:t>对投标人针对本项目的工期计划详细可行的得1分、工期最大限度有利于采购人且可行（工期不得超出采购文件要求）的得1分，以上内容有所欠缺的对应项得0.5分，未提供或不符合的对应项不得分，共2分。</w:t>
            </w:r>
          </w:p>
        </w:tc>
      </w:tr>
      <w:tr w14:paraId="2FCB7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2552" w:type="dxa"/>
            <w:gridSpan w:val="3"/>
            <w:vAlign w:val="center"/>
          </w:tcPr>
          <w:p w14:paraId="779ED276">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六、履约能力（2分）</w:t>
            </w:r>
          </w:p>
        </w:tc>
        <w:tc>
          <w:tcPr>
            <w:tcW w:w="7440" w:type="dxa"/>
            <w:gridSpan w:val="2"/>
            <w:vAlign w:val="center"/>
          </w:tcPr>
          <w:p w14:paraId="3860F07B">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投标人自2020年1月1日以来（以合同签订时间为准）完成过同类项目业绩的，每提供一个得1分，共2分。</w:t>
            </w:r>
          </w:p>
          <w:p w14:paraId="0DFCB5CF">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注：投标文件中提供合同复印件和中标通知书并加盖单位公章，未提供或提供不全的不得分。</w:t>
            </w:r>
          </w:p>
        </w:tc>
      </w:tr>
      <w:tr w14:paraId="60823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552" w:type="dxa"/>
            <w:gridSpan w:val="3"/>
            <w:vAlign w:val="center"/>
          </w:tcPr>
          <w:p w14:paraId="019CA65E">
            <w:pPr>
              <w:shd w:val="clear"/>
              <w:spacing w:line="0" w:lineRule="atLeast"/>
              <w:ind w:left="480" w:hanging="480" w:hangingChars="200"/>
              <w:rPr>
                <w:rFonts w:ascii="宋体" w:hAnsi="宋体" w:cs="宋体"/>
                <w:color w:val="auto"/>
                <w:sz w:val="24"/>
                <w:highlight w:val="none"/>
              </w:rPr>
            </w:pPr>
            <w:r>
              <w:rPr>
                <w:rFonts w:hint="eastAsia" w:ascii="宋体" w:hAnsi="宋体"/>
                <w:color w:val="auto"/>
                <w:sz w:val="24"/>
                <w:highlight w:val="none"/>
              </w:rPr>
              <w:t>七、服务保障方案及服务能力</w:t>
            </w:r>
            <w:r>
              <w:rPr>
                <w:rFonts w:hint="eastAsia" w:ascii="宋体" w:hAnsi="宋体" w:cs="宋体"/>
                <w:color w:val="auto"/>
                <w:sz w:val="24"/>
                <w:highlight w:val="none"/>
              </w:rPr>
              <w:t>(2分)</w:t>
            </w:r>
          </w:p>
        </w:tc>
        <w:tc>
          <w:tcPr>
            <w:tcW w:w="7440" w:type="dxa"/>
            <w:gridSpan w:val="2"/>
            <w:vAlign w:val="center"/>
          </w:tcPr>
          <w:p w14:paraId="0246B6A2">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1、对投标单位针对本项目的售后技术服务承诺，包括售后服务承诺、应急措施进行评议：承诺内容详细、有利于项目实施的得0.5分，措施针对性强、具有可操作性的得0.5分，未提供或不符合的对应项不得分，共1分。</w:t>
            </w:r>
          </w:p>
          <w:p w14:paraId="0477AB66">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2、对投标单位针对本项目售后服务点设置合理的得0.5分，仓库备品备件充足的得0.5分，未提供或不符合的对应项不得分，共1分。</w:t>
            </w:r>
          </w:p>
          <w:p w14:paraId="3D19DD53">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（投标文件中提供售后服务点照片、办公室及仓库照片、相关租赁合同复印件等证明材料。）</w:t>
            </w:r>
          </w:p>
        </w:tc>
      </w:tr>
      <w:tr w14:paraId="5FCCD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552" w:type="dxa"/>
            <w:gridSpan w:val="3"/>
            <w:vAlign w:val="center"/>
          </w:tcPr>
          <w:p w14:paraId="61FCD673">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八、政策加分（1分）</w:t>
            </w:r>
          </w:p>
        </w:tc>
        <w:tc>
          <w:tcPr>
            <w:tcW w:w="7440" w:type="dxa"/>
            <w:gridSpan w:val="2"/>
            <w:vAlign w:val="center"/>
          </w:tcPr>
          <w:p w14:paraId="658A50C7">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（1）投标人是国家认定的少数民族地区企业的加0.5分。</w:t>
            </w:r>
          </w:p>
          <w:p w14:paraId="3118A1A6">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2）节能产品、环境标志产品政策性因素得分（0.5分）。投标产品如属于节能产品的得0.25分，投标产品如属于环境标志产品的得0.25分，投标人须提供由国家确定的认证机构出具的、处于有效期之内的节能产品、环境标志产品认证证书，未按要求提供认证证书或认证证书与中国政府采购网(www.ccgp.gov.cn) 节能产品、环境标志产品查询结果不相符的评标委员会将不予认可。</w:t>
            </w:r>
          </w:p>
        </w:tc>
      </w:tr>
      <w:tr w14:paraId="118EC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992" w:type="dxa"/>
            <w:gridSpan w:val="5"/>
            <w:vAlign w:val="center"/>
          </w:tcPr>
          <w:p w14:paraId="34166E8F">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价格分40分</w:t>
            </w:r>
          </w:p>
        </w:tc>
      </w:tr>
      <w:tr w14:paraId="27A8F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518" w:type="dxa"/>
            <w:gridSpan w:val="2"/>
            <w:vAlign w:val="center"/>
          </w:tcPr>
          <w:p w14:paraId="2EB3833D">
            <w:pPr>
              <w:shd w:val="clear"/>
              <w:spacing w:line="0" w:lineRule="atLeast"/>
              <w:jc w:val="center"/>
              <w:rPr>
                <w:rFonts w:ascii="宋体" w:hAnsi="宋体" w:cs="宋体"/>
                <w:color w:val="auto"/>
                <w:sz w:val="24"/>
                <w:highlight w:val="none"/>
              </w:rPr>
            </w:pPr>
            <w:r>
              <w:rPr>
                <w:rFonts w:hint="eastAsia" w:ascii="宋体" w:hAnsi="宋体" w:cs="宋体"/>
                <w:color w:val="auto"/>
                <w:sz w:val="24"/>
                <w:highlight w:val="none"/>
              </w:rPr>
              <w:t>价格分40分</w:t>
            </w:r>
          </w:p>
        </w:tc>
        <w:tc>
          <w:tcPr>
            <w:tcW w:w="7474" w:type="dxa"/>
            <w:gridSpan w:val="3"/>
            <w:vAlign w:val="center"/>
          </w:tcPr>
          <w:p w14:paraId="0250E141">
            <w:pPr>
              <w:shd w:val="clear"/>
              <w:spacing w:line="300" w:lineRule="exact"/>
              <w:rPr>
                <w:rFonts w:ascii="宋体" w:hAnsi="宋体" w:cs="宋体"/>
                <w:color w:val="auto"/>
                <w:sz w:val="24"/>
                <w:highlight w:val="none"/>
              </w:rPr>
            </w:pPr>
            <w:r>
              <w:rPr>
                <w:rFonts w:hint="eastAsia" w:ascii="宋体" w:hAnsi="宋体" w:cs="宋体"/>
                <w:color w:val="auto"/>
                <w:sz w:val="24"/>
                <w:highlight w:val="none"/>
              </w:rPr>
              <w:t>满足采购文件要求且参与评审价格最低为评标基准价，其价格分为满分，其余投标人的价格分以下列公式计算：</w:t>
            </w:r>
          </w:p>
          <w:p w14:paraId="2F7647DE">
            <w:pPr>
              <w:shd w:val="clear"/>
              <w:spacing w:line="300" w:lineRule="exact"/>
              <w:rPr>
                <w:rFonts w:ascii="宋体" w:hAnsi="宋体" w:cs="宋体"/>
                <w:color w:val="auto"/>
                <w:sz w:val="24"/>
                <w:highlight w:val="none"/>
              </w:rPr>
            </w:pPr>
            <w:r>
              <w:rPr>
                <w:rFonts w:hint="eastAsia" w:ascii="宋体" w:hAnsi="宋体" w:cs="宋体"/>
                <w:color w:val="auto"/>
                <w:sz w:val="24"/>
                <w:highlight w:val="none"/>
              </w:rPr>
              <w:t>投标报价得分=（评标基准价/参与评审的价格）×价格权值×100。</w:t>
            </w:r>
          </w:p>
          <w:p w14:paraId="1C01230E">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参与评审价格=投标价格×（1-小微企业价格扣除优惠值10%）</w:t>
            </w:r>
          </w:p>
        </w:tc>
      </w:tr>
    </w:tbl>
    <w:p w14:paraId="0758B02D">
      <w:pPr>
        <w:widowControl/>
        <w:shd w:val="clear"/>
        <w:jc w:val="left"/>
        <w:rPr>
          <w:rFonts w:cs="仿宋" w:asciiTheme="majorEastAsia" w:hAnsiTheme="majorEastAsia" w:eastAsiaTheme="majorEastAsia"/>
          <w:color w:val="auto"/>
          <w:sz w:val="20"/>
          <w:szCs w:val="20"/>
          <w:highlight w:val="none"/>
        </w:rPr>
      </w:pPr>
    </w:p>
    <w:p w14:paraId="3CFAF287">
      <w:pPr>
        <w:shd w:val="clear"/>
        <w:snapToGrid w:val="0"/>
        <w:spacing w:line="360" w:lineRule="auto"/>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备注：</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编制投标文件（商务技术文件部分）时，建议按此目录（序号和内容）提供评标标准相应的商务技术资料。 </w:t>
      </w:r>
    </w:p>
    <w:p w14:paraId="756A1567">
      <w:pPr>
        <w:shd w:val="clear"/>
        <w:snapToGrid w:val="0"/>
        <w:spacing w:line="360" w:lineRule="auto"/>
        <w:ind w:left="120" w:leftChars="57" w:firstLine="482" w:firstLineChars="150"/>
        <w:jc w:val="center"/>
        <w:rPr>
          <w:rFonts w:cs="仿宋" w:asciiTheme="majorEastAsia" w:hAnsiTheme="majorEastAsia" w:eastAsiaTheme="majorEastAsia"/>
          <w:b/>
          <w:color w:val="auto"/>
          <w:sz w:val="32"/>
          <w:highlight w:val="none"/>
        </w:rPr>
      </w:pPr>
      <w:r>
        <w:rPr>
          <w:rFonts w:hint="eastAsia" w:cs="仿宋" w:asciiTheme="majorEastAsia" w:hAnsiTheme="majorEastAsia" w:eastAsiaTheme="majorEastAsia"/>
          <w:b/>
          <w:color w:val="auto"/>
          <w:sz w:val="32"/>
          <w:highlight w:val="none"/>
        </w:rPr>
        <w:t>一、评标方法</w:t>
      </w:r>
    </w:p>
    <w:p w14:paraId="0ADAB3D4">
      <w:pPr>
        <w:shd w:val="clear"/>
        <w:spacing w:line="360" w:lineRule="auto"/>
        <w:ind w:firstLine="472" w:firstLineChars="196"/>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b/>
          <w:color w:val="auto"/>
          <w:kern w:val="0"/>
          <w:sz w:val="24"/>
          <w:highlight w:val="none"/>
        </w:rPr>
        <w:t>1.本项目采用综合评分法。</w:t>
      </w:r>
      <w:r>
        <w:rPr>
          <w:rFonts w:hint="eastAsia" w:cs="仿宋" w:asciiTheme="majorEastAsia" w:hAnsiTheme="majorEastAsia" w:eastAsiaTheme="majorEastAsia"/>
          <w:color w:val="auto"/>
          <w:kern w:val="0"/>
          <w:sz w:val="24"/>
          <w:highlight w:val="none"/>
        </w:rPr>
        <w:t>综合评分法，是指投标文件满足招标文件全部实质性要求，且按照评审因素的量化指标评审得分最高的</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为中标候选人的评标方法。</w:t>
      </w:r>
    </w:p>
    <w:p w14:paraId="3937E075">
      <w:pPr>
        <w:shd w:val="clear"/>
        <w:snapToGrid w:val="0"/>
        <w:spacing w:line="360" w:lineRule="auto"/>
        <w:ind w:left="120" w:leftChars="57" w:firstLine="482" w:firstLineChars="150"/>
        <w:jc w:val="center"/>
        <w:rPr>
          <w:rFonts w:cs="仿宋" w:asciiTheme="majorEastAsia" w:hAnsiTheme="majorEastAsia" w:eastAsiaTheme="majorEastAsia"/>
          <w:b/>
          <w:color w:val="auto"/>
          <w:sz w:val="32"/>
          <w:highlight w:val="none"/>
        </w:rPr>
      </w:pPr>
      <w:r>
        <w:rPr>
          <w:rFonts w:hint="eastAsia" w:cs="仿宋" w:asciiTheme="majorEastAsia" w:hAnsiTheme="majorEastAsia" w:eastAsiaTheme="majorEastAsia"/>
          <w:b/>
          <w:color w:val="auto"/>
          <w:sz w:val="32"/>
          <w:highlight w:val="none"/>
        </w:rPr>
        <w:t>二、评标标准</w:t>
      </w:r>
    </w:p>
    <w:p w14:paraId="36297269">
      <w:pPr>
        <w:shd w:val="clear"/>
        <w:spacing w:line="360" w:lineRule="auto"/>
        <w:ind w:firstLine="472" w:firstLineChars="196"/>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2.</w:t>
      </w:r>
      <w:r>
        <w:rPr>
          <w:rFonts w:hint="eastAsia" w:cs="仿宋" w:asciiTheme="majorEastAsia" w:hAnsiTheme="majorEastAsia" w:eastAsiaTheme="majorEastAsia"/>
          <w:color w:val="auto"/>
          <w:highlight w:val="none"/>
        </w:rPr>
        <w:t xml:space="preserve"> </w:t>
      </w:r>
      <w:r>
        <w:rPr>
          <w:rFonts w:hint="eastAsia" w:cs="仿宋" w:asciiTheme="majorEastAsia" w:hAnsiTheme="majorEastAsia" w:eastAsiaTheme="majorEastAsia"/>
          <w:b/>
          <w:color w:val="auto"/>
          <w:sz w:val="24"/>
          <w:highlight w:val="none"/>
        </w:rPr>
        <w:t>评标标准：</w:t>
      </w:r>
      <w:r>
        <w:rPr>
          <w:rFonts w:hint="eastAsia" w:cs="仿宋" w:asciiTheme="majorEastAsia" w:hAnsiTheme="majorEastAsia" w:eastAsiaTheme="majorEastAsia"/>
          <w:color w:val="auto"/>
          <w:kern w:val="0"/>
          <w:sz w:val="24"/>
          <w:highlight w:val="none"/>
        </w:rPr>
        <w:t>见评标办法前附表。</w:t>
      </w:r>
    </w:p>
    <w:p w14:paraId="191BDBEF">
      <w:pPr>
        <w:shd w:val="clear"/>
        <w:snapToGrid w:val="0"/>
        <w:spacing w:line="360" w:lineRule="auto"/>
        <w:ind w:left="120" w:leftChars="57" w:firstLine="482" w:firstLineChars="150"/>
        <w:jc w:val="center"/>
        <w:rPr>
          <w:rFonts w:cs="仿宋" w:asciiTheme="majorEastAsia" w:hAnsiTheme="majorEastAsia" w:eastAsiaTheme="majorEastAsia"/>
          <w:b/>
          <w:color w:val="auto"/>
          <w:sz w:val="32"/>
          <w:highlight w:val="none"/>
        </w:rPr>
      </w:pPr>
      <w:r>
        <w:rPr>
          <w:rFonts w:hint="eastAsia" w:cs="仿宋" w:asciiTheme="majorEastAsia" w:hAnsiTheme="majorEastAsia" w:eastAsiaTheme="majorEastAsia"/>
          <w:b/>
          <w:color w:val="auto"/>
          <w:sz w:val="32"/>
          <w:highlight w:val="none"/>
        </w:rPr>
        <w:t>三、评标程序</w:t>
      </w:r>
    </w:p>
    <w:p w14:paraId="307622C8">
      <w:pPr>
        <w:shd w:val="clear"/>
        <w:spacing w:line="360" w:lineRule="auto"/>
        <w:ind w:firstLine="482"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b/>
          <w:color w:val="auto"/>
          <w:kern w:val="0"/>
          <w:sz w:val="24"/>
          <w:highlight w:val="none"/>
        </w:rPr>
        <w:t>3.1 符合性审查。</w:t>
      </w:r>
      <w:r>
        <w:rPr>
          <w:rFonts w:hint="eastAsia" w:cs="仿宋" w:asciiTheme="majorEastAsia" w:hAnsiTheme="majorEastAsia" w:eastAsiaTheme="majorEastAsia"/>
          <w:color w:val="auto"/>
          <w:kern w:val="0"/>
          <w:sz w:val="24"/>
          <w:highlight w:val="none"/>
        </w:rPr>
        <w:t>评标委员会应当对符合资格的</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的投标文件进行符合性审查，以确定其是否满足招标文件的实质性要求。不满足招标文件的实质性要求的，投标无效。</w:t>
      </w:r>
    </w:p>
    <w:p w14:paraId="14807322">
      <w:pPr>
        <w:shd w:val="clear"/>
        <w:spacing w:line="360" w:lineRule="auto"/>
        <w:ind w:firstLine="482"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b/>
          <w:color w:val="auto"/>
          <w:kern w:val="0"/>
          <w:sz w:val="24"/>
          <w:highlight w:val="none"/>
        </w:rPr>
        <w:t>3.2 商务技术评审。</w:t>
      </w:r>
      <w:r>
        <w:rPr>
          <w:rFonts w:hint="eastAsia" w:cs="仿宋" w:asciiTheme="majorEastAsia" w:hAnsiTheme="majorEastAsia" w:eastAsiaTheme="majorEastAsia"/>
          <w:color w:val="auto"/>
          <w:kern w:val="0"/>
          <w:sz w:val="24"/>
          <w:highlight w:val="none"/>
        </w:rPr>
        <w:t>评标委员会应当按照招标文件中规定的评标方法和标准，对符合性审查合格的投标文件进行商务和技术评估。</w:t>
      </w:r>
    </w:p>
    <w:p w14:paraId="1BC2D424">
      <w:pPr>
        <w:shd w:val="clear"/>
        <w:spacing w:line="360" w:lineRule="auto"/>
        <w:ind w:firstLine="482"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b/>
          <w:color w:val="auto"/>
          <w:kern w:val="0"/>
          <w:sz w:val="24"/>
          <w:highlight w:val="none"/>
        </w:rPr>
        <w:t>3.3 汇总商务技术得分。</w:t>
      </w:r>
      <w:r>
        <w:rPr>
          <w:rFonts w:hint="eastAsia" w:cs="仿宋" w:asciiTheme="majorEastAsia" w:hAnsiTheme="majorEastAsia" w:eastAsiaTheme="majorEastAsia"/>
          <w:color w:val="auto"/>
          <w:kern w:val="0"/>
          <w:sz w:val="24"/>
          <w:highlight w:val="none"/>
        </w:rPr>
        <w:t>评标委员会各成员应当独立对每个</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的商务和技术文件进行评价，并汇总商务技术得分情况。</w:t>
      </w:r>
    </w:p>
    <w:p w14:paraId="2502BF5B">
      <w:pPr>
        <w:shd w:val="clear"/>
        <w:spacing w:line="360" w:lineRule="auto"/>
        <w:ind w:firstLine="482" w:firstLineChars="200"/>
        <w:rPr>
          <w:rFonts w:cs="仿宋" w:asciiTheme="majorEastAsia" w:hAnsiTheme="majorEastAsia" w:eastAsiaTheme="majorEastAsia"/>
          <w:b/>
          <w:color w:val="auto"/>
          <w:kern w:val="0"/>
          <w:sz w:val="24"/>
          <w:highlight w:val="none"/>
        </w:rPr>
      </w:pPr>
      <w:r>
        <w:rPr>
          <w:rFonts w:hint="eastAsia" w:cs="仿宋" w:asciiTheme="majorEastAsia" w:hAnsiTheme="majorEastAsia" w:eastAsiaTheme="majorEastAsia"/>
          <w:b/>
          <w:color w:val="auto"/>
          <w:kern w:val="0"/>
          <w:sz w:val="24"/>
          <w:highlight w:val="none"/>
        </w:rPr>
        <w:t>3.4 报价评审。</w:t>
      </w:r>
    </w:p>
    <w:p w14:paraId="0343051D">
      <w:pPr>
        <w:pStyle w:val="41"/>
        <w:shd w:val="clear"/>
        <w:spacing w:before="0"/>
        <w:ind w:firstLine="480"/>
        <w:rPr>
          <w:rFonts w:cs="仿宋" w:asciiTheme="majorEastAsia" w:hAnsiTheme="majorEastAsia" w:eastAsiaTheme="majorEastAsia"/>
          <w:color w:val="auto"/>
          <w:kern w:val="0"/>
          <w:highlight w:val="none"/>
        </w:rPr>
      </w:pPr>
      <w:r>
        <w:rPr>
          <w:rFonts w:hint="eastAsia" w:cs="仿宋" w:asciiTheme="majorEastAsia" w:hAnsiTheme="majorEastAsia" w:eastAsiaTheme="majorEastAsia"/>
          <w:color w:val="auto"/>
          <w:kern w:val="0"/>
          <w:highlight w:val="none"/>
        </w:rPr>
        <w:t>3.4.1投标文件报价出现前后不一致的，按照下列规定修正：</w:t>
      </w:r>
    </w:p>
    <w:p w14:paraId="4330F9B9">
      <w:pPr>
        <w:pStyle w:val="41"/>
        <w:shd w:val="clear"/>
        <w:spacing w:before="0"/>
        <w:ind w:firstLine="480"/>
        <w:rPr>
          <w:rFonts w:cs="仿宋" w:asciiTheme="majorEastAsia" w:hAnsiTheme="majorEastAsia" w:eastAsiaTheme="majorEastAsia"/>
          <w:color w:val="auto"/>
          <w:kern w:val="0"/>
          <w:highlight w:val="none"/>
        </w:rPr>
      </w:pPr>
      <w:r>
        <w:rPr>
          <w:rFonts w:hint="eastAsia" w:cs="仿宋" w:asciiTheme="majorEastAsia" w:hAnsiTheme="majorEastAsia" w:eastAsiaTheme="majorEastAsia"/>
          <w:color w:val="auto"/>
          <w:kern w:val="0"/>
          <w:highlight w:val="none"/>
        </w:rPr>
        <w:t>3.4.1.1电子交易平台生成的开标记录表(报价表)内容与投标文件中开标一览表(报价表)不一致的，以投标文件中开标一览表(报价表)为准；</w:t>
      </w:r>
    </w:p>
    <w:p w14:paraId="29E5E504">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3.4.1.2</w:t>
      </w:r>
      <w:r>
        <w:rPr>
          <w:rFonts w:hint="eastAsia" w:cs="仿宋" w:asciiTheme="majorEastAsia" w:hAnsiTheme="majorEastAsia" w:eastAsiaTheme="majorEastAsia"/>
          <w:color w:val="auto"/>
          <w:kern w:val="0"/>
          <w:highlight w:val="none"/>
        </w:rPr>
        <w:t>投标文件中开标一览表(报价表)内容与投标文件中相应内容不一致的，以开标一览表(报价表)为准；</w:t>
      </w:r>
    </w:p>
    <w:p w14:paraId="09115D60">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3.4.1.3 大写金额和小写金额不一致的，以大写金额为准;</w:t>
      </w:r>
    </w:p>
    <w:p w14:paraId="63D5B9D0">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3.4.1.4 单价金额小数点或者百分比有明显错位的，以开标一览表的总价为准，并修改单价;</w:t>
      </w:r>
    </w:p>
    <w:p w14:paraId="3BA1E13E">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3.4.1.5 总价金额与按单价汇总金额不一致的，以单价金额计算结果为准；</w:t>
      </w:r>
    </w:p>
    <w:p w14:paraId="5AA957EA">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3.4.1.6同时出现两种以上不一致的，按照3.4.1规定的顺序修正。修正后的报价按照财政部第87号令 《政府采购货物和服务招标投标管理办法》第五十一条第二款的规定经</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确认后产生约束力。</w:t>
      </w:r>
    </w:p>
    <w:p w14:paraId="275ED0E8">
      <w:pPr>
        <w:shd w:val="clear"/>
        <w:snapToGrid w:val="0"/>
        <w:spacing w:line="360" w:lineRule="auto"/>
        <w:ind w:firstLine="480" w:firstLineChars="20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3.4.2投标文件出现不是唯一的、有选择性投标报价的，投标无效。</w:t>
      </w:r>
    </w:p>
    <w:p w14:paraId="16C76CC0">
      <w:pPr>
        <w:shd w:val="clear"/>
        <w:snapToGrid w:val="0"/>
        <w:spacing w:line="360" w:lineRule="auto"/>
        <w:ind w:firstLine="480" w:firstLineChars="20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3.4.3投标报价超过招标文件中规定的预算金额或者最高限价的，投标无效。</w:t>
      </w:r>
    </w:p>
    <w:p w14:paraId="0B49059A">
      <w:pPr>
        <w:pStyle w:val="41"/>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3.4.4评标委员会认为</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的报价明显低于其他通过符合性审查</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的报价，有可能影响产品质量或者不能诚信履约的，应当要求其在30分钟内提供书面说明，必要时提交相关证明材料;</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不能证明其报价合理性的，评标委员会应当将其作为无效投标处理。</w:t>
      </w:r>
    </w:p>
    <w:p w14:paraId="35A9CAA8">
      <w:pPr>
        <w:shd w:val="clear"/>
        <w:spacing w:line="360" w:lineRule="auto"/>
        <w:ind w:firstLine="482"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b/>
          <w:color w:val="auto"/>
          <w:kern w:val="0"/>
          <w:sz w:val="24"/>
          <w:highlight w:val="none"/>
        </w:rPr>
        <w:t>3.5编写评标报告。</w:t>
      </w:r>
      <w:r>
        <w:rPr>
          <w:rFonts w:hint="eastAsia" w:cs="仿宋" w:asciiTheme="majorEastAsia" w:hAnsiTheme="majorEastAsia" w:eastAsiaTheme="majorEastAsia"/>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797E2216">
      <w:pPr>
        <w:shd w:val="clear"/>
        <w:snapToGrid w:val="0"/>
        <w:spacing w:line="360" w:lineRule="auto"/>
        <w:ind w:left="120" w:leftChars="57" w:firstLine="482" w:firstLineChars="150"/>
        <w:jc w:val="center"/>
        <w:rPr>
          <w:rFonts w:cs="仿宋" w:asciiTheme="majorEastAsia" w:hAnsiTheme="majorEastAsia" w:eastAsiaTheme="majorEastAsia"/>
          <w:b/>
          <w:color w:val="auto"/>
          <w:sz w:val="32"/>
          <w:highlight w:val="none"/>
        </w:rPr>
      </w:pPr>
      <w:r>
        <w:rPr>
          <w:rFonts w:hint="eastAsia" w:cs="仿宋" w:asciiTheme="majorEastAsia" w:hAnsiTheme="majorEastAsia" w:eastAsiaTheme="majorEastAsia"/>
          <w:b/>
          <w:color w:val="auto"/>
          <w:sz w:val="32"/>
          <w:highlight w:val="none"/>
        </w:rPr>
        <w:t>四、评标中的其他事项</w:t>
      </w:r>
    </w:p>
    <w:p w14:paraId="5817E6F2">
      <w:pPr>
        <w:pStyle w:val="41"/>
        <w:shd w:val="clear"/>
        <w:spacing w:before="0"/>
        <w:ind w:firstLine="482"/>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b/>
          <w:color w:val="auto"/>
          <w:kern w:val="0"/>
          <w:szCs w:val="24"/>
          <w:highlight w:val="none"/>
        </w:rPr>
        <w:t>4.1投标澄清、说明或者补正。</w:t>
      </w:r>
      <w:r>
        <w:rPr>
          <w:rFonts w:hint="eastAsia" w:cs="仿宋" w:asciiTheme="majorEastAsia" w:hAnsiTheme="majorEastAsia" w:eastAsiaTheme="majorEastAsia"/>
          <w:color w:val="auto"/>
          <w:kern w:val="0"/>
          <w:szCs w:val="24"/>
          <w:highlight w:val="none"/>
        </w:rPr>
        <w:t>对于投标文件中含义不明确、同类问题表述不一致或者有明显文字和计算错误的内容需要</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作出必要的澄清、说明或者补正的，评标委员会和</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通过电子交易平台交换数据电文，</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提交使用电子签名的相关数据电文或通过平台上传加盖公章的扫描件。给予</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提交澄清、说明或补正的时间不得少于半小时，</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已经明确表示澄清说明或补正完毕的除外。</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的澄清、说明或者补正不得超出投标文件的范围或者改变投标文件的实质性内容。</w:t>
      </w:r>
    </w:p>
    <w:p w14:paraId="195963AD">
      <w:pPr>
        <w:pStyle w:val="7"/>
        <w:shd w:val="clear"/>
        <w:spacing w:line="360" w:lineRule="auto"/>
        <w:ind w:firstLine="482"/>
        <w:rPr>
          <w:rFonts w:cs="仿宋" w:asciiTheme="majorEastAsia" w:hAnsiTheme="majorEastAsia" w:eastAsiaTheme="majorEastAsia"/>
          <w:color w:val="auto"/>
          <w:szCs w:val="21"/>
          <w:highlight w:val="none"/>
        </w:rPr>
      </w:pPr>
      <w:r>
        <w:rPr>
          <w:rFonts w:hint="eastAsia" w:cs="仿宋" w:asciiTheme="majorEastAsia" w:hAnsiTheme="majorEastAsia" w:eastAsiaTheme="majorEastAsia"/>
          <w:b/>
          <w:color w:val="auto"/>
          <w:kern w:val="0"/>
          <w:highlight w:val="none"/>
        </w:rPr>
        <w:t>4.2投标无效的情形。</w:t>
      </w:r>
    </w:p>
    <w:p w14:paraId="7B5A9B6D">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4.2.1 没有响应招标文件实质性要求的投标将被视为无效投标。</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不得通过修正或撤消不合要求的偏离或保留从而使其投标成为实质上响应的投标，但经评标委员会认定属于</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疏忽、笔误所造成的差错，可允许其在评标结束之前进行修改或者补正（可以是复印件、传真件等，原件必须加盖单位公章）。修改或者补正投标文件必须以书面形式进行，并应在中标结果公告之前查核原件。限期内不补正或经补正后仍不符合招标文件要求的，应认定其投标无效。</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修改、补正投标文件后，不影响评标委员会对其投标文件所作的评价和评分结果。</w:t>
      </w:r>
    </w:p>
    <w:p w14:paraId="32C5EEBA">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4.2.2 在电子开评标时，如发现下列情形之一的，将被视为无效投标文件：</w:t>
      </w:r>
    </w:p>
    <w:p w14:paraId="6B3B606B">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4.2.2.1电子投标文件解密失败的；</w:t>
      </w:r>
    </w:p>
    <w:p w14:paraId="4ADD27B2">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4.2.2.2投标文件未按招标文件要求加密、签字、盖章的；（投标文件中加盖</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公章部分均须CA签章。）</w:t>
      </w:r>
    </w:p>
    <w:p w14:paraId="100CA8D6">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4.2.3 在资格审查、符合性审查和商务评审时，如发现下列情形之一的，将被视为无效投标文件：</w:t>
      </w:r>
    </w:p>
    <w:p w14:paraId="25FBD360">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4.2.3.1 资格证明文件不全的或者不符合招标文件标明的资格要求的；</w:t>
      </w:r>
    </w:p>
    <w:p w14:paraId="107B38E6">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4.2.3.2 投标文件未按招标文件要求签署、盖章的；</w:t>
      </w:r>
    </w:p>
    <w:p w14:paraId="609D7648">
      <w:pPr>
        <w:shd w:val="clear"/>
        <w:spacing w:line="360" w:lineRule="auto"/>
        <w:ind w:firstLine="480" w:firstLineChars="200"/>
        <w:rPr>
          <w:color w:val="auto"/>
          <w:highlight w:val="none"/>
        </w:rPr>
      </w:pPr>
      <w:r>
        <w:rPr>
          <w:rFonts w:hint="eastAsia" w:cs="仿宋" w:asciiTheme="majorEastAsia" w:hAnsiTheme="majorEastAsia" w:eastAsiaTheme="majorEastAsia"/>
          <w:color w:val="auto"/>
          <w:kern w:val="0"/>
          <w:sz w:val="24"/>
          <w:highlight w:val="none"/>
        </w:rPr>
        <w:t>4.2.3.3投标代表人未能出具身份证明或与法定代表人授权委托人身份不符的；</w:t>
      </w:r>
    </w:p>
    <w:p w14:paraId="7972D69A">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4.2.3.4 投标文件格式不规范、项目不齐全或者内容虚假的；</w:t>
      </w:r>
    </w:p>
    <w:p w14:paraId="3BB0BAF3">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4.2.3.5 投标文件的实质性内容未使用中文表述、意思表述不明确、前后矛盾或者使用计量单位不符合招标文件要求的（经评标委员会认定并允许其当场更正的笔误除外）；</w:t>
      </w:r>
    </w:p>
    <w:p w14:paraId="7CB02F7A">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4.2.3.6 投标有效期、交货时间、质保期等商务条款不能满足招标文件要求的；</w:t>
      </w:r>
    </w:p>
    <w:p w14:paraId="6DF2C4BF">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4.2.3.7 带“▲”的条款不能满足招标文件要求、未实质性响应招标文件要求或者投标文件有采购人不能接受的附加条件的；</w:t>
      </w:r>
    </w:p>
    <w:p w14:paraId="1817D6B9">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4.2.3.8 单位负责人为同一人或者存在直接控股、管理关系的不同供应商参加同一合同项下的政府采购活动的；</w:t>
      </w:r>
    </w:p>
    <w:p w14:paraId="55BD0CFF">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4.2.3.9 为采购项目提供整体设计、规范编制或者项目管理、监理、检测等服务的供应商参加该采购项目的其他采购活动的；</w:t>
      </w:r>
    </w:p>
    <w:p w14:paraId="13322B88">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4.2.3.10 商务技术文件中出现本项目投标报价或单价的。</w:t>
      </w:r>
    </w:p>
    <w:p w14:paraId="47A36DF4">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4.3.在技术评审时，如发现下列情形之一的，将被视为无效投标文件：</w:t>
      </w:r>
    </w:p>
    <w:p w14:paraId="0CA440D4">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4.3.1未提供或未如实提供投标货物的技术参数，或者投标文件标明的响应或偏离与事实不符或虚假投标的；</w:t>
      </w:r>
    </w:p>
    <w:p w14:paraId="4D39BA87">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4.3.2 明显不符合招标文件要求的规格型号、质量标准，或者与招标文件中标“▲”的技术指标、主要功能项目发生实质性偏离的；</w:t>
      </w:r>
    </w:p>
    <w:p w14:paraId="2C14F1E7">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4.3.3 允许偏离的技术、性能指标或辅助功能项目发生负偏离达</w:t>
      </w:r>
      <w:r>
        <w:rPr>
          <w:rFonts w:hint="eastAsia" w:cs="仿宋" w:asciiTheme="majorEastAsia" w:hAnsiTheme="majorEastAsia" w:eastAsiaTheme="majorEastAsia"/>
          <w:color w:val="auto"/>
          <w:kern w:val="0"/>
          <w:sz w:val="24"/>
          <w:highlight w:val="none"/>
          <w:u w:val="single"/>
          <w:lang w:val="en-US" w:eastAsia="zh-CN"/>
        </w:rPr>
        <w:t>7</w:t>
      </w:r>
      <w:r>
        <w:rPr>
          <w:rFonts w:hint="eastAsia" w:cs="仿宋" w:asciiTheme="majorEastAsia" w:hAnsiTheme="majorEastAsia" w:eastAsiaTheme="majorEastAsia"/>
          <w:color w:val="auto"/>
          <w:kern w:val="0"/>
          <w:sz w:val="24"/>
          <w:highlight w:val="none"/>
          <w:u w:val="none"/>
        </w:rPr>
        <w:t>项</w:t>
      </w:r>
      <w:r>
        <w:rPr>
          <w:rFonts w:hint="eastAsia" w:cs="仿宋" w:asciiTheme="majorEastAsia" w:hAnsiTheme="majorEastAsia" w:eastAsiaTheme="majorEastAsia"/>
          <w:color w:val="auto"/>
          <w:kern w:val="0"/>
          <w:sz w:val="24"/>
          <w:highlight w:val="none"/>
        </w:rPr>
        <w:t>（含）以上的，；</w:t>
      </w:r>
    </w:p>
    <w:p w14:paraId="18A9DD13">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4.3.4 投标技术方案不明确，存在一个或一个以上备选（替代）投标方案的；</w:t>
      </w:r>
    </w:p>
    <w:p w14:paraId="253907EA">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4.3.5 与其他参加本次投标</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的投标文件（技术文件）的文字表述内容差错相同2处以上的；</w:t>
      </w:r>
    </w:p>
    <w:p w14:paraId="5E59C2B7">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4.4 在报价评审时，如发现下列情形之一的，投标文件将被视为无效：</w:t>
      </w:r>
    </w:p>
    <w:p w14:paraId="3D7612D1">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4.4.1 未采用人民币报价或者未按照招标文件标明的币种报价的；</w:t>
      </w:r>
    </w:p>
    <w:p w14:paraId="0187FE76">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4.4.2 报价超出最高限价，或者超出采购预算金额的；</w:t>
      </w:r>
    </w:p>
    <w:p w14:paraId="46AC52F1">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4.4.3 投标报价具有选择性的；</w:t>
      </w:r>
    </w:p>
    <w:p w14:paraId="1B74B694">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4.4.4 投标报价中出现缺项、漏项或被评标委员会认定为有可能影响产品质量或者不能诚信履约的且不能在合理的时间内证明其报价合理性的；</w:t>
      </w:r>
    </w:p>
    <w:p w14:paraId="180DC5BB">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4.4.5供应商对根据修正原则修正后的报价不确认的。</w:t>
      </w:r>
    </w:p>
    <w:p w14:paraId="206BCE73">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4.5其他无效情形：</w:t>
      </w:r>
    </w:p>
    <w:p w14:paraId="0EEC1381">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4.5.1 不同</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的投标文件出自同一终端设备或在相同Internet主机分配地址（相同IP地址）进行网上报名、投标的；</w:t>
      </w:r>
    </w:p>
    <w:p w14:paraId="3F14059E">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4.5.2 法律、法规、规章（适用本市的）及省级以上规范性文件（适用本市的）规定的其他无效情形。</w:t>
      </w:r>
    </w:p>
    <w:p w14:paraId="7F212FEA">
      <w:pPr>
        <w:pStyle w:val="7"/>
        <w:shd w:val="clear"/>
        <w:snapToGrid w:val="0"/>
        <w:spacing w:line="360" w:lineRule="auto"/>
        <w:ind w:firstLine="482"/>
        <w:rPr>
          <w:rFonts w:cs="仿宋" w:asciiTheme="majorEastAsia" w:hAnsiTheme="majorEastAsia" w:eastAsiaTheme="majorEastAsia"/>
          <w:color w:val="auto"/>
          <w:highlight w:val="none"/>
        </w:rPr>
      </w:pPr>
      <w:r>
        <w:rPr>
          <w:rFonts w:hint="eastAsia" w:cs="仿宋" w:asciiTheme="majorEastAsia" w:hAnsiTheme="majorEastAsia" w:eastAsiaTheme="majorEastAsia"/>
          <w:b/>
          <w:color w:val="auto"/>
          <w:highlight w:val="none"/>
        </w:rPr>
        <w:t>5.废标。</w:t>
      </w:r>
      <w:r>
        <w:rPr>
          <w:rFonts w:hint="eastAsia" w:cs="仿宋" w:asciiTheme="majorEastAsia" w:hAnsiTheme="majorEastAsia" w:eastAsiaTheme="majorEastAsia"/>
          <w:color w:val="auto"/>
          <w:highlight w:val="none"/>
        </w:rPr>
        <w:t>根据《中华人民共和国政府采购法》第三十六条之规定，在采购中，出现下列情形之一的，应予废标：</w:t>
      </w:r>
    </w:p>
    <w:p w14:paraId="1C161B7D">
      <w:pPr>
        <w:pStyle w:val="7"/>
        <w:shd w:val="clear"/>
        <w:snapToGrid w:val="0"/>
        <w:spacing w:line="360" w:lineRule="auto"/>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5.1符合专业条件的供应商或者对招标文件作实质响应的供应商不足3家的；</w:t>
      </w:r>
    </w:p>
    <w:p w14:paraId="02EE4249">
      <w:pPr>
        <w:pStyle w:val="7"/>
        <w:shd w:val="clear"/>
        <w:snapToGrid w:val="0"/>
        <w:spacing w:line="360" w:lineRule="auto"/>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5.2出现影响采购公正的违法、违规行为的；</w:t>
      </w:r>
    </w:p>
    <w:p w14:paraId="0CDD1760">
      <w:pPr>
        <w:pStyle w:val="7"/>
        <w:shd w:val="clear"/>
        <w:snapToGrid w:val="0"/>
        <w:spacing w:line="360" w:lineRule="auto"/>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5.3</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highlight w:val="none"/>
        </w:rPr>
        <w:t>的报价均超过了采购预算，采购人不能支付的；</w:t>
      </w:r>
    </w:p>
    <w:p w14:paraId="1392AB82">
      <w:pPr>
        <w:pStyle w:val="7"/>
        <w:shd w:val="clear"/>
        <w:snapToGrid w:val="0"/>
        <w:spacing w:line="360" w:lineRule="auto"/>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5.4因重大变故，采购任务取消的。</w:t>
      </w:r>
    </w:p>
    <w:p w14:paraId="051EEDD3">
      <w:pPr>
        <w:pStyle w:val="7"/>
        <w:shd w:val="clear"/>
        <w:snapToGrid w:val="0"/>
        <w:spacing w:line="360" w:lineRule="auto"/>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废标后，采购代理机构应当将废标理由通知所有</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highlight w:val="none"/>
        </w:rPr>
        <w:t>。</w:t>
      </w:r>
    </w:p>
    <w:p w14:paraId="2ABC8130">
      <w:pPr>
        <w:pStyle w:val="7"/>
        <w:shd w:val="clear"/>
        <w:snapToGrid w:val="0"/>
        <w:spacing w:line="360" w:lineRule="auto"/>
        <w:ind w:firstLine="482"/>
        <w:rPr>
          <w:rFonts w:cs="仿宋" w:asciiTheme="majorEastAsia" w:hAnsiTheme="majorEastAsia" w:eastAsiaTheme="majorEastAsia"/>
          <w:color w:val="auto"/>
          <w:highlight w:val="none"/>
        </w:rPr>
      </w:pPr>
      <w:r>
        <w:rPr>
          <w:rFonts w:hint="eastAsia" w:cs="仿宋" w:asciiTheme="majorEastAsia" w:hAnsiTheme="majorEastAsia" w:eastAsiaTheme="majorEastAsia"/>
          <w:b/>
          <w:color w:val="auto"/>
          <w:highlight w:val="none"/>
        </w:rPr>
        <w:t>6.修改招标文件，重新组织采购活动。</w:t>
      </w:r>
      <w:r>
        <w:rPr>
          <w:rFonts w:hint="eastAsia" w:cs="仿宋" w:asciiTheme="majorEastAsia" w:hAnsiTheme="majorEastAsia" w:eastAsiaTheme="majorEastAsia"/>
          <w:color w:val="auto"/>
          <w:highlight w:val="none"/>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660411BF">
      <w:pPr>
        <w:pStyle w:val="7"/>
        <w:shd w:val="clear"/>
        <w:adjustRightInd w:val="0"/>
        <w:snapToGrid w:val="0"/>
        <w:spacing w:line="360" w:lineRule="auto"/>
        <w:ind w:firstLine="482"/>
        <w:rPr>
          <w:rFonts w:cs="仿宋" w:asciiTheme="majorEastAsia" w:hAnsiTheme="majorEastAsia" w:eastAsiaTheme="majorEastAsia"/>
          <w:color w:val="auto"/>
          <w:highlight w:val="none"/>
        </w:rPr>
      </w:pPr>
      <w:r>
        <w:rPr>
          <w:rFonts w:hint="eastAsia" w:cs="仿宋" w:asciiTheme="majorEastAsia" w:hAnsiTheme="majorEastAsia" w:eastAsiaTheme="majorEastAsia"/>
          <w:b/>
          <w:color w:val="auto"/>
          <w:kern w:val="0"/>
          <w:highlight w:val="none"/>
        </w:rPr>
        <w:t>7.重新开展采购。</w:t>
      </w:r>
      <w:r>
        <w:rPr>
          <w:rFonts w:hint="eastAsia" w:cs="仿宋" w:asciiTheme="majorEastAsia" w:hAnsiTheme="majorEastAsia" w:eastAsiaTheme="majorEastAsia"/>
          <w:color w:val="auto"/>
          <w:highlight w:val="none"/>
        </w:rPr>
        <w:t>有政府采购法第七十一条、第七十二条规定的违法行为之一，影响或者可能影响中标、成交结果的，依照下列规定处理：</w:t>
      </w:r>
    </w:p>
    <w:p w14:paraId="5F1E7F10">
      <w:pPr>
        <w:pStyle w:val="7"/>
        <w:shd w:val="clear"/>
        <w:adjustRightInd w:val="0"/>
        <w:snapToGrid w:val="0"/>
        <w:spacing w:line="360" w:lineRule="auto"/>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7.1未确定中标或者中标人的，终止本次政府采购活动，重新开展政府采购活动。</w:t>
      </w:r>
    </w:p>
    <w:p w14:paraId="0039F7B3">
      <w:pPr>
        <w:pStyle w:val="7"/>
        <w:shd w:val="clear"/>
        <w:adjustRightInd w:val="0"/>
        <w:snapToGrid w:val="0"/>
        <w:spacing w:line="360" w:lineRule="auto"/>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7.2已确定中标或者中标人但尚未签订政府采购合同的，中标或者成交结果无效，重新开展政府采购活动。</w:t>
      </w:r>
    </w:p>
    <w:p w14:paraId="604144A5">
      <w:pPr>
        <w:pStyle w:val="7"/>
        <w:shd w:val="clear"/>
        <w:adjustRightInd w:val="0"/>
        <w:snapToGrid w:val="0"/>
        <w:spacing w:line="360" w:lineRule="auto"/>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7.3政府采购合同已签订但尚未履行的，撤销合同，重新开展政府采购活动。</w:t>
      </w:r>
    </w:p>
    <w:p w14:paraId="658E194D">
      <w:pPr>
        <w:pStyle w:val="7"/>
        <w:shd w:val="clear"/>
        <w:adjustRightInd w:val="0"/>
        <w:snapToGrid w:val="0"/>
        <w:spacing w:line="360" w:lineRule="auto"/>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7.4政府采购合同已经履行，给采购人、供应商造成损失的，由责任人承担赔偿责任。</w:t>
      </w:r>
    </w:p>
    <w:p w14:paraId="2A3F7C4B">
      <w:pPr>
        <w:pStyle w:val="7"/>
        <w:shd w:val="clear"/>
        <w:adjustRightInd w:val="0"/>
        <w:snapToGrid w:val="0"/>
        <w:spacing w:line="360" w:lineRule="auto"/>
        <w:rPr>
          <w:rFonts w:cs="仿宋" w:asciiTheme="majorEastAsia" w:hAnsiTheme="majorEastAsia" w:eastAsiaTheme="majorEastAsia"/>
          <w:b/>
          <w:color w:val="auto"/>
          <w:sz w:val="36"/>
          <w:szCs w:val="36"/>
          <w:highlight w:val="none"/>
        </w:rPr>
      </w:pPr>
      <w:r>
        <w:rPr>
          <w:rFonts w:hint="eastAsia" w:cs="仿宋" w:asciiTheme="majorEastAsia" w:hAnsiTheme="majorEastAsia" w:eastAsiaTheme="majorEastAsia"/>
          <w:color w:val="auto"/>
          <w:highlight w:val="none"/>
        </w:rPr>
        <w:t>7.5政府采购当事人有其他违反政府采购法</w:t>
      </w:r>
      <w:r>
        <w:rPr>
          <w:rFonts w:hint="eastAsia" w:cs="仿宋" w:asciiTheme="majorEastAsia" w:hAnsiTheme="majorEastAsia" w:eastAsiaTheme="majorEastAsia"/>
          <w:color w:val="auto"/>
          <w:kern w:val="0"/>
          <w:highlight w:val="none"/>
        </w:rPr>
        <w:t>或者政府采购法实施条例等法律法规规定</w:t>
      </w:r>
      <w:r>
        <w:rPr>
          <w:rFonts w:hint="eastAsia" w:cs="仿宋" w:asciiTheme="majorEastAsia" w:hAnsiTheme="majorEastAsia" w:eastAsiaTheme="majorEastAsia"/>
          <w:color w:val="auto"/>
          <w:highlight w:val="none"/>
        </w:rPr>
        <w:t>的行为，经改正后仍然影响或者可能影响中标、成交结果或者依法被认定为中标、成交无效的，依照7.1-7.4规定处理。</w:t>
      </w:r>
      <w:bookmarkEnd w:id="25"/>
      <w:bookmarkStart w:id="402" w:name="第五部分"/>
      <w:bookmarkStart w:id="403" w:name="_Toc86217003"/>
      <w:r>
        <w:rPr>
          <w:rFonts w:hint="eastAsia" w:cs="仿宋" w:asciiTheme="majorEastAsia" w:hAnsiTheme="majorEastAsia" w:eastAsiaTheme="majorEastAsia"/>
          <w:b/>
          <w:color w:val="auto"/>
          <w:sz w:val="36"/>
          <w:szCs w:val="36"/>
          <w:highlight w:val="none"/>
        </w:rPr>
        <w:br w:type="page"/>
      </w:r>
    </w:p>
    <w:p w14:paraId="6B429AD8">
      <w:pPr>
        <w:pStyle w:val="7"/>
        <w:numPr>
          <w:ilvl w:val="0"/>
          <w:numId w:val="2"/>
        </w:numPr>
        <w:shd w:val="clear"/>
        <w:adjustRightInd w:val="0"/>
        <w:snapToGrid w:val="0"/>
        <w:spacing w:line="360" w:lineRule="auto"/>
        <w:ind w:firstLine="0" w:firstLineChars="0"/>
        <w:jc w:val="center"/>
        <w:rPr>
          <w:rFonts w:cs="仿宋" w:asciiTheme="majorEastAsia" w:hAnsiTheme="majorEastAsia" w:eastAsiaTheme="majorEastAsia"/>
          <w:b/>
          <w:color w:val="auto"/>
          <w:sz w:val="36"/>
          <w:szCs w:val="36"/>
          <w:highlight w:val="none"/>
        </w:rPr>
      </w:pPr>
      <w:r>
        <w:rPr>
          <w:rFonts w:hint="eastAsia" w:cs="仿宋" w:asciiTheme="majorEastAsia" w:hAnsiTheme="majorEastAsia" w:eastAsiaTheme="majorEastAsia"/>
          <w:b/>
          <w:color w:val="auto"/>
          <w:sz w:val="36"/>
          <w:szCs w:val="36"/>
          <w:highlight w:val="none"/>
        </w:rPr>
        <w:t>拟签订的合同文本</w:t>
      </w:r>
    </w:p>
    <w:p w14:paraId="0C4B15B6">
      <w:pPr>
        <w:shd w:val="clear"/>
        <w:spacing w:line="360" w:lineRule="auto"/>
        <w:jc w:val="center"/>
        <w:rPr>
          <w:rFonts w:ascii="仿宋" w:hAnsi="仿宋" w:eastAsia="仿宋" w:cs="仿宋"/>
          <w:b/>
          <w:color w:val="auto"/>
          <w:sz w:val="36"/>
          <w:szCs w:val="36"/>
          <w:highlight w:val="none"/>
        </w:rPr>
      </w:pPr>
    </w:p>
    <w:p w14:paraId="3D86047F">
      <w:pPr>
        <w:shd w:val="clear"/>
        <w:spacing w:line="360" w:lineRule="auto"/>
        <w:jc w:val="center"/>
        <w:rPr>
          <w:rFonts w:ascii="仿宋" w:hAnsi="仿宋" w:eastAsia="仿宋" w:cs="仿宋"/>
          <w:b/>
          <w:color w:val="auto"/>
          <w:sz w:val="36"/>
          <w:szCs w:val="36"/>
          <w:highlight w:val="none"/>
        </w:rPr>
      </w:pPr>
    </w:p>
    <w:p w14:paraId="490862D2">
      <w:pPr>
        <w:shd w:val="clea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048A20E9">
      <w:pPr>
        <w:shd w:val="clea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14:paraId="147E71B3">
      <w:pPr>
        <w:pStyle w:val="42"/>
        <w:shd w:val="clear"/>
        <w:ind w:left="0" w:leftChars="0" w:firstLine="0" w:firstLineChars="0"/>
        <w:rPr>
          <w:rFonts w:ascii="仿宋" w:hAnsi="仿宋" w:eastAsia="仿宋" w:cs="仿宋"/>
          <w:color w:val="auto"/>
          <w:szCs w:val="24"/>
          <w:highlight w:val="none"/>
        </w:rPr>
      </w:pPr>
    </w:p>
    <w:p w14:paraId="3BF0E738">
      <w:pPr>
        <w:pStyle w:val="42"/>
        <w:shd w:val="clear"/>
        <w:rPr>
          <w:rFonts w:ascii="仿宋" w:hAnsi="仿宋" w:eastAsia="仿宋" w:cs="仿宋"/>
          <w:color w:val="auto"/>
          <w:szCs w:val="24"/>
          <w:highlight w:val="none"/>
        </w:rPr>
      </w:pPr>
    </w:p>
    <w:p w14:paraId="30265891">
      <w:pPr>
        <w:shd w:val="clear"/>
        <w:spacing w:before="120" w:line="360" w:lineRule="auto"/>
        <w:rPr>
          <w:rFonts w:ascii="仿宋" w:hAnsi="仿宋" w:eastAsia="仿宋" w:cs="仿宋"/>
          <w:color w:val="auto"/>
          <w:sz w:val="24"/>
          <w:highlight w:val="none"/>
        </w:rPr>
      </w:pPr>
    </w:p>
    <w:p w14:paraId="6F5C9B5B">
      <w:pPr>
        <w:shd w:val="clear"/>
        <w:spacing w:before="120" w:line="360" w:lineRule="auto"/>
        <w:ind w:left="960" w:firstLine="720" w:firstLineChars="300"/>
        <w:rPr>
          <w:rFonts w:ascii="仿宋" w:hAnsi="仿宋" w:eastAsia="仿宋" w:cs="仿宋"/>
          <w:color w:val="auto"/>
          <w:sz w:val="24"/>
          <w:highlight w:val="none"/>
          <w:u w:val="singl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奉化区江口街道园中村改造安置房建设工程（二期）配套幼儿园户外改造项目   </w:t>
      </w:r>
    </w:p>
    <w:p w14:paraId="37D46C9A">
      <w:pPr>
        <w:pStyle w:val="34"/>
        <w:shd w:val="clear"/>
        <w:spacing w:before="120"/>
        <w:rPr>
          <w:rFonts w:ascii="仿宋" w:hAnsi="仿宋" w:eastAsia="仿宋" w:cs="仿宋"/>
          <w:color w:val="auto"/>
          <w:szCs w:val="24"/>
          <w:highlight w:val="none"/>
        </w:rPr>
      </w:pPr>
      <w:r>
        <w:rPr>
          <w:rFonts w:hint="eastAsia" w:ascii="仿宋" w:hAnsi="仿宋" w:eastAsia="仿宋" w:cs="仿宋"/>
          <w:color w:val="auto"/>
          <w:szCs w:val="24"/>
          <w:highlight w:val="none"/>
        </w:rPr>
        <w:t xml:space="preserve">          </w:t>
      </w:r>
    </w:p>
    <w:p w14:paraId="78B105DD">
      <w:pPr>
        <w:pStyle w:val="34"/>
        <w:shd w:val="clear"/>
        <w:spacing w:before="120"/>
        <w:rPr>
          <w:rFonts w:ascii="仿宋" w:hAnsi="仿宋" w:eastAsia="仿宋" w:cs="仿宋"/>
          <w:color w:val="auto"/>
          <w:szCs w:val="24"/>
          <w:highlight w:val="none"/>
        </w:rPr>
      </w:pPr>
    </w:p>
    <w:p w14:paraId="04FF9AB4">
      <w:pPr>
        <w:shd w:val="clear"/>
        <w:spacing w:line="360" w:lineRule="auto"/>
        <w:rPr>
          <w:rFonts w:ascii="仿宋" w:hAnsi="仿宋" w:eastAsia="仿宋" w:cs="仿宋"/>
          <w:color w:val="auto"/>
          <w:sz w:val="24"/>
          <w:highlight w:val="none"/>
        </w:rPr>
      </w:pPr>
    </w:p>
    <w:p w14:paraId="6B7294F1">
      <w:pPr>
        <w:shd w:val="clear"/>
        <w:spacing w:before="120" w:line="480" w:lineRule="auto"/>
        <w:ind w:left="960"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宁波市奉化区教育发展投资有限责任公司   </w:t>
      </w:r>
    </w:p>
    <w:p w14:paraId="29C123DA">
      <w:pPr>
        <w:shd w:val="clear"/>
        <w:spacing w:before="120" w:line="480" w:lineRule="auto"/>
        <w:ind w:left="960"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7AD0DFA9">
      <w:pPr>
        <w:shd w:val="clear"/>
        <w:spacing w:before="120" w:line="480" w:lineRule="auto"/>
        <w:ind w:firstLine="1680" w:firstLineChars="700"/>
        <w:rPr>
          <w:rFonts w:ascii="仿宋" w:hAnsi="仿宋" w:eastAsia="仿宋" w:cs="仿宋"/>
          <w:color w:val="auto"/>
          <w:sz w:val="24"/>
          <w:highlight w:val="non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3569A919">
      <w:pPr>
        <w:shd w:val="clear"/>
        <w:spacing w:before="120" w:line="480" w:lineRule="auto"/>
        <w:ind w:firstLine="1680" w:firstLineChars="700"/>
        <w:rPr>
          <w:rFonts w:ascii="仿宋" w:hAnsi="仿宋" w:eastAsia="仿宋" w:cs="仿宋"/>
          <w:color w:val="auto"/>
          <w:sz w:val="24"/>
          <w:highlight w:val="non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5558C6D8">
      <w:pPr>
        <w:shd w:val="clear"/>
        <w:spacing w:line="360" w:lineRule="auto"/>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u w:val="single"/>
          <w:lang w:val="zh-CN"/>
        </w:rPr>
        <w:br w:type="page"/>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u w:val="single"/>
          <w:lang w:val="zh-CN"/>
        </w:rPr>
        <w:t xml:space="preserve"> 宁波市奉化区教育发展投资有限责任公司  </w:t>
      </w:r>
      <w:r>
        <w:rPr>
          <w:rFonts w:hint="eastAsia" w:ascii="仿宋" w:hAnsi="仿宋" w:eastAsia="仿宋" w:cs="仿宋"/>
          <w:color w:val="auto"/>
          <w:sz w:val="24"/>
          <w:highlight w:val="none"/>
          <w:lang w:val="zh-CN"/>
        </w:rPr>
        <w:t>以</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u w:val="single"/>
        </w:rPr>
        <w:t>公开招标</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对</w:t>
      </w:r>
      <w:r>
        <w:rPr>
          <w:rFonts w:hint="eastAsia" w:ascii="仿宋" w:hAnsi="仿宋" w:eastAsia="仿宋" w:cs="仿宋"/>
          <w:color w:val="auto"/>
          <w:sz w:val="24"/>
          <w:highlight w:val="none"/>
          <w:u w:val="single"/>
          <w:lang w:val="zh-CN"/>
        </w:rPr>
        <w:t>奉化区江口街道园中村改造安置房建设工程（二期）配套幼儿园户外改造</w:t>
      </w:r>
      <w:r>
        <w:rPr>
          <w:rFonts w:hint="eastAsia" w:ascii="仿宋" w:hAnsi="仿宋" w:eastAsia="仿宋" w:cs="仿宋"/>
          <w:color w:val="auto"/>
          <w:sz w:val="24"/>
          <w:highlight w:val="none"/>
          <w:lang w:val="zh-CN"/>
        </w:rPr>
        <w:t>项目进行了采购。经</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u w:val="single"/>
        </w:rPr>
        <w:t>评审小组</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评定，</w:t>
      </w:r>
      <w:r>
        <w:rPr>
          <w:rFonts w:hint="eastAsia" w:ascii="仿宋" w:hAnsi="仿宋" w:eastAsia="仿宋" w:cs="仿宋"/>
          <w:color w:val="auto"/>
          <w:sz w:val="24"/>
          <w:highlight w:val="none"/>
          <w:u w:val="single"/>
          <w:lang w:val="zh-CN"/>
        </w:rPr>
        <w:t xml:space="preserve">   （中标供应商名称）</w:t>
      </w:r>
      <w:r>
        <w:rPr>
          <w:rFonts w:hint="eastAsia" w:ascii="仿宋" w:hAnsi="仿宋" w:eastAsia="仿宋" w:cs="仿宋"/>
          <w:color w:val="auto"/>
          <w:sz w:val="24"/>
          <w:highlight w:val="none"/>
          <w:lang w:val="zh-CN"/>
        </w:rPr>
        <w:t>为该项目中标供应商。现于中标通知书发出之日起三十日内，按照采购文件确定的事项签订本合同。</w:t>
      </w:r>
    </w:p>
    <w:p w14:paraId="24135A5E">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宁波市奉化区教育发展投资有限责任公司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6C4C4A28">
      <w:pPr>
        <w:shd w:val="clear"/>
        <w:adjustRightInd w:val="0"/>
        <w:spacing w:line="360" w:lineRule="auto"/>
        <w:ind w:firstLine="482" w:firstLineChars="200"/>
        <w:outlineLvl w:val="0"/>
        <w:rPr>
          <w:rFonts w:ascii="仿宋" w:hAnsi="仿宋" w:eastAsia="仿宋" w:cs="仿宋"/>
          <w:b/>
          <w:color w:val="auto"/>
          <w:sz w:val="24"/>
          <w:highlight w:val="none"/>
        </w:rPr>
      </w:pPr>
      <w:bookmarkStart w:id="404" w:name="_Toc2232"/>
      <w:bookmarkStart w:id="405" w:name="_Toc3029"/>
      <w:bookmarkStart w:id="406" w:name="_Toc24059"/>
      <w:r>
        <w:rPr>
          <w:rFonts w:hint="eastAsia" w:ascii="仿宋" w:hAnsi="仿宋" w:eastAsia="仿宋" w:cs="仿宋"/>
          <w:b/>
          <w:color w:val="auto"/>
          <w:sz w:val="24"/>
          <w:highlight w:val="none"/>
        </w:rPr>
        <w:t>1 定义</w:t>
      </w:r>
    </w:p>
    <w:p w14:paraId="2AE62B14">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3EA12C36">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 “合同”系指采购人和中标供应商签订的载明双方当事人所达成的协议，并包括所有的附件、附录和构成合同的其他文件。</w:t>
      </w:r>
    </w:p>
    <w:p w14:paraId="79782A79">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 “合同价”系指根据合同约定，中标供应商在完全履行合同义务后，采购人应支付给中标供应商的价格。</w:t>
      </w:r>
    </w:p>
    <w:p w14:paraId="25269A00">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 “货物”系指中标供应商根据合同约定应向采购人交付的一切各种形态和种类的物品，包括原材料、燃料、设备、机械、仪表、备件、计算机软件、产品等，并包括工具、手册等其他相关资料。</w:t>
      </w:r>
    </w:p>
    <w:p w14:paraId="24766812">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 “甲方”系指与中标供应商签署合同的采购人；采购人委托采购代理机构代表其与乙方签订合同的，采购人的授权委托书作为合同附件。</w:t>
      </w:r>
    </w:p>
    <w:p w14:paraId="6EB7C5CB">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 “乙方”系指根据合同约定交付货物的中标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56BB009D">
      <w:pPr>
        <w:shd w:val="clear"/>
        <w:spacing w:line="360" w:lineRule="auto"/>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1.6 “现场”系指合同约定货物将要运至或者安装的地点。</w:t>
      </w:r>
    </w:p>
    <w:p w14:paraId="47D3E8F1">
      <w:pPr>
        <w:shd w:val="clear"/>
        <w:adjustRightInd w:val="0"/>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 合同组成部分</w:t>
      </w:r>
      <w:bookmarkEnd w:id="404"/>
      <w:bookmarkEnd w:id="405"/>
      <w:bookmarkEnd w:id="406"/>
    </w:p>
    <w:p w14:paraId="2F750D54">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下列文件为本合同的组成部分，并构成一个整体，需综合解释、相互补充。如果下列文件内容出现不一致的情形，那么在保证按照招标文件确定的事项的前提下，组成本合同的多个文件的优先适用顺序如下：</w:t>
      </w:r>
    </w:p>
    <w:p w14:paraId="2AF0B769">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本合同及其补充合同、变更协议；</w:t>
      </w:r>
    </w:p>
    <w:p w14:paraId="04A08EAC">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中标通知书；</w:t>
      </w:r>
    </w:p>
    <w:p w14:paraId="75E35082">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投标文件（含澄清或者说明文件）；</w:t>
      </w:r>
    </w:p>
    <w:p w14:paraId="281473B2">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 招标文件（含澄清或者修改文件）；</w:t>
      </w:r>
    </w:p>
    <w:p w14:paraId="1262F9D2">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 其他相关采购文件。</w:t>
      </w:r>
    </w:p>
    <w:p w14:paraId="1E9A5733">
      <w:pPr>
        <w:shd w:val="clear"/>
        <w:adjustRightInd w:val="0"/>
        <w:spacing w:line="360" w:lineRule="auto"/>
        <w:ind w:firstLine="482" w:firstLineChars="200"/>
        <w:outlineLvl w:val="0"/>
        <w:rPr>
          <w:rFonts w:ascii="仿宋" w:hAnsi="仿宋" w:eastAsia="仿宋" w:cs="仿宋"/>
          <w:b/>
          <w:color w:val="auto"/>
          <w:sz w:val="24"/>
          <w:highlight w:val="none"/>
        </w:rPr>
      </w:pPr>
      <w:bookmarkStart w:id="407" w:name="_Toc24300"/>
      <w:bookmarkStart w:id="408" w:name="_Toc27126"/>
      <w:bookmarkStart w:id="409" w:name="_Toc21295"/>
      <w:r>
        <w:rPr>
          <w:rFonts w:hint="eastAsia" w:ascii="仿宋" w:hAnsi="仿宋" w:eastAsia="仿宋" w:cs="仿宋"/>
          <w:b/>
          <w:color w:val="auto"/>
          <w:sz w:val="24"/>
          <w:highlight w:val="none"/>
        </w:rPr>
        <w:t>3 货物</w:t>
      </w:r>
      <w:bookmarkEnd w:id="407"/>
      <w:bookmarkEnd w:id="408"/>
      <w:bookmarkEnd w:id="409"/>
    </w:p>
    <w:tbl>
      <w:tblPr>
        <w:tblStyle w:val="18"/>
        <w:tblW w:w="91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620"/>
        <w:gridCol w:w="925"/>
        <w:gridCol w:w="1245"/>
        <w:gridCol w:w="3461"/>
        <w:gridCol w:w="1186"/>
      </w:tblGrid>
      <w:tr w14:paraId="20896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2" w:type="dxa"/>
            <w:tcBorders>
              <w:top w:val="single" w:color="auto" w:sz="4" w:space="0"/>
              <w:left w:val="single" w:color="auto" w:sz="4" w:space="0"/>
              <w:bottom w:val="single" w:color="auto" w:sz="4" w:space="0"/>
              <w:right w:val="single" w:color="auto" w:sz="4" w:space="0"/>
            </w:tcBorders>
            <w:vAlign w:val="center"/>
          </w:tcPr>
          <w:p w14:paraId="56FDDDCA">
            <w:pPr>
              <w:pStyle w:val="38"/>
              <w:shd w:val="clear"/>
              <w:spacing w:line="360"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1620" w:type="dxa"/>
            <w:tcBorders>
              <w:top w:val="single" w:color="auto" w:sz="4" w:space="0"/>
              <w:left w:val="single" w:color="auto" w:sz="4" w:space="0"/>
              <w:bottom w:val="single" w:color="auto" w:sz="4" w:space="0"/>
              <w:right w:val="single" w:color="auto" w:sz="4" w:space="0"/>
            </w:tcBorders>
            <w:vAlign w:val="center"/>
          </w:tcPr>
          <w:p w14:paraId="538E2AAB">
            <w:pPr>
              <w:pStyle w:val="38"/>
              <w:shd w:val="clear"/>
              <w:spacing w:line="360"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货物名称</w:t>
            </w:r>
          </w:p>
        </w:tc>
        <w:tc>
          <w:tcPr>
            <w:tcW w:w="925" w:type="dxa"/>
            <w:tcBorders>
              <w:top w:val="single" w:color="auto" w:sz="4" w:space="0"/>
              <w:left w:val="single" w:color="auto" w:sz="4" w:space="0"/>
              <w:bottom w:val="single" w:color="auto" w:sz="4" w:space="0"/>
              <w:right w:val="single" w:color="auto" w:sz="4" w:space="0"/>
            </w:tcBorders>
            <w:vAlign w:val="center"/>
          </w:tcPr>
          <w:p w14:paraId="6D30A482">
            <w:pPr>
              <w:pStyle w:val="38"/>
              <w:shd w:val="clear"/>
              <w:spacing w:line="360"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数量</w:t>
            </w:r>
          </w:p>
        </w:tc>
        <w:tc>
          <w:tcPr>
            <w:tcW w:w="1245" w:type="dxa"/>
            <w:tcBorders>
              <w:top w:val="single" w:color="auto" w:sz="4" w:space="0"/>
              <w:left w:val="single" w:color="auto" w:sz="4" w:space="0"/>
              <w:bottom w:val="single" w:color="auto" w:sz="4" w:space="0"/>
              <w:right w:val="single" w:color="auto" w:sz="4" w:space="0"/>
            </w:tcBorders>
            <w:vAlign w:val="center"/>
          </w:tcPr>
          <w:p w14:paraId="1C041360">
            <w:pPr>
              <w:pStyle w:val="38"/>
              <w:shd w:val="clear"/>
              <w:spacing w:line="360"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品牌名称</w:t>
            </w:r>
          </w:p>
        </w:tc>
        <w:tc>
          <w:tcPr>
            <w:tcW w:w="3461" w:type="dxa"/>
            <w:tcBorders>
              <w:top w:val="single" w:color="auto" w:sz="4" w:space="0"/>
              <w:left w:val="single" w:color="auto" w:sz="4" w:space="0"/>
              <w:bottom w:val="single" w:color="auto" w:sz="4" w:space="0"/>
              <w:right w:val="single" w:color="auto" w:sz="4" w:space="0"/>
            </w:tcBorders>
            <w:vAlign w:val="center"/>
          </w:tcPr>
          <w:p w14:paraId="581B483A">
            <w:pPr>
              <w:pStyle w:val="38"/>
              <w:shd w:val="clear"/>
              <w:spacing w:line="360"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规格型号/技术要求/质量要求</w:t>
            </w:r>
          </w:p>
        </w:tc>
        <w:tc>
          <w:tcPr>
            <w:tcW w:w="1186" w:type="dxa"/>
            <w:tcBorders>
              <w:top w:val="single" w:color="auto" w:sz="4" w:space="0"/>
              <w:left w:val="single" w:color="auto" w:sz="4" w:space="0"/>
              <w:bottom w:val="single" w:color="auto" w:sz="4" w:space="0"/>
              <w:right w:val="single" w:color="auto" w:sz="4" w:space="0"/>
            </w:tcBorders>
            <w:vAlign w:val="center"/>
          </w:tcPr>
          <w:p w14:paraId="74F8BCC1">
            <w:pPr>
              <w:pStyle w:val="38"/>
              <w:shd w:val="clear"/>
              <w:spacing w:line="360"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原产地</w:t>
            </w:r>
          </w:p>
        </w:tc>
      </w:tr>
      <w:tr w14:paraId="0622D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2" w:type="dxa"/>
            <w:tcBorders>
              <w:top w:val="single" w:color="auto" w:sz="4" w:space="0"/>
              <w:left w:val="single" w:color="auto" w:sz="4" w:space="0"/>
              <w:bottom w:val="single" w:color="auto" w:sz="4" w:space="0"/>
              <w:right w:val="single" w:color="auto" w:sz="4" w:space="0"/>
            </w:tcBorders>
            <w:vAlign w:val="center"/>
          </w:tcPr>
          <w:p w14:paraId="5A77B929">
            <w:pPr>
              <w:pStyle w:val="38"/>
              <w:shd w:val="clear"/>
              <w:spacing w:line="360" w:lineRule="auto"/>
              <w:ind w:firstLine="200"/>
              <w:jc w:val="center"/>
              <w:rPr>
                <w:rFonts w:ascii="仿宋" w:hAnsi="仿宋" w:eastAsia="仿宋" w:cs="仿宋"/>
                <w:color w:val="auto"/>
                <w:sz w:val="24"/>
                <w:szCs w:val="24"/>
                <w:highlight w:val="none"/>
              </w:rPr>
            </w:pPr>
          </w:p>
        </w:tc>
        <w:tc>
          <w:tcPr>
            <w:tcW w:w="1620" w:type="dxa"/>
            <w:tcBorders>
              <w:top w:val="single" w:color="auto" w:sz="4" w:space="0"/>
              <w:left w:val="single" w:color="auto" w:sz="4" w:space="0"/>
              <w:bottom w:val="single" w:color="auto" w:sz="4" w:space="0"/>
              <w:right w:val="single" w:color="auto" w:sz="4" w:space="0"/>
            </w:tcBorders>
            <w:vAlign w:val="center"/>
          </w:tcPr>
          <w:p w14:paraId="5A65AA5A">
            <w:pPr>
              <w:pStyle w:val="38"/>
              <w:shd w:val="clear"/>
              <w:spacing w:line="360" w:lineRule="auto"/>
              <w:ind w:firstLine="200"/>
              <w:jc w:val="center"/>
              <w:rPr>
                <w:rFonts w:ascii="仿宋" w:hAnsi="仿宋" w:eastAsia="仿宋" w:cs="仿宋"/>
                <w:color w:val="auto"/>
                <w:sz w:val="24"/>
                <w:szCs w:val="24"/>
                <w:highlight w:val="none"/>
              </w:rPr>
            </w:pPr>
          </w:p>
        </w:tc>
        <w:tc>
          <w:tcPr>
            <w:tcW w:w="925" w:type="dxa"/>
            <w:tcBorders>
              <w:top w:val="single" w:color="auto" w:sz="4" w:space="0"/>
              <w:left w:val="single" w:color="auto" w:sz="4" w:space="0"/>
              <w:bottom w:val="single" w:color="auto" w:sz="4" w:space="0"/>
              <w:right w:val="single" w:color="auto" w:sz="4" w:space="0"/>
            </w:tcBorders>
            <w:vAlign w:val="center"/>
          </w:tcPr>
          <w:p w14:paraId="14E5B4B4">
            <w:pPr>
              <w:pStyle w:val="38"/>
              <w:shd w:val="clear"/>
              <w:spacing w:line="360" w:lineRule="auto"/>
              <w:ind w:firstLine="200"/>
              <w:jc w:val="center"/>
              <w:rPr>
                <w:rFonts w:ascii="仿宋" w:hAnsi="仿宋" w:eastAsia="仿宋" w:cs="仿宋"/>
                <w:color w:val="auto"/>
                <w:sz w:val="24"/>
                <w:szCs w:val="24"/>
                <w:highlight w:val="none"/>
              </w:rPr>
            </w:pPr>
          </w:p>
        </w:tc>
        <w:tc>
          <w:tcPr>
            <w:tcW w:w="1245" w:type="dxa"/>
            <w:tcBorders>
              <w:top w:val="single" w:color="auto" w:sz="4" w:space="0"/>
              <w:left w:val="single" w:color="auto" w:sz="4" w:space="0"/>
              <w:bottom w:val="single" w:color="auto" w:sz="4" w:space="0"/>
              <w:right w:val="single" w:color="auto" w:sz="4" w:space="0"/>
            </w:tcBorders>
            <w:vAlign w:val="center"/>
          </w:tcPr>
          <w:p w14:paraId="708CBFF8">
            <w:pPr>
              <w:pStyle w:val="38"/>
              <w:shd w:val="clear"/>
              <w:spacing w:line="360" w:lineRule="auto"/>
              <w:ind w:firstLine="200"/>
              <w:jc w:val="center"/>
              <w:rPr>
                <w:rFonts w:ascii="仿宋" w:hAnsi="仿宋" w:eastAsia="仿宋" w:cs="仿宋"/>
                <w:color w:val="auto"/>
                <w:sz w:val="24"/>
                <w:szCs w:val="24"/>
                <w:highlight w:val="none"/>
              </w:rPr>
            </w:pPr>
          </w:p>
        </w:tc>
        <w:tc>
          <w:tcPr>
            <w:tcW w:w="3461" w:type="dxa"/>
            <w:tcBorders>
              <w:top w:val="single" w:color="auto" w:sz="4" w:space="0"/>
              <w:left w:val="single" w:color="auto" w:sz="4" w:space="0"/>
              <w:bottom w:val="single" w:color="auto" w:sz="4" w:space="0"/>
              <w:right w:val="single" w:color="auto" w:sz="4" w:space="0"/>
            </w:tcBorders>
            <w:vAlign w:val="center"/>
          </w:tcPr>
          <w:p w14:paraId="0AEA7B57">
            <w:pPr>
              <w:pStyle w:val="38"/>
              <w:shd w:val="clear"/>
              <w:spacing w:line="360" w:lineRule="auto"/>
              <w:ind w:firstLine="200"/>
              <w:jc w:val="center"/>
              <w:rPr>
                <w:rFonts w:ascii="仿宋" w:hAnsi="仿宋" w:eastAsia="仿宋" w:cs="仿宋"/>
                <w:color w:val="auto"/>
                <w:sz w:val="24"/>
                <w:szCs w:val="24"/>
                <w:highlight w:val="none"/>
              </w:rPr>
            </w:pPr>
          </w:p>
        </w:tc>
        <w:tc>
          <w:tcPr>
            <w:tcW w:w="1186" w:type="dxa"/>
            <w:tcBorders>
              <w:top w:val="single" w:color="auto" w:sz="4" w:space="0"/>
              <w:left w:val="single" w:color="auto" w:sz="4" w:space="0"/>
              <w:bottom w:val="single" w:color="auto" w:sz="4" w:space="0"/>
              <w:right w:val="single" w:color="auto" w:sz="4" w:space="0"/>
            </w:tcBorders>
            <w:vAlign w:val="center"/>
          </w:tcPr>
          <w:p w14:paraId="0B73BB10">
            <w:pPr>
              <w:pStyle w:val="38"/>
              <w:shd w:val="clear"/>
              <w:spacing w:line="360" w:lineRule="auto"/>
              <w:ind w:firstLine="200"/>
              <w:jc w:val="center"/>
              <w:rPr>
                <w:rFonts w:ascii="仿宋" w:hAnsi="仿宋" w:eastAsia="仿宋" w:cs="仿宋"/>
                <w:color w:val="auto"/>
                <w:sz w:val="24"/>
                <w:szCs w:val="24"/>
                <w:highlight w:val="none"/>
              </w:rPr>
            </w:pPr>
          </w:p>
        </w:tc>
      </w:tr>
      <w:tr w14:paraId="5D3AE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2" w:type="dxa"/>
            <w:tcBorders>
              <w:top w:val="single" w:color="auto" w:sz="4" w:space="0"/>
              <w:left w:val="single" w:color="auto" w:sz="4" w:space="0"/>
              <w:bottom w:val="single" w:color="auto" w:sz="4" w:space="0"/>
              <w:right w:val="single" w:color="auto" w:sz="4" w:space="0"/>
            </w:tcBorders>
            <w:vAlign w:val="center"/>
          </w:tcPr>
          <w:p w14:paraId="1084DA12">
            <w:pPr>
              <w:pStyle w:val="38"/>
              <w:shd w:val="clear"/>
              <w:spacing w:line="360" w:lineRule="auto"/>
              <w:ind w:firstLine="200"/>
              <w:jc w:val="center"/>
              <w:rPr>
                <w:rFonts w:ascii="仿宋" w:hAnsi="仿宋" w:eastAsia="仿宋" w:cs="仿宋"/>
                <w:color w:val="auto"/>
                <w:sz w:val="24"/>
                <w:szCs w:val="24"/>
                <w:highlight w:val="none"/>
              </w:rPr>
            </w:pPr>
          </w:p>
        </w:tc>
        <w:tc>
          <w:tcPr>
            <w:tcW w:w="1620" w:type="dxa"/>
            <w:tcBorders>
              <w:top w:val="single" w:color="auto" w:sz="4" w:space="0"/>
              <w:left w:val="single" w:color="auto" w:sz="4" w:space="0"/>
              <w:bottom w:val="single" w:color="auto" w:sz="4" w:space="0"/>
              <w:right w:val="single" w:color="auto" w:sz="4" w:space="0"/>
            </w:tcBorders>
            <w:vAlign w:val="center"/>
          </w:tcPr>
          <w:p w14:paraId="70566CA8">
            <w:pPr>
              <w:pStyle w:val="38"/>
              <w:shd w:val="clear"/>
              <w:spacing w:line="360" w:lineRule="auto"/>
              <w:ind w:firstLine="200"/>
              <w:jc w:val="center"/>
              <w:rPr>
                <w:rFonts w:ascii="仿宋" w:hAnsi="仿宋" w:eastAsia="仿宋" w:cs="仿宋"/>
                <w:color w:val="auto"/>
                <w:sz w:val="24"/>
                <w:szCs w:val="24"/>
                <w:highlight w:val="none"/>
              </w:rPr>
            </w:pPr>
          </w:p>
        </w:tc>
        <w:tc>
          <w:tcPr>
            <w:tcW w:w="925" w:type="dxa"/>
            <w:tcBorders>
              <w:top w:val="single" w:color="auto" w:sz="4" w:space="0"/>
              <w:left w:val="single" w:color="auto" w:sz="4" w:space="0"/>
              <w:bottom w:val="single" w:color="auto" w:sz="4" w:space="0"/>
              <w:right w:val="single" w:color="auto" w:sz="4" w:space="0"/>
            </w:tcBorders>
            <w:vAlign w:val="center"/>
          </w:tcPr>
          <w:p w14:paraId="17370F14">
            <w:pPr>
              <w:pStyle w:val="38"/>
              <w:shd w:val="clear"/>
              <w:spacing w:line="360" w:lineRule="auto"/>
              <w:ind w:firstLine="200"/>
              <w:jc w:val="center"/>
              <w:rPr>
                <w:rFonts w:ascii="仿宋" w:hAnsi="仿宋" w:eastAsia="仿宋" w:cs="仿宋"/>
                <w:color w:val="auto"/>
                <w:sz w:val="24"/>
                <w:szCs w:val="24"/>
                <w:highlight w:val="none"/>
              </w:rPr>
            </w:pPr>
          </w:p>
        </w:tc>
        <w:tc>
          <w:tcPr>
            <w:tcW w:w="1245" w:type="dxa"/>
            <w:tcBorders>
              <w:top w:val="single" w:color="auto" w:sz="4" w:space="0"/>
              <w:left w:val="single" w:color="auto" w:sz="4" w:space="0"/>
              <w:bottom w:val="single" w:color="auto" w:sz="4" w:space="0"/>
              <w:right w:val="single" w:color="auto" w:sz="4" w:space="0"/>
            </w:tcBorders>
            <w:vAlign w:val="center"/>
          </w:tcPr>
          <w:p w14:paraId="385013D8">
            <w:pPr>
              <w:pStyle w:val="38"/>
              <w:shd w:val="clear"/>
              <w:spacing w:line="360" w:lineRule="auto"/>
              <w:ind w:firstLine="200"/>
              <w:jc w:val="center"/>
              <w:rPr>
                <w:rFonts w:ascii="仿宋" w:hAnsi="仿宋" w:eastAsia="仿宋" w:cs="仿宋"/>
                <w:color w:val="auto"/>
                <w:sz w:val="24"/>
                <w:szCs w:val="24"/>
                <w:highlight w:val="none"/>
              </w:rPr>
            </w:pPr>
          </w:p>
        </w:tc>
        <w:tc>
          <w:tcPr>
            <w:tcW w:w="3461" w:type="dxa"/>
            <w:tcBorders>
              <w:top w:val="single" w:color="auto" w:sz="4" w:space="0"/>
              <w:left w:val="single" w:color="auto" w:sz="4" w:space="0"/>
              <w:bottom w:val="single" w:color="auto" w:sz="4" w:space="0"/>
              <w:right w:val="single" w:color="auto" w:sz="4" w:space="0"/>
            </w:tcBorders>
            <w:vAlign w:val="center"/>
          </w:tcPr>
          <w:p w14:paraId="043972CD">
            <w:pPr>
              <w:pStyle w:val="38"/>
              <w:shd w:val="clear"/>
              <w:spacing w:line="360" w:lineRule="auto"/>
              <w:ind w:firstLine="200"/>
              <w:jc w:val="center"/>
              <w:rPr>
                <w:rFonts w:ascii="仿宋" w:hAnsi="仿宋" w:eastAsia="仿宋" w:cs="仿宋"/>
                <w:color w:val="auto"/>
                <w:sz w:val="24"/>
                <w:szCs w:val="24"/>
                <w:highlight w:val="none"/>
              </w:rPr>
            </w:pPr>
          </w:p>
        </w:tc>
        <w:tc>
          <w:tcPr>
            <w:tcW w:w="1186" w:type="dxa"/>
            <w:tcBorders>
              <w:top w:val="single" w:color="auto" w:sz="4" w:space="0"/>
              <w:left w:val="single" w:color="auto" w:sz="4" w:space="0"/>
              <w:bottom w:val="single" w:color="auto" w:sz="4" w:space="0"/>
              <w:right w:val="single" w:color="auto" w:sz="4" w:space="0"/>
            </w:tcBorders>
            <w:vAlign w:val="center"/>
          </w:tcPr>
          <w:p w14:paraId="12253055">
            <w:pPr>
              <w:pStyle w:val="38"/>
              <w:shd w:val="clear"/>
              <w:spacing w:line="360" w:lineRule="auto"/>
              <w:ind w:firstLine="200"/>
              <w:jc w:val="center"/>
              <w:rPr>
                <w:rFonts w:ascii="仿宋" w:hAnsi="仿宋" w:eastAsia="仿宋" w:cs="仿宋"/>
                <w:color w:val="auto"/>
                <w:sz w:val="24"/>
                <w:szCs w:val="24"/>
                <w:highlight w:val="none"/>
              </w:rPr>
            </w:pPr>
          </w:p>
        </w:tc>
      </w:tr>
      <w:tr w14:paraId="50188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2" w:type="dxa"/>
            <w:tcBorders>
              <w:top w:val="single" w:color="auto" w:sz="4" w:space="0"/>
              <w:left w:val="single" w:color="auto" w:sz="4" w:space="0"/>
              <w:bottom w:val="single" w:color="auto" w:sz="4" w:space="0"/>
              <w:right w:val="single" w:color="auto" w:sz="4" w:space="0"/>
            </w:tcBorders>
            <w:vAlign w:val="center"/>
          </w:tcPr>
          <w:p w14:paraId="7583B0E4">
            <w:pPr>
              <w:pStyle w:val="38"/>
              <w:shd w:val="clear"/>
              <w:spacing w:line="360" w:lineRule="auto"/>
              <w:ind w:firstLine="200"/>
              <w:jc w:val="center"/>
              <w:rPr>
                <w:rFonts w:ascii="仿宋" w:hAnsi="仿宋" w:eastAsia="仿宋" w:cs="仿宋"/>
                <w:color w:val="auto"/>
                <w:sz w:val="24"/>
                <w:szCs w:val="24"/>
                <w:highlight w:val="none"/>
              </w:rPr>
            </w:pPr>
          </w:p>
        </w:tc>
        <w:tc>
          <w:tcPr>
            <w:tcW w:w="1620" w:type="dxa"/>
            <w:tcBorders>
              <w:top w:val="single" w:color="auto" w:sz="4" w:space="0"/>
              <w:left w:val="single" w:color="auto" w:sz="4" w:space="0"/>
              <w:bottom w:val="single" w:color="auto" w:sz="4" w:space="0"/>
              <w:right w:val="single" w:color="auto" w:sz="4" w:space="0"/>
            </w:tcBorders>
            <w:vAlign w:val="center"/>
          </w:tcPr>
          <w:p w14:paraId="6E5BFE5F">
            <w:pPr>
              <w:pStyle w:val="38"/>
              <w:shd w:val="clear"/>
              <w:spacing w:line="360" w:lineRule="auto"/>
              <w:ind w:firstLine="200"/>
              <w:jc w:val="center"/>
              <w:rPr>
                <w:rFonts w:ascii="仿宋" w:hAnsi="仿宋" w:eastAsia="仿宋" w:cs="仿宋"/>
                <w:color w:val="auto"/>
                <w:sz w:val="24"/>
                <w:szCs w:val="24"/>
                <w:highlight w:val="none"/>
              </w:rPr>
            </w:pPr>
          </w:p>
        </w:tc>
        <w:tc>
          <w:tcPr>
            <w:tcW w:w="925" w:type="dxa"/>
            <w:tcBorders>
              <w:top w:val="single" w:color="auto" w:sz="4" w:space="0"/>
              <w:left w:val="single" w:color="auto" w:sz="4" w:space="0"/>
              <w:bottom w:val="single" w:color="auto" w:sz="4" w:space="0"/>
              <w:right w:val="single" w:color="auto" w:sz="4" w:space="0"/>
            </w:tcBorders>
            <w:vAlign w:val="center"/>
          </w:tcPr>
          <w:p w14:paraId="2E7DA2A9">
            <w:pPr>
              <w:pStyle w:val="38"/>
              <w:shd w:val="clear"/>
              <w:spacing w:line="360" w:lineRule="auto"/>
              <w:ind w:firstLine="200"/>
              <w:jc w:val="center"/>
              <w:rPr>
                <w:rFonts w:ascii="仿宋" w:hAnsi="仿宋" w:eastAsia="仿宋" w:cs="仿宋"/>
                <w:color w:val="auto"/>
                <w:sz w:val="24"/>
                <w:szCs w:val="24"/>
                <w:highlight w:val="none"/>
              </w:rPr>
            </w:pPr>
          </w:p>
        </w:tc>
        <w:tc>
          <w:tcPr>
            <w:tcW w:w="1245" w:type="dxa"/>
            <w:tcBorders>
              <w:top w:val="single" w:color="auto" w:sz="4" w:space="0"/>
              <w:left w:val="single" w:color="auto" w:sz="4" w:space="0"/>
              <w:bottom w:val="single" w:color="auto" w:sz="4" w:space="0"/>
              <w:right w:val="single" w:color="auto" w:sz="4" w:space="0"/>
            </w:tcBorders>
            <w:vAlign w:val="center"/>
          </w:tcPr>
          <w:p w14:paraId="2D5A4F6C">
            <w:pPr>
              <w:pStyle w:val="38"/>
              <w:shd w:val="clear"/>
              <w:spacing w:line="360" w:lineRule="auto"/>
              <w:ind w:firstLine="200"/>
              <w:jc w:val="center"/>
              <w:rPr>
                <w:rFonts w:ascii="仿宋" w:hAnsi="仿宋" w:eastAsia="仿宋" w:cs="仿宋"/>
                <w:color w:val="auto"/>
                <w:sz w:val="24"/>
                <w:szCs w:val="24"/>
                <w:highlight w:val="none"/>
              </w:rPr>
            </w:pPr>
          </w:p>
        </w:tc>
        <w:tc>
          <w:tcPr>
            <w:tcW w:w="3461" w:type="dxa"/>
            <w:tcBorders>
              <w:top w:val="single" w:color="auto" w:sz="4" w:space="0"/>
              <w:left w:val="single" w:color="auto" w:sz="4" w:space="0"/>
              <w:bottom w:val="single" w:color="auto" w:sz="4" w:space="0"/>
              <w:right w:val="single" w:color="auto" w:sz="4" w:space="0"/>
            </w:tcBorders>
            <w:vAlign w:val="center"/>
          </w:tcPr>
          <w:p w14:paraId="6114052D">
            <w:pPr>
              <w:pStyle w:val="38"/>
              <w:shd w:val="clear"/>
              <w:spacing w:line="360" w:lineRule="auto"/>
              <w:ind w:firstLine="200"/>
              <w:jc w:val="center"/>
              <w:rPr>
                <w:rFonts w:ascii="仿宋" w:hAnsi="仿宋" w:eastAsia="仿宋" w:cs="仿宋"/>
                <w:color w:val="auto"/>
                <w:sz w:val="24"/>
                <w:szCs w:val="24"/>
                <w:highlight w:val="none"/>
              </w:rPr>
            </w:pPr>
          </w:p>
        </w:tc>
        <w:tc>
          <w:tcPr>
            <w:tcW w:w="1186" w:type="dxa"/>
            <w:tcBorders>
              <w:top w:val="single" w:color="auto" w:sz="4" w:space="0"/>
              <w:left w:val="single" w:color="auto" w:sz="4" w:space="0"/>
              <w:bottom w:val="single" w:color="auto" w:sz="4" w:space="0"/>
              <w:right w:val="single" w:color="auto" w:sz="4" w:space="0"/>
            </w:tcBorders>
            <w:vAlign w:val="center"/>
          </w:tcPr>
          <w:p w14:paraId="5C6EC73C">
            <w:pPr>
              <w:pStyle w:val="38"/>
              <w:shd w:val="clear"/>
              <w:spacing w:line="360" w:lineRule="auto"/>
              <w:ind w:firstLine="200"/>
              <w:jc w:val="center"/>
              <w:rPr>
                <w:rFonts w:ascii="仿宋" w:hAnsi="仿宋" w:eastAsia="仿宋" w:cs="仿宋"/>
                <w:color w:val="auto"/>
                <w:sz w:val="24"/>
                <w:szCs w:val="24"/>
                <w:highlight w:val="none"/>
              </w:rPr>
            </w:pPr>
          </w:p>
        </w:tc>
      </w:tr>
      <w:tr w14:paraId="5BFB4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2" w:type="dxa"/>
            <w:tcBorders>
              <w:top w:val="single" w:color="auto" w:sz="4" w:space="0"/>
              <w:left w:val="single" w:color="auto" w:sz="4" w:space="0"/>
              <w:bottom w:val="single" w:color="auto" w:sz="4" w:space="0"/>
              <w:right w:val="single" w:color="auto" w:sz="4" w:space="0"/>
            </w:tcBorders>
            <w:vAlign w:val="center"/>
          </w:tcPr>
          <w:p w14:paraId="139300D1">
            <w:pPr>
              <w:pStyle w:val="38"/>
              <w:shd w:val="clear"/>
              <w:spacing w:line="360" w:lineRule="auto"/>
              <w:ind w:firstLine="200"/>
              <w:jc w:val="center"/>
              <w:rPr>
                <w:rFonts w:ascii="仿宋" w:hAnsi="仿宋" w:eastAsia="仿宋" w:cs="仿宋"/>
                <w:color w:val="auto"/>
                <w:sz w:val="24"/>
                <w:szCs w:val="24"/>
                <w:highlight w:val="none"/>
              </w:rPr>
            </w:pPr>
          </w:p>
        </w:tc>
        <w:tc>
          <w:tcPr>
            <w:tcW w:w="1620" w:type="dxa"/>
            <w:tcBorders>
              <w:top w:val="single" w:color="auto" w:sz="4" w:space="0"/>
              <w:left w:val="single" w:color="auto" w:sz="4" w:space="0"/>
              <w:bottom w:val="single" w:color="auto" w:sz="4" w:space="0"/>
              <w:right w:val="single" w:color="auto" w:sz="4" w:space="0"/>
            </w:tcBorders>
            <w:vAlign w:val="center"/>
          </w:tcPr>
          <w:p w14:paraId="3E1C75AA">
            <w:pPr>
              <w:pStyle w:val="38"/>
              <w:shd w:val="clear"/>
              <w:spacing w:line="360" w:lineRule="auto"/>
              <w:ind w:firstLine="200"/>
              <w:jc w:val="center"/>
              <w:rPr>
                <w:rFonts w:ascii="仿宋" w:hAnsi="仿宋" w:eastAsia="仿宋" w:cs="仿宋"/>
                <w:color w:val="auto"/>
                <w:sz w:val="24"/>
                <w:szCs w:val="24"/>
                <w:highlight w:val="none"/>
              </w:rPr>
            </w:pPr>
          </w:p>
        </w:tc>
        <w:tc>
          <w:tcPr>
            <w:tcW w:w="925" w:type="dxa"/>
            <w:tcBorders>
              <w:top w:val="single" w:color="auto" w:sz="4" w:space="0"/>
              <w:left w:val="single" w:color="auto" w:sz="4" w:space="0"/>
              <w:bottom w:val="single" w:color="auto" w:sz="4" w:space="0"/>
              <w:right w:val="single" w:color="auto" w:sz="4" w:space="0"/>
            </w:tcBorders>
            <w:vAlign w:val="center"/>
          </w:tcPr>
          <w:p w14:paraId="508767CF">
            <w:pPr>
              <w:pStyle w:val="38"/>
              <w:shd w:val="clear"/>
              <w:spacing w:line="360" w:lineRule="auto"/>
              <w:ind w:firstLine="200"/>
              <w:jc w:val="center"/>
              <w:rPr>
                <w:rFonts w:ascii="仿宋" w:hAnsi="仿宋" w:eastAsia="仿宋" w:cs="仿宋"/>
                <w:color w:val="auto"/>
                <w:sz w:val="24"/>
                <w:szCs w:val="24"/>
                <w:highlight w:val="none"/>
              </w:rPr>
            </w:pPr>
          </w:p>
        </w:tc>
        <w:tc>
          <w:tcPr>
            <w:tcW w:w="1245" w:type="dxa"/>
            <w:tcBorders>
              <w:top w:val="single" w:color="auto" w:sz="4" w:space="0"/>
              <w:left w:val="single" w:color="auto" w:sz="4" w:space="0"/>
              <w:bottom w:val="single" w:color="auto" w:sz="4" w:space="0"/>
              <w:right w:val="single" w:color="auto" w:sz="4" w:space="0"/>
            </w:tcBorders>
            <w:vAlign w:val="center"/>
          </w:tcPr>
          <w:p w14:paraId="0D51E7D0">
            <w:pPr>
              <w:pStyle w:val="38"/>
              <w:shd w:val="clear"/>
              <w:spacing w:line="360" w:lineRule="auto"/>
              <w:ind w:firstLine="200"/>
              <w:jc w:val="center"/>
              <w:rPr>
                <w:rFonts w:ascii="仿宋" w:hAnsi="仿宋" w:eastAsia="仿宋" w:cs="仿宋"/>
                <w:color w:val="auto"/>
                <w:sz w:val="24"/>
                <w:szCs w:val="24"/>
                <w:highlight w:val="none"/>
              </w:rPr>
            </w:pPr>
          </w:p>
        </w:tc>
        <w:tc>
          <w:tcPr>
            <w:tcW w:w="3461" w:type="dxa"/>
            <w:tcBorders>
              <w:top w:val="single" w:color="auto" w:sz="4" w:space="0"/>
              <w:left w:val="single" w:color="auto" w:sz="4" w:space="0"/>
              <w:bottom w:val="single" w:color="auto" w:sz="4" w:space="0"/>
              <w:right w:val="single" w:color="auto" w:sz="4" w:space="0"/>
            </w:tcBorders>
            <w:vAlign w:val="center"/>
          </w:tcPr>
          <w:p w14:paraId="43D88FA5">
            <w:pPr>
              <w:pStyle w:val="38"/>
              <w:shd w:val="clear"/>
              <w:spacing w:line="360" w:lineRule="auto"/>
              <w:ind w:firstLine="200"/>
              <w:jc w:val="center"/>
              <w:rPr>
                <w:rFonts w:ascii="仿宋" w:hAnsi="仿宋" w:eastAsia="仿宋" w:cs="仿宋"/>
                <w:color w:val="auto"/>
                <w:sz w:val="24"/>
                <w:szCs w:val="24"/>
                <w:highlight w:val="none"/>
              </w:rPr>
            </w:pPr>
          </w:p>
        </w:tc>
        <w:tc>
          <w:tcPr>
            <w:tcW w:w="1186" w:type="dxa"/>
            <w:tcBorders>
              <w:top w:val="single" w:color="auto" w:sz="4" w:space="0"/>
              <w:left w:val="single" w:color="auto" w:sz="4" w:space="0"/>
              <w:bottom w:val="single" w:color="auto" w:sz="4" w:space="0"/>
              <w:right w:val="single" w:color="auto" w:sz="4" w:space="0"/>
            </w:tcBorders>
            <w:vAlign w:val="center"/>
          </w:tcPr>
          <w:p w14:paraId="1A64CB6B">
            <w:pPr>
              <w:pStyle w:val="38"/>
              <w:shd w:val="clear"/>
              <w:spacing w:line="360" w:lineRule="auto"/>
              <w:ind w:firstLine="200"/>
              <w:jc w:val="center"/>
              <w:rPr>
                <w:rFonts w:ascii="仿宋" w:hAnsi="仿宋" w:eastAsia="仿宋" w:cs="仿宋"/>
                <w:color w:val="auto"/>
                <w:sz w:val="24"/>
                <w:szCs w:val="24"/>
                <w:highlight w:val="none"/>
              </w:rPr>
            </w:pPr>
          </w:p>
        </w:tc>
      </w:tr>
    </w:tbl>
    <w:p w14:paraId="14167E5A">
      <w:pPr>
        <w:pStyle w:val="25"/>
        <w:shd w:val="clear"/>
        <w:ind w:firstLine="560"/>
        <w:rPr>
          <w:color w:val="auto"/>
          <w:highlight w:val="none"/>
        </w:rPr>
      </w:pPr>
    </w:p>
    <w:p w14:paraId="5587A101">
      <w:pPr>
        <w:shd w:val="clear"/>
        <w:adjustRightInd w:val="0"/>
        <w:spacing w:line="360" w:lineRule="auto"/>
        <w:ind w:firstLine="482" w:firstLineChars="200"/>
        <w:outlineLvl w:val="0"/>
        <w:rPr>
          <w:rFonts w:ascii="仿宋" w:hAnsi="仿宋" w:eastAsia="仿宋" w:cs="仿宋"/>
          <w:b/>
          <w:color w:val="auto"/>
          <w:sz w:val="24"/>
          <w:highlight w:val="none"/>
        </w:rPr>
      </w:pPr>
      <w:bookmarkStart w:id="410" w:name="_Toc21631"/>
      <w:bookmarkStart w:id="411" w:name="_Toc23292"/>
      <w:bookmarkStart w:id="412" w:name="_Toc21551"/>
      <w:r>
        <w:rPr>
          <w:rFonts w:hint="eastAsia" w:ascii="仿宋" w:hAnsi="仿宋" w:eastAsia="仿宋" w:cs="仿宋"/>
          <w:b/>
          <w:color w:val="auto"/>
          <w:sz w:val="24"/>
          <w:highlight w:val="none"/>
        </w:rPr>
        <w:t>4 价款</w:t>
      </w:r>
      <w:bookmarkEnd w:id="410"/>
      <w:bookmarkEnd w:id="411"/>
      <w:bookmarkEnd w:id="412"/>
    </w:p>
    <w:p w14:paraId="0FFA4C0B">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本合同总价为：￥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3EBA74ED">
      <w:pPr>
        <w:shd w:val="clear"/>
        <w:spacing w:line="360"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18"/>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F297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85CCD2F">
            <w:pPr>
              <w:pStyle w:val="38"/>
              <w:shd w:val="clear"/>
              <w:spacing w:line="360"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6AF2DF2E">
            <w:pPr>
              <w:pStyle w:val="38"/>
              <w:shd w:val="clear"/>
              <w:spacing w:line="360" w:lineRule="auto"/>
              <w:ind w:firstLine="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0D8E96CA">
            <w:pPr>
              <w:pStyle w:val="38"/>
              <w:shd w:val="clear"/>
              <w:spacing w:line="360"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1D18D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67AE202">
            <w:pPr>
              <w:pStyle w:val="38"/>
              <w:shd w:val="clear"/>
              <w:spacing w:line="360" w:lineRule="auto"/>
              <w:ind w:firstLine="200"/>
              <w:jc w:val="center"/>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05D5D322">
            <w:pPr>
              <w:pStyle w:val="38"/>
              <w:shd w:val="clear"/>
              <w:spacing w:line="360" w:lineRule="auto"/>
              <w:ind w:firstLine="200"/>
              <w:jc w:val="center"/>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5439100C">
            <w:pPr>
              <w:pStyle w:val="38"/>
              <w:shd w:val="clear"/>
              <w:spacing w:line="360" w:lineRule="auto"/>
              <w:ind w:firstLine="200"/>
              <w:jc w:val="center"/>
              <w:rPr>
                <w:rFonts w:ascii="仿宋" w:hAnsi="仿宋" w:eastAsia="仿宋" w:cs="仿宋"/>
                <w:color w:val="auto"/>
                <w:sz w:val="24"/>
                <w:szCs w:val="24"/>
                <w:highlight w:val="none"/>
              </w:rPr>
            </w:pPr>
          </w:p>
        </w:tc>
      </w:tr>
      <w:tr w14:paraId="55C3A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8178D00">
            <w:pPr>
              <w:pStyle w:val="38"/>
              <w:shd w:val="clear"/>
              <w:spacing w:line="360" w:lineRule="auto"/>
              <w:ind w:firstLine="200"/>
              <w:jc w:val="center"/>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6A4DC0B9">
            <w:pPr>
              <w:pStyle w:val="38"/>
              <w:shd w:val="clear"/>
              <w:spacing w:line="360" w:lineRule="auto"/>
              <w:ind w:firstLine="200"/>
              <w:jc w:val="center"/>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7A421D64">
            <w:pPr>
              <w:pStyle w:val="38"/>
              <w:shd w:val="clear"/>
              <w:spacing w:line="360" w:lineRule="auto"/>
              <w:ind w:firstLine="200"/>
              <w:jc w:val="center"/>
              <w:rPr>
                <w:rFonts w:ascii="仿宋" w:hAnsi="仿宋" w:eastAsia="仿宋" w:cs="仿宋"/>
                <w:color w:val="auto"/>
                <w:sz w:val="24"/>
                <w:szCs w:val="24"/>
                <w:highlight w:val="none"/>
              </w:rPr>
            </w:pPr>
          </w:p>
        </w:tc>
      </w:tr>
      <w:tr w14:paraId="2403C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A9891E5">
            <w:pPr>
              <w:pStyle w:val="38"/>
              <w:shd w:val="clear"/>
              <w:spacing w:line="360" w:lineRule="auto"/>
              <w:ind w:firstLine="200"/>
              <w:jc w:val="center"/>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5C681B6D">
            <w:pPr>
              <w:pStyle w:val="38"/>
              <w:shd w:val="clear"/>
              <w:spacing w:line="360" w:lineRule="auto"/>
              <w:ind w:firstLine="200"/>
              <w:jc w:val="center"/>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6C361AC5">
            <w:pPr>
              <w:pStyle w:val="38"/>
              <w:shd w:val="clear"/>
              <w:spacing w:line="360" w:lineRule="auto"/>
              <w:ind w:firstLine="200"/>
              <w:jc w:val="center"/>
              <w:rPr>
                <w:rFonts w:ascii="仿宋" w:hAnsi="仿宋" w:eastAsia="仿宋" w:cs="仿宋"/>
                <w:color w:val="auto"/>
                <w:sz w:val="24"/>
                <w:szCs w:val="24"/>
                <w:highlight w:val="none"/>
              </w:rPr>
            </w:pPr>
          </w:p>
        </w:tc>
      </w:tr>
      <w:tr w14:paraId="7B9ED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B69EAD9">
            <w:pPr>
              <w:pStyle w:val="38"/>
              <w:shd w:val="clear"/>
              <w:spacing w:line="360" w:lineRule="auto"/>
              <w:ind w:firstLine="200"/>
              <w:jc w:val="center"/>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7A9C93C5">
            <w:pPr>
              <w:pStyle w:val="38"/>
              <w:shd w:val="clear"/>
              <w:spacing w:line="360" w:lineRule="auto"/>
              <w:ind w:firstLine="200"/>
              <w:jc w:val="center"/>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4D90EFEE">
            <w:pPr>
              <w:pStyle w:val="38"/>
              <w:shd w:val="clear"/>
              <w:spacing w:line="360" w:lineRule="auto"/>
              <w:ind w:firstLine="200"/>
              <w:jc w:val="center"/>
              <w:rPr>
                <w:rFonts w:ascii="仿宋" w:hAnsi="仿宋" w:eastAsia="仿宋" w:cs="仿宋"/>
                <w:color w:val="auto"/>
                <w:sz w:val="24"/>
                <w:szCs w:val="24"/>
                <w:highlight w:val="none"/>
              </w:rPr>
            </w:pPr>
          </w:p>
        </w:tc>
      </w:tr>
      <w:tr w14:paraId="4844F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07777D4D">
            <w:pPr>
              <w:pStyle w:val="38"/>
              <w:shd w:val="clear"/>
              <w:spacing w:line="360" w:lineRule="auto"/>
              <w:ind w:firstLine="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072F75F4">
            <w:pPr>
              <w:pStyle w:val="38"/>
              <w:shd w:val="clear"/>
              <w:spacing w:line="360" w:lineRule="auto"/>
              <w:ind w:firstLine="200"/>
              <w:jc w:val="center"/>
              <w:rPr>
                <w:rFonts w:ascii="仿宋" w:hAnsi="仿宋" w:eastAsia="仿宋" w:cs="仿宋"/>
                <w:color w:val="auto"/>
                <w:sz w:val="24"/>
                <w:szCs w:val="24"/>
                <w:highlight w:val="none"/>
              </w:rPr>
            </w:pPr>
          </w:p>
        </w:tc>
      </w:tr>
    </w:tbl>
    <w:p w14:paraId="070E466A">
      <w:pPr>
        <w:shd w:val="clear"/>
        <w:adjustRightInd w:val="0"/>
        <w:spacing w:line="360" w:lineRule="auto"/>
        <w:ind w:firstLine="482" w:firstLineChars="200"/>
        <w:outlineLvl w:val="0"/>
        <w:rPr>
          <w:rFonts w:ascii="仿宋" w:hAnsi="仿宋" w:eastAsia="仿宋" w:cs="仿宋"/>
          <w:b/>
          <w:color w:val="auto"/>
          <w:sz w:val="24"/>
          <w:highlight w:val="none"/>
        </w:rPr>
      </w:pPr>
      <w:bookmarkStart w:id="413" w:name="_Toc10340"/>
      <w:bookmarkStart w:id="414" w:name="_Toc22618"/>
      <w:bookmarkStart w:id="415" w:name="_Toc1814"/>
      <w:r>
        <w:rPr>
          <w:rFonts w:hint="eastAsia" w:ascii="仿宋" w:hAnsi="仿宋" w:eastAsia="仿宋" w:cs="仿宋"/>
          <w:b/>
          <w:color w:val="auto"/>
          <w:sz w:val="24"/>
          <w:highlight w:val="none"/>
        </w:rPr>
        <w:t>5 付款</w:t>
      </w:r>
      <w:bookmarkEnd w:id="413"/>
      <w:bookmarkEnd w:id="414"/>
      <w:bookmarkEnd w:id="415"/>
      <w:r>
        <w:rPr>
          <w:rFonts w:hint="eastAsia" w:ascii="仿宋" w:hAnsi="仿宋" w:eastAsia="仿宋" w:cs="仿宋"/>
          <w:b/>
          <w:color w:val="auto"/>
          <w:sz w:val="24"/>
          <w:highlight w:val="none"/>
        </w:rPr>
        <w:t>方式、时间和条件</w:t>
      </w:r>
    </w:p>
    <w:p w14:paraId="1849CF83">
      <w:pPr>
        <w:pStyle w:val="37"/>
        <w:shd w:val="clear"/>
        <w:spacing w:before="0" w:beforeAutospacing="0" w:after="0" w:afterAutospacing="0" w:line="360" w:lineRule="auto"/>
        <w:ind w:firstLine="480"/>
        <w:rPr>
          <w:rFonts w:ascii="仿宋" w:hAnsi="仿宋" w:eastAsia="仿宋" w:cs="仿宋"/>
          <w:b/>
          <w:bCs/>
          <w:i/>
          <w:iCs/>
          <w:color w:val="auto"/>
          <w:kern w:val="2"/>
          <w:highlight w:val="none"/>
          <w:u w:val="single"/>
        </w:rPr>
      </w:pPr>
      <w:bookmarkStart w:id="416" w:name="_Toc2846"/>
      <w:bookmarkStart w:id="417" w:name="_Toc32071"/>
      <w:bookmarkStart w:id="418" w:name="_Toc19304"/>
      <w:r>
        <w:rPr>
          <w:rFonts w:hint="eastAsia" w:ascii="仿宋" w:hAnsi="仿宋" w:eastAsia="仿宋" w:cs="仿宋"/>
          <w:color w:val="auto"/>
          <w:kern w:val="2"/>
          <w:highlight w:val="none"/>
        </w:rPr>
        <w:t>5.1 资金支付的方式、时间和条件：</w:t>
      </w:r>
      <w:r>
        <w:rPr>
          <w:rFonts w:hint="eastAsia" w:ascii="仿宋" w:hAnsi="仿宋" w:eastAsia="仿宋" w:cs="仿宋"/>
          <w:b/>
          <w:bCs/>
          <w:i/>
          <w:iCs/>
          <w:color w:val="auto"/>
          <w:kern w:val="2"/>
          <w:highlight w:val="none"/>
          <w:u w:val="single"/>
        </w:rPr>
        <w:t xml:space="preserve"> </w:t>
      </w:r>
      <w:r>
        <w:rPr>
          <w:rFonts w:hint="eastAsia" w:ascii="仿宋" w:hAnsi="仿宋" w:eastAsia="仿宋" w:cs="仿宋"/>
          <w:b w:val="0"/>
          <w:bCs w:val="0"/>
          <w:i w:val="0"/>
          <w:iCs w:val="0"/>
          <w:color w:val="auto"/>
          <w:kern w:val="2"/>
          <w:highlight w:val="none"/>
          <w:u w:val="single"/>
        </w:rPr>
        <w:t>合同签订后招标人向中标人支付合同价的25%的货物预付款；项目验收合格后支付至合同价的98%；余款在质保期满后付清。（支付款项前，中标人需提供有效正规增值税</w:t>
      </w:r>
      <w:r>
        <w:rPr>
          <w:rFonts w:hint="eastAsia" w:ascii="仿宋" w:hAnsi="仿宋" w:eastAsia="仿宋" w:cs="仿宋"/>
          <w:b w:val="0"/>
          <w:bCs w:val="0"/>
          <w:i w:val="0"/>
          <w:iCs w:val="0"/>
          <w:color w:val="auto"/>
          <w:kern w:val="2"/>
          <w:highlight w:val="none"/>
          <w:u w:val="single"/>
          <w:lang w:val="en-US" w:eastAsia="zh-CN"/>
        </w:rPr>
        <w:t>专用</w:t>
      </w:r>
      <w:r>
        <w:rPr>
          <w:rFonts w:hint="eastAsia" w:ascii="仿宋" w:hAnsi="仿宋" w:eastAsia="仿宋" w:cs="仿宋"/>
          <w:b w:val="0"/>
          <w:bCs w:val="0"/>
          <w:i w:val="0"/>
          <w:iCs w:val="0"/>
          <w:color w:val="auto"/>
          <w:kern w:val="2"/>
          <w:highlight w:val="none"/>
          <w:u w:val="single"/>
        </w:rPr>
        <w:t>发票，采购人在收到中标供应商提供的发票后在合同约定的时间支付相应款项，否则采购人有权延迟支付相应费用而不被视为违约，亦无须承担任何违约责任。）</w:t>
      </w:r>
      <w:r>
        <w:rPr>
          <w:rFonts w:hint="eastAsia" w:ascii="仿宋" w:hAnsi="仿宋" w:eastAsia="仿宋" w:cs="仿宋"/>
          <w:b/>
          <w:bCs/>
          <w:i/>
          <w:iCs/>
          <w:color w:val="auto"/>
          <w:kern w:val="2"/>
          <w:highlight w:val="none"/>
          <w:u w:val="single"/>
        </w:rPr>
        <w:t xml:space="preserve"> </w:t>
      </w:r>
    </w:p>
    <w:p w14:paraId="669A3501">
      <w:pPr>
        <w:pStyle w:val="37"/>
        <w:shd w:val="clear"/>
        <w:spacing w:before="0" w:beforeAutospacing="0" w:after="0" w:afterAutospacing="0" w:line="360" w:lineRule="auto"/>
        <w:ind w:firstLine="480"/>
        <w:rPr>
          <w:rFonts w:ascii="仿宋" w:hAnsi="仿宋" w:eastAsia="仿宋" w:cs="仿宋"/>
          <w:color w:val="auto"/>
          <w:kern w:val="2"/>
          <w:highlight w:val="none"/>
        </w:rPr>
      </w:pPr>
      <w:r>
        <w:rPr>
          <w:rFonts w:hint="eastAsia" w:ascii="仿宋" w:hAnsi="仿宋" w:eastAsia="仿宋" w:cs="仿宋"/>
          <w:color w:val="auto"/>
          <w:kern w:val="2"/>
          <w:highlight w:val="none"/>
        </w:rPr>
        <w:t>5.2 乙方收款账户：</w:t>
      </w:r>
    </w:p>
    <w:p w14:paraId="314B5F9C">
      <w:pPr>
        <w:shd w:val="clear"/>
        <w:autoSpaceDE w:val="0"/>
        <w:autoSpaceDN w:val="0"/>
        <w:spacing w:line="360" w:lineRule="auto"/>
        <w:ind w:left="1470" w:leftChars="700"/>
        <w:rPr>
          <w:rFonts w:ascii="仿宋" w:hAnsi="仿宋" w:eastAsia="仿宋" w:cs="仿宋"/>
          <w:color w:val="auto"/>
          <w:sz w:val="24"/>
          <w:highlight w:val="none"/>
        </w:rPr>
      </w:pPr>
      <w:r>
        <w:rPr>
          <w:rFonts w:hint="eastAsia" w:ascii="仿宋" w:hAnsi="仿宋" w:eastAsia="仿宋" w:cs="仿宋"/>
          <w:color w:val="auto"/>
          <w:sz w:val="24"/>
          <w:highlight w:val="none"/>
        </w:rPr>
        <w:t>开户银行：</w:t>
      </w:r>
      <w:r>
        <w:rPr>
          <w:rFonts w:hint="eastAsia" w:ascii="仿宋" w:hAnsi="仿宋" w:eastAsia="仿宋" w:cs="仿宋"/>
          <w:b/>
          <w:bCs/>
          <w:i/>
          <w:iCs/>
          <w:color w:val="auto"/>
          <w:sz w:val="24"/>
          <w:highlight w:val="none"/>
          <w:u w:val="single"/>
        </w:rPr>
        <w:t xml:space="preserve">                          </w:t>
      </w:r>
      <w:r>
        <w:rPr>
          <w:rFonts w:hint="eastAsia" w:ascii="仿宋" w:hAnsi="仿宋" w:eastAsia="仿宋" w:cs="仿宋"/>
          <w:color w:val="auto"/>
          <w:sz w:val="24"/>
          <w:highlight w:val="none"/>
        </w:rPr>
        <w:t xml:space="preserve">                          </w:t>
      </w:r>
    </w:p>
    <w:p w14:paraId="16D72074">
      <w:pPr>
        <w:shd w:val="clear"/>
        <w:autoSpaceDE w:val="0"/>
        <w:autoSpaceDN w:val="0"/>
        <w:spacing w:line="360" w:lineRule="auto"/>
        <w:ind w:left="1470" w:leftChars="700"/>
        <w:rPr>
          <w:rFonts w:ascii="仿宋" w:hAnsi="仿宋" w:eastAsia="仿宋" w:cs="仿宋"/>
          <w:color w:val="auto"/>
          <w:sz w:val="24"/>
          <w:highlight w:val="none"/>
        </w:rPr>
      </w:pPr>
      <w:r>
        <w:rPr>
          <w:rFonts w:hint="eastAsia" w:ascii="仿宋" w:hAnsi="仿宋" w:eastAsia="仿宋" w:cs="仿宋"/>
          <w:color w:val="auto"/>
          <w:sz w:val="24"/>
          <w:highlight w:val="none"/>
        </w:rPr>
        <w:t>开户名称：</w:t>
      </w:r>
      <w:r>
        <w:rPr>
          <w:rFonts w:hint="eastAsia" w:ascii="仿宋" w:hAnsi="仿宋" w:eastAsia="仿宋" w:cs="仿宋"/>
          <w:b/>
          <w:bCs/>
          <w:i/>
          <w:iCs/>
          <w:color w:val="auto"/>
          <w:sz w:val="24"/>
          <w:highlight w:val="none"/>
          <w:u w:val="single"/>
        </w:rPr>
        <w:t xml:space="preserve">                          </w:t>
      </w:r>
      <w:r>
        <w:rPr>
          <w:rFonts w:hint="eastAsia" w:ascii="仿宋" w:hAnsi="仿宋" w:eastAsia="仿宋" w:cs="仿宋"/>
          <w:color w:val="auto"/>
          <w:sz w:val="24"/>
          <w:highlight w:val="none"/>
        </w:rPr>
        <w:t xml:space="preserve">                             </w:t>
      </w:r>
    </w:p>
    <w:p w14:paraId="7170ADB6">
      <w:pPr>
        <w:shd w:val="clear"/>
        <w:autoSpaceDE w:val="0"/>
        <w:autoSpaceDN w:val="0"/>
        <w:spacing w:line="360" w:lineRule="auto"/>
        <w:ind w:left="1470" w:leftChars="700"/>
        <w:rPr>
          <w:rFonts w:ascii="仿宋" w:hAnsi="仿宋" w:eastAsia="仿宋" w:cs="仿宋"/>
          <w:color w:val="auto"/>
          <w:sz w:val="24"/>
          <w:highlight w:val="none"/>
          <w:lang w:val="zh-CN"/>
        </w:rPr>
      </w:pPr>
      <w:r>
        <w:rPr>
          <w:rFonts w:hint="eastAsia" w:ascii="仿宋" w:hAnsi="仿宋" w:eastAsia="仿宋" w:cs="仿宋"/>
          <w:color w:val="auto"/>
          <w:sz w:val="24"/>
          <w:highlight w:val="none"/>
        </w:rPr>
        <w:t>开户账号：</w:t>
      </w:r>
      <w:r>
        <w:rPr>
          <w:rFonts w:hint="eastAsia" w:ascii="仿宋" w:hAnsi="仿宋" w:eastAsia="仿宋" w:cs="仿宋"/>
          <w:b/>
          <w:bCs/>
          <w:i/>
          <w:iCs/>
          <w:color w:val="auto"/>
          <w:sz w:val="24"/>
          <w:highlight w:val="none"/>
          <w:u w:val="single"/>
        </w:rPr>
        <w:t xml:space="preserve">                          </w:t>
      </w:r>
      <w:r>
        <w:rPr>
          <w:rFonts w:hint="eastAsia" w:ascii="仿宋" w:hAnsi="仿宋" w:eastAsia="仿宋" w:cs="仿宋"/>
          <w:color w:val="auto"/>
          <w:sz w:val="24"/>
          <w:highlight w:val="none"/>
          <w:lang w:val="zh-CN"/>
        </w:rPr>
        <w:t xml:space="preserve">      </w:t>
      </w:r>
    </w:p>
    <w:p w14:paraId="78A59FFD">
      <w:pPr>
        <w:shd w:val="clear"/>
        <w:adjustRightInd w:val="0"/>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6 货物交付期限、地点</w:t>
      </w:r>
      <w:bookmarkEnd w:id="416"/>
      <w:bookmarkEnd w:id="417"/>
      <w:bookmarkEnd w:id="418"/>
    </w:p>
    <w:p w14:paraId="1828B338">
      <w:pPr>
        <w:shd w:val="clear"/>
        <w:adjustRightInd w:val="0"/>
        <w:spacing w:line="360"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6.1 交付期限：</w:t>
      </w:r>
      <w:r>
        <w:rPr>
          <w:rFonts w:hint="eastAsia" w:ascii="仿宋" w:hAnsi="仿宋" w:eastAsia="仿宋" w:cs="仿宋"/>
          <w:b/>
          <w:i/>
          <w:color w:val="auto"/>
          <w:highlight w:val="none"/>
          <w:u w:val="single"/>
        </w:rPr>
        <w:t xml:space="preserve">   </w:t>
      </w:r>
      <w:r>
        <w:rPr>
          <w:rFonts w:hint="eastAsia" w:ascii="仿宋" w:hAnsi="仿宋" w:eastAsia="仿宋" w:cs="仿宋"/>
          <w:bCs/>
          <w:iCs/>
          <w:color w:val="auto"/>
          <w:highlight w:val="none"/>
          <w:u w:val="single"/>
        </w:rPr>
        <w:t xml:space="preserve">符合进场施工条件起60日历天。 </w:t>
      </w:r>
      <w:r>
        <w:rPr>
          <w:rFonts w:hint="eastAsia" w:ascii="仿宋" w:hAnsi="仿宋" w:eastAsia="仿宋" w:cs="仿宋"/>
          <w:b/>
          <w:i/>
          <w:color w:val="auto"/>
          <w:highlight w:val="none"/>
          <w:u w:val="single"/>
        </w:rPr>
        <w:t xml:space="preserve"> </w:t>
      </w:r>
    </w:p>
    <w:p w14:paraId="408382CB">
      <w:pPr>
        <w:shd w:val="clear"/>
        <w:adjustRightIn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6.2 交付地点：</w:t>
      </w:r>
      <w:r>
        <w:rPr>
          <w:rFonts w:hint="eastAsia" w:ascii="仿宋" w:hAnsi="仿宋" w:eastAsia="仿宋" w:cs="仿宋"/>
          <w:b/>
          <w:i/>
          <w:color w:val="auto"/>
          <w:highlight w:val="none"/>
          <w:u w:val="single"/>
        </w:rPr>
        <w:t xml:space="preserve">        </w:t>
      </w:r>
      <w:r>
        <w:rPr>
          <w:rFonts w:hint="eastAsia" w:ascii="仿宋" w:hAnsi="仿宋" w:eastAsia="仿宋" w:cs="仿宋"/>
          <w:bCs/>
          <w:iCs/>
          <w:color w:val="auto"/>
          <w:highlight w:val="none"/>
          <w:u w:val="single"/>
        </w:rPr>
        <w:t>业主指定地点。</w:t>
      </w:r>
      <w:r>
        <w:rPr>
          <w:rFonts w:hint="eastAsia" w:ascii="仿宋" w:hAnsi="仿宋" w:eastAsia="仿宋" w:cs="仿宋"/>
          <w:b/>
          <w:i/>
          <w:color w:val="auto"/>
          <w:highlight w:val="none"/>
          <w:u w:val="single"/>
        </w:rPr>
        <w:t xml:space="preserve">           </w:t>
      </w:r>
    </w:p>
    <w:p w14:paraId="45FBDF01">
      <w:pPr>
        <w:shd w:val="clear"/>
        <w:adjustRightInd w:val="0"/>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7 技术规范</w:t>
      </w:r>
    </w:p>
    <w:p w14:paraId="22EFB78B">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招标文件规定的技术规范和技术规范附件(如果有的话)及其技术规范偏差表(如果被甲方接受的话)相一致；如果招标文件中没有技术规范的相应说明，那么应以国家有关部门最新颁布的相应标准和规范为准。</w:t>
      </w:r>
    </w:p>
    <w:p w14:paraId="7BBC9819">
      <w:pPr>
        <w:shd w:val="clear"/>
        <w:adjustRightInd w:val="0"/>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8 知识产权</w:t>
      </w:r>
    </w:p>
    <w:p w14:paraId="3B12F547">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8.1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14:paraId="2CE3E61D">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8.2具有知识产权的计算机软件等货物的知识产权归属，除合同另有规定外，归甲方所有。</w:t>
      </w:r>
    </w:p>
    <w:p w14:paraId="79BDDA9A">
      <w:pPr>
        <w:shd w:val="clear"/>
        <w:adjustRightInd w:val="0"/>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9 包装和装运</w:t>
      </w:r>
    </w:p>
    <w:p w14:paraId="626CF47B">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9.1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1D9320E6">
      <w:pPr>
        <w:shd w:val="clear"/>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 xml:space="preserve">9.2乙方提供产品及相关快递服务的具体包装要求应符合《商品包装政府采购需求标准（试行）》《快递包装政府采购需求标准（试行）》，并作为履约验收的内容，必要时甲方可以要求乙方在履约验收环节出具检测报告。 </w:t>
      </w:r>
    </w:p>
    <w:p w14:paraId="2C510FDA">
      <w:pPr>
        <w:shd w:val="clear"/>
        <w:adjustRightInd w:val="0"/>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10 履约保证金</w:t>
      </w:r>
    </w:p>
    <w:p w14:paraId="43786A19">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10.1 招标文件要求乙方提交履约保证金的，乙方应按</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方式（可以支票、汇票、本票或者银行保函等非现金形式），在合同签订并生效后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日内提交不超过合同金额1%的履约保证金。</w:t>
      </w:r>
    </w:p>
    <w:p w14:paraId="2958221B">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10.2  履约保证金在</w:t>
      </w:r>
      <w:r>
        <w:rPr>
          <w:rFonts w:hint="eastAsia" w:ascii="仿宋" w:hAnsi="仿宋" w:eastAsia="仿宋" w:cs="仿宋"/>
          <w:b/>
          <w:i/>
          <w:color w:val="auto"/>
          <w:highlight w:val="none"/>
          <w:u w:val="single"/>
        </w:rPr>
        <w:t xml:space="preserve">              </w:t>
      </w:r>
      <w:r>
        <w:rPr>
          <w:rFonts w:hint="eastAsia" w:ascii="仿宋" w:hAnsi="仿宋" w:eastAsia="仿宋" w:cs="仿宋"/>
          <w:color w:val="auto"/>
          <w:sz w:val="24"/>
          <w:highlight w:val="none"/>
        </w:rPr>
        <w:t>（合同规定的履约时间）内不予退还。乙方在前述约定期间届满前能履行完合同约定义务事项的，甲方在前述约定期间届满之日起</w:t>
      </w:r>
      <w:r>
        <w:rPr>
          <w:rFonts w:hint="eastAsia" w:ascii="仿宋" w:hAnsi="仿宋" w:eastAsia="仿宋" w:cs="仿宋"/>
          <w:color w:val="auto"/>
          <w:sz w:val="24"/>
          <w:highlight w:val="none"/>
          <w:u w:val="single"/>
        </w:rPr>
        <w:t xml:space="preserve"> 5 </w:t>
      </w:r>
      <w:r>
        <w:rPr>
          <w:rFonts w:hint="eastAsia" w:ascii="仿宋" w:hAnsi="仿宋" w:eastAsia="仿宋" w:cs="仿宋"/>
          <w:color w:val="auto"/>
          <w:sz w:val="24"/>
          <w:highlight w:val="none"/>
        </w:rPr>
        <w:t>个工作日内，将履约保证金无息退还乙方。</w:t>
      </w:r>
    </w:p>
    <w:p w14:paraId="3AA2FB2A">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52B98CD1">
      <w:pPr>
        <w:shd w:val="clear"/>
        <w:adjustRightInd w:val="0"/>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11 履约检查和问题反馈</w:t>
      </w:r>
    </w:p>
    <w:p w14:paraId="16F9DEC6">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11.1甲方有权在其认为必要时，对乙方是否能够按照合同约定交付货物进行履约检查，以确保乙方所交付的货物能够依约满足甲方之项目需求，但不得因履约检查妨碍乙方的正常工作，乙方应予积极配合；</w:t>
      </w:r>
    </w:p>
    <w:p w14:paraId="6B431B76">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11.2 合同履行期间，甲方有权将履行过程中出现的问题反馈给乙方，双方当事人应以书面形式约定需要完善和改进的内容。</w:t>
      </w:r>
    </w:p>
    <w:p w14:paraId="386F37FC">
      <w:pPr>
        <w:shd w:val="clear"/>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12 检验和验收</w:t>
      </w:r>
    </w:p>
    <w:p w14:paraId="5FB24840">
      <w:pPr>
        <w:shd w:val="clear"/>
        <w:tabs>
          <w:tab w:val="left" w:pos="360"/>
          <w:tab w:val="left" w:pos="540"/>
          <w:tab w:val="left" w:pos="1080"/>
        </w:tabs>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12.1货物交付前，乙方应对货物的质量、数量等方面进行详细、全面的检验，并向甲方出具证明货物符合合同约定的文件；货物交付时，乙方在交付后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个工作日内组织验收，并可依法邀请相关方参加，验收应出具验收书。</w:t>
      </w:r>
    </w:p>
    <w:p w14:paraId="755391E0">
      <w:pPr>
        <w:shd w:val="clear"/>
        <w:tabs>
          <w:tab w:val="left" w:pos="360"/>
          <w:tab w:val="left" w:pos="540"/>
          <w:tab w:val="left" w:pos="1080"/>
        </w:tabs>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6681FF23">
      <w:pPr>
        <w:shd w:val="clear"/>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13 技术资料和保密义务</w:t>
      </w:r>
    </w:p>
    <w:p w14:paraId="01413518">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13.1 乙方有权依据合同约定和项目需要，向甲方了解有关情况，调阅有关资料等，甲方应予积极配合；</w:t>
      </w:r>
    </w:p>
    <w:p w14:paraId="52C1E91B">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13.2 乙方有义务妥善保管和保护由甲方提供的前款信息和资料等；</w:t>
      </w:r>
    </w:p>
    <w:p w14:paraId="2C657B41">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0230541">
      <w:pPr>
        <w:shd w:val="clear"/>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14 质量保证及售后服务</w:t>
      </w:r>
    </w:p>
    <w:p w14:paraId="32152FEE">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14.1 乙方应建立和完善履行合同的内部质量保证体系，并提供相关内部规章制度给甲方，以便甲方进行监督检查；</w:t>
      </w:r>
    </w:p>
    <w:p w14:paraId="16C1066C">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14.2 乙方应保证履行合同的人员数量和素质、软件和硬件设备的配置、场地、环境和设施等满足全面履行合同的要求，并应接受甲方的监督检查。</w:t>
      </w:r>
    </w:p>
    <w:p w14:paraId="4E803F5F">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14.3 质保期：</w:t>
      </w:r>
    </w:p>
    <w:p w14:paraId="5F885664">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14.2 售后技术服务：</w:t>
      </w:r>
    </w:p>
    <w:p w14:paraId="0446B29A">
      <w:pPr>
        <w:shd w:val="clear"/>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15 货物交付</w:t>
      </w:r>
    </w:p>
    <w:p w14:paraId="7905BAAB">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15.1 货物所有权：乙方自货物交付起，甲方获得该货物的所有权，对该货物享有占有、使用、收益和处分的权利。</w:t>
      </w:r>
    </w:p>
    <w:p w14:paraId="5B310E0F">
      <w:pPr>
        <w:shd w:val="clear"/>
        <w:spacing w:line="360"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15.2 货物交付：交付方式：</w:t>
      </w:r>
      <w:r>
        <w:rPr>
          <w:rFonts w:hint="eastAsia" w:ascii="仿宋" w:hAnsi="仿宋" w:eastAsia="仿宋" w:cs="仿宋"/>
          <w:color w:val="auto"/>
          <w:sz w:val="24"/>
          <w:highlight w:val="none"/>
          <w:u w:val="single"/>
        </w:rPr>
        <w:t>现实交付</w:t>
      </w:r>
      <w:r>
        <w:rPr>
          <w:rFonts w:hint="eastAsia" w:ascii="仿宋" w:hAnsi="仿宋" w:eastAsia="仿宋" w:cs="仿宋"/>
          <w:color w:val="auto"/>
          <w:sz w:val="24"/>
          <w:highlight w:val="none"/>
        </w:rPr>
        <w:t>，如果该货物有从物（附件）应与货物一并交付。交付地点：</w:t>
      </w:r>
      <w:r>
        <w:rPr>
          <w:rFonts w:hint="eastAsia" w:ascii="仿宋" w:hAnsi="仿宋" w:eastAsia="仿宋" w:cs="仿宋"/>
          <w:color w:val="auto"/>
          <w:sz w:val="24"/>
          <w:highlight w:val="none"/>
          <w:u w:val="single"/>
        </w:rPr>
        <w:t>甲方指定地点</w:t>
      </w:r>
      <w:r>
        <w:rPr>
          <w:rFonts w:hint="eastAsia" w:ascii="仿宋" w:hAnsi="仿宋" w:eastAsia="仿宋" w:cs="仿宋"/>
          <w:color w:val="auto"/>
          <w:sz w:val="24"/>
          <w:highlight w:val="none"/>
        </w:rPr>
        <w:t>。</w:t>
      </w:r>
    </w:p>
    <w:p w14:paraId="338864D3">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15.3 货物瑕疵担保责任</w:t>
      </w:r>
    </w:p>
    <w:p w14:paraId="7DD0F851">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15.3.1乙方保证所提供的货物不受其他人追夺和不存在没有被告知的权利负担。</w:t>
      </w:r>
    </w:p>
    <w:p w14:paraId="154DBCB0">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15.3.2乙方保证在本合同有效期内，所提供的产品无质量瑕疵或质量不符合本合同及其它相关文件中规定的要求，均是正规生产厂家生产并获得市场准入的正规产品。</w:t>
      </w:r>
    </w:p>
    <w:p w14:paraId="20244AEA">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15.3.3如果甲方发现提供的产品存在质量瑕疵或质量不符合规定的要求，甲方有权要求乙方在规定的时间内进行维修或更换，并由乙方承担相应的费用。</w:t>
      </w:r>
    </w:p>
    <w:p w14:paraId="1D0E7A20">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15.3.4在质量瑕疵或质量不符合规定的情况下，乙方应对甲方承担相应的赔偿责任。</w:t>
      </w:r>
    </w:p>
    <w:p w14:paraId="7D45184C">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15.3.5乙方应当在规定的时间内对甲方提出的投诉或索赔做出及时回复。</w:t>
      </w:r>
    </w:p>
    <w:p w14:paraId="6545BF19">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15.3.6如果主要货物存在瑕疵需解除合同，其效力及于从物（附件），如果从物有瑕疵但不及主物使用的，则合同解除效力不及主物；如果交付货物为数物的其中一物有瑕疵，甲方就有瑕疵的部分解除合同；如果分批交付货物的某批货物存在瑕疵，甲方就该批货物解除合同，但如果各批交付的货物是互有联系的，甲方则可以就该批以及以后各批货物解除合同。</w:t>
      </w:r>
    </w:p>
    <w:p w14:paraId="10F565B6">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15.3.7乙方应保证在本合同有效期内提供有效的售后服务，并负责更换或调整相关产品。</w:t>
      </w:r>
    </w:p>
    <w:p w14:paraId="5BECA2A9">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15.4 货物风险承担</w:t>
      </w:r>
    </w:p>
    <w:p w14:paraId="3BF93445">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15.4.1甲方亲自提取标的物的，乙方将标的物置于约定或法定地点时起，风险由甲方承担。</w:t>
      </w:r>
    </w:p>
    <w:p w14:paraId="471D4CBA">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15.4.2乙方出卖交由承运人运输的在途标的物，除当事人另有约定外，自合同成立时起，在途风险由甲方承担。乙方在合同成立时知道或者应当知道标的物已经毁损、灭失却未告知甲方的，由乙方负担风险。</w:t>
      </w:r>
    </w:p>
    <w:p w14:paraId="60486225">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15.4.3对于需要运输的标的物，没有约定交付地点或约定不明确的，自乙方将标的物交付给第一承运人起，风险由甲方承担。“标的物需要运输的”是指标的物由乙方负责办理托运，承运人系独立于合同当事人之外的运输业者的情形。</w:t>
      </w:r>
    </w:p>
    <w:p w14:paraId="78AAD27B">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15.4.4甲方受领迟延的，自迟延成立时起由甲方负担标的物风险。</w:t>
      </w:r>
    </w:p>
    <w:p w14:paraId="1B0F5303">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15.4.5乙方按照约定未交付有关标的物的单证和资料的，不影响风险的转移。</w:t>
      </w:r>
    </w:p>
    <w:p w14:paraId="4CBECE22">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15.4.6因标的物质量不符合要求致使不能实现合同目的，甲方拒绝接受标的物或者解除合同的，风险由乙方承担。</w:t>
      </w:r>
    </w:p>
    <w:p w14:paraId="1E113E3D">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15.4.7风险由甲方承担的，不影响因乙方违约、甲方要求其承担违约责任的权利。</w:t>
      </w:r>
    </w:p>
    <w:p w14:paraId="1B324690">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15.4.8甲乙双方对风险负担没有约定，标的物为种类物，乙方未以装运单据、加盖标记、通知甲方等可识别的方式清楚地将标的物特定于合同，甲方不负担风险。</w:t>
      </w:r>
    </w:p>
    <w:p w14:paraId="1DE320B5">
      <w:pPr>
        <w:shd w:val="clear"/>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16 延迟交货</w:t>
      </w:r>
    </w:p>
    <w:p w14:paraId="7FAC76BC">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14:paraId="169E4F44">
      <w:pPr>
        <w:shd w:val="clear"/>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17 合同变更</w:t>
      </w:r>
    </w:p>
    <w:p w14:paraId="7C885F45">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46168C47">
      <w:pPr>
        <w:shd w:val="clear"/>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18 合同转让和分包</w:t>
      </w:r>
    </w:p>
    <w:p w14:paraId="709CA55E">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18.1 本合同不允许转让。</w:t>
      </w:r>
    </w:p>
    <w:p w14:paraId="2B62C025">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18.2本合同不允许分包。但采购文件允许且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BDA3BBD">
      <w:pPr>
        <w:shd w:val="clear"/>
        <w:spacing w:line="360" w:lineRule="auto"/>
        <w:ind w:firstLine="482" w:firstLineChars="200"/>
        <w:outlineLvl w:val="0"/>
        <w:rPr>
          <w:rFonts w:ascii="仿宋" w:hAnsi="仿宋" w:eastAsia="仿宋" w:cs="仿宋"/>
          <w:b/>
          <w:color w:val="auto"/>
          <w:sz w:val="24"/>
          <w:highlight w:val="none"/>
        </w:rPr>
      </w:pPr>
      <w:bookmarkStart w:id="419" w:name="_Toc19554"/>
      <w:bookmarkStart w:id="420" w:name="_Toc21423"/>
      <w:bookmarkStart w:id="421" w:name="_Toc27250"/>
      <w:r>
        <w:rPr>
          <w:rFonts w:hint="eastAsia" w:ascii="仿宋" w:hAnsi="仿宋" w:eastAsia="仿宋" w:cs="仿宋"/>
          <w:b/>
          <w:color w:val="auto"/>
          <w:sz w:val="24"/>
          <w:highlight w:val="none"/>
        </w:rPr>
        <w:t>19 违约责任</w:t>
      </w:r>
      <w:bookmarkEnd w:id="419"/>
      <w:bookmarkEnd w:id="420"/>
      <w:bookmarkEnd w:id="421"/>
    </w:p>
    <w:p w14:paraId="4B2E5266">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19.1 除不可抗力外，如果乙方拒绝履行合同，或没有按照本合同约定的期限、地点和方式交付货物，那么甲方可要求乙方支付违约金，违约金按每日计合同总价的</w:t>
      </w:r>
      <w:r>
        <w:rPr>
          <w:rFonts w:hint="eastAsia" w:ascii="仿宋" w:hAnsi="仿宋" w:eastAsia="仿宋" w:cs="仿宋"/>
          <w:color w:val="auto"/>
          <w:sz w:val="24"/>
          <w:highlight w:val="none"/>
          <w:u w:val="single"/>
        </w:rPr>
        <w:t xml:space="preserve">  0.05  </w:t>
      </w:r>
      <w:r>
        <w:rPr>
          <w:rFonts w:hint="eastAsia" w:ascii="仿宋" w:hAnsi="仿宋" w:eastAsia="仿宋" w:cs="仿宋"/>
          <w:color w:val="auto"/>
          <w:sz w:val="24"/>
          <w:highlight w:val="none"/>
        </w:rPr>
        <w:t>%，最高限额为本合同总价的</w:t>
      </w:r>
      <w:r>
        <w:rPr>
          <w:rFonts w:hint="eastAsia" w:ascii="仿宋" w:hAnsi="仿宋" w:eastAsia="仿宋" w:cs="仿宋"/>
          <w:color w:val="auto"/>
          <w:sz w:val="24"/>
          <w:highlight w:val="none"/>
          <w:u w:val="single"/>
        </w:rPr>
        <w:t xml:space="preserve"> 10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%；迟延交付货物的违约金计算数额达到前述最高限额之日起，甲方有权在要求乙方支付违约金的同时，书面通知乙方并解除本合同；</w:t>
      </w:r>
    </w:p>
    <w:p w14:paraId="67F3006A">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19.2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0.05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10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%；迟延付款的违约金计算数额达到前述最高限额之日起，乙方有权在要求甲方支付违约金的同时，书面通知甲方并解除本合同；</w:t>
      </w:r>
    </w:p>
    <w:p w14:paraId="560F9545">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19.3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并解除本合同；</w:t>
      </w:r>
    </w:p>
    <w:p w14:paraId="4DB4F638">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19.4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323DEAFC">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19.5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6914EF6F">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19.6 如果出现政府采购监督管理部门在处理投诉事项期间，书面通知甲方暂停采购活动的情形，或者询问或质疑事项可能影响中标结果的，导致甲方中止履行合同的情形，均不视为甲方违约。</w:t>
      </w:r>
    </w:p>
    <w:p w14:paraId="1FB7DCEE">
      <w:pPr>
        <w:shd w:val="clear"/>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20 不可抗力</w:t>
      </w:r>
    </w:p>
    <w:p w14:paraId="4FB8E3D0">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20.1如果任何一方遭遇法律规定的不可抗力，致使合同履行受阻时，履行合同的期限应予延长，延长的期限应相当于不可抗力所影响的时间；</w:t>
      </w:r>
    </w:p>
    <w:p w14:paraId="21533312">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20.2 因不可抗力致使不能实现合同目的的，当事人可以解除合同；</w:t>
      </w:r>
    </w:p>
    <w:p w14:paraId="0E20DEEB">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20.3 因不可抗力致使合同有变更必要的，双方当事人应在不可抗力发生后</w:t>
      </w:r>
      <w:r>
        <w:rPr>
          <w:rFonts w:hint="eastAsia" w:ascii="仿宋" w:hAnsi="仿宋" w:eastAsia="仿宋" w:cs="仿宋"/>
          <w:color w:val="auto"/>
          <w:sz w:val="24"/>
          <w:highlight w:val="none"/>
          <w:u w:val="single"/>
        </w:rPr>
        <w:t xml:space="preserve"> 10 </w:t>
      </w:r>
      <w:r>
        <w:rPr>
          <w:rFonts w:hint="eastAsia" w:ascii="仿宋" w:hAnsi="仿宋" w:eastAsia="仿宋" w:cs="仿宋"/>
          <w:color w:val="auto"/>
          <w:sz w:val="24"/>
          <w:highlight w:val="none"/>
        </w:rPr>
        <w:t>日内以书面形式变更合同；</w:t>
      </w:r>
    </w:p>
    <w:p w14:paraId="5468BA7A">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20.4受不可抗力影响的一方在不可抗力发生后，应在</w:t>
      </w:r>
      <w:r>
        <w:rPr>
          <w:rFonts w:hint="eastAsia" w:ascii="仿宋" w:hAnsi="仿宋" w:eastAsia="仿宋" w:cs="仿宋"/>
          <w:color w:val="auto"/>
          <w:sz w:val="24"/>
          <w:highlight w:val="none"/>
          <w:u w:val="single"/>
        </w:rPr>
        <w:t xml:space="preserve">  5  </w:t>
      </w:r>
      <w:r>
        <w:rPr>
          <w:rFonts w:hint="eastAsia" w:ascii="仿宋" w:hAnsi="仿宋" w:eastAsia="仿宋" w:cs="仿宋"/>
          <w:color w:val="auto"/>
          <w:sz w:val="24"/>
          <w:highlight w:val="none"/>
        </w:rPr>
        <w:t>日内以书面形式通知对方当事人，并在</w:t>
      </w:r>
      <w:r>
        <w:rPr>
          <w:rFonts w:hint="eastAsia" w:ascii="仿宋" w:hAnsi="仿宋" w:eastAsia="仿宋" w:cs="仿宋"/>
          <w:color w:val="auto"/>
          <w:sz w:val="24"/>
          <w:highlight w:val="none"/>
          <w:u w:val="single"/>
        </w:rPr>
        <w:t xml:space="preserve">  15  </w:t>
      </w:r>
      <w:r>
        <w:rPr>
          <w:rFonts w:hint="eastAsia" w:ascii="仿宋" w:hAnsi="仿宋" w:eastAsia="仿宋" w:cs="仿宋"/>
          <w:color w:val="auto"/>
          <w:sz w:val="24"/>
          <w:highlight w:val="none"/>
        </w:rPr>
        <w:t>日内，将有关部门出具的证明文件送达对方当事人。</w:t>
      </w:r>
    </w:p>
    <w:p w14:paraId="7034B0C3">
      <w:pPr>
        <w:shd w:val="clear"/>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21 税费</w:t>
      </w:r>
    </w:p>
    <w:p w14:paraId="772AC3F5">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14:paraId="74582A32">
      <w:pPr>
        <w:shd w:val="clear"/>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22 乙方破产</w:t>
      </w:r>
    </w:p>
    <w:p w14:paraId="3B4BB64C">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1861796">
      <w:pPr>
        <w:shd w:val="clear"/>
        <w:spacing w:line="360" w:lineRule="auto"/>
        <w:ind w:firstLine="482" w:firstLineChars="200"/>
        <w:outlineLvl w:val="0"/>
        <w:rPr>
          <w:rFonts w:ascii="仿宋" w:hAnsi="仿宋" w:eastAsia="仿宋" w:cs="仿宋"/>
          <w:b/>
          <w:color w:val="auto"/>
          <w:sz w:val="24"/>
          <w:highlight w:val="none"/>
        </w:rPr>
      </w:pPr>
      <w:bookmarkStart w:id="422" w:name="_Toc16021"/>
      <w:bookmarkStart w:id="423" w:name="_Toc15583"/>
      <w:bookmarkStart w:id="424" w:name="_Toc28375"/>
      <w:r>
        <w:rPr>
          <w:rFonts w:hint="eastAsia" w:ascii="仿宋" w:hAnsi="仿宋" w:eastAsia="仿宋" w:cs="仿宋"/>
          <w:b/>
          <w:color w:val="auto"/>
          <w:sz w:val="24"/>
          <w:highlight w:val="none"/>
        </w:rPr>
        <w:t>23 合同争议的解决</w:t>
      </w:r>
      <w:bookmarkEnd w:id="422"/>
      <w:bookmarkEnd w:id="423"/>
      <w:bookmarkEnd w:id="424"/>
    </w:p>
    <w:p w14:paraId="01A6CFD3">
      <w:pPr>
        <w:shd w:val="clear"/>
        <w:adjustRightIn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本合同履行过程中发生的任何争议，双方当事人均可通过和解或者调解解决；不愿和解、调解或者和解、调解不成的，可以向宁波市奉化区人民法院提起诉讼。</w:t>
      </w:r>
    </w:p>
    <w:p w14:paraId="3905D17A">
      <w:pPr>
        <w:shd w:val="clear"/>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24 合同中止、终止</w:t>
      </w:r>
    </w:p>
    <w:p w14:paraId="0AAF3502">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 双方当事人不得擅自中止或者终止合同；</w:t>
      </w:r>
    </w:p>
    <w:p w14:paraId="6947CA67">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24.2合同继续履行将损害国家利益和社会公共利益的，双方当事人应当中止或者终止合同。有过错的一方应当承担赔偿责任，双方当事人都有过错的，各自承担相应的责任。</w:t>
      </w:r>
    </w:p>
    <w:p w14:paraId="1BC17A2F">
      <w:pPr>
        <w:shd w:val="clear"/>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25 通知和送达</w:t>
      </w:r>
    </w:p>
    <w:p w14:paraId="473EF506">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25.1任何一方因履行合同而以合同第一部分尾部所列明的传真或电子邮件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55421C25">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25.2以当面交付方式送达的，交付之时视为送达；以电子邮件方式送达的，发出电子邮件之时视为送达；以传真方式送达的，发出传真之时视为送达；以邮寄方式送达的，邮件挂号寄出或者交邮之日之次日视为送达。</w:t>
      </w:r>
    </w:p>
    <w:p w14:paraId="098D0E16">
      <w:pPr>
        <w:shd w:val="clear"/>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26 计量单位</w:t>
      </w:r>
    </w:p>
    <w:p w14:paraId="7AF9DB90">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33E6FE66">
      <w:pPr>
        <w:shd w:val="clear"/>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27合同使用的文字和适用的法律</w:t>
      </w:r>
    </w:p>
    <w:p w14:paraId="4949733C">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27.1 合同使用汉语书就、变更和解释；</w:t>
      </w:r>
    </w:p>
    <w:p w14:paraId="5ABA328F">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27.2 合同适用中华人民共和国法律。</w:t>
      </w:r>
    </w:p>
    <w:p w14:paraId="5C7E31ED">
      <w:pPr>
        <w:shd w:val="clear"/>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28合同效力</w:t>
      </w:r>
    </w:p>
    <w:p w14:paraId="76C00D47">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本合同一式四份，甲乙双方各两份，每份均具有同等法律效力。本合同自双方当事人盖章或者签字时生效。</w:t>
      </w:r>
    </w:p>
    <w:p w14:paraId="458A7FE0">
      <w:pPr>
        <w:shd w:val="clear"/>
        <w:autoSpaceDE w:val="0"/>
        <w:autoSpaceDN w:val="0"/>
        <w:spacing w:line="360" w:lineRule="auto"/>
        <w:rPr>
          <w:rFonts w:ascii="仿宋" w:hAnsi="仿宋" w:eastAsia="仿宋" w:cs="仿宋"/>
          <w:color w:val="auto"/>
          <w:sz w:val="24"/>
          <w:highlight w:val="none"/>
          <w:lang w:val="zh-CN"/>
        </w:rPr>
      </w:pPr>
    </w:p>
    <w:p w14:paraId="66922060">
      <w:pPr>
        <w:shd w:val="clear"/>
        <w:autoSpaceDE w:val="0"/>
        <w:autoSpaceDN w:val="0"/>
        <w:spacing w:line="360" w:lineRule="auto"/>
        <w:rPr>
          <w:rFonts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甲方名称（公章）</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乙方名称（公章）</w:t>
      </w:r>
      <w:r>
        <w:rPr>
          <w:rFonts w:hint="eastAsia" w:ascii="仿宋" w:hAnsi="仿宋" w:eastAsia="仿宋" w:cs="仿宋"/>
          <w:color w:val="auto"/>
          <w:sz w:val="24"/>
          <w:highlight w:val="none"/>
          <w:lang w:val="zh-CN"/>
        </w:rPr>
        <w:t>：</w:t>
      </w:r>
    </w:p>
    <w:p w14:paraId="3709A11F">
      <w:pPr>
        <w:shd w:val="clear"/>
        <w:autoSpaceDE w:val="0"/>
        <w:autoSpaceDN w:val="0"/>
        <w:spacing w:line="360" w:lineRule="auto"/>
        <w:rPr>
          <w:rFonts w:ascii="仿宋" w:hAnsi="仿宋" w:eastAsia="仿宋" w:cs="仿宋"/>
          <w:color w:val="auto"/>
          <w:sz w:val="24"/>
          <w:highlight w:val="none"/>
          <w:lang w:val="zh-CN"/>
        </w:rPr>
      </w:pPr>
    </w:p>
    <w:p w14:paraId="1AA535B9">
      <w:pPr>
        <w:shd w:val="clear"/>
        <w:autoSpaceDE w:val="0"/>
        <w:autoSpaceDN w:val="0"/>
        <w:spacing w:line="360"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19212BA0">
      <w:pPr>
        <w:shd w:val="clear"/>
        <w:autoSpaceDE w:val="0"/>
        <w:autoSpaceDN w:val="0"/>
        <w:spacing w:line="360"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1A61FB00">
      <w:pPr>
        <w:shd w:val="clear"/>
        <w:autoSpaceDE w:val="0"/>
        <w:autoSpaceDN w:val="0"/>
        <w:spacing w:line="360"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法定代表人或授权代表（签字）：       </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zh-CN"/>
        </w:rPr>
        <w:t xml:space="preserve"> 法定代表人或授权代表（签字）: </w:t>
      </w:r>
    </w:p>
    <w:p w14:paraId="29EE76B7">
      <w:pPr>
        <w:shd w:val="clear"/>
        <w:autoSpaceDE w:val="0"/>
        <w:autoSpaceDN w:val="0"/>
        <w:spacing w:line="360"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5FCF69D3">
      <w:pPr>
        <w:shd w:val="clear"/>
        <w:autoSpaceDE w:val="0"/>
        <w:autoSpaceDN w:val="0"/>
        <w:spacing w:line="360"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435EDFE4">
      <w:pPr>
        <w:shd w:val="clear"/>
        <w:autoSpaceDE w:val="0"/>
        <w:autoSpaceDN w:val="0"/>
        <w:spacing w:line="360"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1EE60591">
      <w:pPr>
        <w:shd w:val="clear"/>
        <w:autoSpaceDE w:val="0"/>
        <w:autoSpaceDN w:val="0"/>
        <w:spacing w:line="360"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7470C5F1">
      <w:pPr>
        <w:shd w:val="clear"/>
        <w:autoSpaceDE w:val="0"/>
        <w:autoSpaceDN w:val="0"/>
        <w:spacing w:line="360"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6C4365D7">
      <w:pPr>
        <w:pStyle w:val="25"/>
        <w:shd w:val="clear"/>
        <w:spacing w:line="360" w:lineRule="auto"/>
        <w:ind w:firstLine="480"/>
        <w:rPr>
          <w:rFonts w:ascii="仿宋" w:hAnsi="仿宋" w:eastAsia="仿宋" w:cs="仿宋"/>
          <w:color w:val="auto"/>
          <w:sz w:val="24"/>
          <w:highlight w:val="none"/>
        </w:rPr>
      </w:pPr>
    </w:p>
    <w:p w14:paraId="73BCB587">
      <w:pPr>
        <w:pStyle w:val="25"/>
        <w:shd w:val="clear"/>
        <w:spacing w:line="360" w:lineRule="auto"/>
        <w:ind w:firstLine="480"/>
        <w:rPr>
          <w:rFonts w:ascii="仿宋" w:hAnsi="仿宋" w:eastAsia="仿宋" w:cs="仿宋"/>
          <w:color w:val="auto"/>
          <w:sz w:val="24"/>
          <w:highlight w:val="none"/>
        </w:rPr>
      </w:pPr>
    </w:p>
    <w:p w14:paraId="6BC124A4">
      <w:pPr>
        <w:pStyle w:val="25"/>
        <w:shd w:val="clear"/>
        <w:spacing w:line="360" w:lineRule="auto"/>
        <w:ind w:firstLine="0" w:firstLineChars="0"/>
        <w:rPr>
          <w:rFonts w:ascii="仿宋" w:hAnsi="仿宋" w:eastAsia="仿宋" w:cs="仿宋"/>
          <w:b/>
          <w:bCs/>
          <w:color w:val="auto"/>
          <w:sz w:val="24"/>
          <w:highlight w:val="none"/>
          <w:lang w:val="zh-CN"/>
        </w:rPr>
      </w:pPr>
      <w:r>
        <w:rPr>
          <w:rFonts w:hint="eastAsia" w:ascii="仿宋" w:hAnsi="仿宋" w:eastAsia="仿宋" w:cs="仿宋"/>
          <w:b/>
          <w:bCs/>
          <w:color w:val="auto"/>
          <w:sz w:val="24"/>
          <w:highlight w:val="none"/>
        </w:rPr>
        <w:t>见证人（公章）：采购代理机构名称</w:t>
      </w:r>
    </w:p>
    <w:p w14:paraId="69D06472">
      <w:pPr>
        <w:shd w:val="clear"/>
        <w:autoSpaceDE w:val="0"/>
        <w:autoSpaceDN w:val="0"/>
        <w:spacing w:line="360"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住所：                             </w:t>
      </w:r>
    </w:p>
    <w:p w14:paraId="178BB5A7">
      <w:pPr>
        <w:shd w:val="clear"/>
        <w:autoSpaceDE w:val="0"/>
        <w:autoSpaceDN w:val="0"/>
        <w:spacing w:line="360"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法定代表人或授权代表（签字）：       </w:t>
      </w:r>
      <w:r>
        <w:rPr>
          <w:rFonts w:hint="eastAsia" w:ascii="仿宋" w:hAnsi="仿宋" w:eastAsia="仿宋" w:cs="仿宋"/>
          <w:color w:val="auto"/>
          <w:sz w:val="24"/>
          <w:highlight w:val="none"/>
        </w:rPr>
        <w:t xml:space="preserve"> </w:t>
      </w:r>
    </w:p>
    <w:p w14:paraId="6082DAED">
      <w:pPr>
        <w:shd w:val="clear"/>
        <w:autoSpaceDE w:val="0"/>
        <w:autoSpaceDN w:val="0"/>
        <w:spacing w:line="360"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联系人：                                                                    </w:t>
      </w:r>
    </w:p>
    <w:p w14:paraId="0ED65E18">
      <w:pPr>
        <w:pStyle w:val="25"/>
        <w:shd w:val="clear"/>
        <w:ind w:firstLine="0" w:firstLineChars="0"/>
        <w:rPr>
          <w:color w:val="auto"/>
          <w:highlight w:val="none"/>
        </w:rPr>
      </w:pPr>
      <w:r>
        <w:rPr>
          <w:rFonts w:hint="eastAsia" w:ascii="仿宋" w:hAnsi="仿宋" w:eastAsia="仿宋" w:cs="仿宋"/>
          <w:color w:val="auto"/>
          <w:sz w:val="24"/>
          <w:highlight w:val="none"/>
          <w:lang w:val="zh-CN"/>
        </w:rPr>
        <w:t>电话:</w:t>
      </w:r>
      <w:r>
        <w:rPr>
          <w:color w:val="auto"/>
          <w:highlight w:val="none"/>
        </w:rPr>
        <w:br w:type="page"/>
      </w:r>
    </w:p>
    <w:p w14:paraId="105F20C4">
      <w:pPr>
        <w:shd w:val="clear"/>
        <w:spacing w:line="360" w:lineRule="auto"/>
        <w:jc w:val="center"/>
        <w:rPr>
          <w:rFonts w:cs="仿宋" w:asciiTheme="majorEastAsia" w:hAnsiTheme="majorEastAsia" w:eastAsiaTheme="majorEastAsia"/>
          <w:b/>
          <w:color w:val="auto"/>
          <w:sz w:val="24"/>
          <w:highlight w:val="none"/>
        </w:rPr>
      </w:pPr>
    </w:p>
    <w:p w14:paraId="1C788C09">
      <w:pPr>
        <w:shd w:val="clear"/>
        <w:spacing w:line="360" w:lineRule="auto"/>
        <w:ind w:left="720" w:firstLine="723" w:firstLineChars="200"/>
        <w:outlineLvl w:val="0"/>
        <w:rPr>
          <w:rFonts w:cs="仿宋" w:asciiTheme="majorEastAsia" w:hAnsiTheme="majorEastAsia" w:eastAsiaTheme="majorEastAsia"/>
          <w:b/>
          <w:color w:val="auto"/>
          <w:sz w:val="36"/>
          <w:szCs w:val="20"/>
          <w:highlight w:val="none"/>
        </w:rPr>
      </w:pPr>
      <w:r>
        <w:rPr>
          <w:rFonts w:hint="eastAsia" w:cs="仿宋" w:asciiTheme="majorEastAsia" w:hAnsiTheme="majorEastAsia" w:eastAsiaTheme="majorEastAsia"/>
          <w:b/>
          <w:color w:val="auto"/>
          <w:sz w:val="36"/>
          <w:szCs w:val="20"/>
          <w:highlight w:val="none"/>
        </w:rPr>
        <w:t>第六部分</w:t>
      </w:r>
      <w:bookmarkEnd w:id="402"/>
      <w:r>
        <w:rPr>
          <w:rFonts w:hint="eastAsia" w:cs="仿宋" w:asciiTheme="majorEastAsia" w:hAnsiTheme="majorEastAsia" w:eastAsiaTheme="majorEastAsia"/>
          <w:b/>
          <w:color w:val="auto"/>
          <w:sz w:val="36"/>
          <w:szCs w:val="20"/>
          <w:highlight w:val="none"/>
        </w:rPr>
        <w:t xml:space="preserve"> </w:t>
      </w:r>
      <w:bookmarkEnd w:id="403"/>
      <w:r>
        <w:rPr>
          <w:rFonts w:hint="eastAsia" w:cs="仿宋" w:asciiTheme="majorEastAsia" w:hAnsiTheme="majorEastAsia" w:eastAsiaTheme="majorEastAsia"/>
          <w:b/>
          <w:color w:val="auto"/>
          <w:sz w:val="36"/>
          <w:szCs w:val="20"/>
          <w:highlight w:val="none"/>
        </w:rPr>
        <w:t>应提交的有关格式范例</w:t>
      </w:r>
    </w:p>
    <w:p w14:paraId="6DDB8B75">
      <w:pPr>
        <w:shd w:val="clear"/>
        <w:spacing w:line="360" w:lineRule="auto"/>
        <w:jc w:val="center"/>
        <w:outlineLvl w:val="0"/>
        <w:rPr>
          <w:rFonts w:cs="仿宋" w:asciiTheme="majorEastAsia" w:hAnsiTheme="majorEastAsia" w:eastAsiaTheme="majorEastAsia"/>
          <w:b/>
          <w:color w:val="auto"/>
          <w:kern w:val="0"/>
          <w:sz w:val="36"/>
          <w:szCs w:val="36"/>
          <w:highlight w:val="none"/>
        </w:rPr>
      </w:pPr>
    </w:p>
    <w:p w14:paraId="60FF8203">
      <w:pPr>
        <w:shd w:val="clear"/>
        <w:spacing w:line="360" w:lineRule="auto"/>
        <w:jc w:val="center"/>
        <w:outlineLvl w:val="0"/>
        <w:rPr>
          <w:rFonts w:cs="仿宋" w:asciiTheme="majorEastAsia" w:hAnsiTheme="majorEastAsia" w:eastAsiaTheme="majorEastAsia"/>
          <w:b/>
          <w:color w:val="auto"/>
          <w:kern w:val="0"/>
          <w:sz w:val="36"/>
          <w:szCs w:val="36"/>
          <w:highlight w:val="none"/>
        </w:rPr>
      </w:pPr>
      <w:r>
        <w:rPr>
          <w:rFonts w:hint="eastAsia" w:cs="仿宋" w:asciiTheme="majorEastAsia" w:hAnsiTheme="majorEastAsia" w:eastAsiaTheme="majorEastAsia"/>
          <w:b/>
          <w:color w:val="auto"/>
          <w:kern w:val="0"/>
          <w:sz w:val="36"/>
          <w:szCs w:val="36"/>
          <w:highlight w:val="none"/>
        </w:rPr>
        <w:t>资格文件部分</w:t>
      </w:r>
    </w:p>
    <w:p w14:paraId="6612AEB0">
      <w:pPr>
        <w:shd w:val="clear"/>
        <w:spacing w:line="360" w:lineRule="auto"/>
        <w:jc w:val="center"/>
        <w:outlineLvl w:val="0"/>
        <w:rPr>
          <w:rFonts w:cs="仿宋" w:asciiTheme="majorEastAsia" w:hAnsiTheme="majorEastAsia" w:eastAsiaTheme="majorEastAsia"/>
          <w:b/>
          <w:color w:val="auto"/>
          <w:kern w:val="0"/>
          <w:sz w:val="36"/>
          <w:szCs w:val="36"/>
          <w:highlight w:val="none"/>
        </w:rPr>
      </w:pPr>
      <w:r>
        <w:rPr>
          <w:rFonts w:hint="eastAsia" w:cs="仿宋" w:asciiTheme="majorEastAsia" w:hAnsiTheme="majorEastAsia" w:eastAsiaTheme="majorEastAsia"/>
          <w:b/>
          <w:color w:val="auto"/>
          <w:kern w:val="0"/>
          <w:sz w:val="36"/>
          <w:szCs w:val="36"/>
          <w:highlight w:val="none"/>
        </w:rPr>
        <w:t>目录</w:t>
      </w:r>
    </w:p>
    <w:p w14:paraId="2C1D7E63">
      <w:pPr>
        <w:shd w:val="clear"/>
        <w:spacing w:line="360" w:lineRule="auto"/>
        <w:jc w:val="center"/>
        <w:outlineLvl w:val="0"/>
        <w:rPr>
          <w:rFonts w:cs="仿宋" w:asciiTheme="majorEastAsia" w:hAnsiTheme="majorEastAsia" w:eastAsiaTheme="majorEastAsia"/>
          <w:b/>
          <w:color w:val="auto"/>
          <w:kern w:val="0"/>
          <w:sz w:val="36"/>
          <w:szCs w:val="36"/>
          <w:highlight w:val="none"/>
        </w:rPr>
      </w:pPr>
    </w:p>
    <w:p w14:paraId="27D0541D">
      <w:pPr>
        <w:shd w:val="clear"/>
        <w:adjustRightInd w:val="0"/>
        <w:snapToGrid w:val="0"/>
        <w:spacing w:line="360" w:lineRule="auto"/>
        <w:ind w:left="420" w:leftChars="200" w:firstLine="560" w:firstLineChars="2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1 有效的企业法人营业执照（或事业法人登记证）、其他组织（个体工商户）的营业执照或者民办非企业单位登记证书；</w:t>
      </w:r>
    </w:p>
    <w:p w14:paraId="657B716E">
      <w:pPr>
        <w:shd w:val="clear"/>
        <w:adjustRightInd w:val="0"/>
        <w:snapToGrid w:val="0"/>
        <w:spacing w:line="360" w:lineRule="auto"/>
        <w:ind w:left="420" w:leftChars="200" w:firstLine="560" w:firstLineChars="2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2 符合参加政府采购活动应当具备的一般条件的承诺函；</w:t>
      </w:r>
    </w:p>
    <w:p w14:paraId="3B978B09">
      <w:pPr>
        <w:shd w:val="clear"/>
        <w:adjustRightInd w:val="0"/>
        <w:snapToGrid w:val="0"/>
        <w:spacing w:line="360" w:lineRule="auto"/>
        <w:ind w:left="420" w:leftChars="200" w:firstLine="560" w:firstLineChars="2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3 落实政府采购政策需满足的资格要求；</w:t>
      </w:r>
    </w:p>
    <w:p w14:paraId="243EC00D">
      <w:pPr>
        <w:shd w:val="clear"/>
        <w:adjustRightInd w:val="0"/>
        <w:snapToGrid w:val="0"/>
        <w:spacing w:line="360" w:lineRule="auto"/>
        <w:ind w:left="420" w:leftChars="200" w:firstLine="560" w:firstLineChars="2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4 本项目的特定资格要求。</w:t>
      </w:r>
    </w:p>
    <w:p w14:paraId="3905D0CB">
      <w:pPr>
        <w:pStyle w:val="25"/>
        <w:shd w:val="clear"/>
        <w:spacing w:line="360" w:lineRule="auto"/>
        <w:ind w:firstLine="480"/>
        <w:rPr>
          <w:rFonts w:cs="仿宋" w:asciiTheme="majorEastAsia" w:hAnsiTheme="majorEastAsia" w:eastAsiaTheme="majorEastAsia"/>
          <w:color w:val="auto"/>
          <w:sz w:val="24"/>
          <w:highlight w:val="none"/>
        </w:rPr>
      </w:pPr>
    </w:p>
    <w:p w14:paraId="1290F429">
      <w:pPr>
        <w:shd w:val="clear"/>
        <w:spacing w:line="360" w:lineRule="auto"/>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br w:type="page"/>
      </w:r>
    </w:p>
    <w:p w14:paraId="0A561910">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t>一、 符合参加政府采购活动应当具备的一般条件的承诺函</w:t>
      </w:r>
    </w:p>
    <w:p w14:paraId="0B9AE1DE">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（采购人）、（采购代理机构）：</w:t>
      </w:r>
    </w:p>
    <w:p w14:paraId="0D02B1FB">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我方参与（项目名称）【项目编号：     】政府采购活动，郑重承诺：</w:t>
      </w:r>
    </w:p>
    <w:p w14:paraId="5E599BAE">
      <w:pPr>
        <w:shd w:val="clear"/>
        <w:snapToGrid w:val="0"/>
        <w:spacing w:line="360" w:lineRule="auto"/>
        <w:ind w:firstLine="360" w:firstLineChars="15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（一）具备《中华人民共和国政府采购法》第二十二条第一款规定的条件：</w:t>
      </w:r>
    </w:p>
    <w:p w14:paraId="63EB2EE1">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1、具有独立承担民事责任的能力；</w:t>
      </w:r>
    </w:p>
    <w:p w14:paraId="46F3D675">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2、具有良好的商业信誉和健全的财务会计制度； </w:t>
      </w:r>
    </w:p>
    <w:p w14:paraId="006AC069">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3、具有履行合同所必需的设备和专业技术能力；</w:t>
      </w:r>
    </w:p>
    <w:p w14:paraId="7AC424B1">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4、有依法缴纳税收和社会保障资金的良好记录；</w:t>
      </w:r>
    </w:p>
    <w:p w14:paraId="449B6385">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5、参加政府采购活动前三年内，在经营活动中没有重大违法记录；</w:t>
      </w:r>
    </w:p>
    <w:p w14:paraId="07542602">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6、具有法律、行政法规规定的其他条件。</w:t>
      </w:r>
    </w:p>
    <w:p w14:paraId="1EAFCFBE">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（二）未被信用中国（www.creditchina.gov.cn)、中国政府采购网（www.ccgp.gov.cn）列入失信被执行人、重大税收违法失信主体、政府采购严重违法失信行为记录名单。</w:t>
      </w:r>
    </w:p>
    <w:p w14:paraId="23CC358A">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（三）不存在以下情况：</w:t>
      </w:r>
    </w:p>
    <w:p w14:paraId="3E504317">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1、单位负责人为同一人或者存在直接控股、管理关系的不同供应商参加同一合同项下的政府采购活动的；</w:t>
      </w:r>
    </w:p>
    <w:p w14:paraId="7E78BD21">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2、为采购项目提供整体设计、规范编制或者项目管理、监理、检测等服务后再参加该采购项目的其他采购活动的。</w:t>
      </w:r>
    </w:p>
    <w:p w14:paraId="29186535">
      <w:pPr>
        <w:shd w:val="clear"/>
        <w:snapToGrid w:val="0"/>
        <w:spacing w:line="360" w:lineRule="auto"/>
        <w:ind w:firstLine="5520" w:firstLineChars="2300"/>
        <w:rPr>
          <w:rFonts w:cs="仿宋" w:asciiTheme="majorEastAsia" w:hAnsiTheme="majorEastAsia" w:eastAsiaTheme="majorEastAsia"/>
          <w:color w:val="auto"/>
          <w:kern w:val="0"/>
          <w:sz w:val="24"/>
          <w:highlight w:val="none"/>
          <w:lang w:val="zh-CN"/>
        </w:rPr>
      </w:pPr>
    </w:p>
    <w:p w14:paraId="02B1BF06">
      <w:pPr>
        <w:shd w:val="clear"/>
        <w:snapToGrid w:val="0"/>
        <w:spacing w:line="360" w:lineRule="auto"/>
        <w:ind w:firstLine="5520" w:firstLineChars="2300"/>
        <w:rPr>
          <w:rFonts w:cs="仿宋" w:asciiTheme="majorEastAsia" w:hAnsiTheme="majorEastAsia" w:eastAsiaTheme="majorEastAsia"/>
          <w:color w:val="auto"/>
          <w:kern w:val="0"/>
          <w:sz w:val="24"/>
          <w:highlight w:val="none"/>
          <w:lang w:val="zh-CN"/>
        </w:rPr>
      </w:pPr>
    </w:p>
    <w:p w14:paraId="2B41D6B9">
      <w:pPr>
        <w:shd w:val="clear"/>
        <w:spacing w:line="360" w:lineRule="auto"/>
        <w:ind w:right="420" w:firstLine="5250" w:firstLineChars="2500"/>
        <w:rPr>
          <w:rFonts w:ascii="宋体" w:hAnsi="宋体" w:cs="宋体"/>
          <w:color w:val="auto"/>
          <w:highlight w:val="none"/>
        </w:rPr>
      </w:pPr>
      <w:r>
        <w:rPr>
          <w:rFonts w:hint="eastAsia" w:ascii="宋体" w:hAnsi="宋体" w:cs="宋体"/>
          <w:color w:val="auto"/>
          <w:highlight w:val="none"/>
        </w:rPr>
        <w:t xml:space="preserve">法定代表人（签名或印章）：     </w:t>
      </w:r>
    </w:p>
    <w:p w14:paraId="1C6CAF8F">
      <w:pPr>
        <w:shd w:val="clear"/>
        <w:spacing w:line="360" w:lineRule="auto"/>
        <w:ind w:right="420" w:firstLine="5460" w:firstLineChars="2600"/>
        <w:rPr>
          <w:rFonts w:ascii="宋体" w:hAnsi="宋体" w:cs="宋体"/>
          <w:color w:val="auto"/>
          <w:highlight w:val="none"/>
        </w:rPr>
      </w:pPr>
      <w:r>
        <w:rPr>
          <w:rFonts w:hint="eastAsia" w:ascii="宋体" w:hAnsi="宋体" w:cs="宋体"/>
          <w:color w:val="auto"/>
          <w:highlight w:val="none"/>
        </w:rPr>
        <w:t xml:space="preserve">投标人（盖章）：   </w:t>
      </w:r>
    </w:p>
    <w:p w14:paraId="454E474D">
      <w:pPr>
        <w:shd w:val="clear"/>
        <w:spacing w:line="360" w:lineRule="auto"/>
        <w:ind w:right="420" w:firstLine="5355" w:firstLineChars="2550"/>
        <w:rPr>
          <w:rFonts w:ascii="宋体" w:hAnsi="宋体" w:cs="宋体"/>
          <w:color w:val="auto"/>
          <w:highlight w:val="none"/>
        </w:rPr>
      </w:pPr>
      <w:r>
        <w:rPr>
          <w:rFonts w:hint="eastAsia" w:ascii="宋体" w:hAnsi="宋体" w:cs="宋体"/>
          <w:color w:val="auto"/>
          <w:highlight w:val="none"/>
        </w:rPr>
        <w:t xml:space="preserve"> 年    月    日</w:t>
      </w:r>
    </w:p>
    <w:p w14:paraId="5FC7785F">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6D54BD1D">
      <w:pPr>
        <w:shd w:val="clear"/>
        <w:spacing w:line="360" w:lineRule="auto"/>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br w:type="page"/>
      </w:r>
    </w:p>
    <w:p w14:paraId="4DE606DA">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t>二、落实政府采购政策需满足的资格要求</w:t>
      </w:r>
    </w:p>
    <w:p w14:paraId="52C6D1B1">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（根据招标公告落实政府采购政策需满足的资格要求选择提供相应的材料；未要求的，无需提供）</w:t>
      </w:r>
    </w:p>
    <w:p w14:paraId="79DD0DB1">
      <w:pPr>
        <w:shd w:val="clear"/>
        <w:snapToGrid w:val="0"/>
        <w:spacing w:before="50" w:after="50" w:line="360" w:lineRule="auto"/>
        <w:ind w:firstLine="472" w:firstLineChars="196"/>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A</w:t>
      </w:r>
      <w:r>
        <w:rPr>
          <w:rFonts w:hint="eastAsia" w:cs="仿宋" w:asciiTheme="majorEastAsia" w:hAnsiTheme="majorEastAsia" w:eastAsiaTheme="majorEastAsia"/>
          <w:color w:val="auto"/>
          <w:sz w:val="24"/>
          <w:highlight w:val="none"/>
        </w:rPr>
        <w:t xml:space="preserve">.专门面向中小企业，货物全部由符合政策要求的中小企业（或小微企业）制造或者服务全部由符合政策要求的中小企业（或小微企业）承接的，提供相应的中小企业声明函。 </w:t>
      </w:r>
    </w:p>
    <w:p w14:paraId="20B4BCCE">
      <w:pPr>
        <w:widowControl/>
        <w:shd w:val="clear"/>
        <w:spacing w:line="360" w:lineRule="auto"/>
        <w:ind w:firstLine="480"/>
        <w:jc w:val="left"/>
        <w:rPr>
          <w:rFonts w:cs="仿宋" w:asciiTheme="majorEastAsia" w:hAnsiTheme="majorEastAsia" w:eastAsiaTheme="majorEastAsia"/>
          <w:color w:val="auto"/>
          <w:sz w:val="24"/>
          <w:highlight w:val="none"/>
        </w:rPr>
      </w:pPr>
    </w:p>
    <w:p w14:paraId="6DEB3B94">
      <w:pPr>
        <w:widowControl/>
        <w:shd w:val="clear"/>
        <w:spacing w:line="360" w:lineRule="auto"/>
        <w:ind w:firstLine="472" w:firstLineChars="196"/>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B.</w:t>
      </w:r>
      <w:r>
        <w:rPr>
          <w:rFonts w:hint="eastAsia" w:cs="仿宋" w:asciiTheme="majorEastAsia" w:hAnsiTheme="majorEastAsia" w:eastAsiaTheme="majorEastAsia"/>
          <w:color w:val="auto"/>
          <w:sz w:val="24"/>
          <w:highlight w:val="none"/>
        </w:rPr>
        <w:t>要求以联合体形式参加的，提供联合协议和中小企业声明函，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14:paraId="51A50AF6">
      <w:pPr>
        <w:shd w:val="clear"/>
        <w:spacing w:line="360" w:lineRule="auto"/>
        <w:jc w:val="center"/>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lang w:val="zh-CN"/>
        </w:rPr>
        <w:br w:type="page"/>
      </w:r>
      <w:r>
        <w:rPr>
          <w:rFonts w:hint="eastAsia" w:cs="仿宋" w:asciiTheme="majorEastAsia" w:hAnsiTheme="majorEastAsia" w:eastAsiaTheme="majorEastAsia"/>
          <w:b/>
          <w:color w:val="auto"/>
          <w:kern w:val="0"/>
          <w:sz w:val="32"/>
          <w:szCs w:val="32"/>
          <w:highlight w:val="none"/>
        </w:rPr>
        <w:t>三、本项目的特定资格要求</w:t>
      </w:r>
    </w:p>
    <w:p w14:paraId="0E515156">
      <w:pPr>
        <w:shd w:val="clear"/>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（根据招标公告本项目的特定资格要求提供相应的材料；未要求的，无需提供）</w:t>
      </w:r>
    </w:p>
    <w:p w14:paraId="44F0C0C3">
      <w:pPr>
        <w:shd w:val="clear"/>
        <w:spacing w:line="360" w:lineRule="auto"/>
        <w:rPr>
          <w:rFonts w:cs="仿宋" w:asciiTheme="majorEastAsia" w:hAnsiTheme="majorEastAsia" w:eastAsiaTheme="majorEastAsia"/>
          <w:color w:val="auto"/>
          <w:highlight w:val="none"/>
        </w:rPr>
      </w:pPr>
    </w:p>
    <w:p w14:paraId="3403FCE8">
      <w:pPr>
        <w:shd w:val="clear"/>
        <w:spacing w:line="360" w:lineRule="auto"/>
        <w:rPr>
          <w:rFonts w:cs="仿宋" w:asciiTheme="majorEastAsia" w:hAnsiTheme="majorEastAsia" w:eastAsiaTheme="majorEastAsia"/>
          <w:b/>
          <w:color w:val="auto"/>
          <w:kern w:val="0"/>
          <w:sz w:val="36"/>
          <w:szCs w:val="36"/>
          <w:highlight w:val="none"/>
        </w:rPr>
      </w:pPr>
      <w:r>
        <w:rPr>
          <w:rFonts w:hint="eastAsia" w:cs="仿宋" w:asciiTheme="majorEastAsia" w:hAnsiTheme="majorEastAsia" w:eastAsiaTheme="majorEastAsia"/>
          <w:b/>
          <w:color w:val="auto"/>
          <w:kern w:val="0"/>
          <w:sz w:val="36"/>
          <w:szCs w:val="36"/>
          <w:highlight w:val="none"/>
        </w:rPr>
        <w:br w:type="page"/>
      </w:r>
    </w:p>
    <w:p w14:paraId="0EB1D6EC">
      <w:pPr>
        <w:shd w:val="clear"/>
        <w:spacing w:line="360" w:lineRule="auto"/>
        <w:ind w:right="420"/>
        <w:jc w:val="center"/>
        <w:rPr>
          <w:rFonts w:cs="仿宋" w:asciiTheme="majorEastAsia" w:hAnsiTheme="majorEastAsia" w:eastAsiaTheme="majorEastAsia"/>
          <w:b/>
          <w:color w:val="auto"/>
          <w:kern w:val="0"/>
          <w:sz w:val="36"/>
          <w:szCs w:val="36"/>
          <w:highlight w:val="none"/>
        </w:rPr>
      </w:pPr>
      <w:r>
        <w:rPr>
          <w:rFonts w:hint="eastAsia" w:cs="仿宋" w:asciiTheme="majorEastAsia" w:hAnsiTheme="majorEastAsia" w:eastAsiaTheme="majorEastAsia"/>
          <w:b/>
          <w:color w:val="auto"/>
          <w:kern w:val="0"/>
          <w:sz w:val="36"/>
          <w:szCs w:val="36"/>
          <w:highlight w:val="none"/>
        </w:rPr>
        <w:t>商务技术文件部分</w:t>
      </w:r>
    </w:p>
    <w:p w14:paraId="14644616">
      <w:pPr>
        <w:shd w:val="clear"/>
        <w:spacing w:line="360" w:lineRule="auto"/>
        <w:jc w:val="center"/>
        <w:outlineLvl w:val="0"/>
        <w:rPr>
          <w:rFonts w:cs="仿宋" w:asciiTheme="majorEastAsia" w:hAnsiTheme="majorEastAsia" w:eastAsiaTheme="majorEastAsia"/>
          <w:b/>
          <w:color w:val="auto"/>
          <w:kern w:val="0"/>
          <w:sz w:val="24"/>
          <w:highlight w:val="none"/>
        </w:rPr>
      </w:pPr>
    </w:p>
    <w:p w14:paraId="3D57BF3B">
      <w:pPr>
        <w:shd w:val="clear"/>
        <w:spacing w:line="360" w:lineRule="auto"/>
        <w:ind w:left="3990" w:leftChars="1900"/>
        <w:outlineLvl w:val="0"/>
        <w:rPr>
          <w:rFonts w:cs="仿宋" w:asciiTheme="majorEastAsia" w:hAnsiTheme="majorEastAsia" w:eastAsiaTheme="majorEastAsia"/>
          <w:b/>
          <w:color w:val="auto"/>
          <w:kern w:val="0"/>
          <w:sz w:val="28"/>
          <w:szCs w:val="28"/>
          <w:highlight w:val="none"/>
        </w:rPr>
      </w:pPr>
      <w:r>
        <w:rPr>
          <w:rFonts w:hint="eastAsia" w:cs="仿宋" w:asciiTheme="majorEastAsia" w:hAnsiTheme="majorEastAsia" w:eastAsiaTheme="majorEastAsia"/>
          <w:b/>
          <w:color w:val="auto"/>
          <w:kern w:val="0"/>
          <w:sz w:val="28"/>
          <w:szCs w:val="28"/>
          <w:highlight w:val="none"/>
        </w:rPr>
        <w:t>目 录</w:t>
      </w:r>
    </w:p>
    <w:p w14:paraId="0EE2B605">
      <w:pPr>
        <w:shd w:val="clear"/>
        <w:snapToGrid w:val="0"/>
        <w:spacing w:line="360" w:lineRule="auto"/>
        <w:ind w:firstLine="960" w:firstLineChars="400"/>
        <w:rPr>
          <w:rFonts w:cs="仿宋" w:asciiTheme="majorEastAsia" w:hAnsiTheme="majorEastAsia" w:eastAsiaTheme="majorEastAsia"/>
          <w:color w:val="auto"/>
          <w:sz w:val="24"/>
          <w:highlight w:val="none"/>
        </w:rPr>
      </w:pPr>
    </w:p>
    <w:p w14:paraId="2D4D4F24">
      <w:pPr>
        <w:shd w:val="clear"/>
        <w:adjustRightInd w:val="0"/>
        <w:snapToGrid w:val="0"/>
        <w:spacing w:line="360" w:lineRule="auto"/>
        <w:ind w:firstLine="840" w:firstLineChars="3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1评分索引表</w:t>
      </w:r>
    </w:p>
    <w:p w14:paraId="29AE533C">
      <w:pPr>
        <w:shd w:val="clear"/>
        <w:adjustRightInd w:val="0"/>
        <w:snapToGrid w:val="0"/>
        <w:spacing w:line="360" w:lineRule="auto"/>
        <w:ind w:firstLine="840" w:firstLineChars="3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2 符合性自查表；</w:t>
      </w:r>
    </w:p>
    <w:p w14:paraId="21031A86">
      <w:pPr>
        <w:shd w:val="clear"/>
        <w:adjustRightInd w:val="0"/>
        <w:snapToGrid w:val="0"/>
        <w:spacing w:line="360" w:lineRule="auto"/>
        <w:ind w:firstLine="840" w:firstLineChars="3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3 投标函；</w:t>
      </w:r>
      <w:r>
        <w:rPr>
          <w:rFonts w:hint="eastAsia" w:cs="仿宋" w:asciiTheme="majorEastAsia" w:hAnsiTheme="majorEastAsia" w:eastAsiaTheme="majorEastAsia"/>
          <w:color w:val="auto"/>
          <w:sz w:val="28"/>
          <w:szCs w:val="28"/>
          <w:highlight w:val="none"/>
          <w:lang w:val="zh-CN"/>
        </w:rPr>
        <w:t xml:space="preserve"> </w:t>
      </w:r>
    </w:p>
    <w:p w14:paraId="722A307C">
      <w:pPr>
        <w:shd w:val="clear"/>
        <w:adjustRightInd w:val="0"/>
        <w:snapToGrid w:val="0"/>
        <w:spacing w:line="360" w:lineRule="auto"/>
        <w:ind w:firstLine="840" w:firstLineChars="3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4 授权委托书或法定代表人（单位负责人、自然人本人）身份证明；</w:t>
      </w:r>
    </w:p>
    <w:p w14:paraId="2DF26401">
      <w:pPr>
        <w:shd w:val="clear"/>
        <w:adjustRightInd w:val="0"/>
        <w:snapToGrid w:val="0"/>
        <w:spacing w:line="360" w:lineRule="auto"/>
        <w:ind w:firstLine="840" w:firstLineChars="3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5 投标人基本情况表；</w:t>
      </w:r>
    </w:p>
    <w:p w14:paraId="2602FCC9">
      <w:pPr>
        <w:shd w:val="clear"/>
        <w:adjustRightInd w:val="0"/>
        <w:snapToGrid w:val="0"/>
        <w:spacing w:line="360" w:lineRule="auto"/>
        <w:ind w:firstLine="840" w:firstLineChars="3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6 距采购人最近或者能为本项目提供最优服务的网点情况表；</w:t>
      </w:r>
    </w:p>
    <w:p w14:paraId="5CFE8470">
      <w:pPr>
        <w:shd w:val="clear"/>
        <w:adjustRightInd w:val="0"/>
        <w:snapToGrid w:val="0"/>
        <w:spacing w:line="360" w:lineRule="auto"/>
        <w:ind w:firstLine="840" w:firstLineChars="3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7 评标标准相应的商务技术资料；</w:t>
      </w:r>
    </w:p>
    <w:p w14:paraId="660FB22F">
      <w:pPr>
        <w:shd w:val="clear"/>
        <w:adjustRightInd w:val="0"/>
        <w:snapToGrid w:val="0"/>
        <w:spacing w:line="360" w:lineRule="auto"/>
        <w:ind w:firstLine="840" w:firstLineChars="3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8 商务响应表；</w:t>
      </w:r>
    </w:p>
    <w:p w14:paraId="16D00626">
      <w:pPr>
        <w:shd w:val="clear"/>
        <w:adjustRightInd w:val="0"/>
        <w:snapToGrid w:val="0"/>
        <w:spacing w:line="360" w:lineRule="auto"/>
        <w:ind w:firstLine="840" w:firstLineChars="3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9 技术响应表；</w:t>
      </w:r>
    </w:p>
    <w:p w14:paraId="2D039708">
      <w:pPr>
        <w:shd w:val="clear"/>
        <w:adjustRightInd w:val="0"/>
        <w:snapToGrid w:val="0"/>
        <w:spacing w:line="360" w:lineRule="auto"/>
        <w:ind w:firstLine="840" w:firstLineChars="3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10 同类业绩情况一览表；</w:t>
      </w:r>
    </w:p>
    <w:p w14:paraId="081C9653">
      <w:pPr>
        <w:shd w:val="clear"/>
        <w:adjustRightInd w:val="0"/>
        <w:snapToGrid w:val="0"/>
        <w:spacing w:line="360" w:lineRule="auto"/>
        <w:ind w:firstLine="840" w:firstLineChars="300"/>
        <w:rPr>
          <w:rFonts w:cs="仿宋" w:asciiTheme="majorEastAsia" w:hAnsiTheme="majorEastAsia" w:eastAsiaTheme="majorEastAsia"/>
          <w:color w:val="auto"/>
          <w:sz w:val="28"/>
          <w:szCs w:val="28"/>
          <w:highlight w:val="none"/>
          <w:lang w:val="zh-CN"/>
        </w:rPr>
      </w:pPr>
      <w:r>
        <w:rPr>
          <w:rFonts w:hint="eastAsia" w:cs="仿宋" w:asciiTheme="majorEastAsia" w:hAnsiTheme="majorEastAsia" w:eastAsiaTheme="majorEastAsia"/>
          <w:color w:val="auto"/>
          <w:sz w:val="28"/>
          <w:szCs w:val="28"/>
          <w:highlight w:val="none"/>
        </w:rPr>
        <w:t xml:space="preserve">11 </w:t>
      </w:r>
      <w:r>
        <w:rPr>
          <w:rFonts w:hint="eastAsia" w:cs="仿宋" w:asciiTheme="majorEastAsia" w:hAnsiTheme="majorEastAsia" w:eastAsiaTheme="majorEastAsia"/>
          <w:color w:val="auto"/>
          <w:sz w:val="28"/>
          <w:szCs w:val="28"/>
          <w:highlight w:val="none"/>
          <w:lang w:val="zh-CN"/>
        </w:rPr>
        <w:t>政府采购供应商廉洁自律承诺书；</w:t>
      </w:r>
    </w:p>
    <w:p w14:paraId="63CC08A1">
      <w:pPr>
        <w:shd w:val="clear"/>
        <w:adjustRightInd w:val="0"/>
        <w:snapToGrid w:val="0"/>
        <w:spacing w:line="360" w:lineRule="auto"/>
        <w:ind w:firstLine="840" w:firstLineChars="3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12 其他资料。</w:t>
      </w:r>
    </w:p>
    <w:p w14:paraId="4A73849B">
      <w:pPr>
        <w:shd w:val="clear"/>
        <w:snapToGrid w:val="0"/>
        <w:spacing w:line="360" w:lineRule="auto"/>
        <w:outlineLvl w:val="0"/>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color w:val="auto"/>
          <w:kern w:val="0"/>
          <w:sz w:val="24"/>
          <w:highlight w:val="none"/>
        </w:rPr>
        <w:br w:type="page"/>
      </w:r>
    </w:p>
    <w:p w14:paraId="3D74BFC3">
      <w:pPr>
        <w:numPr>
          <w:ilvl w:val="0"/>
          <w:numId w:val="3"/>
        </w:numPr>
        <w:shd w:val="clear"/>
        <w:snapToGrid w:val="0"/>
        <w:spacing w:line="360" w:lineRule="auto"/>
        <w:jc w:val="center"/>
        <w:outlineLvl w:val="0"/>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t>评分索引表</w:t>
      </w:r>
    </w:p>
    <w:p w14:paraId="69510623">
      <w:pPr>
        <w:shd w:val="clear"/>
        <w:snapToGrid w:val="0"/>
        <w:spacing w:before="50" w:after="50"/>
        <w:rPr>
          <w:rFonts w:ascii="宋体" w:hAnsi="宋体"/>
          <w:b/>
          <w:color w:val="auto"/>
          <w:sz w:val="24"/>
          <w:highlight w:val="none"/>
        </w:rPr>
      </w:pPr>
    </w:p>
    <w:p w14:paraId="455D4875">
      <w:pPr>
        <w:shd w:val="clear"/>
        <w:snapToGrid w:val="0"/>
        <w:spacing w:before="50" w:after="50" w:line="360" w:lineRule="auto"/>
        <w:rPr>
          <w:rFonts w:ascii="宋体" w:hAnsi="宋体"/>
          <w:b/>
          <w:color w:val="auto"/>
          <w:sz w:val="24"/>
          <w:highlight w:val="none"/>
          <w:u w:val="single"/>
        </w:rPr>
      </w:pPr>
      <w:r>
        <w:rPr>
          <w:rFonts w:hint="eastAsia" w:ascii="宋体" w:hAnsi="宋体"/>
          <w:b/>
          <w:color w:val="auto"/>
          <w:sz w:val="24"/>
          <w:highlight w:val="none"/>
        </w:rPr>
        <w:t>投标单位名称：</w:t>
      </w:r>
    </w:p>
    <w:tbl>
      <w:tblPr>
        <w:tblStyle w:val="18"/>
        <w:tblW w:w="875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08"/>
        <w:gridCol w:w="5819"/>
        <w:gridCol w:w="1627"/>
      </w:tblGrid>
      <w:tr w14:paraId="0B746E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308" w:type="dxa"/>
            <w:tcBorders>
              <w:top w:val="single" w:color="auto" w:sz="4" w:space="0"/>
              <w:left w:val="single" w:color="auto" w:sz="4" w:space="0"/>
              <w:bottom w:val="single" w:color="auto" w:sz="4" w:space="0"/>
              <w:right w:val="single" w:color="auto" w:sz="4" w:space="0"/>
            </w:tcBorders>
            <w:vAlign w:val="center"/>
          </w:tcPr>
          <w:p w14:paraId="69F369D7">
            <w:pPr>
              <w:pStyle w:val="15"/>
              <w:shd w:val="clear"/>
              <w:spacing w:after="0"/>
              <w:ind w:left="0" w:leftChars="0" w:firstLine="482"/>
              <w:jc w:val="center"/>
              <w:rPr>
                <w:rFonts w:ascii="宋体"/>
                <w:b/>
                <w:bCs/>
                <w:color w:val="auto"/>
                <w:sz w:val="24"/>
                <w:szCs w:val="24"/>
                <w:highlight w:val="none"/>
              </w:rPr>
            </w:pPr>
            <w:r>
              <w:rPr>
                <w:rFonts w:hint="eastAsia" w:ascii="宋体"/>
                <w:b/>
                <w:bCs/>
                <w:color w:val="auto"/>
                <w:sz w:val="24"/>
                <w:szCs w:val="24"/>
                <w:highlight w:val="none"/>
              </w:rPr>
              <w:t>序号</w:t>
            </w:r>
          </w:p>
        </w:tc>
        <w:tc>
          <w:tcPr>
            <w:tcW w:w="5819" w:type="dxa"/>
            <w:tcBorders>
              <w:top w:val="single" w:color="auto" w:sz="4" w:space="0"/>
              <w:left w:val="single" w:color="auto" w:sz="4" w:space="0"/>
              <w:bottom w:val="single" w:color="auto" w:sz="4" w:space="0"/>
              <w:right w:val="single" w:color="auto" w:sz="4" w:space="0"/>
            </w:tcBorders>
            <w:vAlign w:val="center"/>
          </w:tcPr>
          <w:p w14:paraId="2C7EC551">
            <w:pPr>
              <w:pStyle w:val="15"/>
              <w:shd w:val="clear"/>
              <w:spacing w:after="0"/>
              <w:ind w:left="0" w:leftChars="0" w:firstLine="482"/>
              <w:jc w:val="center"/>
              <w:rPr>
                <w:rFonts w:ascii="宋体"/>
                <w:b/>
                <w:bCs/>
                <w:color w:val="auto"/>
                <w:sz w:val="24"/>
                <w:szCs w:val="24"/>
                <w:highlight w:val="none"/>
              </w:rPr>
            </w:pPr>
            <w:r>
              <w:rPr>
                <w:rFonts w:hint="eastAsia" w:ascii="宋体"/>
                <w:b/>
                <w:bCs/>
                <w:color w:val="auto"/>
                <w:sz w:val="24"/>
                <w:szCs w:val="24"/>
                <w:highlight w:val="none"/>
              </w:rPr>
              <w:t>评分标准</w:t>
            </w:r>
          </w:p>
        </w:tc>
        <w:tc>
          <w:tcPr>
            <w:tcW w:w="1627" w:type="dxa"/>
            <w:tcBorders>
              <w:top w:val="single" w:color="auto" w:sz="4" w:space="0"/>
              <w:left w:val="single" w:color="auto" w:sz="4" w:space="0"/>
              <w:bottom w:val="single" w:color="auto" w:sz="4" w:space="0"/>
              <w:right w:val="single" w:color="auto" w:sz="4" w:space="0"/>
            </w:tcBorders>
            <w:vAlign w:val="center"/>
          </w:tcPr>
          <w:p w14:paraId="1D8A0E93">
            <w:pPr>
              <w:pStyle w:val="15"/>
              <w:shd w:val="clear"/>
              <w:spacing w:after="0"/>
              <w:ind w:left="0" w:leftChars="0" w:firstLine="482"/>
              <w:jc w:val="center"/>
              <w:rPr>
                <w:rFonts w:ascii="宋体"/>
                <w:b/>
                <w:bCs/>
                <w:color w:val="auto"/>
                <w:sz w:val="24"/>
                <w:szCs w:val="24"/>
                <w:highlight w:val="none"/>
              </w:rPr>
            </w:pPr>
            <w:r>
              <w:rPr>
                <w:rFonts w:hint="eastAsia" w:ascii="宋体"/>
                <w:b/>
                <w:bCs/>
                <w:color w:val="auto"/>
                <w:sz w:val="24"/>
                <w:szCs w:val="24"/>
                <w:highlight w:val="none"/>
              </w:rPr>
              <w:t>页码</w:t>
            </w:r>
          </w:p>
        </w:tc>
      </w:tr>
      <w:tr w14:paraId="7431E6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top w:val="single" w:color="auto" w:sz="4" w:space="0"/>
              <w:left w:val="single" w:color="auto" w:sz="4" w:space="0"/>
              <w:bottom w:val="single" w:color="auto" w:sz="4" w:space="0"/>
              <w:right w:val="single" w:color="auto" w:sz="4" w:space="0"/>
            </w:tcBorders>
            <w:vAlign w:val="center"/>
          </w:tcPr>
          <w:p w14:paraId="554BBB59">
            <w:pPr>
              <w:widowControl/>
              <w:shd w:val="clear"/>
              <w:jc w:val="center"/>
              <w:rPr>
                <w:rFonts w:ascii="宋体" w:hAnsi="宋体"/>
                <w:color w:val="auto"/>
                <w:sz w:val="24"/>
                <w:highlight w:val="none"/>
              </w:rPr>
            </w:pPr>
            <w:r>
              <w:rPr>
                <w:rFonts w:hint="eastAsia" w:ascii="宋体" w:hAnsi="宋体"/>
                <w:color w:val="auto"/>
                <w:sz w:val="24"/>
                <w:highlight w:val="none"/>
              </w:rPr>
              <w:t>1</w:t>
            </w:r>
          </w:p>
        </w:tc>
        <w:tc>
          <w:tcPr>
            <w:tcW w:w="5819" w:type="dxa"/>
            <w:tcBorders>
              <w:top w:val="single" w:color="auto" w:sz="4" w:space="0"/>
              <w:left w:val="single" w:color="auto" w:sz="4" w:space="0"/>
              <w:right w:val="single" w:color="auto" w:sz="4" w:space="0"/>
            </w:tcBorders>
            <w:vAlign w:val="center"/>
          </w:tcPr>
          <w:p w14:paraId="7320BF46">
            <w:pPr>
              <w:shd w:val="clear"/>
              <w:jc w:val="center"/>
              <w:rPr>
                <w:rFonts w:ascii="宋体" w:hAnsi="宋体"/>
                <w:color w:val="auto"/>
                <w:sz w:val="24"/>
                <w:highlight w:val="none"/>
              </w:rPr>
            </w:pPr>
            <w:r>
              <w:rPr>
                <w:rFonts w:hint="eastAsia" w:ascii="宋体" w:hAnsi="宋体"/>
                <w:color w:val="auto"/>
                <w:sz w:val="24"/>
                <w:highlight w:val="none"/>
              </w:rPr>
              <w:t>（报价除外）</w:t>
            </w:r>
          </w:p>
        </w:tc>
        <w:tc>
          <w:tcPr>
            <w:tcW w:w="1627" w:type="dxa"/>
            <w:tcBorders>
              <w:top w:val="single" w:color="auto" w:sz="4" w:space="0"/>
              <w:left w:val="single" w:color="auto" w:sz="4" w:space="0"/>
              <w:right w:val="single" w:color="auto" w:sz="4" w:space="0"/>
            </w:tcBorders>
            <w:vAlign w:val="center"/>
          </w:tcPr>
          <w:p w14:paraId="3B82F89C">
            <w:pPr>
              <w:shd w:val="clear"/>
              <w:jc w:val="center"/>
              <w:rPr>
                <w:rFonts w:ascii="宋体" w:hAnsi="宋体"/>
                <w:bCs/>
                <w:color w:val="auto"/>
                <w:sz w:val="24"/>
                <w:highlight w:val="none"/>
              </w:rPr>
            </w:pPr>
          </w:p>
        </w:tc>
      </w:tr>
      <w:tr w14:paraId="6C57A2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top w:val="single" w:color="auto" w:sz="4" w:space="0"/>
              <w:left w:val="single" w:color="auto" w:sz="4" w:space="0"/>
              <w:bottom w:val="single" w:color="auto" w:sz="4" w:space="0"/>
              <w:right w:val="single" w:color="auto" w:sz="4" w:space="0"/>
            </w:tcBorders>
            <w:vAlign w:val="center"/>
          </w:tcPr>
          <w:p w14:paraId="5062CA2B">
            <w:pPr>
              <w:widowControl/>
              <w:shd w:val="clear"/>
              <w:jc w:val="center"/>
              <w:rPr>
                <w:rFonts w:ascii="宋体" w:hAnsi="宋体"/>
                <w:color w:val="auto"/>
                <w:sz w:val="24"/>
                <w:highlight w:val="none"/>
              </w:rPr>
            </w:pPr>
            <w:r>
              <w:rPr>
                <w:rFonts w:hint="eastAsia" w:ascii="宋体" w:hAnsi="宋体"/>
                <w:color w:val="auto"/>
                <w:sz w:val="24"/>
                <w:highlight w:val="none"/>
              </w:rPr>
              <w:t>2</w:t>
            </w:r>
          </w:p>
        </w:tc>
        <w:tc>
          <w:tcPr>
            <w:tcW w:w="5819" w:type="dxa"/>
            <w:tcBorders>
              <w:top w:val="single" w:color="auto" w:sz="4" w:space="0"/>
              <w:left w:val="single" w:color="auto" w:sz="4" w:space="0"/>
              <w:right w:val="single" w:color="auto" w:sz="4" w:space="0"/>
            </w:tcBorders>
            <w:vAlign w:val="center"/>
          </w:tcPr>
          <w:p w14:paraId="722D595C">
            <w:pPr>
              <w:widowControl/>
              <w:shd w:val="clear"/>
              <w:jc w:val="center"/>
              <w:rPr>
                <w:rFonts w:ascii="宋体" w:hAnsi="宋体" w:cs="宋体"/>
                <w:color w:val="auto"/>
                <w:kern w:val="0"/>
                <w:sz w:val="24"/>
                <w:highlight w:val="none"/>
              </w:rPr>
            </w:pPr>
          </w:p>
        </w:tc>
        <w:tc>
          <w:tcPr>
            <w:tcW w:w="1627" w:type="dxa"/>
            <w:tcBorders>
              <w:top w:val="single" w:color="auto" w:sz="4" w:space="0"/>
              <w:left w:val="single" w:color="auto" w:sz="4" w:space="0"/>
              <w:right w:val="single" w:color="auto" w:sz="4" w:space="0"/>
            </w:tcBorders>
            <w:vAlign w:val="center"/>
          </w:tcPr>
          <w:p w14:paraId="611EDF7E">
            <w:pPr>
              <w:shd w:val="clear"/>
              <w:jc w:val="center"/>
              <w:rPr>
                <w:rFonts w:ascii="宋体" w:hAnsi="宋体"/>
                <w:bCs/>
                <w:color w:val="auto"/>
                <w:sz w:val="24"/>
                <w:highlight w:val="none"/>
              </w:rPr>
            </w:pPr>
          </w:p>
        </w:tc>
      </w:tr>
      <w:tr w14:paraId="749403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left w:val="single" w:color="auto" w:sz="4" w:space="0"/>
              <w:bottom w:val="single" w:color="auto" w:sz="4" w:space="0"/>
              <w:right w:val="single" w:color="auto" w:sz="4" w:space="0"/>
            </w:tcBorders>
            <w:vAlign w:val="center"/>
          </w:tcPr>
          <w:p w14:paraId="2BAF2B3F">
            <w:pPr>
              <w:widowControl/>
              <w:shd w:val="clear"/>
              <w:rPr>
                <w:rFonts w:ascii="宋体" w:hAnsi="宋体"/>
                <w:color w:val="auto"/>
                <w:sz w:val="24"/>
                <w:highlight w:val="none"/>
              </w:rPr>
            </w:pPr>
          </w:p>
        </w:tc>
        <w:tc>
          <w:tcPr>
            <w:tcW w:w="5819" w:type="dxa"/>
            <w:tcBorders>
              <w:top w:val="single" w:color="auto" w:sz="4" w:space="0"/>
              <w:left w:val="single" w:color="auto" w:sz="4" w:space="0"/>
              <w:bottom w:val="single" w:color="auto" w:sz="4" w:space="0"/>
              <w:right w:val="single" w:color="auto" w:sz="4" w:space="0"/>
            </w:tcBorders>
            <w:vAlign w:val="center"/>
          </w:tcPr>
          <w:p w14:paraId="194E3FFD">
            <w:pPr>
              <w:shd w:val="clear"/>
              <w:ind w:left="55" w:leftChars="26"/>
              <w:rPr>
                <w:rFonts w:ascii="宋体" w:hAnsi="宋体" w:cs="宋体"/>
                <w:color w:val="auto"/>
                <w:kern w:val="0"/>
                <w:sz w:val="24"/>
                <w:highlight w:val="none"/>
              </w:rPr>
            </w:pPr>
          </w:p>
        </w:tc>
        <w:tc>
          <w:tcPr>
            <w:tcW w:w="1627" w:type="dxa"/>
            <w:tcBorders>
              <w:top w:val="single" w:color="auto" w:sz="4" w:space="0"/>
              <w:left w:val="single" w:color="auto" w:sz="4" w:space="0"/>
              <w:bottom w:val="single" w:color="auto" w:sz="4" w:space="0"/>
              <w:right w:val="single" w:color="auto" w:sz="4" w:space="0"/>
            </w:tcBorders>
            <w:vAlign w:val="center"/>
          </w:tcPr>
          <w:p w14:paraId="667EE473">
            <w:pPr>
              <w:shd w:val="clear"/>
              <w:jc w:val="center"/>
              <w:rPr>
                <w:rFonts w:ascii="宋体" w:hAnsi="宋体"/>
                <w:bCs/>
                <w:color w:val="auto"/>
                <w:sz w:val="24"/>
                <w:highlight w:val="none"/>
              </w:rPr>
            </w:pPr>
          </w:p>
        </w:tc>
      </w:tr>
      <w:tr w14:paraId="5E3992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top w:val="single" w:color="auto" w:sz="4" w:space="0"/>
              <w:left w:val="single" w:color="auto" w:sz="4" w:space="0"/>
              <w:bottom w:val="single" w:color="auto" w:sz="4" w:space="0"/>
              <w:right w:val="single" w:color="auto" w:sz="4" w:space="0"/>
            </w:tcBorders>
            <w:vAlign w:val="center"/>
          </w:tcPr>
          <w:p w14:paraId="12B3FBF3">
            <w:pPr>
              <w:widowControl/>
              <w:shd w:val="clear"/>
              <w:rPr>
                <w:rFonts w:ascii="宋体" w:hAnsi="宋体"/>
                <w:b/>
                <w:color w:val="auto"/>
                <w:sz w:val="24"/>
                <w:highlight w:val="none"/>
              </w:rPr>
            </w:pPr>
          </w:p>
        </w:tc>
        <w:tc>
          <w:tcPr>
            <w:tcW w:w="5819" w:type="dxa"/>
            <w:tcBorders>
              <w:top w:val="single" w:color="auto" w:sz="4" w:space="0"/>
              <w:left w:val="single" w:color="auto" w:sz="4" w:space="0"/>
              <w:bottom w:val="single" w:color="auto" w:sz="4" w:space="0"/>
              <w:right w:val="single" w:color="auto" w:sz="4" w:space="0"/>
            </w:tcBorders>
            <w:vAlign w:val="center"/>
          </w:tcPr>
          <w:p w14:paraId="6AFD2640">
            <w:pPr>
              <w:pStyle w:val="15"/>
              <w:shd w:val="clear"/>
              <w:ind w:firstLine="562"/>
              <w:rPr>
                <w:rFonts w:ascii="宋体"/>
                <w:b/>
                <w:color w:val="auto"/>
                <w:highlight w:val="none"/>
              </w:rPr>
            </w:pPr>
          </w:p>
        </w:tc>
        <w:tc>
          <w:tcPr>
            <w:tcW w:w="1627" w:type="dxa"/>
            <w:tcBorders>
              <w:top w:val="single" w:color="auto" w:sz="4" w:space="0"/>
              <w:left w:val="single" w:color="auto" w:sz="4" w:space="0"/>
              <w:bottom w:val="single" w:color="auto" w:sz="4" w:space="0"/>
              <w:right w:val="single" w:color="auto" w:sz="4" w:space="0"/>
            </w:tcBorders>
            <w:vAlign w:val="center"/>
          </w:tcPr>
          <w:p w14:paraId="66488033">
            <w:pPr>
              <w:pStyle w:val="15"/>
              <w:shd w:val="clear"/>
              <w:ind w:firstLine="562"/>
              <w:jc w:val="center"/>
              <w:rPr>
                <w:rFonts w:ascii="宋体"/>
                <w:b/>
                <w:color w:val="auto"/>
                <w:highlight w:val="none"/>
              </w:rPr>
            </w:pPr>
          </w:p>
        </w:tc>
      </w:tr>
      <w:tr w14:paraId="4F4F89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top w:val="single" w:color="auto" w:sz="4" w:space="0"/>
              <w:left w:val="single" w:color="auto" w:sz="4" w:space="0"/>
              <w:bottom w:val="single" w:color="auto" w:sz="4" w:space="0"/>
              <w:right w:val="single" w:color="auto" w:sz="4" w:space="0"/>
            </w:tcBorders>
            <w:vAlign w:val="center"/>
          </w:tcPr>
          <w:p w14:paraId="76E275C6">
            <w:pPr>
              <w:widowControl/>
              <w:shd w:val="clear"/>
              <w:rPr>
                <w:rFonts w:ascii="宋体" w:hAnsi="宋体"/>
                <w:color w:val="auto"/>
                <w:sz w:val="24"/>
                <w:highlight w:val="none"/>
              </w:rPr>
            </w:pPr>
          </w:p>
        </w:tc>
        <w:tc>
          <w:tcPr>
            <w:tcW w:w="5819" w:type="dxa"/>
            <w:tcBorders>
              <w:top w:val="single" w:color="auto" w:sz="4" w:space="0"/>
              <w:left w:val="single" w:color="auto" w:sz="4" w:space="0"/>
              <w:bottom w:val="single" w:color="auto" w:sz="4" w:space="0"/>
              <w:right w:val="single" w:color="auto" w:sz="4" w:space="0"/>
            </w:tcBorders>
            <w:vAlign w:val="center"/>
          </w:tcPr>
          <w:p w14:paraId="2E8E0B07">
            <w:pPr>
              <w:shd w:val="clear"/>
              <w:spacing w:line="320" w:lineRule="exact"/>
              <w:rPr>
                <w:rFonts w:ascii="宋体" w:hAnsi="宋体"/>
                <w:color w:val="auto"/>
                <w:kern w:val="0"/>
                <w:sz w:val="24"/>
                <w:highlight w:val="none"/>
              </w:rPr>
            </w:pPr>
          </w:p>
        </w:tc>
        <w:tc>
          <w:tcPr>
            <w:tcW w:w="1627" w:type="dxa"/>
            <w:tcBorders>
              <w:top w:val="single" w:color="auto" w:sz="4" w:space="0"/>
              <w:left w:val="single" w:color="auto" w:sz="4" w:space="0"/>
              <w:bottom w:val="single" w:color="auto" w:sz="4" w:space="0"/>
              <w:right w:val="single" w:color="auto" w:sz="4" w:space="0"/>
            </w:tcBorders>
            <w:vAlign w:val="center"/>
          </w:tcPr>
          <w:p w14:paraId="28512949">
            <w:pPr>
              <w:shd w:val="clear"/>
              <w:jc w:val="center"/>
              <w:rPr>
                <w:rFonts w:ascii="宋体" w:hAnsi="宋体"/>
                <w:bCs/>
                <w:color w:val="auto"/>
                <w:sz w:val="24"/>
                <w:highlight w:val="none"/>
              </w:rPr>
            </w:pPr>
          </w:p>
        </w:tc>
      </w:tr>
      <w:tr w14:paraId="2D166E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top w:val="single" w:color="auto" w:sz="4" w:space="0"/>
              <w:left w:val="single" w:color="auto" w:sz="4" w:space="0"/>
              <w:bottom w:val="single" w:color="auto" w:sz="4" w:space="0"/>
              <w:right w:val="single" w:color="auto" w:sz="4" w:space="0"/>
            </w:tcBorders>
            <w:vAlign w:val="center"/>
          </w:tcPr>
          <w:p w14:paraId="2D274D78">
            <w:pPr>
              <w:widowControl/>
              <w:shd w:val="clear"/>
              <w:rPr>
                <w:rFonts w:ascii="宋体" w:hAnsi="宋体"/>
                <w:color w:val="auto"/>
                <w:sz w:val="24"/>
                <w:highlight w:val="none"/>
              </w:rPr>
            </w:pPr>
          </w:p>
        </w:tc>
        <w:tc>
          <w:tcPr>
            <w:tcW w:w="5819" w:type="dxa"/>
            <w:tcBorders>
              <w:top w:val="single" w:color="auto" w:sz="4" w:space="0"/>
              <w:left w:val="single" w:color="auto" w:sz="4" w:space="0"/>
              <w:bottom w:val="single" w:color="auto" w:sz="4" w:space="0"/>
              <w:right w:val="single" w:color="auto" w:sz="4" w:space="0"/>
            </w:tcBorders>
            <w:vAlign w:val="center"/>
          </w:tcPr>
          <w:p w14:paraId="56131B16">
            <w:pPr>
              <w:shd w:val="clear"/>
              <w:rPr>
                <w:rFonts w:ascii="宋体" w:hAnsi="宋体"/>
                <w:color w:val="auto"/>
                <w:sz w:val="24"/>
                <w:highlight w:val="none"/>
              </w:rPr>
            </w:pPr>
          </w:p>
        </w:tc>
        <w:tc>
          <w:tcPr>
            <w:tcW w:w="1627" w:type="dxa"/>
            <w:tcBorders>
              <w:top w:val="single" w:color="auto" w:sz="4" w:space="0"/>
              <w:left w:val="single" w:color="auto" w:sz="4" w:space="0"/>
              <w:bottom w:val="single" w:color="auto" w:sz="4" w:space="0"/>
              <w:right w:val="single" w:color="auto" w:sz="4" w:space="0"/>
            </w:tcBorders>
            <w:vAlign w:val="center"/>
          </w:tcPr>
          <w:p w14:paraId="4D2B47A9">
            <w:pPr>
              <w:pStyle w:val="15"/>
              <w:shd w:val="clear"/>
              <w:ind w:firstLine="560"/>
              <w:jc w:val="center"/>
              <w:rPr>
                <w:rFonts w:ascii="宋体"/>
                <w:color w:val="auto"/>
                <w:highlight w:val="none"/>
              </w:rPr>
            </w:pPr>
          </w:p>
        </w:tc>
      </w:tr>
      <w:tr w14:paraId="345B40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top w:val="single" w:color="auto" w:sz="4" w:space="0"/>
              <w:left w:val="single" w:color="auto" w:sz="4" w:space="0"/>
              <w:bottom w:val="single" w:color="auto" w:sz="4" w:space="0"/>
              <w:right w:val="single" w:color="auto" w:sz="4" w:space="0"/>
            </w:tcBorders>
            <w:vAlign w:val="center"/>
          </w:tcPr>
          <w:p w14:paraId="44F51248">
            <w:pPr>
              <w:widowControl/>
              <w:shd w:val="clear"/>
              <w:rPr>
                <w:rFonts w:ascii="宋体" w:hAnsi="宋体"/>
                <w:color w:val="auto"/>
                <w:sz w:val="24"/>
                <w:highlight w:val="none"/>
              </w:rPr>
            </w:pPr>
          </w:p>
        </w:tc>
        <w:tc>
          <w:tcPr>
            <w:tcW w:w="5819" w:type="dxa"/>
            <w:tcBorders>
              <w:top w:val="single" w:color="auto" w:sz="4" w:space="0"/>
              <w:left w:val="single" w:color="auto" w:sz="4" w:space="0"/>
              <w:bottom w:val="single" w:color="auto" w:sz="4" w:space="0"/>
              <w:right w:val="single" w:color="auto" w:sz="4" w:space="0"/>
            </w:tcBorders>
            <w:vAlign w:val="center"/>
          </w:tcPr>
          <w:p w14:paraId="4BA05D70">
            <w:pPr>
              <w:shd w:val="clear"/>
              <w:rPr>
                <w:rFonts w:ascii="宋体" w:hAnsi="宋体"/>
                <w:color w:val="auto"/>
                <w:sz w:val="24"/>
                <w:highlight w:val="none"/>
              </w:rPr>
            </w:pPr>
          </w:p>
        </w:tc>
        <w:tc>
          <w:tcPr>
            <w:tcW w:w="1627" w:type="dxa"/>
            <w:tcBorders>
              <w:top w:val="single" w:color="auto" w:sz="4" w:space="0"/>
              <w:left w:val="single" w:color="auto" w:sz="4" w:space="0"/>
              <w:bottom w:val="single" w:color="auto" w:sz="4" w:space="0"/>
              <w:right w:val="single" w:color="auto" w:sz="4" w:space="0"/>
            </w:tcBorders>
            <w:vAlign w:val="center"/>
          </w:tcPr>
          <w:p w14:paraId="0FFDB1FA">
            <w:pPr>
              <w:pStyle w:val="15"/>
              <w:shd w:val="clear"/>
              <w:ind w:firstLine="560"/>
              <w:jc w:val="center"/>
              <w:rPr>
                <w:rFonts w:ascii="宋体"/>
                <w:color w:val="auto"/>
                <w:highlight w:val="none"/>
              </w:rPr>
            </w:pPr>
          </w:p>
        </w:tc>
      </w:tr>
      <w:tr w14:paraId="12CA64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left w:val="single" w:color="auto" w:sz="4" w:space="0"/>
              <w:bottom w:val="single" w:color="auto" w:sz="4" w:space="0"/>
              <w:right w:val="single" w:color="auto" w:sz="4" w:space="0"/>
            </w:tcBorders>
            <w:vAlign w:val="center"/>
          </w:tcPr>
          <w:p w14:paraId="24DB1A2F">
            <w:pPr>
              <w:widowControl/>
              <w:shd w:val="clear"/>
              <w:rPr>
                <w:rFonts w:ascii="宋体" w:hAnsi="宋体"/>
                <w:color w:val="auto"/>
                <w:sz w:val="24"/>
                <w:highlight w:val="none"/>
              </w:rPr>
            </w:pPr>
          </w:p>
        </w:tc>
        <w:tc>
          <w:tcPr>
            <w:tcW w:w="5819" w:type="dxa"/>
            <w:tcBorders>
              <w:top w:val="single" w:color="auto" w:sz="4" w:space="0"/>
              <w:left w:val="single" w:color="auto" w:sz="4" w:space="0"/>
              <w:bottom w:val="single" w:color="auto" w:sz="4" w:space="0"/>
              <w:right w:val="single" w:color="auto" w:sz="4" w:space="0"/>
            </w:tcBorders>
            <w:vAlign w:val="center"/>
          </w:tcPr>
          <w:p w14:paraId="1BA26A4E">
            <w:pPr>
              <w:pStyle w:val="15"/>
              <w:shd w:val="clear"/>
              <w:ind w:firstLine="560"/>
              <w:rPr>
                <w:rFonts w:ascii="宋体"/>
                <w:color w:val="auto"/>
                <w:highlight w:val="none"/>
              </w:rPr>
            </w:pPr>
          </w:p>
        </w:tc>
        <w:tc>
          <w:tcPr>
            <w:tcW w:w="1627" w:type="dxa"/>
            <w:tcBorders>
              <w:top w:val="single" w:color="auto" w:sz="4" w:space="0"/>
              <w:left w:val="single" w:color="auto" w:sz="4" w:space="0"/>
              <w:bottom w:val="single" w:color="auto" w:sz="4" w:space="0"/>
              <w:right w:val="single" w:color="auto" w:sz="4" w:space="0"/>
            </w:tcBorders>
            <w:vAlign w:val="center"/>
          </w:tcPr>
          <w:p w14:paraId="4B8162F5">
            <w:pPr>
              <w:widowControl/>
              <w:shd w:val="clear"/>
              <w:jc w:val="center"/>
              <w:rPr>
                <w:rFonts w:ascii="宋体" w:hAnsi="宋体"/>
                <w:b/>
                <w:color w:val="auto"/>
                <w:sz w:val="24"/>
                <w:highlight w:val="none"/>
              </w:rPr>
            </w:pPr>
          </w:p>
        </w:tc>
      </w:tr>
      <w:tr w14:paraId="6928E9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left w:val="single" w:color="auto" w:sz="4" w:space="0"/>
              <w:bottom w:val="single" w:color="auto" w:sz="4" w:space="0"/>
              <w:right w:val="single" w:color="auto" w:sz="4" w:space="0"/>
            </w:tcBorders>
            <w:vAlign w:val="center"/>
          </w:tcPr>
          <w:p w14:paraId="3B51FD36">
            <w:pPr>
              <w:widowControl/>
              <w:shd w:val="clear"/>
              <w:rPr>
                <w:rFonts w:ascii="宋体" w:hAnsi="宋体"/>
                <w:color w:val="auto"/>
                <w:sz w:val="24"/>
                <w:highlight w:val="none"/>
              </w:rPr>
            </w:pPr>
          </w:p>
        </w:tc>
        <w:tc>
          <w:tcPr>
            <w:tcW w:w="5819" w:type="dxa"/>
            <w:tcBorders>
              <w:top w:val="single" w:color="auto" w:sz="4" w:space="0"/>
              <w:left w:val="single" w:color="auto" w:sz="4" w:space="0"/>
              <w:bottom w:val="single" w:color="auto" w:sz="4" w:space="0"/>
              <w:right w:val="single" w:color="auto" w:sz="4" w:space="0"/>
            </w:tcBorders>
            <w:vAlign w:val="center"/>
          </w:tcPr>
          <w:p w14:paraId="68E93444">
            <w:pPr>
              <w:shd w:val="clear"/>
              <w:rPr>
                <w:rFonts w:ascii="宋体" w:hAnsi="宋体"/>
                <w:bCs/>
                <w:color w:val="auto"/>
                <w:sz w:val="24"/>
                <w:highlight w:val="none"/>
              </w:rPr>
            </w:pPr>
          </w:p>
        </w:tc>
        <w:tc>
          <w:tcPr>
            <w:tcW w:w="1627" w:type="dxa"/>
            <w:tcBorders>
              <w:top w:val="single" w:color="auto" w:sz="4" w:space="0"/>
              <w:left w:val="single" w:color="auto" w:sz="4" w:space="0"/>
              <w:bottom w:val="single" w:color="auto" w:sz="4" w:space="0"/>
              <w:right w:val="single" w:color="auto" w:sz="4" w:space="0"/>
            </w:tcBorders>
            <w:vAlign w:val="center"/>
          </w:tcPr>
          <w:p w14:paraId="3862101A">
            <w:pPr>
              <w:shd w:val="clear"/>
              <w:jc w:val="center"/>
              <w:rPr>
                <w:rFonts w:ascii="宋体" w:hAnsi="宋体"/>
                <w:bCs/>
                <w:color w:val="auto"/>
                <w:sz w:val="24"/>
                <w:highlight w:val="none"/>
              </w:rPr>
            </w:pPr>
          </w:p>
        </w:tc>
      </w:tr>
      <w:tr w14:paraId="479125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top w:val="single" w:color="auto" w:sz="4" w:space="0"/>
              <w:left w:val="single" w:color="auto" w:sz="4" w:space="0"/>
              <w:bottom w:val="single" w:color="auto" w:sz="4" w:space="0"/>
              <w:right w:val="single" w:color="auto" w:sz="4" w:space="0"/>
            </w:tcBorders>
            <w:vAlign w:val="center"/>
          </w:tcPr>
          <w:p w14:paraId="570D11ED">
            <w:pPr>
              <w:widowControl/>
              <w:shd w:val="clear"/>
              <w:rPr>
                <w:rFonts w:ascii="宋体" w:hAnsi="宋体"/>
                <w:color w:val="auto"/>
                <w:sz w:val="24"/>
                <w:highlight w:val="none"/>
              </w:rPr>
            </w:pPr>
          </w:p>
        </w:tc>
        <w:tc>
          <w:tcPr>
            <w:tcW w:w="5819" w:type="dxa"/>
            <w:tcBorders>
              <w:top w:val="single" w:color="auto" w:sz="4" w:space="0"/>
              <w:left w:val="single" w:color="auto" w:sz="4" w:space="0"/>
              <w:bottom w:val="single" w:color="auto" w:sz="4" w:space="0"/>
              <w:right w:val="single" w:color="auto" w:sz="4" w:space="0"/>
            </w:tcBorders>
            <w:vAlign w:val="center"/>
          </w:tcPr>
          <w:p w14:paraId="497C29E3">
            <w:pPr>
              <w:shd w:val="clear"/>
              <w:rPr>
                <w:rFonts w:ascii="宋体" w:hAnsi="宋体"/>
                <w:bCs/>
                <w:color w:val="auto"/>
                <w:sz w:val="24"/>
                <w:highlight w:val="none"/>
              </w:rPr>
            </w:pPr>
          </w:p>
        </w:tc>
        <w:tc>
          <w:tcPr>
            <w:tcW w:w="1627" w:type="dxa"/>
            <w:tcBorders>
              <w:top w:val="single" w:color="auto" w:sz="4" w:space="0"/>
              <w:left w:val="single" w:color="auto" w:sz="4" w:space="0"/>
              <w:bottom w:val="single" w:color="auto" w:sz="4" w:space="0"/>
              <w:right w:val="single" w:color="auto" w:sz="4" w:space="0"/>
            </w:tcBorders>
            <w:vAlign w:val="center"/>
          </w:tcPr>
          <w:p w14:paraId="699823AD">
            <w:pPr>
              <w:shd w:val="clear"/>
              <w:jc w:val="center"/>
              <w:rPr>
                <w:rFonts w:ascii="宋体" w:hAnsi="宋体"/>
                <w:bCs/>
                <w:color w:val="auto"/>
                <w:sz w:val="24"/>
                <w:highlight w:val="none"/>
              </w:rPr>
            </w:pPr>
          </w:p>
        </w:tc>
      </w:tr>
      <w:tr w14:paraId="41CB35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top w:val="single" w:color="auto" w:sz="4" w:space="0"/>
              <w:left w:val="single" w:color="auto" w:sz="4" w:space="0"/>
              <w:bottom w:val="single" w:color="auto" w:sz="4" w:space="0"/>
              <w:right w:val="single" w:color="auto" w:sz="4" w:space="0"/>
            </w:tcBorders>
            <w:vAlign w:val="center"/>
          </w:tcPr>
          <w:p w14:paraId="213BFE45">
            <w:pPr>
              <w:widowControl/>
              <w:shd w:val="clear"/>
              <w:rPr>
                <w:rFonts w:ascii="宋体" w:hAnsi="宋体"/>
                <w:color w:val="auto"/>
                <w:sz w:val="24"/>
                <w:highlight w:val="none"/>
              </w:rPr>
            </w:pPr>
          </w:p>
        </w:tc>
        <w:tc>
          <w:tcPr>
            <w:tcW w:w="5819" w:type="dxa"/>
            <w:tcBorders>
              <w:top w:val="single" w:color="auto" w:sz="4" w:space="0"/>
              <w:left w:val="single" w:color="auto" w:sz="4" w:space="0"/>
              <w:bottom w:val="single" w:color="auto" w:sz="4" w:space="0"/>
              <w:right w:val="single" w:color="auto" w:sz="4" w:space="0"/>
            </w:tcBorders>
            <w:vAlign w:val="center"/>
          </w:tcPr>
          <w:p w14:paraId="3900167B">
            <w:pPr>
              <w:shd w:val="clear"/>
              <w:rPr>
                <w:rFonts w:ascii="宋体" w:hAnsi="宋体"/>
                <w:bCs/>
                <w:color w:val="auto"/>
                <w:sz w:val="24"/>
                <w:highlight w:val="none"/>
              </w:rPr>
            </w:pPr>
          </w:p>
        </w:tc>
        <w:tc>
          <w:tcPr>
            <w:tcW w:w="1627" w:type="dxa"/>
            <w:tcBorders>
              <w:top w:val="single" w:color="auto" w:sz="4" w:space="0"/>
              <w:left w:val="single" w:color="auto" w:sz="4" w:space="0"/>
              <w:right w:val="single" w:color="auto" w:sz="4" w:space="0"/>
            </w:tcBorders>
            <w:vAlign w:val="center"/>
          </w:tcPr>
          <w:p w14:paraId="6B0FD06A">
            <w:pPr>
              <w:shd w:val="clear"/>
              <w:jc w:val="center"/>
              <w:rPr>
                <w:rFonts w:ascii="宋体" w:hAnsi="宋体"/>
                <w:bCs/>
                <w:color w:val="auto"/>
                <w:sz w:val="24"/>
                <w:highlight w:val="none"/>
              </w:rPr>
            </w:pPr>
          </w:p>
        </w:tc>
      </w:tr>
    </w:tbl>
    <w:p w14:paraId="7AB0F732">
      <w:pPr>
        <w:shd w:val="clear"/>
        <w:snapToGrid w:val="0"/>
        <w:spacing w:line="360" w:lineRule="auto"/>
        <w:outlineLvl w:val="0"/>
        <w:rPr>
          <w:rFonts w:cs="仿宋" w:asciiTheme="majorEastAsia" w:hAnsiTheme="majorEastAsia" w:eastAsiaTheme="majorEastAsia"/>
          <w:b/>
          <w:color w:val="auto"/>
          <w:kern w:val="0"/>
          <w:sz w:val="32"/>
          <w:szCs w:val="32"/>
          <w:highlight w:val="none"/>
        </w:rPr>
      </w:pPr>
      <w:r>
        <w:rPr>
          <w:rFonts w:cs="仿宋" w:asciiTheme="majorEastAsia" w:hAnsiTheme="majorEastAsia" w:eastAsiaTheme="majorEastAsia"/>
          <w:b/>
          <w:color w:val="auto"/>
          <w:kern w:val="0"/>
          <w:sz w:val="32"/>
          <w:szCs w:val="32"/>
          <w:highlight w:val="none"/>
        </w:rPr>
        <w:br w:type="page"/>
      </w:r>
    </w:p>
    <w:p w14:paraId="4E9AA65C">
      <w:pPr>
        <w:numPr>
          <w:ilvl w:val="0"/>
          <w:numId w:val="3"/>
        </w:numPr>
        <w:shd w:val="clear"/>
        <w:snapToGrid w:val="0"/>
        <w:spacing w:line="360" w:lineRule="auto"/>
        <w:jc w:val="center"/>
        <w:outlineLvl w:val="0"/>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t>符合性自查表</w:t>
      </w:r>
    </w:p>
    <w:tbl>
      <w:tblPr>
        <w:tblStyle w:val="18"/>
        <w:tblW w:w="10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8"/>
        <w:gridCol w:w="4103"/>
        <w:gridCol w:w="2518"/>
        <w:gridCol w:w="1185"/>
        <w:gridCol w:w="1785"/>
      </w:tblGrid>
      <w:tr w14:paraId="725CE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jc w:val="center"/>
        </w:trPr>
        <w:tc>
          <w:tcPr>
            <w:tcW w:w="608" w:type="dxa"/>
            <w:vAlign w:val="center"/>
          </w:tcPr>
          <w:p w14:paraId="060F0216">
            <w:pPr>
              <w:shd w:val="clear"/>
              <w:snapToGrid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序号</w:t>
            </w:r>
          </w:p>
        </w:tc>
        <w:tc>
          <w:tcPr>
            <w:tcW w:w="4103" w:type="dxa"/>
            <w:vAlign w:val="center"/>
          </w:tcPr>
          <w:p w14:paraId="18ABE4E4">
            <w:pPr>
              <w:shd w:val="clear"/>
              <w:snapToGrid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实质性要求</w:t>
            </w:r>
          </w:p>
        </w:tc>
        <w:tc>
          <w:tcPr>
            <w:tcW w:w="2518" w:type="dxa"/>
            <w:vAlign w:val="center"/>
          </w:tcPr>
          <w:p w14:paraId="2364DC1A">
            <w:pPr>
              <w:shd w:val="clear"/>
              <w:snapToGrid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需要提供的符合性审查资料</w:t>
            </w:r>
          </w:p>
        </w:tc>
        <w:tc>
          <w:tcPr>
            <w:tcW w:w="1185" w:type="dxa"/>
            <w:vAlign w:val="center"/>
          </w:tcPr>
          <w:p w14:paraId="51966C85">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自查结论</w:t>
            </w:r>
          </w:p>
        </w:tc>
        <w:tc>
          <w:tcPr>
            <w:tcW w:w="1785" w:type="dxa"/>
            <w:vAlign w:val="center"/>
          </w:tcPr>
          <w:p w14:paraId="3FCAE859">
            <w:pPr>
              <w:shd w:val="clear"/>
              <w:snapToGrid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投标文件中的</w:t>
            </w:r>
          </w:p>
          <w:p w14:paraId="06B1AB8B">
            <w:pPr>
              <w:shd w:val="clear"/>
              <w:snapToGrid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页码位置</w:t>
            </w:r>
          </w:p>
        </w:tc>
      </w:tr>
      <w:tr w14:paraId="7912E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608" w:type="dxa"/>
            <w:vAlign w:val="center"/>
          </w:tcPr>
          <w:p w14:paraId="5D35ED98">
            <w:pPr>
              <w:shd w:val="clear"/>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w:t>
            </w:r>
          </w:p>
        </w:tc>
        <w:tc>
          <w:tcPr>
            <w:tcW w:w="4103" w:type="dxa"/>
            <w:vAlign w:val="center"/>
          </w:tcPr>
          <w:p w14:paraId="7A0D8862">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投标文件按照招标文件要求签署、盖章。</w:t>
            </w:r>
          </w:p>
        </w:tc>
        <w:tc>
          <w:tcPr>
            <w:tcW w:w="2518" w:type="dxa"/>
            <w:vAlign w:val="center"/>
          </w:tcPr>
          <w:p w14:paraId="14D1A97D">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需要使用电子签名或者签字盖章的投标文件的组成部分</w:t>
            </w:r>
          </w:p>
        </w:tc>
        <w:tc>
          <w:tcPr>
            <w:tcW w:w="1185" w:type="dxa"/>
            <w:vAlign w:val="center"/>
          </w:tcPr>
          <w:p w14:paraId="19CD6C29">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□通过 </w:t>
            </w:r>
          </w:p>
          <w:p w14:paraId="1E240459">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□不通过</w:t>
            </w:r>
          </w:p>
        </w:tc>
        <w:tc>
          <w:tcPr>
            <w:tcW w:w="1785" w:type="dxa"/>
            <w:vAlign w:val="center"/>
          </w:tcPr>
          <w:p w14:paraId="765DE5F7">
            <w:pPr>
              <w:shd w:val="clear"/>
              <w:spacing w:line="360" w:lineRule="auto"/>
              <w:rPr>
                <w:rFonts w:cs="仿宋" w:asciiTheme="majorEastAsia" w:hAnsiTheme="majorEastAsia" w:eastAsiaTheme="majorEastAsia"/>
                <w:color w:val="auto"/>
                <w:sz w:val="24"/>
                <w:highlight w:val="none"/>
              </w:rPr>
            </w:pPr>
          </w:p>
          <w:p w14:paraId="7306BD02">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见投标文件</w:t>
            </w:r>
          </w:p>
          <w:p w14:paraId="68A585E3">
            <w:pPr>
              <w:shd w:val="clear"/>
              <w:spacing w:line="360" w:lineRule="auto"/>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sz w:val="24"/>
                <w:highlight w:val="none"/>
              </w:rPr>
              <w:t>第</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页</w:t>
            </w:r>
          </w:p>
        </w:tc>
      </w:tr>
      <w:tr w14:paraId="74C83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608" w:type="dxa"/>
            <w:vAlign w:val="center"/>
          </w:tcPr>
          <w:p w14:paraId="4C0364E7">
            <w:pPr>
              <w:shd w:val="clear"/>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w:t>
            </w:r>
          </w:p>
        </w:tc>
        <w:tc>
          <w:tcPr>
            <w:tcW w:w="4103" w:type="dxa"/>
            <w:vAlign w:val="center"/>
          </w:tcPr>
          <w:p w14:paraId="7306E21F">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投标文件中承诺的投标有效期不少于招标文件中载明的投标有效期。</w:t>
            </w:r>
          </w:p>
        </w:tc>
        <w:tc>
          <w:tcPr>
            <w:tcW w:w="2518" w:type="dxa"/>
            <w:vAlign w:val="center"/>
          </w:tcPr>
          <w:p w14:paraId="50A83208">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投标函</w:t>
            </w:r>
          </w:p>
        </w:tc>
        <w:tc>
          <w:tcPr>
            <w:tcW w:w="1185" w:type="dxa"/>
            <w:vAlign w:val="center"/>
          </w:tcPr>
          <w:p w14:paraId="3BC2CB59">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□通过 </w:t>
            </w:r>
          </w:p>
          <w:p w14:paraId="5C9298E6">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□不通过</w:t>
            </w:r>
          </w:p>
        </w:tc>
        <w:tc>
          <w:tcPr>
            <w:tcW w:w="1785" w:type="dxa"/>
            <w:vAlign w:val="center"/>
          </w:tcPr>
          <w:p w14:paraId="53421D02">
            <w:pPr>
              <w:shd w:val="clear"/>
              <w:spacing w:line="360" w:lineRule="auto"/>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sz w:val="24"/>
                <w:highlight w:val="none"/>
              </w:rPr>
              <w:t>见投标文件第</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页</w:t>
            </w:r>
          </w:p>
        </w:tc>
      </w:tr>
      <w:tr w14:paraId="2EE30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1" w:hRule="atLeast"/>
          <w:jc w:val="center"/>
        </w:trPr>
        <w:tc>
          <w:tcPr>
            <w:tcW w:w="608" w:type="dxa"/>
            <w:vAlign w:val="center"/>
          </w:tcPr>
          <w:p w14:paraId="573CF009">
            <w:pPr>
              <w:shd w:val="clear"/>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w:t>
            </w:r>
          </w:p>
        </w:tc>
        <w:tc>
          <w:tcPr>
            <w:tcW w:w="4103" w:type="dxa"/>
            <w:vAlign w:val="center"/>
          </w:tcPr>
          <w:p w14:paraId="1BF551A7">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投标文件满足招标文件的其它实质性要求。</w:t>
            </w:r>
          </w:p>
        </w:tc>
        <w:tc>
          <w:tcPr>
            <w:tcW w:w="2518" w:type="dxa"/>
            <w:vAlign w:val="center"/>
          </w:tcPr>
          <w:p w14:paraId="5EDBBE02">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kern w:val="0"/>
                <w:sz w:val="24"/>
                <w:highlight w:val="none"/>
              </w:rPr>
              <w:t>招标文件其它实质性要求相应的材料（“▲” 系指实质性要求条款，招标文件无其它实质性要求的，无需提供）</w:t>
            </w:r>
          </w:p>
        </w:tc>
        <w:tc>
          <w:tcPr>
            <w:tcW w:w="1185" w:type="dxa"/>
            <w:vAlign w:val="center"/>
          </w:tcPr>
          <w:p w14:paraId="2B4CBFC2">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□通过 </w:t>
            </w:r>
          </w:p>
          <w:p w14:paraId="4992087A">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□不通过</w:t>
            </w:r>
          </w:p>
        </w:tc>
        <w:tc>
          <w:tcPr>
            <w:tcW w:w="1785" w:type="dxa"/>
            <w:vAlign w:val="center"/>
          </w:tcPr>
          <w:p w14:paraId="4E6074A6">
            <w:pPr>
              <w:shd w:val="clear"/>
              <w:spacing w:line="360" w:lineRule="auto"/>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sz w:val="24"/>
                <w:highlight w:val="none"/>
              </w:rPr>
              <w:t>见投标文件第</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页</w:t>
            </w:r>
          </w:p>
        </w:tc>
      </w:tr>
      <w:tr w14:paraId="4CE42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608" w:type="dxa"/>
            <w:vAlign w:val="center"/>
          </w:tcPr>
          <w:p w14:paraId="5F4C941D">
            <w:pPr>
              <w:shd w:val="clear"/>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w:t>
            </w:r>
          </w:p>
        </w:tc>
        <w:tc>
          <w:tcPr>
            <w:tcW w:w="4103" w:type="dxa"/>
            <w:vAlign w:val="center"/>
          </w:tcPr>
          <w:p w14:paraId="35EA6090">
            <w:pPr>
              <w:shd w:val="clear"/>
              <w:snapToGrid w:val="0"/>
              <w:spacing w:line="360" w:lineRule="auto"/>
              <w:jc w:val="left"/>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投标文件没有招标文件中规定的其它无效投标条款的。</w:t>
            </w:r>
          </w:p>
        </w:tc>
        <w:tc>
          <w:tcPr>
            <w:tcW w:w="2518" w:type="dxa"/>
            <w:vAlign w:val="center"/>
          </w:tcPr>
          <w:p w14:paraId="184A8596">
            <w:pPr>
              <w:shd w:val="clear"/>
              <w:spacing w:line="360" w:lineRule="auto"/>
              <w:rPr>
                <w:rFonts w:cs="仿宋" w:asciiTheme="majorEastAsia" w:hAnsiTheme="majorEastAsia" w:eastAsiaTheme="majorEastAsia"/>
                <w:color w:val="auto"/>
                <w:kern w:val="0"/>
                <w:sz w:val="24"/>
                <w:highlight w:val="none"/>
              </w:rPr>
            </w:pPr>
          </w:p>
        </w:tc>
        <w:tc>
          <w:tcPr>
            <w:tcW w:w="1185" w:type="dxa"/>
            <w:vAlign w:val="center"/>
          </w:tcPr>
          <w:p w14:paraId="09D42F69">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□通过 </w:t>
            </w:r>
          </w:p>
          <w:p w14:paraId="77752EA3">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□不通过</w:t>
            </w:r>
          </w:p>
        </w:tc>
        <w:tc>
          <w:tcPr>
            <w:tcW w:w="1785" w:type="dxa"/>
            <w:vAlign w:val="center"/>
          </w:tcPr>
          <w:p w14:paraId="1E25DC3E">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见投标文件第</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页</w:t>
            </w:r>
          </w:p>
        </w:tc>
      </w:tr>
      <w:tr w14:paraId="1408C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608" w:type="dxa"/>
            <w:vAlign w:val="center"/>
          </w:tcPr>
          <w:p w14:paraId="7C92B77D">
            <w:pPr>
              <w:shd w:val="clear"/>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w:t>
            </w:r>
          </w:p>
        </w:tc>
        <w:tc>
          <w:tcPr>
            <w:tcW w:w="4103" w:type="dxa"/>
            <w:vAlign w:val="center"/>
          </w:tcPr>
          <w:p w14:paraId="5645BBCD">
            <w:pPr>
              <w:shd w:val="clear"/>
              <w:snapToGrid w:val="0"/>
              <w:spacing w:line="360" w:lineRule="auto"/>
              <w:jc w:val="left"/>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按有关法律、法规、规章不属于投标无效的。</w:t>
            </w:r>
          </w:p>
        </w:tc>
        <w:tc>
          <w:tcPr>
            <w:tcW w:w="2518" w:type="dxa"/>
            <w:vAlign w:val="center"/>
          </w:tcPr>
          <w:p w14:paraId="3672E4D0">
            <w:pPr>
              <w:shd w:val="clear"/>
              <w:spacing w:line="360" w:lineRule="auto"/>
              <w:rPr>
                <w:rFonts w:cs="仿宋" w:asciiTheme="majorEastAsia" w:hAnsiTheme="majorEastAsia" w:eastAsiaTheme="majorEastAsia"/>
                <w:color w:val="auto"/>
                <w:kern w:val="0"/>
                <w:sz w:val="24"/>
                <w:highlight w:val="none"/>
              </w:rPr>
            </w:pPr>
          </w:p>
        </w:tc>
        <w:tc>
          <w:tcPr>
            <w:tcW w:w="1185" w:type="dxa"/>
            <w:vAlign w:val="center"/>
          </w:tcPr>
          <w:p w14:paraId="368A13DE">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□通过 </w:t>
            </w:r>
          </w:p>
          <w:p w14:paraId="3B790979">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□不通过</w:t>
            </w:r>
          </w:p>
        </w:tc>
        <w:tc>
          <w:tcPr>
            <w:tcW w:w="1785" w:type="dxa"/>
            <w:vAlign w:val="center"/>
          </w:tcPr>
          <w:p w14:paraId="58075347">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见投标文件第</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页</w:t>
            </w:r>
          </w:p>
        </w:tc>
      </w:tr>
      <w:tr w14:paraId="70CD1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608" w:type="dxa"/>
            <w:vAlign w:val="center"/>
          </w:tcPr>
          <w:p w14:paraId="07F25BC4">
            <w:pPr>
              <w:shd w:val="clear"/>
              <w:spacing w:line="360" w:lineRule="auto"/>
              <w:jc w:val="center"/>
              <w:rPr>
                <w:rFonts w:cs="仿宋" w:asciiTheme="majorEastAsia" w:hAnsiTheme="majorEastAsia" w:eastAsiaTheme="majorEastAsia"/>
                <w:color w:val="auto"/>
                <w:sz w:val="24"/>
                <w:highlight w:val="none"/>
              </w:rPr>
            </w:pPr>
          </w:p>
        </w:tc>
        <w:tc>
          <w:tcPr>
            <w:tcW w:w="4103" w:type="dxa"/>
            <w:vAlign w:val="center"/>
          </w:tcPr>
          <w:p w14:paraId="09E7744A">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w:t>
            </w:r>
          </w:p>
        </w:tc>
        <w:tc>
          <w:tcPr>
            <w:tcW w:w="2518" w:type="dxa"/>
            <w:vAlign w:val="center"/>
          </w:tcPr>
          <w:p w14:paraId="4BB7A340">
            <w:pPr>
              <w:shd w:val="clear"/>
              <w:spacing w:line="360" w:lineRule="auto"/>
              <w:rPr>
                <w:rFonts w:cs="仿宋" w:asciiTheme="majorEastAsia" w:hAnsiTheme="majorEastAsia" w:eastAsiaTheme="majorEastAsia"/>
                <w:color w:val="auto"/>
                <w:kern w:val="0"/>
                <w:sz w:val="24"/>
                <w:highlight w:val="none"/>
              </w:rPr>
            </w:pPr>
          </w:p>
        </w:tc>
        <w:tc>
          <w:tcPr>
            <w:tcW w:w="1185" w:type="dxa"/>
          </w:tcPr>
          <w:p w14:paraId="1F9C8627">
            <w:pPr>
              <w:shd w:val="clear"/>
              <w:spacing w:line="360" w:lineRule="auto"/>
              <w:rPr>
                <w:rFonts w:cs="仿宋" w:asciiTheme="majorEastAsia" w:hAnsiTheme="majorEastAsia" w:eastAsiaTheme="majorEastAsia"/>
                <w:color w:val="auto"/>
                <w:sz w:val="24"/>
                <w:highlight w:val="none"/>
              </w:rPr>
            </w:pPr>
          </w:p>
        </w:tc>
        <w:tc>
          <w:tcPr>
            <w:tcW w:w="1785" w:type="dxa"/>
            <w:vAlign w:val="center"/>
          </w:tcPr>
          <w:p w14:paraId="34EF3AC8">
            <w:pPr>
              <w:shd w:val="clear"/>
              <w:spacing w:line="360" w:lineRule="auto"/>
              <w:rPr>
                <w:rFonts w:cs="仿宋" w:asciiTheme="majorEastAsia" w:hAnsiTheme="majorEastAsia" w:eastAsiaTheme="majorEastAsia"/>
                <w:color w:val="auto"/>
                <w:sz w:val="24"/>
                <w:highlight w:val="none"/>
              </w:rPr>
            </w:pPr>
          </w:p>
        </w:tc>
      </w:tr>
    </w:tbl>
    <w:p w14:paraId="325EF9AC">
      <w:pPr>
        <w:shd w:val="clear"/>
        <w:snapToGrid w:val="0"/>
        <w:spacing w:line="360" w:lineRule="auto"/>
        <w:jc w:val="left"/>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color w:val="auto"/>
          <w:sz w:val="24"/>
          <w:highlight w:val="none"/>
        </w:rPr>
        <w:t xml:space="preserve">备注：投标人自查表将作为投标投标人有效性审查的重要内容之一，投标投标人必须严格按照其内容及序列要求在投标文件中对应如实提供，对资格性证明文件的任何缺漏和不符合项将会直接导致投标无效！ </w:t>
      </w:r>
    </w:p>
    <w:p w14:paraId="39D6A773">
      <w:pPr>
        <w:numPr>
          <w:ilvl w:val="0"/>
          <w:numId w:val="3"/>
        </w:numPr>
        <w:shd w:val="clear"/>
        <w:snapToGrid w:val="0"/>
        <w:spacing w:line="360" w:lineRule="auto"/>
        <w:jc w:val="center"/>
        <w:outlineLvl w:val="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color w:val="auto"/>
          <w:kern w:val="0"/>
          <w:sz w:val="32"/>
          <w:szCs w:val="32"/>
          <w:highlight w:val="none"/>
        </w:rPr>
        <w:br w:type="page"/>
      </w:r>
      <w:r>
        <w:rPr>
          <w:rFonts w:hint="eastAsia" w:cs="仿宋" w:asciiTheme="majorEastAsia" w:hAnsiTheme="majorEastAsia" w:eastAsiaTheme="majorEastAsia"/>
          <w:b/>
          <w:color w:val="auto"/>
          <w:kern w:val="0"/>
          <w:sz w:val="32"/>
          <w:szCs w:val="32"/>
          <w:highlight w:val="none"/>
        </w:rPr>
        <w:t>投标</w:t>
      </w:r>
      <w:r>
        <w:rPr>
          <w:rFonts w:hint="eastAsia" w:cs="仿宋" w:asciiTheme="majorEastAsia" w:hAnsiTheme="majorEastAsia" w:eastAsiaTheme="majorEastAsia"/>
          <w:b/>
          <w:color w:val="auto"/>
          <w:sz w:val="32"/>
          <w:szCs w:val="32"/>
          <w:highlight w:val="none"/>
        </w:rPr>
        <w:t>函</w:t>
      </w:r>
    </w:p>
    <w:p w14:paraId="6BF93410">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（采购人）、（采购代理机构）：</w:t>
      </w:r>
    </w:p>
    <w:p w14:paraId="1B5C887B">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我方参加你方组织的（项目名称）【项目编号：     】招标的有关活动，并对此项目进行投标。为此：</w:t>
      </w:r>
    </w:p>
    <w:p w14:paraId="73F0BEC3">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1、我方承诺投标有效期从提交投标文件的截止之日起</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天（不少于90天）</w:t>
      </w:r>
      <w:r>
        <w:rPr>
          <w:rFonts w:hint="eastAsia" w:cs="仿宋" w:asciiTheme="majorEastAsia" w:hAnsiTheme="majorEastAsia" w:eastAsiaTheme="majorEastAsia"/>
          <w:color w:val="auto"/>
          <w:highlight w:val="none"/>
        </w:rPr>
        <w:t>，</w:t>
      </w:r>
      <w:r>
        <w:rPr>
          <w:rFonts w:hint="eastAsia" w:cs="仿宋" w:asciiTheme="majorEastAsia" w:hAnsiTheme="majorEastAsia" w:eastAsiaTheme="majorEastAsia"/>
          <w:color w:val="auto"/>
          <w:sz w:val="24"/>
          <w:highlight w:val="none"/>
        </w:rPr>
        <w:t>本投标文件在投标有效期满之前均具有约束力。</w:t>
      </w:r>
    </w:p>
    <w:p w14:paraId="7B629833">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2、我方的投标文件包括以下内容：</w:t>
      </w:r>
    </w:p>
    <w:p w14:paraId="641581BC">
      <w:pPr>
        <w:shd w:val="clear"/>
        <w:snapToGrid w:val="0"/>
        <w:spacing w:line="360" w:lineRule="auto"/>
        <w:ind w:left="210" w:leftChars="1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2.1资格文件：</w:t>
      </w:r>
    </w:p>
    <w:p w14:paraId="6D9301E4">
      <w:pPr>
        <w:shd w:val="clear"/>
        <w:snapToGrid w:val="0"/>
        <w:spacing w:line="360" w:lineRule="auto"/>
        <w:ind w:left="420" w:leftChars="2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2.1.1有效的企业法人营业执照（或事业法人登记证）、其他组织（个体工商户）的营业执照或者民办非企业单位登记证书；</w:t>
      </w:r>
    </w:p>
    <w:p w14:paraId="3E64D427">
      <w:pPr>
        <w:shd w:val="clear"/>
        <w:snapToGrid w:val="0"/>
        <w:spacing w:line="360" w:lineRule="auto"/>
        <w:ind w:left="420" w:leftChars="2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2.1.2符合参加政府采购活动应当具备的一般条件的承诺函；</w:t>
      </w:r>
    </w:p>
    <w:p w14:paraId="277EA36F">
      <w:pPr>
        <w:shd w:val="clear"/>
        <w:snapToGrid w:val="0"/>
        <w:spacing w:line="360" w:lineRule="auto"/>
        <w:ind w:firstLine="960" w:firstLineChars="4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2.1.3落实政府采购政策需满足的资格要求（如果有）；</w:t>
      </w:r>
    </w:p>
    <w:p w14:paraId="0B4852FA">
      <w:pPr>
        <w:shd w:val="clear"/>
        <w:snapToGrid w:val="0"/>
        <w:spacing w:line="360" w:lineRule="auto"/>
        <w:ind w:firstLine="960" w:firstLineChars="4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2.1.4联合协议（如果有）；</w:t>
      </w:r>
    </w:p>
    <w:p w14:paraId="46EBB4E2">
      <w:pPr>
        <w:shd w:val="clear"/>
        <w:snapToGrid w:val="0"/>
        <w:spacing w:line="360" w:lineRule="auto"/>
        <w:ind w:firstLine="960" w:firstLineChars="4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2.1.5分包意向协议（如果有）；</w:t>
      </w:r>
    </w:p>
    <w:p w14:paraId="6E2E7A49">
      <w:pPr>
        <w:shd w:val="clear"/>
        <w:snapToGrid w:val="0"/>
        <w:spacing w:line="360" w:lineRule="auto"/>
        <w:ind w:firstLine="960" w:firstLineChars="40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sz w:val="24"/>
          <w:highlight w:val="none"/>
        </w:rPr>
        <w:t>2.1.6本项目的特定资格要求（如果有）。</w:t>
      </w:r>
    </w:p>
    <w:p w14:paraId="13E76560">
      <w:pPr>
        <w:shd w:val="clear"/>
        <w:snapToGrid w:val="0"/>
        <w:spacing w:line="360" w:lineRule="auto"/>
        <w:ind w:left="210" w:leftChars="100" w:firstLine="480" w:firstLineChars="200"/>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2</w:t>
      </w:r>
      <w:r>
        <w:rPr>
          <w:rFonts w:hint="eastAsia" w:cs="仿宋" w:asciiTheme="majorEastAsia" w:hAnsiTheme="majorEastAsia" w:eastAsiaTheme="majorEastAsia"/>
          <w:color w:val="auto"/>
          <w:sz w:val="24"/>
          <w:highlight w:val="none"/>
          <w:lang w:val="zh-CN"/>
        </w:rPr>
        <w:t>.</w:t>
      </w:r>
      <w:r>
        <w:rPr>
          <w:rFonts w:hint="eastAsia" w:cs="仿宋" w:asciiTheme="majorEastAsia" w:hAnsiTheme="majorEastAsia" w:eastAsiaTheme="majorEastAsia"/>
          <w:color w:val="auto"/>
          <w:sz w:val="24"/>
          <w:highlight w:val="none"/>
        </w:rPr>
        <w:t>2</w:t>
      </w:r>
      <w:r>
        <w:rPr>
          <w:rFonts w:hint="eastAsia" w:cs="仿宋" w:asciiTheme="majorEastAsia" w:hAnsiTheme="majorEastAsia" w:eastAsiaTheme="majorEastAsia"/>
          <w:color w:val="auto"/>
          <w:sz w:val="24"/>
          <w:highlight w:val="none"/>
          <w:lang w:val="zh-CN"/>
        </w:rPr>
        <w:t xml:space="preserve"> </w:t>
      </w:r>
      <w:r>
        <w:rPr>
          <w:rFonts w:hint="eastAsia" w:cs="仿宋" w:asciiTheme="majorEastAsia" w:hAnsiTheme="majorEastAsia" w:eastAsiaTheme="majorEastAsia"/>
          <w:color w:val="auto"/>
          <w:sz w:val="24"/>
          <w:highlight w:val="none"/>
        </w:rPr>
        <w:t>商务技术</w:t>
      </w:r>
      <w:r>
        <w:rPr>
          <w:rFonts w:hint="eastAsia" w:cs="仿宋" w:asciiTheme="majorEastAsia" w:hAnsiTheme="majorEastAsia" w:eastAsiaTheme="majorEastAsia"/>
          <w:color w:val="auto"/>
          <w:sz w:val="24"/>
          <w:highlight w:val="none"/>
          <w:lang w:val="zh-CN"/>
        </w:rPr>
        <w:t>文件：</w:t>
      </w:r>
    </w:p>
    <w:p w14:paraId="06861DAA">
      <w:pPr>
        <w:shd w:val="clear"/>
        <w:snapToGrid w:val="0"/>
        <w:spacing w:line="360" w:lineRule="auto"/>
        <w:ind w:left="420" w:leftChars="2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2.2.1 评分索引表</w:t>
      </w:r>
    </w:p>
    <w:p w14:paraId="5BD00C9F">
      <w:pPr>
        <w:shd w:val="clear"/>
        <w:snapToGrid w:val="0"/>
        <w:spacing w:line="360" w:lineRule="auto"/>
        <w:ind w:left="420" w:leftChars="2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2.2.2 符合性自查表；</w:t>
      </w:r>
    </w:p>
    <w:p w14:paraId="6ABD713A">
      <w:pPr>
        <w:shd w:val="clear"/>
        <w:snapToGrid w:val="0"/>
        <w:spacing w:line="360" w:lineRule="auto"/>
        <w:ind w:left="420" w:leftChars="200" w:firstLine="480" w:firstLineChars="200"/>
        <w:rPr>
          <w:rFonts w:cs="仿宋" w:asciiTheme="majorEastAsia" w:hAnsiTheme="majorEastAsia" w:eastAsiaTheme="majorEastAsia"/>
          <w:color w:val="auto"/>
          <w:highlight w:val="none"/>
          <w:lang w:val="zh-CN"/>
        </w:rPr>
      </w:pPr>
      <w:r>
        <w:rPr>
          <w:rFonts w:hint="eastAsia" w:cs="仿宋" w:asciiTheme="majorEastAsia" w:hAnsiTheme="majorEastAsia" w:eastAsiaTheme="majorEastAsia"/>
          <w:color w:val="auto"/>
          <w:sz w:val="24"/>
          <w:highlight w:val="none"/>
        </w:rPr>
        <w:t>2.2.3 投标函；</w:t>
      </w:r>
      <w:r>
        <w:rPr>
          <w:rFonts w:hint="eastAsia" w:cs="仿宋" w:asciiTheme="majorEastAsia" w:hAnsiTheme="majorEastAsia" w:eastAsiaTheme="majorEastAsia"/>
          <w:color w:val="auto"/>
          <w:sz w:val="24"/>
          <w:highlight w:val="none"/>
          <w:lang w:val="zh-CN"/>
        </w:rPr>
        <w:t xml:space="preserve"> </w:t>
      </w:r>
    </w:p>
    <w:p w14:paraId="0C1B7904">
      <w:pPr>
        <w:shd w:val="clear"/>
        <w:snapToGrid w:val="0"/>
        <w:spacing w:line="360" w:lineRule="auto"/>
        <w:ind w:left="420" w:leftChars="2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2.2.4 授权委托书或法定代表人（单位负责人、自然人本人）身份证明；</w:t>
      </w:r>
    </w:p>
    <w:p w14:paraId="30979F40">
      <w:pPr>
        <w:shd w:val="clear"/>
        <w:snapToGrid w:val="0"/>
        <w:spacing w:line="360" w:lineRule="auto"/>
        <w:ind w:left="420" w:leftChars="2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2.2.5 投标人基本情况表；</w:t>
      </w:r>
    </w:p>
    <w:p w14:paraId="27DE19D0">
      <w:pPr>
        <w:shd w:val="clear"/>
        <w:snapToGrid w:val="0"/>
        <w:spacing w:line="360" w:lineRule="auto"/>
        <w:ind w:left="420" w:leftChars="2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2.2.6 距采购人最近或者能为本项目提供最优服务的网点情况表；</w:t>
      </w:r>
    </w:p>
    <w:p w14:paraId="0247E0A1">
      <w:pPr>
        <w:shd w:val="clear"/>
        <w:snapToGrid w:val="0"/>
        <w:spacing w:line="360" w:lineRule="auto"/>
        <w:ind w:left="420" w:leftChars="2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2.2.7 评标标准相应的商务技术资料；</w:t>
      </w:r>
    </w:p>
    <w:p w14:paraId="23543719">
      <w:pPr>
        <w:shd w:val="clear"/>
        <w:snapToGrid w:val="0"/>
        <w:spacing w:line="360" w:lineRule="auto"/>
        <w:ind w:left="420" w:leftChars="2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w:t>
      </w:r>
      <w:r>
        <w:rPr>
          <w:rFonts w:hint="eastAsia" w:cs="仿宋" w:asciiTheme="majorEastAsia" w:hAnsiTheme="majorEastAsia" w:eastAsiaTheme="majorEastAsia"/>
          <w:color w:val="auto"/>
          <w:sz w:val="24"/>
          <w:highlight w:val="none"/>
          <w:lang w:val="zh-CN"/>
        </w:rPr>
        <w:t>.</w:t>
      </w:r>
      <w:r>
        <w:rPr>
          <w:rFonts w:hint="eastAsia" w:cs="仿宋" w:asciiTheme="majorEastAsia" w:hAnsiTheme="majorEastAsia" w:eastAsiaTheme="majorEastAsia"/>
          <w:color w:val="auto"/>
          <w:sz w:val="24"/>
          <w:highlight w:val="none"/>
        </w:rPr>
        <w:t>2</w:t>
      </w:r>
      <w:r>
        <w:rPr>
          <w:rFonts w:hint="eastAsia" w:cs="仿宋" w:asciiTheme="majorEastAsia" w:hAnsiTheme="majorEastAsia" w:eastAsiaTheme="majorEastAsia"/>
          <w:color w:val="auto"/>
          <w:sz w:val="24"/>
          <w:highlight w:val="none"/>
          <w:lang w:val="zh-CN"/>
        </w:rPr>
        <w:t>.</w:t>
      </w:r>
      <w:r>
        <w:rPr>
          <w:rFonts w:hint="eastAsia" w:cs="仿宋" w:asciiTheme="majorEastAsia" w:hAnsiTheme="majorEastAsia" w:eastAsiaTheme="majorEastAsia"/>
          <w:color w:val="auto"/>
          <w:sz w:val="24"/>
          <w:highlight w:val="none"/>
        </w:rPr>
        <w:t>8 商务响应表；</w:t>
      </w:r>
    </w:p>
    <w:p w14:paraId="15ED7EF2">
      <w:pPr>
        <w:shd w:val="clear"/>
        <w:snapToGrid w:val="0"/>
        <w:spacing w:line="360" w:lineRule="auto"/>
        <w:ind w:left="420" w:leftChars="2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w:t>
      </w:r>
      <w:r>
        <w:rPr>
          <w:rFonts w:hint="eastAsia" w:cs="仿宋" w:asciiTheme="majorEastAsia" w:hAnsiTheme="majorEastAsia" w:eastAsiaTheme="majorEastAsia"/>
          <w:color w:val="auto"/>
          <w:sz w:val="24"/>
          <w:highlight w:val="none"/>
          <w:lang w:val="zh-CN"/>
        </w:rPr>
        <w:t>.</w:t>
      </w:r>
      <w:r>
        <w:rPr>
          <w:rFonts w:hint="eastAsia" w:cs="仿宋" w:asciiTheme="majorEastAsia" w:hAnsiTheme="majorEastAsia" w:eastAsiaTheme="majorEastAsia"/>
          <w:color w:val="auto"/>
          <w:sz w:val="24"/>
          <w:highlight w:val="none"/>
        </w:rPr>
        <w:t>2</w:t>
      </w:r>
      <w:r>
        <w:rPr>
          <w:rFonts w:hint="eastAsia" w:cs="仿宋" w:asciiTheme="majorEastAsia" w:hAnsiTheme="majorEastAsia" w:eastAsiaTheme="majorEastAsia"/>
          <w:color w:val="auto"/>
          <w:sz w:val="24"/>
          <w:highlight w:val="none"/>
          <w:lang w:val="zh-CN"/>
        </w:rPr>
        <w:t>.</w:t>
      </w:r>
      <w:r>
        <w:rPr>
          <w:rFonts w:hint="eastAsia" w:cs="仿宋" w:asciiTheme="majorEastAsia" w:hAnsiTheme="majorEastAsia" w:eastAsiaTheme="majorEastAsia"/>
          <w:color w:val="auto"/>
          <w:sz w:val="24"/>
          <w:highlight w:val="none"/>
        </w:rPr>
        <w:t>9 技术响应表；</w:t>
      </w:r>
    </w:p>
    <w:p w14:paraId="4FEE9C90">
      <w:pPr>
        <w:shd w:val="clear"/>
        <w:snapToGrid w:val="0"/>
        <w:spacing w:line="360" w:lineRule="auto"/>
        <w:ind w:left="420" w:leftChars="2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w:t>
      </w:r>
      <w:r>
        <w:rPr>
          <w:rFonts w:hint="eastAsia" w:cs="仿宋" w:asciiTheme="majorEastAsia" w:hAnsiTheme="majorEastAsia" w:eastAsiaTheme="majorEastAsia"/>
          <w:color w:val="auto"/>
          <w:sz w:val="24"/>
          <w:highlight w:val="none"/>
          <w:lang w:val="zh-CN"/>
        </w:rPr>
        <w:t>.</w:t>
      </w:r>
      <w:r>
        <w:rPr>
          <w:rFonts w:hint="eastAsia" w:cs="仿宋" w:asciiTheme="majorEastAsia" w:hAnsiTheme="majorEastAsia" w:eastAsiaTheme="majorEastAsia"/>
          <w:color w:val="auto"/>
          <w:sz w:val="24"/>
          <w:highlight w:val="none"/>
        </w:rPr>
        <w:t>2</w:t>
      </w:r>
      <w:r>
        <w:rPr>
          <w:rFonts w:hint="eastAsia" w:cs="仿宋" w:asciiTheme="majorEastAsia" w:hAnsiTheme="majorEastAsia" w:eastAsiaTheme="majorEastAsia"/>
          <w:color w:val="auto"/>
          <w:sz w:val="24"/>
          <w:highlight w:val="none"/>
          <w:lang w:val="zh-CN"/>
        </w:rPr>
        <w:t>.</w:t>
      </w:r>
      <w:r>
        <w:rPr>
          <w:rFonts w:hint="eastAsia" w:cs="仿宋" w:asciiTheme="majorEastAsia" w:hAnsiTheme="majorEastAsia" w:eastAsiaTheme="majorEastAsia"/>
          <w:color w:val="auto"/>
          <w:sz w:val="24"/>
          <w:highlight w:val="none"/>
        </w:rPr>
        <w:t>10 同类业绩情况一览表；</w:t>
      </w:r>
    </w:p>
    <w:p w14:paraId="53B0D00C">
      <w:pPr>
        <w:shd w:val="clear"/>
        <w:snapToGrid w:val="0"/>
        <w:spacing w:line="360" w:lineRule="auto"/>
        <w:ind w:left="420" w:leftChars="200" w:firstLine="480" w:firstLineChars="200"/>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 xml:space="preserve">2.2.11 </w:t>
      </w:r>
      <w:r>
        <w:rPr>
          <w:rFonts w:hint="eastAsia" w:cs="仿宋" w:asciiTheme="majorEastAsia" w:hAnsiTheme="majorEastAsia" w:eastAsiaTheme="majorEastAsia"/>
          <w:color w:val="auto"/>
          <w:sz w:val="24"/>
          <w:highlight w:val="none"/>
          <w:lang w:val="zh-CN"/>
        </w:rPr>
        <w:t>政府采购供应商廉洁自律承诺书；</w:t>
      </w:r>
    </w:p>
    <w:p w14:paraId="29DC7501">
      <w:pPr>
        <w:shd w:val="clear"/>
        <w:snapToGrid w:val="0"/>
        <w:spacing w:line="360" w:lineRule="auto"/>
        <w:ind w:left="420" w:leftChars="200" w:firstLine="480" w:firstLineChars="20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sz w:val="24"/>
          <w:highlight w:val="none"/>
        </w:rPr>
        <w:t>2.2.12 其他资料。</w:t>
      </w:r>
    </w:p>
    <w:p w14:paraId="63EFDABD">
      <w:pPr>
        <w:shd w:val="clear"/>
        <w:snapToGrid w:val="0"/>
        <w:spacing w:line="360" w:lineRule="auto"/>
        <w:ind w:left="210" w:leftChars="1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w:t>
      </w:r>
      <w:r>
        <w:rPr>
          <w:rFonts w:hint="eastAsia" w:cs="仿宋" w:asciiTheme="majorEastAsia" w:hAnsiTheme="majorEastAsia" w:eastAsiaTheme="majorEastAsia"/>
          <w:color w:val="auto"/>
          <w:sz w:val="24"/>
          <w:highlight w:val="none"/>
          <w:lang w:val="zh-CN"/>
        </w:rPr>
        <w:t>.</w:t>
      </w:r>
      <w:r>
        <w:rPr>
          <w:rFonts w:hint="eastAsia" w:cs="仿宋" w:asciiTheme="majorEastAsia" w:hAnsiTheme="majorEastAsia" w:eastAsiaTheme="majorEastAsia"/>
          <w:color w:val="auto"/>
          <w:sz w:val="24"/>
          <w:highlight w:val="none"/>
        </w:rPr>
        <w:t>3报价文件</w:t>
      </w:r>
    </w:p>
    <w:p w14:paraId="1FDDFB74">
      <w:pPr>
        <w:shd w:val="clear"/>
        <w:snapToGrid w:val="0"/>
        <w:spacing w:line="360" w:lineRule="auto"/>
        <w:ind w:firstLine="960" w:firstLineChars="4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2.3.1 开标一览表；</w:t>
      </w:r>
    </w:p>
    <w:p w14:paraId="75C0479B">
      <w:pPr>
        <w:shd w:val="clear"/>
        <w:snapToGrid w:val="0"/>
        <w:spacing w:line="360" w:lineRule="auto"/>
        <w:ind w:firstLine="960" w:firstLineChars="4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2.3.2投标报价明细表；</w:t>
      </w:r>
    </w:p>
    <w:p w14:paraId="1A0FE845">
      <w:pPr>
        <w:shd w:val="clear"/>
        <w:snapToGrid w:val="0"/>
        <w:spacing w:line="360" w:lineRule="auto"/>
        <w:ind w:firstLine="960" w:firstLineChars="4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2.3.3 中小企业声明函（如有）；</w:t>
      </w:r>
    </w:p>
    <w:p w14:paraId="69FEACA3">
      <w:pPr>
        <w:shd w:val="clear"/>
        <w:snapToGrid w:val="0"/>
        <w:spacing w:line="360" w:lineRule="auto"/>
        <w:ind w:firstLine="960" w:firstLineChars="4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2.3.4 残疾人福利性单位声明函（如有）；</w:t>
      </w:r>
    </w:p>
    <w:p w14:paraId="0541FAFD">
      <w:pPr>
        <w:shd w:val="clear"/>
        <w:snapToGrid w:val="0"/>
        <w:spacing w:line="360" w:lineRule="auto"/>
        <w:ind w:firstLine="960" w:firstLineChars="4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2.3.5 监狱企业的证明文件（如有）；</w:t>
      </w:r>
    </w:p>
    <w:p w14:paraId="2099F127">
      <w:pPr>
        <w:shd w:val="clear"/>
        <w:snapToGrid w:val="0"/>
        <w:spacing w:line="360" w:lineRule="auto"/>
        <w:ind w:firstLine="960" w:firstLineChars="4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2.3.6 政府采购统计基础信息表。</w:t>
      </w:r>
    </w:p>
    <w:p w14:paraId="5A7A0F9E">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3、我方承诺除商务技术响应表列出的偏离外，我方响应招标文件的全部要求。</w:t>
      </w:r>
    </w:p>
    <w:p w14:paraId="3D5B4791">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4、如我方中标，我方承诺：</w:t>
      </w:r>
    </w:p>
    <w:p w14:paraId="1901DB52">
      <w:pPr>
        <w:shd w:val="clear"/>
        <w:snapToGrid w:val="0"/>
        <w:spacing w:line="360" w:lineRule="auto"/>
        <w:ind w:left="210" w:leftChars="1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4.1在收到中标通知书后，在中标通知书规定的期限内与你方签订合同； </w:t>
      </w:r>
    </w:p>
    <w:p w14:paraId="49DEE32C">
      <w:pPr>
        <w:shd w:val="clear"/>
        <w:snapToGrid w:val="0"/>
        <w:spacing w:line="360" w:lineRule="auto"/>
        <w:ind w:left="210" w:leftChars="1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4.2在签订合同时不向你方提出附加条件； </w:t>
      </w:r>
    </w:p>
    <w:p w14:paraId="25F667CD">
      <w:pPr>
        <w:shd w:val="clear"/>
        <w:snapToGrid w:val="0"/>
        <w:spacing w:line="360" w:lineRule="auto"/>
        <w:ind w:left="210" w:leftChars="1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4.3按照招标文件要求提交履约保证金； </w:t>
      </w:r>
    </w:p>
    <w:p w14:paraId="2A3ACF16">
      <w:pPr>
        <w:shd w:val="clear"/>
        <w:snapToGrid w:val="0"/>
        <w:spacing w:line="360" w:lineRule="auto"/>
        <w:ind w:left="210" w:leftChars="1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4.4在合同约定的期限内完成合同规定的全部义务。 </w:t>
      </w:r>
    </w:p>
    <w:p w14:paraId="2346992D">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5、其他补充说明: </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 xml:space="preserve"> 。</w:t>
      </w:r>
    </w:p>
    <w:p w14:paraId="030BA879">
      <w:pPr>
        <w:shd w:val="clear"/>
        <w:spacing w:line="360" w:lineRule="auto"/>
        <w:ind w:firstLine="3600" w:firstLineChars="1500"/>
        <w:rPr>
          <w:rFonts w:cs="仿宋" w:asciiTheme="majorEastAsia" w:hAnsiTheme="majorEastAsia" w:eastAsiaTheme="majorEastAsia"/>
          <w:color w:val="auto"/>
          <w:sz w:val="24"/>
          <w:highlight w:val="none"/>
        </w:rPr>
      </w:pPr>
    </w:p>
    <w:p w14:paraId="035E7E96">
      <w:pPr>
        <w:shd w:val="clear"/>
        <w:spacing w:line="360" w:lineRule="auto"/>
        <w:ind w:firstLine="3600" w:firstLineChars="1500"/>
        <w:rPr>
          <w:rFonts w:cs="仿宋" w:asciiTheme="majorEastAsia" w:hAnsiTheme="majorEastAsia" w:eastAsiaTheme="majorEastAsia"/>
          <w:color w:val="auto"/>
          <w:sz w:val="24"/>
          <w:highlight w:val="none"/>
        </w:rPr>
      </w:pPr>
    </w:p>
    <w:p w14:paraId="4C215D84">
      <w:pPr>
        <w:shd w:val="clear"/>
        <w:spacing w:line="360" w:lineRule="auto"/>
        <w:ind w:right="420" w:firstLine="5250" w:firstLineChars="2500"/>
        <w:rPr>
          <w:rFonts w:ascii="宋体" w:hAnsi="宋体" w:cs="宋体"/>
          <w:color w:val="auto"/>
          <w:highlight w:val="none"/>
        </w:rPr>
      </w:pPr>
      <w:r>
        <w:rPr>
          <w:rFonts w:hint="eastAsia" w:ascii="宋体" w:hAnsi="宋体" w:cs="宋体"/>
          <w:color w:val="auto"/>
          <w:highlight w:val="none"/>
        </w:rPr>
        <w:t xml:space="preserve">法定代表人（签名或印章）：     </w:t>
      </w:r>
    </w:p>
    <w:p w14:paraId="64F246FD">
      <w:pPr>
        <w:shd w:val="clear"/>
        <w:spacing w:line="360" w:lineRule="auto"/>
        <w:ind w:right="420" w:firstLine="5460" w:firstLineChars="2600"/>
        <w:rPr>
          <w:rFonts w:ascii="宋体" w:hAnsi="宋体" w:cs="宋体"/>
          <w:color w:val="auto"/>
          <w:highlight w:val="none"/>
        </w:rPr>
      </w:pPr>
      <w:r>
        <w:rPr>
          <w:rFonts w:hint="eastAsia" w:ascii="宋体" w:hAnsi="宋体" w:cs="宋体"/>
          <w:color w:val="auto"/>
          <w:highlight w:val="none"/>
        </w:rPr>
        <w:t xml:space="preserve">投标人（盖章）：   </w:t>
      </w:r>
    </w:p>
    <w:p w14:paraId="699A5679">
      <w:pPr>
        <w:shd w:val="clear"/>
        <w:spacing w:line="360" w:lineRule="auto"/>
        <w:ind w:right="420" w:firstLine="5355" w:firstLineChars="2550"/>
        <w:rPr>
          <w:rFonts w:ascii="宋体" w:hAnsi="宋体" w:cs="宋体"/>
          <w:color w:val="auto"/>
          <w:highlight w:val="none"/>
        </w:rPr>
      </w:pPr>
      <w:r>
        <w:rPr>
          <w:rFonts w:hint="eastAsia" w:ascii="宋体" w:hAnsi="宋体" w:cs="宋体"/>
          <w:color w:val="auto"/>
          <w:highlight w:val="none"/>
        </w:rPr>
        <w:t xml:space="preserve"> 年    月    日</w:t>
      </w:r>
    </w:p>
    <w:p w14:paraId="17A0A8AC">
      <w:pPr>
        <w:shd w:val="clear"/>
        <w:spacing w:line="360" w:lineRule="auto"/>
        <w:jc w:val="center"/>
        <w:rPr>
          <w:rFonts w:cs="仿宋" w:asciiTheme="majorEastAsia" w:hAnsiTheme="majorEastAsia" w:eastAsiaTheme="majorEastAsia"/>
          <w:b/>
          <w:color w:val="auto"/>
          <w:kern w:val="0"/>
          <w:sz w:val="32"/>
          <w:szCs w:val="32"/>
          <w:highlight w:val="none"/>
        </w:rPr>
      </w:pPr>
    </w:p>
    <w:p w14:paraId="427A4672">
      <w:pPr>
        <w:shd w:val="clear"/>
        <w:spacing w:line="360" w:lineRule="auto"/>
        <w:jc w:val="center"/>
        <w:rPr>
          <w:rFonts w:cs="仿宋" w:asciiTheme="majorEastAsia" w:hAnsiTheme="majorEastAsia" w:eastAsiaTheme="majorEastAsia"/>
          <w:b/>
          <w:color w:val="auto"/>
          <w:kern w:val="0"/>
          <w:sz w:val="32"/>
          <w:szCs w:val="32"/>
          <w:highlight w:val="none"/>
          <w:lang w:val="zh-CN"/>
        </w:rPr>
      </w:pPr>
    </w:p>
    <w:p w14:paraId="19D4BBA6">
      <w:pPr>
        <w:shd w:val="clear"/>
        <w:spacing w:line="360" w:lineRule="auto"/>
        <w:rPr>
          <w:rFonts w:cs="仿宋" w:asciiTheme="majorEastAsia" w:hAnsiTheme="majorEastAsia" w:eastAsiaTheme="majorEastAsia"/>
          <w:b/>
          <w:color w:val="auto"/>
          <w:sz w:val="32"/>
          <w:szCs w:val="32"/>
          <w:highlight w:val="none"/>
        </w:rPr>
      </w:pPr>
      <w:bookmarkStart w:id="425" w:name="_Toc479927873"/>
      <w:bookmarkStart w:id="426" w:name="_Toc488936100"/>
      <w:bookmarkStart w:id="427" w:name="_Toc14746861"/>
      <w:bookmarkStart w:id="428" w:name="_Toc110393361"/>
      <w:bookmarkStart w:id="429" w:name="_Toc483379796"/>
      <w:bookmarkStart w:id="430" w:name="_Toc225223761"/>
    </w:p>
    <w:p w14:paraId="73C4A6FF">
      <w:pPr>
        <w:numPr>
          <w:ilvl w:val="0"/>
          <w:numId w:val="3"/>
        </w:numPr>
        <w:shd w:val="clear"/>
        <w:snapToGrid w:val="0"/>
        <w:spacing w:line="360" w:lineRule="auto"/>
        <w:jc w:val="center"/>
        <w:outlineLvl w:val="0"/>
        <w:rPr>
          <w:rFonts w:cs="仿宋" w:asciiTheme="majorEastAsia" w:hAnsiTheme="majorEastAsia" w:eastAsiaTheme="majorEastAsia"/>
          <w:b/>
          <w:color w:val="auto"/>
          <w:kern w:val="0"/>
          <w:sz w:val="32"/>
          <w:szCs w:val="32"/>
          <w:highlight w:val="none"/>
          <w:lang w:val="zh-CN"/>
        </w:rPr>
      </w:pPr>
      <w:r>
        <w:rPr>
          <w:rFonts w:hint="eastAsia" w:cs="仿宋" w:asciiTheme="majorEastAsia" w:hAnsiTheme="majorEastAsia" w:eastAsiaTheme="majorEastAsia"/>
          <w:b/>
          <w:color w:val="auto"/>
          <w:kern w:val="0"/>
          <w:sz w:val="32"/>
          <w:szCs w:val="32"/>
          <w:highlight w:val="none"/>
          <w:lang w:val="zh-CN"/>
        </w:rPr>
        <w:br w:type="page"/>
      </w:r>
      <w:r>
        <w:rPr>
          <w:rFonts w:hint="eastAsia" w:cs="仿宋" w:asciiTheme="majorEastAsia" w:hAnsiTheme="majorEastAsia" w:eastAsiaTheme="majorEastAsia"/>
          <w:b/>
          <w:color w:val="auto"/>
          <w:kern w:val="0"/>
          <w:sz w:val="32"/>
          <w:szCs w:val="32"/>
          <w:highlight w:val="none"/>
          <w:lang w:val="zh-CN"/>
        </w:rPr>
        <w:t>授权委托书或法定代表人（单位负责人、自然人本人）身份证明</w:t>
      </w:r>
    </w:p>
    <w:p w14:paraId="6D4A46B3">
      <w:pPr>
        <w:shd w:val="clear"/>
        <w:jc w:val="center"/>
        <w:rPr>
          <w:rFonts w:ascii="宋体" w:hAnsi="宋体" w:cs="宋体"/>
          <w:b/>
          <w:color w:val="auto"/>
          <w:sz w:val="32"/>
          <w:szCs w:val="32"/>
          <w:highlight w:val="none"/>
        </w:rPr>
      </w:pPr>
      <w:r>
        <w:rPr>
          <w:rFonts w:hint="eastAsia" w:ascii="宋体" w:hAnsi="宋体" w:cs="宋体"/>
          <w:b/>
          <w:color w:val="auto"/>
          <w:sz w:val="32"/>
          <w:szCs w:val="32"/>
          <w:highlight w:val="none"/>
        </w:rPr>
        <w:t>法定代表人身份证明</w:t>
      </w:r>
    </w:p>
    <w:p w14:paraId="67DCADE9">
      <w:pPr>
        <w:shd w:val="clear"/>
        <w:spacing w:line="480" w:lineRule="auto"/>
        <w:jc w:val="center"/>
        <w:rPr>
          <w:rFonts w:ascii="宋体" w:hAnsi="宋体" w:cs="宋体"/>
          <w:bCs/>
          <w:color w:val="auto"/>
          <w:sz w:val="24"/>
          <w:highlight w:val="none"/>
        </w:rPr>
      </w:pPr>
    </w:p>
    <w:p w14:paraId="2601A19B">
      <w:pPr>
        <w:shd w:val="clear"/>
        <w:spacing w:line="480" w:lineRule="auto"/>
        <w:jc w:val="center"/>
        <w:rPr>
          <w:rFonts w:ascii="宋体" w:hAnsi="宋体" w:cs="宋体"/>
          <w:b/>
          <w:color w:val="auto"/>
          <w:sz w:val="24"/>
          <w:highlight w:val="none"/>
        </w:rPr>
      </w:pPr>
      <w:r>
        <w:rPr>
          <w:rFonts w:hint="eastAsia" w:ascii="宋体" w:hAnsi="宋体" w:cs="宋体"/>
          <w:bCs/>
          <w:color w:val="auto"/>
          <w:sz w:val="24"/>
          <w:highlight w:val="none"/>
        </w:rPr>
        <w:t>（法定代表人不来投标的，此表不用）</w:t>
      </w:r>
    </w:p>
    <w:p w14:paraId="1A448C19">
      <w:pPr>
        <w:shd w:val="clea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w:t>
      </w:r>
      <w:r>
        <w:rPr>
          <w:rFonts w:hint="eastAsia" w:ascii="宋体" w:hAnsi="宋体" w:cs="宋体"/>
          <w:color w:val="auto"/>
          <w:szCs w:val="21"/>
          <w:highlight w:val="none"/>
          <w:u w:val="single"/>
        </w:rPr>
        <w:t xml:space="preserve">                                      </w:t>
      </w:r>
    </w:p>
    <w:p w14:paraId="4237A175">
      <w:pPr>
        <w:shd w:val="clea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单位性质：</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6814AE9F">
      <w:pPr>
        <w:shd w:val="clea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single"/>
        </w:rPr>
        <w:t xml:space="preserve">                                              </w:t>
      </w:r>
    </w:p>
    <w:p w14:paraId="2196AB57">
      <w:pPr>
        <w:shd w:val="clea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成立时间：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65F05349">
      <w:pPr>
        <w:shd w:val="clea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经营期限：</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5DA6620F">
      <w:pPr>
        <w:shd w:val="clea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姓名：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性别：</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年龄：</w:t>
      </w:r>
      <w:r>
        <w:rPr>
          <w:rFonts w:hint="eastAsia" w:ascii="宋体" w:hAnsi="宋体" w:cs="宋体"/>
          <w:color w:val="auto"/>
          <w:szCs w:val="21"/>
          <w:highlight w:val="none"/>
          <w:u w:val="single"/>
        </w:rPr>
        <w:t xml:space="preserve">    周岁  </w:t>
      </w:r>
      <w:r>
        <w:rPr>
          <w:rFonts w:hint="eastAsia" w:ascii="宋体" w:hAnsi="宋体" w:cs="宋体"/>
          <w:color w:val="auto"/>
          <w:szCs w:val="21"/>
          <w:highlight w:val="none"/>
        </w:rPr>
        <w:t>职务：</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_</w:t>
      </w:r>
    </w:p>
    <w:p w14:paraId="052DC754">
      <w:pPr>
        <w:shd w:val="clear"/>
        <w:spacing w:line="48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身份证号码：</w:t>
      </w:r>
      <w:r>
        <w:rPr>
          <w:rFonts w:hint="eastAsia" w:ascii="宋体" w:hAnsi="宋体" w:cs="宋体"/>
          <w:color w:val="auto"/>
          <w:szCs w:val="21"/>
          <w:highlight w:val="none"/>
          <w:u w:val="single"/>
        </w:rPr>
        <w:t xml:space="preserve">                   </w:t>
      </w:r>
    </w:p>
    <w:p w14:paraId="4A4D3D64">
      <w:pPr>
        <w:shd w:val="clea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系</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（投标人名称）的法定代表人。</w:t>
      </w:r>
    </w:p>
    <w:p w14:paraId="2C064432">
      <w:pPr>
        <w:shd w:val="clear"/>
        <w:spacing w:line="480" w:lineRule="auto"/>
        <w:ind w:firstLine="840" w:firstLineChars="400"/>
        <w:rPr>
          <w:rFonts w:ascii="宋体" w:hAnsi="宋体" w:cs="宋体"/>
          <w:color w:val="auto"/>
          <w:szCs w:val="21"/>
          <w:highlight w:val="none"/>
        </w:rPr>
      </w:pPr>
      <w:r>
        <w:rPr>
          <w:rFonts w:hint="eastAsia" w:ascii="宋体" w:hAnsi="宋体" w:cs="宋体"/>
          <w:color w:val="auto"/>
          <w:szCs w:val="21"/>
          <w:highlight w:val="none"/>
        </w:rPr>
        <w:t>特此证明。</w:t>
      </w:r>
    </w:p>
    <w:p w14:paraId="03C24E23">
      <w:pPr>
        <w:shd w:val="clear"/>
        <w:spacing w:line="360" w:lineRule="auto"/>
        <w:ind w:firstLine="420" w:firstLineChars="200"/>
        <w:rPr>
          <w:rFonts w:ascii="宋体" w:hAnsi="宋体" w:cs="宋体"/>
          <w:color w:val="auto"/>
          <w:szCs w:val="21"/>
          <w:highlight w:val="none"/>
        </w:rPr>
      </w:pPr>
    </w:p>
    <w:p w14:paraId="62803BA2">
      <w:pPr>
        <w:shd w:val="clear"/>
        <w:spacing w:line="360" w:lineRule="auto"/>
        <w:ind w:firstLine="420" w:firstLineChars="200"/>
        <w:rPr>
          <w:rFonts w:ascii="宋体" w:hAnsi="宋体" w:cs="宋体"/>
          <w:color w:val="auto"/>
          <w:szCs w:val="21"/>
          <w:highlight w:val="none"/>
        </w:rPr>
      </w:pPr>
    </w:p>
    <w:p w14:paraId="09D43ADE">
      <w:pPr>
        <w:shd w:val="clear"/>
        <w:wordWrap w:val="0"/>
        <w:spacing w:line="360" w:lineRule="auto"/>
        <w:jc w:val="right"/>
        <w:rPr>
          <w:rFonts w:ascii="宋体" w:hAnsi="宋体" w:cs="宋体"/>
          <w:color w:val="auto"/>
          <w:szCs w:val="21"/>
          <w:highlight w:val="none"/>
        </w:rPr>
      </w:pPr>
      <w:r>
        <w:rPr>
          <w:rFonts w:hint="eastAsia" w:ascii="宋体" w:hAnsi="宋体" w:cs="宋体"/>
          <w:color w:val="auto"/>
          <w:szCs w:val="21"/>
          <w:highlight w:val="none"/>
        </w:rPr>
        <w:t>投标人：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（盖单位公章）</w:t>
      </w:r>
    </w:p>
    <w:p w14:paraId="40E7B86D">
      <w:pPr>
        <w:shd w:val="clear"/>
        <w:spacing w:line="360" w:lineRule="auto"/>
        <w:ind w:firstLine="4515" w:firstLineChars="2150"/>
        <w:rPr>
          <w:rFonts w:ascii="宋体" w:hAnsi="宋体" w:cs="宋体"/>
          <w:color w:val="auto"/>
          <w:szCs w:val="21"/>
          <w:highlight w:val="none"/>
          <w:u w:val="single"/>
        </w:rPr>
      </w:pPr>
    </w:p>
    <w:p w14:paraId="6E2F8229">
      <w:pPr>
        <w:shd w:val="clear"/>
        <w:spacing w:line="360" w:lineRule="auto"/>
        <w:ind w:firstLine="3675" w:firstLineChars="1750"/>
        <w:rPr>
          <w:rFonts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79EB3914">
      <w:pPr>
        <w:shd w:val="clear"/>
        <w:spacing w:line="360" w:lineRule="auto"/>
        <w:rPr>
          <w:rFonts w:ascii="宋体" w:hAnsi="宋体" w:cs="宋体"/>
          <w:color w:val="auto"/>
          <w:sz w:val="24"/>
          <w:highlight w:val="none"/>
        </w:rPr>
      </w:pPr>
    </w:p>
    <w:p w14:paraId="00EDFFCA">
      <w:pPr>
        <w:shd w:val="clear"/>
        <w:spacing w:line="360" w:lineRule="auto"/>
        <w:rPr>
          <w:rFonts w:ascii="宋体" w:hAnsi="宋体" w:cs="宋体"/>
          <w:b/>
          <w:color w:val="auto"/>
          <w:szCs w:val="21"/>
          <w:highlight w:val="none"/>
        </w:rPr>
      </w:pPr>
    </w:p>
    <w:p w14:paraId="156295C1">
      <w:pPr>
        <w:shd w:val="clear"/>
        <w:spacing w:line="360" w:lineRule="auto"/>
        <w:rPr>
          <w:rFonts w:ascii="宋体" w:hAnsi="宋体" w:cs="宋体"/>
          <w:b/>
          <w:color w:val="auto"/>
          <w:szCs w:val="21"/>
          <w:highlight w:val="none"/>
        </w:rPr>
      </w:pPr>
    </w:p>
    <w:p w14:paraId="5855DCE5">
      <w:pPr>
        <w:shd w:val="clear"/>
        <w:jc w:val="left"/>
        <w:rPr>
          <w:rFonts w:cs="仿宋" w:asciiTheme="majorEastAsia" w:hAnsiTheme="majorEastAsia" w:eastAsiaTheme="majorEastAsia"/>
          <w:color w:val="auto"/>
          <w:sz w:val="24"/>
          <w:highlight w:val="none"/>
        </w:rPr>
      </w:pPr>
      <w:r>
        <w:rPr>
          <w:rFonts w:hint="eastAsia" w:ascii="宋体" w:hAnsi="宋体" w:cs="宋体"/>
          <w:b/>
          <w:color w:val="auto"/>
          <w:szCs w:val="21"/>
          <w:highlight w:val="none"/>
        </w:rPr>
        <w:t>附法定代表人身份证复印件（正反面）：</w:t>
      </w:r>
      <w:r>
        <w:rPr>
          <w:rFonts w:hint="eastAsia" w:cs="仿宋" w:asciiTheme="majorEastAsia" w:hAnsiTheme="majorEastAsia" w:eastAsiaTheme="majorEastAsia"/>
          <w:color w:val="auto"/>
          <w:sz w:val="24"/>
          <w:highlight w:val="none"/>
        </w:rPr>
        <w:t xml:space="preserve">                      </w:t>
      </w:r>
      <w:r>
        <w:rPr>
          <w:rFonts w:cs="仿宋" w:asciiTheme="majorEastAsia" w:hAnsiTheme="majorEastAsia" w:eastAsiaTheme="majorEastAsia"/>
          <w:color w:val="auto"/>
          <w:sz w:val="24"/>
          <w:highlight w:val="none"/>
        </w:rPr>
        <w:br w:type="page"/>
      </w:r>
    </w:p>
    <w:p w14:paraId="371ED4EF">
      <w:pPr>
        <w:shd w:val="clear"/>
        <w:jc w:val="center"/>
        <w:rPr>
          <w:rFonts w:ascii="宋体" w:hAnsi="宋体" w:cs="宋体"/>
          <w:b/>
          <w:color w:val="auto"/>
          <w:sz w:val="32"/>
          <w:szCs w:val="32"/>
          <w:highlight w:val="none"/>
        </w:rPr>
      </w:pPr>
      <w:r>
        <w:rPr>
          <w:rFonts w:hint="eastAsia" w:ascii="宋体" w:hAnsi="宋体" w:cs="宋体"/>
          <w:b/>
          <w:color w:val="auto"/>
          <w:sz w:val="32"/>
          <w:szCs w:val="32"/>
          <w:highlight w:val="none"/>
        </w:rPr>
        <w:t>法定代表人授权委托书</w:t>
      </w:r>
    </w:p>
    <w:p w14:paraId="6F316F3D">
      <w:pPr>
        <w:shd w:val="clear"/>
        <w:jc w:val="center"/>
        <w:rPr>
          <w:rFonts w:ascii="宋体" w:hAnsi="宋体" w:cs="宋体"/>
          <w:bCs/>
          <w:color w:val="auto"/>
          <w:sz w:val="24"/>
          <w:highlight w:val="none"/>
        </w:rPr>
      </w:pPr>
    </w:p>
    <w:p w14:paraId="7B362AB0">
      <w:pPr>
        <w:shd w:val="clear"/>
        <w:jc w:val="center"/>
        <w:rPr>
          <w:rFonts w:ascii="宋体" w:hAnsi="宋体" w:cs="宋体"/>
          <w:b/>
          <w:color w:val="auto"/>
          <w:sz w:val="32"/>
          <w:szCs w:val="32"/>
          <w:highlight w:val="none"/>
        </w:rPr>
      </w:pPr>
      <w:r>
        <w:rPr>
          <w:rFonts w:hint="eastAsia" w:ascii="宋体" w:hAnsi="宋体" w:cs="宋体"/>
          <w:bCs/>
          <w:color w:val="auto"/>
          <w:sz w:val="24"/>
          <w:highlight w:val="none"/>
        </w:rPr>
        <w:t>（法定代表人来投标的，此表不用）</w:t>
      </w:r>
    </w:p>
    <w:p w14:paraId="5EA330FE">
      <w:pPr>
        <w:shd w:val="clear"/>
        <w:snapToGrid w:val="0"/>
        <w:spacing w:line="360" w:lineRule="auto"/>
        <w:rPr>
          <w:rFonts w:ascii="宋体" w:hAnsi="宋体" w:cs="宋体"/>
          <w:bCs/>
          <w:color w:val="auto"/>
          <w:sz w:val="24"/>
          <w:highlight w:val="none"/>
        </w:rPr>
      </w:pPr>
    </w:p>
    <w:p w14:paraId="23CF9EB2">
      <w:pPr>
        <w:shd w:val="clear"/>
        <w:snapToGrid w:val="0"/>
        <w:spacing w:line="360" w:lineRule="auto"/>
        <w:rPr>
          <w:rFonts w:ascii="宋体" w:hAnsi="宋体" w:cs="宋体"/>
          <w:color w:val="auto"/>
          <w:szCs w:val="21"/>
          <w:highlight w:val="none"/>
        </w:rPr>
      </w:pPr>
      <w:r>
        <w:rPr>
          <w:rFonts w:hint="eastAsia" w:ascii="宋体" w:hAnsi="宋体" w:cs="宋体"/>
          <w:bCs/>
          <w:color w:val="auto"/>
          <w:szCs w:val="21"/>
          <w:highlight w:val="none"/>
        </w:rPr>
        <w:t>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（采购单位名称）</w:t>
      </w:r>
      <w:r>
        <w:rPr>
          <w:rFonts w:hint="eastAsia" w:ascii="宋体" w:hAnsi="宋体" w:cs="宋体"/>
          <w:b/>
          <w:bCs/>
          <w:color w:val="auto"/>
          <w:szCs w:val="21"/>
          <w:highlight w:val="none"/>
        </w:rPr>
        <w:t xml:space="preserve"> </w:t>
      </w:r>
      <w:r>
        <w:rPr>
          <w:rFonts w:hint="eastAsia" w:ascii="宋体" w:hAnsi="宋体" w:cs="宋体"/>
          <w:color w:val="auto"/>
          <w:szCs w:val="21"/>
          <w:highlight w:val="none"/>
        </w:rPr>
        <w:t>：</w:t>
      </w:r>
    </w:p>
    <w:p w14:paraId="4123A497">
      <w:pPr>
        <w:shd w:val="clear"/>
        <w:snapToGrid w:val="0"/>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我</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（姓名）系</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（投标人名称）的法定代表人，现授权委托本单位在职职工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（姓名）以我方的名义参加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项目的投标活动，并代表我方全权办理针对上述项目的投标、开标、评标、签约等具体事务和签署相关文件。</w:t>
      </w:r>
    </w:p>
    <w:p w14:paraId="020B03FD">
      <w:pPr>
        <w:shd w:val="clear"/>
        <w:snapToGrid w:val="0"/>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我方对被授权人的签名事项负全部责任。</w:t>
      </w:r>
    </w:p>
    <w:p w14:paraId="49B16C31">
      <w:pPr>
        <w:shd w:val="clea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在撤销授权的书面通知以前，本授权书一直有效。被授权人在授权书有效期内签署的所有文件不因授权的撤销而失效。</w:t>
      </w:r>
    </w:p>
    <w:p w14:paraId="18F8ADE4">
      <w:pPr>
        <w:shd w:val="clear"/>
        <w:snapToGrid w:val="0"/>
        <w:spacing w:line="360" w:lineRule="auto"/>
        <w:ind w:firstLine="480"/>
        <w:rPr>
          <w:rFonts w:ascii="宋体" w:hAnsi="宋体" w:cs="宋体"/>
          <w:color w:val="auto"/>
          <w:szCs w:val="21"/>
          <w:highlight w:val="none"/>
        </w:rPr>
      </w:pPr>
      <w:r>
        <w:rPr>
          <w:rFonts w:hint="eastAsia" w:ascii="宋体" w:hAnsi="宋体" w:cs="宋体"/>
          <w:color w:val="auto"/>
          <w:szCs w:val="21"/>
          <w:highlight w:val="none"/>
        </w:rPr>
        <w:t>被授权人无转委托权，特此委托。</w:t>
      </w:r>
    </w:p>
    <w:p w14:paraId="36600618">
      <w:pPr>
        <w:shd w:val="clear"/>
        <w:snapToGrid w:val="0"/>
        <w:spacing w:line="360" w:lineRule="auto"/>
        <w:rPr>
          <w:rFonts w:ascii="宋体" w:hAnsi="宋体" w:cs="宋体"/>
          <w:color w:val="auto"/>
          <w:szCs w:val="21"/>
          <w:highlight w:val="none"/>
        </w:rPr>
      </w:pPr>
    </w:p>
    <w:p w14:paraId="216E41F5">
      <w:pPr>
        <w:shd w:val="clear"/>
        <w:snapToGrid w:val="0"/>
        <w:spacing w:line="360" w:lineRule="auto"/>
        <w:rPr>
          <w:rFonts w:ascii="宋体" w:hAnsi="宋体" w:cs="宋体"/>
          <w:color w:val="auto"/>
          <w:szCs w:val="21"/>
          <w:highlight w:val="none"/>
        </w:rPr>
      </w:pPr>
    </w:p>
    <w:p w14:paraId="3FF82C3D">
      <w:pPr>
        <w:shd w:val="clear"/>
        <w:snapToGrid w:val="0"/>
        <w:spacing w:line="360" w:lineRule="auto"/>
        <w:rPr>
          <w:rFonts w:ascii="宋体" w:hAnsi="宋体" w:cs="宋体"/>
          <w:color w:val="auto"/>
          <w:szCs w:val="21"/>
          <w:highlight w:val="none"/>
          <w:u w:val="single"/>
        </w:rPr>
      </w:pPr>
      <w:r>
        <w:rPr>
          <w:rFonts w:hint="eastAsia" w:ascii="宋体" w:hAnsi="宋体" w:cs="宋体"/>
          <w:color w:val="auto"/>
          <w:szCs w:val="21"/>
          <w:highlight w:val="none"/>
        </w:rPr>
        <w:t>被授权人签名：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法定代表人签名或印章：</w:t>
      </w:r>
      <w:r>
        <w:rPr>
          <w:rFonts w:hint="eastAsia" w:ascii="宋体" w:hAnsi="宋体" w:cs="宋体"/>
          <w:color w:val="auto"/>
          <w:szCs w:val="21"/>
          <w:highlight w:val="none"/>
          <w:u w:val="single"/>
        </w:rPr>
        <w:t xml:space="preserve">          </w:t>
      </w:r>
    </w:p>
    <w:p w14:paraId="7F80600B">
      <w:pPr>
        <w:shd w:val="clear"/>
        <w:snapToGrid w:val="0"/>
        <w:spacing w:line="360" w:lineRule="auto"/>
        <w:ind w:firstLine="840" w:firstLineChars="400"/>
        <w:rPr>
          <w:rFonts w:ascii="宋体" w:hAnsi="宋体" w:cs="宋体"/>
          <w:color w:val="auto"/>
          <w:szCs w:val="21"/>
          <w:highlight w:val="none"/>
        </w:rPr>
      </w:pPr>
      <w:r>
        <w:rPr>
          <w:rFonts w:hint="eastAsia" w:ascii="宋体" w:hAnsi="宋体" w:cs="宋体"/>
          <w:color w:val="auto"/>
          <w:szCs w:val="21"/>
          <w:highlight w:val="none"/>
        </w:rPr>
        <w:t>职务：</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职务：</w:t>
      </w:r>
      <w:r>
        <w:rPr>
          <w:rFonts w:hint="eastAsia" w:ascii="宋体" w:hAnsi="宋体" w:cs="宋体"/>
          <w:color w:val="auto"/>
          <w:szCs w:val="21"/>
          <w:highlight w:val="none"/>
          <w:u w:val="single"/>
        </w:rPr>
        <w:t xml:space="preserve">           </w:t>
      </w:r>
    </w:p>
    <w:p w14:paraId="6E0E1789">
      <w:pPr>
        <w:shd w:val="clea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被授权人身份证号码：</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0F322960">
      <w:pPr>
        <w:shd w:val="clea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w:t>
      </w:r>
    </w:p>
    <w:p w14:paraId="789773E4">
      <w:pPr>
        <w:shd w:val="clear"/>
        <w:snapToGrid w:val="0"/>
        <w:spacing w:line="360" w:lineRule="auto"/>
        <w:rPr>
          <w:rFonts w:ascii="宋体" w:hAnsi="宋体" w:cs="宋体"/>
          <w:color w:val="auto"/>
          <w:szCs w:val="21"/>
          <w:highlight w:val="none"/>
        </w:rPr>
      </w:pPr>
    </w:p>
    <w:p w14:paraId="6E853A9C">
      <w:pPr>
        <w:shd w:val="clear"/>
        <w:spacing w:line="360" w:lineRule="auto"/>
        <w:ind w:firstLine="4830" w:firstLineChars="2300"/>
        <w:rPr>
          <w:rFonts w:ascii="宋体" w:hAnsi="宋体" w:cs="宋体"/>
          <w:color w:val="auto"/>
          <w:highlight w:val="none"/>
        </w:rPr>
      </w:pPr>
      <w:r>
        <w:rPr>
          <w:rFonts w:hint="eastAsia" w:ascii="宋体" w:hAnsi="宋体" w:cs="宋体"/>
          <w:color w:val="auto"/>
          <w:highlight w:val="none"/>
        </w:rPr>
        <w:t>投标人（盖章）：</w:t>
      </w:r>
    </w:p>
    <w:p w14:paraId="57B1A8FB">
      <w:pPr>
        <w:shd w:val="clear"/>
        <w:spacing w:line="360" w:lineRule="auto"/>
        <w:ind w:firstLine="1260" w:firstLineChars="600"/>
        <w:rPr>
          <w:rFonts w:ascii="宋体" w:hAnsi="宋体" w:cs="宋体"/>
          <w:color w:val="auto"/>
          <w:highlight w:val="none"/>
        </w:rPr>
      </w:pPr>
      <w:r>
        <w:rPr>
          <w:rFonts w:hint="eastAsia" w:ascii="宋体" w:hAnsi="宋体" w:cs="宋体"/>
          <w:color w:val="auto"/>
          <w:highlight w:val="none"/>
        </w:rPr>
        <w:t xml:space="preserve">                                  日期：</w:t>
      </w:r>
    </w:p>
    <w:p w14:paraId="0EB3C62F">
      <w:pPr>
        <w:shd w:val="clear"/>
        <w:spacing w:line="360" w:lineRule="auto"/>
        <w:rPr>
          <w:rFonts w:ascii="宋体" w:hAnsi="宋体" w:cs="宋体"/>
          <w:b/>
          <w:color w:val="auto"/>
          <w:szCs w:val="21"/>
          <w:highlight w:val="none"/>
        </w:rPr>
      </w:pPr>
    </w:p>
    <w:p w14:paraId="41123108">
      <w:pPr>
        <w:shd w:val="clear"/>
        <w:spacing w:line="360" w:lineRule="auto"/>
        <w:rPr>
          <w:rFonts w:ascii="宋体" w:hAnsi="宋体" w:cs="宋体"/>
          <w:b/>
          <w:color w:val="auto"/>
          <w:szCs w:val="21"/>
          <w:highlight w:val="none"/>
        </w:rPr>
      </w:pPr>
    </w:p>
    <w:p w14:paraId="663FAD32">
      <w:pPr>
        <w:shd w:val="clear"/>
        <w:jc w:val="left"/>
        <w:rPr>
          <w:rFonts w:ascii="宋体" w:hAnsi="宋体" w:cs="宋体"/>
          <w:b/>
          <w:color w:val="auto"/>
          <w:szCs w:val="21"/>
          <w:highlight w:val="none"/>
        </w:rPr>
      </w:pPr>
      <w:r>
        <w:rPr>
          <w:rFonts w:hint="eastAsia" w:ascii="宋体" w:hAnsi="宋体" w:cs="宋体"/>
          <w:b/>
          <w:color w:val="auto"/>
          <w:szCs w:val="21"/>
          <w:highlight w:val="none"/>
        </w:rPr>
        <w:t>附：法定代表人身份证复印件（正反面）、授权代表身份证复印件（正反面）：</w:t>
      </w:r>
    </w:p>
    <w:p w14:paraId="1923DB91">
      <w:pPr>
        <w:shd w:val="clear"/>
        <w:snapToGrid w:val="0"/>
        <w:spacing w:line="360" w:lineRule="auto"/>
        <w:rPr>
          <w:rFonts w:cs="仿宋" w:asciiTheme="majorEastAsia" w:hAnsiTheme="majorEastAsia" w:eastAsiaTheme="majorEastAsia"/>
          <w:color w:val="auto"/>
          <w:sz w:val="24"/>
          <w:highlight w:val="none"/>
        </w:rPr>
      </w:pPr>
    </w:p>
    <w:p w14:paraId="5B46C584">
      <w:pPr>
        <w:shd w:val="clear"/>
        <w:spacing w:line="360" w:lineRule="auto"/>
        <w:jc w:val="center"/>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b/>
          <w:color w:val="auto"/>
          <w:kern w:val="0"/>
          <w:sz w:val="32"/>
          <w:szCs w:val="32"/>
          <w:highlight w:val="none"/>
          <w:lang w:val="zh-CN"/>
        </w:rPr>
        <w:t xml:space="preserve">      </w:t>
      </w:r>
      <w:r>
        <w:rPr>
          <w:rFonts w:hint="eastAsia" w:cs="仿宋" w:asciiTheme="majorEastAsia" w:hAnsiTheme="majorEastAsia" w:eastAsiaTheme="majorEastAsia"/>
          <w:b/>
          <w:color w:val="auto"/>
          <w:kern w:val="0"/>
          <w:sz w:val="32"/>
          <w:szCs w:val="32"/>
          <w:highlight w:val="none"/>
        </w:rPr>
        <w:t xml:space="preserve"> </w:t>
      </w:r>
    </w:p>
    <w:p w14:paraId="6A16535B">
      <w:pPr>
        <w:numPr>
          <w:ilvl w:val="0"/>
          <w:numId w:val="3"/>
        </w:numPr>
        <w:shd w:val="clear"/>
        <w:snapToGrid w:val="0"/>
        <w:spacing w:line="360" w:lineRule="auto"/>
        <w:jc w:val="center"/>
        <w:outlineLvl w:val="0"/>
        <w:rPr>
          <w:rFonts w:cs="仿宋" w:asciiTheme="majorEastAsia" w:hAnsiTheme="majorEastAsia" w:eastAsiaTheme="majorEastAsia"/>
          <w:b/>
          <w:color w:val="auto"/>
          <w:kern w:val="0"/>
          <w:sz w:val="32"/>
          <w:szCs w:val="32"/>
          <w:highlight w:val="none"/>
          <w:lang w:val="zh-CN"/>
        </w:rPr>
      </w:pPr>
      <w:r>
        <w:rPr>
          <w:rFonts w:hint="eastAsia" w:cs="仿宋" w:asciiTheme="majorEastAsia" w:hAnsiTheme="majorEastAsia" w:eastAsiaTheme="majorEastAsia"/>
          <w:b/>
          <w:color w:val="auto"/>
          <w:kern w:val="0"/>
          <w:sz w:val="32"/>
          <w:szCs w:val="32"/>
          <w:highlight w:val="none"/>
          <w:lang w:val="zh-CN"/>
        </w:rPr>
        <w:br w:type="page"/>
      </w:r>
      <w:r>
        <w:rPr>
          <w:rFonts w:hint="eastAsia" w:cs="仿宋" w:asciiTheme="majorEastAsia" w:hAnsiTheme="majorEastAsia" w:eastAsiaTheme="majorEastAsia"/>
          <w:b/>
          <w:color w:val="auto"/>
          <w:kern w:val="0"/>
          <w:sz w:val="32"/>
          <w:szCs w:val="32"/>
          <w:highlight w:val="none"/>
          <w:lang w:val="zh-CN"/>
        </w:rPr>
        <w:t>投标人基本情况</w:t>
      </w:r>
      <w:bookmarkEnd w:id="425"/>
      <w:bookmarkEnd w:id="426"/>
      <w:bookmarkEnd w:id="427"/>
      <w:bookmarkEnd w:id="428"/>
      <w:bookmarkEnd w:id="429"/>
      <w:bookmarkEnd w:id="430"/>
      <w:r>
        <w:rPr>
          <w:rFonts w:hint="eastAsia" w:cs="仿宋" w:asciiTheme="majorEastAsia" w:hAnsiTheme="majorEastAsia" w:eastAsiaTheme="majorEastAsia"/>
          <w:b/>
          <w:color w:val="auto"/>
          <w:kern w:val="0"/>
          <w:sz w:val="32"/>
          <w:szCs w:val="32"/>
          <w:highlight w:val="none"/>
          <w:lang w:val="zh-CN"/>
        </w:rPr>
        <w:t>表</w:t>
      </w:r>
    </w:p>
    <w:tbl>
      <w:tblPr>
        <w:tblStyle w:val="18"/>
        <w:tblW w:w="98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0"/>
        <w:gridCol w:w="1936"/>
        <w:gridCol w:w="873"/>
        <w:gridCol w:w="1786"/>
        <w:gridCol w:w="1200"/>
        <w:gridCol w:w="1852"/>
      </w:tblGrid>
      <w:tr w14:paraId="448DF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Align w:val="center"/>
          </w:tcPr>
          <w:p w14:paraId="042AE088">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投标人名称</w:t>
            </w:r>
          </w:p>
        </w:tc>
        <w:tc>
          <w:tcPr>
            <w:tcW w:w="7647" w:type="dxa"/>
            <w:gridSpan w:val="5"/>
            <w:vAlign w:val="center"/>
          </w:tcPr>
          <w:p w14:paraId="2503857D">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7D15E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Align w:val="center"/>
          </w:tcPr>
          <w:p w14:paraId="6D264C20">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注册地址</w:t>
            </w:r>
          </w:p>
        </w:tc>
        <w:tc>
          <w:tcPr>
            <w:tcW w:w="2809" w:type="dxa"/>
            <w:gridSpan w:val="2"/>
            <w:vAlign w:val="center"/>
          </w:tcPr>
          <w:p w14:paraId="71110604">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1786" w:type="dxa"/>
            <w:vAlign w:val="center"/>
          </w:tcPr>
          <w:p w14:paraId="6BED0D6E">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成立时间</w:t>
            </w:r>
          </w:p>
        </w:tc>
        <w:tc>
          <w:tcPr>
            <w:tcW w:w="3052" w:type="dxa"/>
            <w:gridSpan w:val="2"/>
            <w:vAlign w:val="center"/>
          </w:tcPr>
          <w:p w14:paraId="0716EAFE">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7CF58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Align w:val="center"/>
          </w:tcPr>
          <w:p w14:paraId="034408CB">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统一信用代码</w:t>
            </w:r>
          </w:p>
        </w:tc>
        <w:tc>
          <w:tcPr>
            <w:tcW w:w="2809" w:type="dxa"/>
            <w:gridSpan w:val="2"/>
            <w:vAlign w:val="center"/>
          </w:tcPr>
          <w:p w14:paraId="5D9213EF">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1786" w:type="dxa"/>
            <w:vAlign w:val="center"/>
          </w:tcPr>
          <w:p w14:paraId="089D1EED">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注册资金</w:t>
            </w:r>
          </w:p>
        </w:tc>
        <w:tc>
          <w:tcPr>
            <w:tcW w:w="3052" w:type="dxa"/>
            <w:gridSpan w:val="2"/>
            <w:vAlign w:val="center"/>
          </w:tcPr>
          <w:p w14:paraId="1655D626">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7F69B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Align w:val="center"/>
          </w:tcPr>
          <w:p w14:paraId="374E91C4">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投标联系人姓名</w:t>
            </w:r>
          </w:p>
        </w:tc>
        <w:tc>
          <w:tcPr>
            <w:tcW w:w="1936" w:type="dxa"/>
            <w:vAlign w:val="center"/>
          </w:tcPr>
          <w:p w14:paraId="237C6E29">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873" w:type="dxa"/>
            <w:vAlign w:val="center"/>
          </w:tcPr>
          <w:p w14:paraId="0C876B89">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电话</w:t>
            </w:r>
          </w:p>
        </w:tc>
        <w:tc>
          <w:tcPr>
            <w:tcW w:w="1786" w:type="dxa"/>
            <w:vAlign w:val="center"/>
          </w:tcPr>
          <w:p w14:paraId="5FE876C9">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1200" w:type="dxa"/>
            <w:vAlign w:val="center"/>
          </w:tcPr>
          <w:p w14:paraId="238DDD16">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手机</w:t>
            </w:r>
          </w:p>
        </w:tc>
        <w:tc>
          <w:tcPr>
            <w:tcW w:w="1852" w:type="dxa"/>
            <w:vAlign w:val="center"/>
          </w:tcPr>
          <w:p w14:paraId="24812A86">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3093A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Align w:val="center"/>
          </w:tcPr>
          <w:p w14:paraId="4C8E5181">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法定代表人姓名</w:t>
            </w:r>
          </w:p>
        </w:tc>
        <w:tc>
          <w:tcPr>
            <w:tcW w:w="1936" w:type="dxa"/>
            <w:vAlign w:val="center"/>
          </w:tcPr>
          <w:p w14:paraId="67A0CFA8">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873" w:type="dxa"/>
            <w:vAlign w:val="center"/>
          </w:tcPr>
          <w:p w14:paraId="7731F77A">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电话</w:t>
            </w:r>
          </w:p>
        </w:tc>
        <w:tc>
          <w:tcPr>
            <w:tcW w:w="1786" w:type="dxa"/>
            <w:vAlign w:val="center"/>
          </w:tcPr>
          <w:p w14:paraId="39415174">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1200" w:type="dxa"/>
            <w:vAlign w:val="center"/>
          </w:tcPr>
          <w:p w14:paraId="185D37D1">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手机</w:t>
            </w:r>
          </w:p>
        </w:tc>
        <w:tc>
          <w:tcPr>
            <w:tcW w:w="1852" w:type="dxa"/>
            <w:vAlign w:val="center"/>
          </w:tcPr>
          <w:p w14:paraId="6E5E5D8D">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7D894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Align w:val="center"/>
          </w:tcPr>
          <w:p w14:paraId="3AA55C35">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项目负责人姓名</w:t>
            </w:r>
          </w:p>
        </w:tc>
        <w:tc>
          <w:tcPr>
            <w:tcW w:w="1936" w:type="dxa"/>
            <w:vAlign w:val="center"/>
          </w:tcPr>
          <w:p w14:paraId="4EF63342">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873" w:type="dxa"/>
            <w:vAlign w:val="center"/>
          </w:tcPr>
          <w:p w14:paraId="75F3A7F5">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电话</w:t>
            </w:r>
          </w:p>
        </w:tc>
        <w:tc>
          <w:tcPr>
            <w:tcW w:w="1786" w:type="dxa"/>
            <w:vAlign w:val="center"/>
          </w:tcPr>
          <w:p w14:paraId="10D6D869">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1200" w:type="dxa"/>
            <w:vAlign w:val="center"/>
          </w:tcPr>
          <w:p w14:paraId="152127ED">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技术职称</w:t>
            </w:r>
          </w:p>
        </w:tc>
        <w:tc>
          <w:tcPr>
            <w:tcW w:w="1852" w:type="dxa"/>
            <w:vAlign w:val="center"/>
          </w:tcPr>
          <w:p w14:paraId="715F322A">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75AD8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Merge w:val="restart"/>
            <w:vAlign w:val="center"/>
          </w:tcPr>
          <w:p w14:paraId="7B626966">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员工总人数：</w:t>
            </w:r>
          </w:p>
        </w:tc>
        <w:tc>
          <w:tcPr>
            <w:tcW w:w="1936" w:type="dxa"/>
            <w:vMerge w:val="restart"/>
            <w:vAlign w:val="center"/>
          </w:tcPr>
          <w:p w14:paraId="677E6111">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873" w:type="dxa"/>
            <w:vMerge w:val="restart"/>
            <w:vAlign w:val="center"/>
          </w:tcPr>
          <w:p w14:paraId="6E78EFE1">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其中</w:t>
            </w:r>
          </w:p>
        </w:tc>
        <w:tc>
          <w:tcPr>
            <w:tcW w:w="1786" w:type="dxa"/>
            <w:vAlign w:val="center"/>
          </w:tcPr>
          <w:p w14:paraId="6E7F4573">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高级职称</w:t>
            </w:r>
          </w:p>
        </w:tc>
        <w:tc>
          <w:tcPr>
            <w:tcW w:w="3052" w:type="dxa"/>
            <w:gridSpan w:val="2"/>
            <w:vAlign w:val="center"/>
          </w:tcPr>
          <w:p w14:paraId="69AD901D">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468A3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Merge w:val="continue"/>
            <w:vAlign w:val="center"/>
          </w:tcPr>
          <w:p w14:paraId="7DE9659D">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1936" w:type="dxa"/>
            <w:vMerge w:val="continue"/>
            <w:vAlign w:val="center"/>
          </w:tcPr>
          <w:p w14:paraId="7C295A4C">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873" w:type="dxa"/>
            <w:vMerge w:val="continue"/>
            <w:vAlign w:val="center"/>
          </w:tcPr>
          <w:p w14:paraId="54C6DB70">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1786" w:type="dxa"/>
            <w:vAlign w:val="center"/>
          </w:tcPr>
          <w:p w14:paraId="5D6DE3A7">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中级职称</w:t>
            </w:r>
          </w:p>
        </w:tc>
        <w:tc>
          <w:tcPr>
            <w:tcW w:w="3052" w:type="dxa"/>
            <w:gridSpan w:val="2"/>
            <w:vAlign w:val="center"/>
          </w:tcPr>
          <w:p w14:paraId="2AF697DE">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35329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Merge w:val="continue"/>
            <w:vAlign w:val="center"/>
          </w:tcPr>
          <w:p w14:paraId="0E1B227D">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1936" w:type="dxa"/>
            <w:vMerge w:val="continue"/>
            <w:vAlign w:val="center"/>
          </w:tcPr>
          <w:p w14:paraId="55C631C1">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873" w:type="dxa"/>
            <w:vMerge w:val="continue"/>
            <w:vAlign w:val="center"/>
          </w:tcPr>
          <w:p w14:paraId="150E5FF7">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1786" w:type="dxa"/>
            <w:vAlign w:val="center"/>
          </w:tcPr>
          <w:p w14:paraId="639B8903">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各类注册人员</w:t>
            </w:r>
          </w:p>
        </w:tc>
        <w:tc>
          <w:tcPr>
            <w:tcW w:w="3052" w:type="dxa"/>
            <w:gridSpan w:val="2"/>
            <w:vAlign w:val="center"/>
          </w:tcPr>
          <w:p w14:paraId="26FB150D">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5CF38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Align w:val="center"/>
          </w:tcPr>
          <w:p w14:paraId="648F3C79">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基本账户开户银行</w:t>
            </w:r>
          </w:p>
        </w:tc>
        <w:tc>
          <w:tcPr>
            <w:tcW w:w="7647" w:type="dxa"/>
            <w:gridSpan w:val="5"/>
            <w:vAlign w:val="center"/>
          </w:tcPr>
          <w:p w14:paraId="7DCB9D07">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08A3B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Align w:val="center"/>
          </w:tcPr>
          <w:p w14:paraId="3EFB7655">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基本账户账号</w:t>
            </w:r>
          </w:p>
        </w:tc>
        <w:tc>
          <w:tcPr>
            <w:tcW w:w="7647" w:type="dxa"/>
            <w:gridSpan w:val="5"/>
            <w:vAlign w:val="center"/>
          </w:tcPr>
          <w:p w14:paraId="00AB645F">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29857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6" w:hRule="atLeast"/>
          <w:jc w:val="center"/>
        </w:trPr>
        <w:tc>
          <w:tcPr>
            <w:tcW w:w="2180" w:type="dxa"/>
            <w:vAlign w:val="center"/>
          </w:tcPr>
          <w:p w14:paraId="524C1D67">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经营范围</w:t>
            </w:r>
          </w:p>
        </w:tc>
        <w:tc>
          <w:tcPr>
            <w:tcW w:w="7647" w:type="dxa"/>
            <w:gridSpan w:val="5"/>
            <w:vAlign w:val="center"/>
          </w:tcPr>
          <w:p w14:paraId="759C336D">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57355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2180" w:type="dxa"/>
            <w:vAlign w:val="center"/>
          </w:tcPr>
          <w:p w14:paraId="2ACAFC48">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备注</w:t>
            </w:r>
          </w:p>
        </w:tc>
        <w:tc>
          <w:tcPr>
            <w:tcW w:w="7647" w:type="dxa"/>
            <w:gridSpan w:val="5"/>
            <w:vAlign w:val="center"/>
          </w:tcPr>
          <w:p w14:paraId="0A54D577">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bl>
    <w:p w14:paraId="6F2D7C6D">
      <w:pPr>
        <w:shd w:val="clear"/>
        <w:adjustRightInd w:val="0"/>
        <w:snapToGrid w:val="0"/>
        <w:spacing w:line="360" w:lineRule="auto"/>
        <w:ind w:firstLine="482" w:firstLineChars="200"/>
        <w:rPr>
          <w:rFonts w:cs="仿宋" w:asciiTheme="majorEastAsia" w:hAnsiTheme="majorEastAsia" w:eastAsiaTheme="majorEastAsia"/>
          <w:b/>
          <w:bCs/>
          <w:color w:val="auto"/>
          <w:kern w:val="0"/>
          <w:sz w:val="24"/>
          <w:highlight w:val="none"/>
          <w:lang w:val="zh-CN"/>
        </w:rPr>
      </w:pPr>
      <w:r>
        <w:rPr>
          <w:rFonts w:hint="eastAsia" w:cs="仿宋" w:asciiTheme="majorEastAsia" w:hAnsiTheme="majorEastAsia" w:eastAsiaTheme="majorEastAsia"/>
          <w:b/>
          <w:bCs/>
          <w:color w:val="auto"/>
          <w:kern w:val="0"/>
          <w:sz w:val="24"/>
          <w:highlight w:val="none"/>
          <w:lang w:val="zh-CN"/>
        </w:rPr>
        <w:t>兹证明上述声明是真实、正确的，并提供了全部能提供的资料和数据，我们同意遵照贵方要求出示有关证明文件。</w:t>
      </w:r>
    </w:p>
    <w:p w14:paraId="78CE732F">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p w14:paraId="4A66B8C6">
      <w:pPr>
        <w:pStyle w:val="25"/>
        <w:shd w:val="clear"/>
        <w:spacing w:line="360" w:lineRule="auto"/>
        <w:ind w:firstLine="560"/>
        <w:rPr>
          <w:rFonts w:cs="仿宋" w:asciiTheme="majorEastAsia" w:hAnsiTheme="majorEastAsia" w:eastAsiaTheme="majorEastAsia"/>
          <w:color w:val="auto"/>
          <w:highlight w:val="none"/>
          <w:lang w:val="zh-CN"/>
        </w:rPr>
      </w:pPr>
    </w:p>
    <w:p w14:paraId="4D79A5F4">
      <w:pPr>
        <w:shd w:val="clear"/>
        <w:adjustRightInd w:val="0"/>
        <w:snapToGrid w:val="0"/>
        <w:spacing w:line="360" w:lineRule="auto"/>
        <w:ind w:firstLine="4080" w:firstLineChars="1700"/>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法定代表人或其授权委托人（签名或印章）：</w:t>
      </w:r>
    </w:p>
    <w:p w14:paraId="24E5CCCB">
      <w:pPr>
        <w:shd w:val="clear"/>
        <w:adjustRightInd w:val="0"/>
        <w:snapToGrid w:val="0"/>
        <w:spacing w:line="360" w:lineRule="auto"/>
        <w:ind w:firstLine="4080" w:firstLineChars="1700"/>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投标人（盖章）：</w:t>
      </w:r>
    </w:p>
    <w:p w14:paraId="4F110542">
      <w:pPr>
        <w:shd w:val="clear"/>
        <w:adjustRightInd w:val="0"/>
        <w:snapToGrid w:val="0"/>
        <w:spacing w:line="360" w:lineRule="auto"/>
        <w:rPr>
          <w:rFonts w:cs="仿宋" w:asciiTheme="majorEastAsia" w:hAnsiTheme="majorEastAsia" w:eastAsiaTheme="majorEastAsia"/>
          <w:b/>
          <w:color w:val="auto"/>
          <w:kern w:val="0"/>
          <w:sz w:val="32"/>
          <w:szCs w:val="32"/>
          <w:highlight w:val="none"/>
          <w:lang w:val="zh-CN"/>
        </w:rPr>
      </w:pPr>
      <w:r>
        <w:rPr>
          <w:rFonts w:hint="eastAsia" w:cs="仿宋" w:asciiTheme="majorEastAsia" w:hAnsiTheme="majorEastAsia" w:eastAsiaTheme="majorEastAsia"/>
          <w:color w:val="auto"/>
          <w:kern w:val="0"/>
          <w:sz w:val="24"/>
          <w:highlight w:val="none"/>
          <w:lang w:val="zh-CN"/>
        </w:rPr>
        <w:t xml:space="preserve">                                  日期：</w:t>
      </w:r>
    </w:p>
    <w:p w14:paraId="51BD4366">
      <w:pPr>
        <w:numPr>
          <w:ilvl w:val="0"/>
          <w:numId w:val="3"/>
        </w:numPr>
        <w:shd w:val="clear"/>
        <w:snapToGrid w:val="0"/>
        <w:spacing w:line="360" w:lineRule="auto"/>
        <w:jc w:val="center"/>
        <w:outlineLvl w:val="0"/>
        <w:rPr>
          <w:rFonts w:cs="仿宋" w:asciiTheme="majorEastAsia" w:hAnsiTheme="majorEastAsia" w:eastAsiaTheme="majorEastAsia"/>
          <w:b/>
          <w:color w:val="auto"/>
          <w:kern w:val="0"/>
          <w:sz w:val="32"/>
          <w:szCs w:val="32"/>
          <w:highlight w:val="none"/>
          <w:lang w:val="zh-CN"/>
        </w:rPr>
      </w:pPr>
      <w:r>
        <w:rPr>
          <w:rFonts w:hint="eastAsia" w:cs="仿宋" w:asciiTheme="majorEastAsia" w:hAnsiTheme="majorEastAsia" w:eastAsiaTheme="majorEastAsia"/>
          <w:b/>
          <w:color w:val="auto"/>
          <w:kern w:val="0"/>
          <w:sz w:val="32"/>
          <w:szCs w:val="32"/>
          <w:highlight w:val="none"/>
          <w:lang w:val="zh-CN"/>
        </w:rPr>
        <w:br w:type="page"/>
      </w:r>
      <w:r>
        <w:rPr>
          <w:rFonts w:hint="eastAsia" w:cs="仿宋" w:asciiTheme="majorEastAsia" w:hAnsiTheme="majorEastAsia" w:eastAsiaTheme="majorEastAsia"/>
          <w:b/>
          <w:color w:val="auto"/>
          <w:kern w:val="0"/>
          <w:sz w:val="32"/>
          <w:szCs w:val="32"/>
          <w:highlight w:val="none"/>
          <w:lang w:val="zh-CN"/>
        </w:rPr>
        <w:t>距采购人最近或者能为本项目提供最优服务的网点情况表</w:t>
      </w:r>
    </w:p>
    <w:p w14:paraId="62E0603D">
      <w:pPr>
        <w:shd w:val="clear"/>
        <w:spacing w:line="360" w:lineRule="auto"/>
        <w:rPr>
          <w:rFonts w:cs="仿宋" w:asciiTheme="majorEastAsia" w:hAnsiTheme="majorEastAsia" w:eastAsiaTheme="majorEastAsia"/>
          <w:color w:val="auto"/>
          <w:highlight w:val="none"/>
        </w:rPr>
      </w:pPr>
    </w:p>
    <w:tbl>
      <w:tblPr>
        <w:tblStyle w:val="18"/>
        <w:tblW w:w="847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28"/>
        <w:gridCol w:w="1624"/>
        <w:gridCol w:w="191"/>
        <w:gridCol w:w="1440"/>
        <w:gridCol w:w="889"/>
        <w:gridCol w:w="2600"/>
      </w:tblGrid>
      <w:tr w14:paraId="689115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4B8936C0">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服务网点名称</w:t>
            </w:r>
          </w:p>
        </w:tc>
        <w:tc>
          <w:tcPr>
            <w:tcW w:w="6744" w:type="dxa"/>
            <w:gridSpan w:val="5"/>
            <w:tcBorders>
              <w:top w:val="single" w:color="auto" w:sz="4" w:space="0"/>
              <w:left w:val="single" w:color="auto" w:sz="4" w:space="0"/>
              <w:bottom w:val="single" w:color="auto" w:sz="4" w:space="0"/>
              <w:right w:val="single" w:color="auto" w:sz="4" w:space="0"/>
            </w:tcBorders>
            <w:vAlign w:val="center"/>
          </w:tcPr>
          <w:p w14:paraId="123B2656">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1E397F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2962359F">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地址</w:t>
            </w:r>
          </w:p>
        </w:tc>
        <w:tc>
          <w:tcPr>
            <w:tcW w:w="6744" w:type="dxa"/>
            <w:gridSpan w:val="5"/>
            <w:tcBorders>
              <w:top w:val="single" w:color="auto" w:sz="4" w:space="0"/>
              <w:left w:val="single" w:color="auto" w:sz="4" w:space="0"/>
              <w:bottom w:val="single" w:color="auto" w:sz="4" w:space="0"/>
              <w:right w:val="single" w:color="auto" w:sz="4" w:space="0"/>
            </w:tcBorders>
            <w:vAlign w:val="center"/>
          </w:tcPr>
          <w:p w14:paraId="33BB4FCC">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7F4B9F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59F57834">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注册资本金</w:t>
            </w:r>
          </w:p>
        </w:tc>
        <w:tc>
          <w:tcPr>
            <w:tcW w:w="1624" w:type="dxa"/>
            <w:tcBorders>
              <w:top w:val="single" w:color="auto" w:sz="4" w:space="0"/>
              <w:left w:val="single" w:color="auto" w:sz="4" w:space="0"/>
              <w:bottom w:val="single" w:color="auto" w:sz="4" w:space="0"/>
              <w:right w:val="single" w:color="auto" w:sz="4" w:space="0"/>
            </w:tcBorders>
            <w:vAlign w:val="center"/>
          </w:tcPr>
          <w:p w14:paraId="7F8587B3">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2520" w:type="dxa"/>
            <w:gridSpan w:val="3"/>
            <w:tcBorders>
              <w:top w:val="single" w:color="auto" w:sz="4" w:space="0"/>
              <w:left w:val="single" w:color="auto" w:sz="4" w:space="0"/>
              <w:bottom w:val="single" w:color="auto" w:sz="4" w:space="0"/>
              <w:right w:val="single" w:color="auto" w:sz="4" w:space="0"/>
            </w:tcBorders>
            <w:vAlign w:val="center"/>
          </w:tcPr>
          <w:p w14:paraId="536F36ED">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其中：投标人出资比例</w:t>
            </w:r>
          </w:p>
        </w:tc>
        <w:tc>
          <w:tcPr>
            <w:tcW w:w="2600" w:type="dxa"/>
            <w:tcBorders>
              <w:top w:val="single" w:color="auto" w:sz="4" w:space="0"/>
              <w:left w:val="single" w:color="auto" w:sz="4" w:space="0"/>
              <w:bottom w:val="single" w:color="auto" w:sz="4" w:space="0"/>
              <w:right w:val="single" w:color="auto" w:sz="4" w:space="0"/>
            </w:tcBorders>
            <w:vAlign w:val="center"/>
          </w:tcPr>
          <w:p w14:paraId="26A2C3D2">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55655F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49C39AEA">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员工总人数</w:t>
            </w:r>
          </w:p>
        </w:tc>
        <w:tc>
          <w:tcPr>
            <w:tcW w:w="1624" w:type="dxa"/>
            <w:tcBorders>
              <w:top w:val="single" w:color="auto" w:sz="4" w:space="0"/>
              <w:left w:val="single" w:color="auto" w:sz="4" w:space="0"/>
              <w:bottom w:val="single" w:color="auto" w:sz="4" w:space="0"/>
              <w:right w:val="single" w:color="auto" w:sz="4" w:space="0"/>
            </w:tcBorders>
            <w:vAlign w:val="center"/>
          </w:tcPr>
          <w:p w14:paraId="1E00FD22">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2520" w:type="dxa"/>
            <w:gridSpan w:val="3"/>
            <w:tcBorders>
              <w:top w:val="single" w:color="auto" w:sz="4" w:space="0"/>
              <w:left w:val="single" w:color="auto" w:sz="4" w:space="0"/>
              <w:bottom w:val="single" w:color="auto" w:sz="4" w:space="0"/>
              <w:right w:val="single" w:color="auto" w:sz="4" w:space="0"/>
            </w:tcBorders>
            <w:vAlign w:val="center"/>
          </w:tcPr>
          <w:p w14:paraId="4452910A">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其中：技术人员数</w:t>
            </w:r>
          </w:p>
        </w:tc>
        <w:tc>
          <w:tcPr>
            <w:tcW w:w="2600" w:type="dxa"/>
            <w:tcBorders>
              <w:top w:val="single" w:color="auto" w:sz="4" w:space="0"/>
              <w:left w:val="single" w:color="auto" w:sz="4" w:space="0"/>
              <w:bottom w:val="single" w:color="auto" w:sz="4" w:space="0"/>
              <w:right w:val="single" w:color="auto" w:sz="4" w:space="0"/>
            </w:tcBorders>
            <w:vAlign w:val="center"/>
          </w:tcPr>
          <w:p w14:paraId="35DE485C">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1A4F44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41BBC847">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经营期限</w:t>
            </w:r>
          </w:p>
        </w:tc>
        <w:tc>
          <w:tcPr>
            <w:tcW w:w="6744" w:type="dxa"/>
            <w:gridSpan w:val="5"/>
            <w:tcBorders>
              <w:top w:val="single" w:color="auto" w:sz="4" w:space="0"/>
              <w:left w:val="single" w:color="auto" w:sz="4" w:space="0"/>
              <w:bottom w:val="single" w:color="auto" w:sz="4" w:space="0"/>
              <w:right w:val="single" w:color="auto" w:sz="4" w:space="0"/>
            </w:tcBorders>
            <w:vAlign w:val="center"/>
          </w:tcPr>
          <w:p w14:paraId="0F92D1BC">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5C659B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2FAAB9B5">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售后服务协议</w:t>
            </w:r>
          </w:p>
        </w:tc>
        <w:tc>
          <w:tcPr>
            <w:tcW w:w="6744" w:type="dxa"/>
            <w:gridSpan w:val="5"/>
            <w:tcBorders>
              <w:top w:val="single" w:color="auto" w:sz="4" w:space="0"/>
              <w:left w:val="single" w:color="auto" w:sz="4" w:space="0"/>
              <w:bottom w:val="single" w:color="auto" w:sz="4" w:space="0"/>
              <w:right w:val="single" w:color="auto" w:sz="4" w:space="0"/>
            </w:tcBorders>
            <w:vAlign w:val="center"/>
          </w:tcPr>
          <w:p w14:paraId="47ACDDFF">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4464FC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726B1842">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售后服务内容</w:t>
            </w:r>
          </w:p>
        </w:tc>
        <w:tc>
          <w:tcPr>
            <w:tcW w:w="6744" w:type="dxa"/>
            <w:gridSpan w:val="5"/>
            <w:tcBorders>
              <w:top w:val="single" w:color="auto" w:sz="4" w:space="0"/>
              <w:left w:val="single" w:color="auto" w:sz="4" w:space="0"/>
              <w:bottom w:val="single" w:color="auto" w:sz="4" w:space="0"/>
              <w:right w:val="single" w:color="auto" w:sz="4" w:space="0"/>
            </w:tcBorders>
            <w:vAlign w:val="center"/>
          </w:tcPr>
          <w:p w14:paraId="3C2C70BB">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19724A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424B585A">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工作业绩</w:t>
            </w:r>
          </w:p>
        </w:tc>
        <w:tc>
          <w:tcPr>
            <w:tcW w:w="6744" w:type="dxa"/>
            <w:gridSpan w:val="5"/>
            <w:tcBorders>
              <w:top w:val="single" w:color="auto" w:sz="4" w:space="0"/>
              <w:left w:val="single" w:color="auto" w:sz="4" w:space="0"/>
              <w:bottom w:val="single" w:color="auto" w:sz="4" w:space="0"/>
              <w:right w:val="single" w:color="auto" w:sz="4" w:space="0"/>
            </w:tcBorders>
            <w:vAlign w:val="center"/>
          </w:tcPr>
          <w:p w14:paraId="64E9FB71">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558D05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628EDEFD">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服务承诺</w:t>
            </w:r>
          </w:p>
        </w:tc>
        <w:tc>
          <w:tcPr>
            <w:tcW w:w="6744" w:type="dxa"/>
            <w:gridSpan w:val="5"/>
            <w:tcBorders>
              <w:top w:val="single" w:color="auto" w:sz="4" w:space="0"/>
              <w:left w:val="single" w:color="auto" w:sz="4" w:space="0"/>
              <w:bottom w:val="single" w:color="auto" w:sz="4" w:space="0"/>
              <w:right w:val="single" w:color="auto" w:sz="4" w:space="0"/>
            </w:tcBorders>
            <w:vAlign w:val="center"/>
          </w:tcPr>
          <w:p w14:paraId="1D5B9276">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57F89F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6C92EE7F">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业务咨询电话</w:t>
            </w:r>
          </w:p>
        </w:tc>
        <w:tc>
          <w:tcPr>
            <w:tcW w:w="1815" w:type="dxa"/>
            <w:gridSpan w:val="2"/>
            <w:tcBorders>
              <w:top w:val="single" w:color="auto" w:sz="4" w:space="0"/>
              <w:left w:val="single" w:color="auto" w:sz="4" w:space="0"/>
              <w:bottom w:val="single" w:color="auto" w:sz="4" w:space="0"/>
              <w:right w:val="single" w:color="auto" w:sz="2" w:space="0"/>
            </w:tcBorders>
            <w:vAlign w:val="center"/>
          </w:tcPr>
          <w:p w14:paraId="022662CA">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1440" w:type="dxa"/>
            <w:tcBorders>
              <w:top w:val="single" w:color="auto" w:sz="4" w:space="0"/>
              <w:left w:val="single" w:color="auto" w:sz="2" w:space="0"/>
              <w:bottom w:val="single" w:color="auto" w:sz="4" w:space="0"/>
              <w:right w:val="single" w:color="auto" w:sz="2" w:space="0"/>
            </w:tcBorders>
            <w:vAlign w:val="center"/>
          </w:tcPr>
          <w:p w14:paraId="264E73B7">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传 真</w:t>
            </w:r>
          </w:p>
        </w:tc>
        <w:tc>
          <w:tcPr>
            <w:tcW w:w="3489" w:type="dxa"/>
            <w:gridSpan w:val="2"/>
            <w:tcBorders>
              <w:top w:val="single" w:color="auto" w:sz="4" w:space="0"/>
              <w:left w:val="single" w:color="auto" w:sz="2" w:space="0"/>
              <w:bottom w:val="single" w:color="auto" w:sz="4" w:space="0"/>
              <w:right w:val="single" w:color="auto" w:sz="2" w:space="0"/>
            </w:tcBorders>
            <w:vAlign w:val="center"/>
          </w:tcPr>
          <w:p w14:paraId="68FBF809">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4F6726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6DD28E7E">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负责人</w:t>
            </w:r>
          </w:p>
        </w:tc>
        <w:tc>
          <w:tcPr>
            <w:tcW w:w="1815" w:type="dxa"/>
            <w:gridSpan w:val="2"/>
            <w:tcBorders>
              <w:top w:val="single" w:color="auto" w:sz="4" w:space="0"/>
              <w:left w:val="single" w:color="auto" w:sz="4" w:space="0"/>
              <w:bottom w:val="single" w:color="auto" w:sz="4" w:space="0"/>
              <w:right w:val="single" w:color="auto" w:sz="2" w:space="0"/>
            </w:tcBorders>
            <w:vAlign w:val="center"/>
          </w:tcPr>
          <w:p w14:paraId="4E00DB89">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1440" w:type="dxa"/>
            <w:tcBorders>
              <w:top w:val="single" w:color="auto" w:sz="4" w:space="0"/>
              <w:left w:val="single" w:color="auto" w:sz="2" w:space="0"/>
              <w:bottom w:val="single" w:color="auto" w:sz="4" w:space="0"/>
              <w:right w:val="single" w:color="auto" w:sz="2" w:space="0"/>
            </w:tcBorders>
            <w:vAlign w:val="center"/>
          </w:tcPr>
          <w:p w14:paraId="3616EFB1">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联系电话</w:t>
            </w:r>
          </w:p>
        </w:tc>
        <w:tc>
          <w:tcPr>
            <w:tcW w:w="3489" w:type="dxa"/>
            <w:gridSpan w:val="2"/>
            <w:tcBorders>
              <w:top w:val="single" w:color="auto" w:sz="4" w:space="0"/>
              <w:left w:val="single" w:color="auto" w:sz="2" w:space="0"/>
              <w:bottom w:val="single" w:color="auto" w:sz="4" w:space="0"/>
              <w:right w:val="single" w:color="auto" w:sz="4" w:space="0"/>
            </w:tcBorders>
            <w:vAlign w:val="center"/>
          </w:tcPr>
          <w:p w14:paraId="7143CE94">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bl>
    <w:p w14:paraId="1D42B5C0">
      <w:pPr>
        <w:shd w:val="clear"/>
        <w:spacing w:line="360" w:lineRule="auto"/>
        <w:rPr>
          <w:rFonts w:cs="仿宋" w:asciiTheme="majorEastAsia" w:hAnsiTheme="majorEastAsia" w:eastAsiaTheme="majorEastAsia"/>
          <w:color w:val="auto"/>
          <w:highlight w:val="none"/>
        </w:rPr>
      </w:pPr>
    </w:p>
    <w:p w14:paraId="69089CF2">
      <w:pPr>
        <w:shd w:val="clear"/>
        <w:spacing w:line="360" w:lineRule="auto"/>
        <w:rPr>
          <w:rFonts w:cs="仿宋" w:asciiTheme="majorEastAsia" w:hAnsiTheme="majorEastAsia" w:eastAsiaTheme="majorEastAsia"/>
          <w:color w:val="auto"/>
          <w:highlight w:val="none"/>
        </w:rPr>
      </w:pPr>
    </w:p>
    <w:p w14:paraId="38566C5B">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highlight w:val="none"/>
        </w:rPr>
        <w:t xml:space="preserve">       </w:t>
      </w:r>
    </w:p>
    <w:p w14:paraId="4054EBA3">
      <w:pPr>
        <w:shd w:val="clear"/>
        <w:adjustRightInd w:val="0"/>
        <w:snapToGrid w:val="0"/>
        <w:spacing w:line="360" w:lineRule="auto"/>
        <w:ind w:left="3990" w:leftChars="1900"/>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法定代表人或其授权委托人（签名或印章）：</w:t>
      </w:r>
    </w:p>
    <w:p w14:paraId="20910768">
      <w:pPr>
        <w:shd w:val="clear"/>
        <w:adjustRightInd w:val="0"/>
        <w:snapToGrid w:val="0"/>
        <w:spacing w:line="360" w:lineRule="auto"/>
        <w:ind w:left="3990" w:leftChars="1900"/>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投标人（盖章）：</w:t>
      </w:r>
    </w:p>
    <w:p w14:paraId="46271D0F">
      <w:pPr>
        <w:shd w:val="clear"/>
        <w:adjustRightInd w:val="0"/>
        <w:snapToGrid w:val="0"/>
        <w:spacing w:line="360" w:lineRule="auto"/>
        <w:rPr>
          <w:rFonts w:cs="仿宋" w:asciiTheme="majorEastAsia" w:hAnsiTheme="majorEastAsia" w:eastAsiaTheme="majorEastAsia"/>
          <w:b/>
          <w:color w:val="auto"/>
          <w:kern w:val="0"/>
          <w:sz w:val="32"/>
          <w:szCs w:val="32"/>
          <w:highlight w:val="none"/>
          <w:lang w:val="zh-CN"/>
        </w:rPr>
      </w:pPr>
      <w:r>
        <w:rPr>
          <w:rFonts w:hint="eastAsia" w:cs="仿宋" w:asciiTheme="majorEastAsia" w:hAnsiTheme="majorEastAsia" w:eastAsiaTheme="majorEastAsia"/>
          <w:color w:val="auto"/>
          <w:kern w:val="0"/>
          <w:sz w:val="24"/>
          <w:highlight w:val="none"/>
          <w:lang w:val="zh-CN"/>
        </w:rPr>
        <w:t xml:space="preserve">                                 日期</w:t>
      </w:r>
      <w:r>
        <w:rPr>
          <w:rFonts w:hint="eastAsia" w:cs="仿宋" w:asciiTheme="majorEastAsia" w:hAnsiTheme="majorEastAsia" w:eastAsiaTheme="majorEastAsia"/>
          <w:color w:val="auto"/>
          <w:kern w:val="0"/>
          <w:sz w:val="24"/>
          <w:highlight w:val="none"/>
        </w:rPr>
        <w:t>:</w:t>
      </w:r>
    </w:p>
    <w:p w14:paraId="226F4092">
      <w:pPr>
        <w:numPr>
          <w:ilvl w:val="0"/>
          <w:numId w:val="3"/>
        </w:numPr>
        <w:shd w:val="clear"/>
        <w:snapToGrid w:val="0"/>
        <w:spacing w:line="360" w:lineRule="auto"/>
        <w:jc w:val="center"/>
        <w:outlineLvl w:val="0"/>
        <w:rPr>
          <w:rFonts w:cs="仿宋" w:asciiTheme="majorEastAsia" w:hAnsiTheme="majorEastAsia" w:eastAsiaTheme="majorEastAsia"/>
          <w:b/>
          <w:color w:val="auto"/>
          <w:kern w:val="0"/>
          <w:sz w:val="32"/>
          <w:szCs w:val="32"/>
          <w:highlight w:val="none"/>
          <w:lang w:val="zh-CN"/>
        </w:rPr>
      </w:pPr>
      <w:r>
        <w:rPr>
          <w:rFonts w:hint="eastAsia" w:cs="仿宋" w:asciiTheme="majorEastAsia" w:hAnsiTheme="majorEastAsia" w:eastAsiaTheme="majorEastAsia"/>
          <w:b/>
          <w:color w:val="auto"/>
          <w:kern w:val="0"/>
          <w:sz w:val="32"/>
          <w:szCs w:val="32"/>
          <w:highlight w:val="none"/>
          <w:lang w:val="zh-CN"/>
        </w:rPr>
        <w:br w:type="page"/>
      </w:r>
      <w:r>
        <w:rPr>
          <w:rFonts w:hint="eastAsia" w:cs="仿宋" w:asciiTheme="majorEastAsia" w:hAnsiTheme="majorEastAsia" w:eastAsiaTheme="majorEastAsia"/>
          <w:b/>
          <w:color w:val="auto"/>
          <w:kern w:val="0"/>
          <w:sz w:val="32"/>
          <w:szCs w:val="32"/>
          <w:highlight w:val="none"/>
          <w:lang w:val="zh-CN"/>
        </w:rPr>
        <w:t>评标标准相应的商务技术资料</w:t>
      </w:r>
    </w:p>
    <w:p w14:paraId="73EA0FBD">
      <w:pPr>
        <w:shd w:val="clear"/>
        <w:snapToGrid w:val="0"/>
        <w:spacing w:line="360" w:lineRule="auto"/>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（按招标文件第四部分评标办法前附表中“投标文件中评标标准相应的商务技术资料目录”提供资料）</w:t>
      </w:r>
    </w:p>
    <w:p w14:paraId="3511A1EF">
      <w:pPr>
        <w:pStyle w:val="25"/>
        <w:shd w:val="clear"/>
        <w:ind w:firstLine="560"/>
        <w:rPr>
          <w:rFonts w:asciiTheme="majorEastAsia" w:hAnsiTheme="majorEastAsia" w:eastAsiaTheme="majorEastAsia"/>
          <w:color w:val="auto"/>
          <w:highlight w:val="none"/>
          <w:lang w:val="zh-CN"/>
        </w:rPr>
      </w:pPr>
    </w:p>
    <w:p w14:paraId="700F8E32">
      <w:pPr>
        <w:numPr>
          <w:ilvl w:val="0"/>
          <w:numId w:val="3"/>
        </w:numPr>
        <w:shd w:val="clear"/>
        <w:snapToGrid w:val="0"/>
        <w:spacing w:line="360" w:lineRule="auto"/>
        <w:jc w:val="center"/>
        <w:outlineLvl w:val="0"/>
        <w:rPr>
          <w:rFonts w:cs="仿宋" w:asciiTheme="majorEastAsia" w:hAnsiTheme="majorEastAsia" w:eastAsiaTheme="majorEastAsia"/>
          <w:b/>
          <w:color w:val="auto"/>
          <w:kern w:val="0"/>
          <w:sz w:val="32"/>
          <w:szCs w:val="32"/>
          <w:highlight w:val="none"/>
          <w:lang w:val="zh-CN"/>
        </w:rPr>
      </w:pPr>
      <w:r>
        <w:rPr>
          <w:rFonts w:hint="eastAsia" w:cs="仿宋" w:asciiTheme="majorEastAsia" w:hAnsiTheme="majorEastAsia" w:eastAsiaTheme="majorEastAsia"/>
          <w:b/>
          <w:color w:val="auto"/>
          <w:kern w:val="0"/>
          <w:sz w:val="32"/>
          <w:szCs w:val="32"/>
          <w:highlight w:val="none"/>
          <w:lang w:val="zh-CN"/>
        </w:rPr>
        <w:t>商务响应表</w:t>
      </w:r>
    </w:p>
    <w:tbl>
      <w:tblPr>
        <w:tblStyle w:val="18"/>
        <w:tblW w:w="9747" w:type="dxa"/>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562"/>
        <w:gridCol w:w="6096"/>
        <w:gridCol w:w="991"/>
        <w:gridCol w:w="1098"/>
      </w:tblGrid>
      <w:tr w14:paraId="7F59021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1562" w:type="dxa"/>
            <w:tcBorders>
              <w:top w:val="single" w:color="auto" w:sz="4" w:space="0"/>
              <w:bottom w:val="single" w:color="auto" w:sz="4" w:space="0"/>
            </w:tcBorders>
            <w:vAlign w:val="center"/>
          </w:tcPr>
          <w:p w14:paraId="04C5A01B">
            <w:pPr>
              <w:shd w:val="clear"/>
              <w:snapToGrid w:val="0"/>
              <w:ind w:right="-108"/>
              <w:rPr>
                <w:color w:val="auto"/>
                <w:highlight w:val="none"/>
              </w:rPr>
            </w:pPr>
            <w:r>
              <w:rPr>
                <w:color w:val="auto"/>
                <w:highlight w:val="none"/>
              </w:rPr>
              <w:t>商务要求项目</w:t>
            </w:r>
          </w:p>
        </w:tc>
        <w:tc>
          <w:tcPr>
            <w:tcW w:w="6096" w:type="dxa"/>
            <w:tcBorders>
              <w:top w:val="single" w:color="auto" w:sz="4" w:space="0"/>
              <w:bottom w:val="single" w:color="auto" w:sz="4" w:space="0"/>
            </w:tcBorders>
            <w:vAlign w:val="center"/>
          </w:tcPr>
          <w:p w14:paraId="1F6AE695">
            <w:pPr>
              <w:shd w:val="clear"/>
              <w:snapToGrid w:val="0"/>
              <w:ind w:right="-108"/>
              <w:rPr>
                <w:color w:val="auto"/>
                <w:highlight w:val="none"/>
              </w:rPr>
            </w:pPr>
            <w:r>
              <w:rPr>
                <w:color w:val="auto"/>
                <w:highlight w:val="none"/>
              </w:rPr>
              <w:t>采购文件要求</w:t>
            </w:r>
          </w:p>
        </w:tc>
        <w:tc>
          <w:tcPr>
            <w:tcW w:w="991" w:type="dxa"/>
            <w:tcBorders>
              <w:top w:val="single" w:color="auto" w:sz="4" w:space="0"/>
              <w:bottom w:val="single" w:color="auto" w:sz="4" w:space="0"/>
            </w:tcBorders>
            <w:vAlign w:val="center"/>
          </w:tcPr>
          <w:p w14:paraId="114532B7">
            <w:pPr>
              <w:shd w:val="clear"/>
              <w:snapToGrid w:val="0"/>
              <w:ind w:right="-108"/>
              <w:rPr>
                <w:color w:val="auto"/>
                <w:highlight w:val="none"/>
              </w:rPr>
            </w:pPr>
            <w:r>
              <w:rPr>
                <w:color w:val="auto"/>
                <w:highlight w:val="none"/>
              </w:rPr>
              <w:t>响应情况</w:t>
            </w:r>
          </w:p>
        </w:tc>
        <w:tc>
          <w:tcPr>
            <w:tcW w:w="1098" w:type="dxa"/>
            <w:tcBorders>
              <w:top w:val="single" w:color="auto" w:sz="4" w:space="0"/>
              <w:bottom w:val="single" w:color="auto" w:sz="4" w:space="0"/>
            </w:tcBorders>
            <w:vAlign w:val="center"/>
          </w:tcPr>
          <w:p w14:paraId="30CEEDCC">
            <w:pPr>
              <w:shd w:val="clear"/>
              <w:snapToGrid w:val="0"/>
              <w:ind w:right="-108"/>
              <w:rPr>
                <w:color w:val="auto"/>
                <w:highlight w:val="none"/>
              </w:rPr>
            </w:pPr>
            <w:r>
              <w:rPr>
                <w:color w:val="auto"/>
                <w:highlight w:val="none"/>
              </w:rPr>
              <w:t>投标人承诺或说明</w:t>
            </w:r>
          </w:p>
        </w:tc>
      </w:tr>
      <w:tr w14:paraId="73AAD57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20" w:hRule="atLeast"/>
          <w:jc w:val="center"/>
        </w:trPr>
        <w:tc>
          <w:tcPr>
            <w:tcW w:w="1562" w:type="dxa"/>
            <w:tcBorders>
              <w:top w:val="single" w:color="auto" w:sz="4" w:space="0"/>
            </w:tcBorders>
            <w:vAlign w:val="center"/>
          </w:tcPr>
          <w:p w14:paraId="0BD35F5C">
            <w:pPr>
              <w:pStyle w:val="25"/>
              <w:shd w:val="clear"/>
              <w:ind w:firstLine="0" w:firstLineChars="0"/>
              <w:jc w:val="left"/>
              <w:rPr>
                <w:color w:val="auto"/>
                <w:highlight w:val="none"/>
              </w:rPr>
            </w:pPr>
          </w:p>
        </w:tc>
        <w:tc>
          <w:tcPr>
            <w:tcW w:w="6096" w:type="dxa"/>
            <w:tcBorders>
              <w:top w:val="single" w:color="auto" w:sz="4" w:space="0"/>
            </w:tcBorders>
            <w:vAlign w:val="center"/>
          </w:tcPr>
          <w:p w14:paraId="1B6E4FD9">
            <w:pPr>
              <w:pStyle w:val="25"/>
              <w:shd w:val="clear"/>
              <w:ind w:firstLine="0" w:firstLineChars="0"/>
              <w:jc w:val="left"/>
              <w:rPr>
                <w:color w:val="auto"/>
                <w:highlight w:val="none"/>
              </w:rPr>
            </w:pPr>
          </w:p>
        </w:tc>
        <w:tc>
          <w:tcPr>
            <w:tcW w:w="991" w:type="dxa"/>
            <w:tcBorders>
              <w:top w:val="single" w:color="auto" w:sz="4" w:space="0"/>
            </w:tcBorders>
          </w:tcPr>
          <w:p w14:paraId="357A857C">
            <w:pPr>
              <w:shd w:val="clear"/>
              <w:snapToGrid w:val="0"/>
              <w:ind w:right="-108"/>
              <w:rPr>
                <w:color w:val="auto"/>
                <w:highlight w:val="none"/>
              </w:rPr>
            </w:pPr>
          </w:p>
        </w:tc>
        <w:tc>
          <w:tcPr>
            <w:tcW w:w="1098" w:type="dxa"/>
            <w:tcBorders>
              <w:top w:val="single" w:color="auto" w:sz="4" w:space="0"/>
            </w:tcBorders>
          </w:tcPr>
          <w:p w14:paraId="78CFA902">
            <w:pPr>
              <w:shd w:val="clear"/>
              <w:snapToGrid w:val="0"/>
              <w:ind w:right="-108"/>
              <w:rPr>
                <w:color w:val="auto"/>
                <w:highlight w:val="none"/>
              </w:rPr>
            </w:pPr>
          </w:p>
        </w:tc>
      </w:tr>
      <w:tr w14:paraId="1DE13A6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20" w:hRule="atLeast"/>
          <w:jc w:val="center"/>
        </w:trPr>
        <w:tc>
          <w:tcPr>
            <w:tcW w:w="1562" w:type="dxa"/>
            <w:tcBorders>
              <w:top w:val="single" w:color="auto" w:sz="4" w:space="0"/>
            </w:tcBorders>
            <w:vAlign w:val="center"/>
          </w:tcPr>
          <w:p w14:paraId="28D023E0">
            <w:pPr>
              <w:shd w:val="clear"/>
              <w:tabs>
                <w:tab w:val="left" w:pos="0"/>
              </w:tabs>
              <w:adjustRightInd w:val="0"/>
              <w:snapToGrid w:val="0"/>
              <w:spacing w:line="360" w:lineRule="auto"/>
              <w:rPr>
                <w:color w:val="auto"/>
                <w:highlight w:val="none"/>
              </w:rPr>
            </w:pPr>
          </w:p>
        </w:tc>
        <w:tc>
          <w:tcPr>
            <w:tcW w:w="6096" w:type="dxa"/>
            <w:tcBorders>
              <w:top w:val="single" w:color="auto" w:sz="4" w:space="0"/>
            </w:tcBorders>
            <w:vAlign w:val="center"/>
          </w:tcPr>
          <w:p w14:paraId="7314DEA2">
            <w:pPr>
              <w:pStyle w:val="25"/>
              <w:shd w:val="clear"/>
              <w:ind w:firstLine="0" w:firstLineChars="0"/>
              <w:jc w:val="left"/>
              <w:rPr>
                <w:color w:val="auto"/>
                <w:highlight w:val="none"/>
              </w:rPr>
            </w:pPr>
          </w:p>
        </w:tc>
        <w:tc>
          <w:tcPr>
            <w:tcW w:w="991" w:type="dxa"/>
            <w:tcBorders>
              <w:top w:val="single" w:color="auto" w:sz="4" w:space="0"/>
            </w:tcBorders>
          </w:tcPr>
          <w:p w14:paraId="18095D69">
            <w:pPr>
              <w:shd w:val="clear"/>
              <w:rPr>
                <w:rFonts w:ascii="宋体" w:hAnsi="宋体"/>
                <w:color w:val="auto"/>
                <w:highlight w:val="none"/>
              </w:rPr>
            </w:pPr>
          </w:p>
        </w:tc>
        <w:tc>
          <w:tcPr>
            <w:tcW w:w="1098" w:type="dxa"/>
            <w:tcBorders>
              <w:top w:val="single" w:color="auto" w:sz="4" w:space="0"/>
            </w:tcBorders>
          </w:tcPr>
          <w:p w14:paraId="6277125E">
            <w:pPr>
              <w:shd w:val="clear"/>
              <w:rPr>
                <w:rFonts w:ascii="宋体" w:hAnsi="宋体"/>
                <w:color w:val="auto"/>
                <w:highlight w:val="none"/>
              </w:rPr>
            </w:pPr>
          </w:p>
        </w:tc>
      </w:tr>
      <w:tr w14:paraId="5728B47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20" w:hRule="atLeast"/>
          <w:jc w:val="center"/>
        </w:trPr>
        <w:tc>
          <w:tcPr>
            <w:tcW w:w="1562" w:type="dxa"/>
            <w:tcBorders>
              <w:top w:val="single" w:color="auto" w:sz="4" w:space="0"/>
            </w:tcBorders>
            <w:vAlign w:val="center"/>
          </w:tcPr>
          <w:p w14:paraId="2176D20A">
            <w:pPr>
              <w:shd w:val="clear"/>
              <w:tabs>
                <w:tab w:val="left" w:pos="0"/>
              </w:tabs>
              <w:adjustRightInd w:val="0"/>
              <w:snapToGrid w:val="0"/>
              <w:spacing w:line="360" w:lineRule="auto"/>
              <w:rPr>
                <w:color w:val="auto"/>
                <w:highlight w:val="none"/>
              </w:rPr>
            </w:pPr>
          </w:p>
        </w:tc>
        <w:tc>
          <w:tcPr>
            <w:tcW w:w="6096" w:type="dxa"/>
            <w:tcBorders>
              <w:top w:val="single" w:color="auto" w:sz="4" w:space="0"/>
            </w:tcBorders>
            <w:vAlign w:val="center"/>
          </w:tcPr>
          <w:p w14:paraId="4F7C69F4">
            <w:pPr>
              <w:widowControl/>
              <w:shd w:val="clear"/>
              <w:spacing w:line="0" w:lineRule="atLeast"/>
              <w:ind w:left="-108" w:right="-120"/>
              <w:jc w:val="left"/>
              <w:rPr>
                <w:color w:val="auto"/>
                <w:highlight w:val="none"/>
              </w:rPr>
            </w:pPr>
          </w:p>
        </w:tc>
        <w:tc>
          <w:tcPr>
            <w:tcW w:w="991" w:type="dxa"/>
            <w:tcBorders>
              <w:top w:val="single" w:color="auto" w:sz="4" w:space="0"/>
            </w:tcBorders>
          </w:tcPr>
          <w:p w14:paraId="6F7F729B">
            <w:pPr>
              <w:shd w:val="clear"/>
              <w:snapToGrid w:val="0"/>
              <w:ind w:right="-108"/>
              <w:rPr>
                <w:color w:val="auto"/>
                <w:highlight w:val="none"/>
              </w:rPr>
            </w:pPr>
          </w:p>
        </w:tc>
        <w:tc>
          <w:tcPr>
            <w:tcW w:w="1098" w:type="dxa"/>
            <w:tcBorders>
              <w:top w:val="single" w:color="auto" w:sz="4" w:space="0"/>
            </w:tcBorders>
          </w:tcPr>
          <w:p w14:paraId="13D0F90D">
            <w:pPr>
              <w:shd w:val="clear"/>
              <w:snapToGrid w:val="0"/>
              <w:ind w:right="-108"/>
              <w:rPr>
                <w:color w:val="auto"/>
                <w:highlight w:val="none"/>
              </w:rPr>
            </w:pPr>
          </w:p>
        </w:tc>
      </w:tr>
      <w:tr w14:paraId="5C10F3B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92" w:hRule="atLeast"/>
          <w:jc w:val="center"/>
        </w:trPr>
        <w:tc>
          <w:tcPr>
            <w:tcW w:w="1562" w:type="dxa"/>
            <w:vAlign w:val="center"/>
          </w:tcPr>
          <w:p w14:paraId="66802E8D">
            <w:pPr>
              <w:pStyle w:val="25"/>
              <w:shd w:val="clear"/>
              <w:ind w:firstLine="0" w:firstLineChars="0"/>
              <w:jc w:val="left"/>
              <w:rPr>
                <w:color w:val="auto"/>
                <w:highlight w:val="none"/>
              </w:rPr>
            </w:pPr>
          </w:p>
        </w:tc>
        <w:tc>
          <w:tcPr>
            <w:tcW w:w="6096" w:type="dxa"/>
            <w:vAlign w:val="center"/>
          </w:tcPr>
          <w:p w14:paraId="0F014119">
            <w:pPr>
              <w:pStyle w:val="25"/>
              <w:shd w:val="clear"/>
              <w:ind w:firstLine="0" w:firstLineChars="0"/>
              <w:jc w:val="left"/>
              <w:rPr>
                <w:color w:val="auto"/>
                <w:highlight w:val="none"/>
              </w:rPr>
            </w:pPr>
          </w:p>
        </w:tc>
        <w:tc>
          <w:tcPr>
            <w:tcW w:w="991" w:type="dxa"/>
          </w:tcPr>
          <w:p w14:paraId="283BB193">
            <w:pPr>
              <w:shd w:val="clear"/>
              <w:snapToGrid w:val="0"/>
              <w:ind w:right="-108"/>
              <w:rPr>
                <w:color w:val="auto"/>
                <w:highlight w:val="none"/>
              </w:rPr>
            </w:pPr>
          </w:p>
        </w:tc>
        <w:tc>
          <w:tcPr>
            <w:tcW w:w="1098" w:type="dxa"/>
          </w:tcPr>
          <w:p w14:paraId="1778817F">
            <w:pPr>
              <w:shd w:val="clear"/>
              <w:snapToGrid w:val="0"/>
              <w:ind w:right="-108"/>
              <w:rPr>
                <w:color w:val="auto"/>
                <w:highlight w:val="none"/>
              </w:rPr>
            </w:pPr>
          </w:p>
        </w:tc>
      </w:tr>
      <w:tr w14:paraId="787A4B9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562" w:type="dxa"/>
            <w:vAlign w:val="center"/>
          </w:tcPr>
          <w:p w14:paraId="20E3181B">
            <w:pPr>
              <w:pStyle w:val="25"/>
              <w:shd w:val="clear"/>
              <w:ind w:firstLine="0" w:firstLineChars="0"/>
              <w:jc w:val="left"/>
              <w:rPr>
                <w:color w:val="auto"/>
                <w:highlight w:val="none"/>
              </w:rPr>
            </w:pPr>
          </w:p>
        </w:tc>
        <w:tc>
          <w:tcPr>
            <w:tcW w:w="6096" w:type="dxa"/>
            <w:vAlign w:val="center"/>
          </w:tcPr>
          <w:p w14:paraId="5035DF5E">
            <w:pPr>
              <w:pStyle w:val="25"/>
              <w:shd w:val="clear"/>
              <w:ind w:firstLine="0" w:firstLineChars="0"/>
              <w:jc w:val="left"/>
              <w:rPr>
                <w:color w:val="auto"/>
                <w:highlight w:val="none"/>
              </w:rPr>
            </w:pPr>
          </w:p>
        </w:tc>
        <w:tc>
          <w:tcPr>
            <w:tcW w:w="991" w:type="dxa"/>
          </w:tcPr>
          <w:p w14:paraId="1B228675">
            <w:pPr>
              <w:shd w:val="clear"/>
              <w:snapToGrid w:val="0"/>
              <w:ind w:right="-108"/>
              <w:rPr>
                <w:color w:val="auto"/>
                <w:highlight w:val="none"/>
              </w:rPr>
            </w:pPr>
          </w:p>
        </w:tc>
        <w:tc>
          <w:tcPr>
            <w:tcW w:w="1098" w:type="dxa"/>
          </w:tcPr>
          <w:p w14:paraId="539E1D98">
            <w:pPr>
              <w:shd w:val="clear"/>
              <w:snapToGrid w:val="0"/>
              <w:ind w:right="-108"/>
              <w:rPr>
                <w:color w:val="auto"/>
                <w:highlight w:val="none"/>
              </w:rPr>
            </w:pPr>
          </w:p>
        </w:tc>
      </w:tr>
      <w:tr w14:paraId="5696D63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54" w:hRule="atLeast"/>
          <w:jc w:val="center"/>
        </w:trPr>
        <w:tc>
          <w:tcPr>
            <w:tcW w:w="1562" w:type="dxa"/>
            <w:vAlign w:val="center"/>
          </w:tcPr>
          <w:p w14:paraId="2265CAE4">
            <w:pPr>
              <w:pStyle w:val="25"/>
              <w:shd w:val="clear"/>
              <w:ind w:firstLine="0" w:firstLineChars="0"/>
              <w:jc w:val="left"/>
              <w:rPr>
                <w:color w:val="auto"/>
                <w:highlight w:val="none"/>
              </w:rPr>
            </w:pPr>
          </w:p>
        </w:tc>
        <w:tc>
          <w:tcPr>
            <w:tcW w:w="6096" w:type="dxa"/>
            <w:vAlign w:val="center"/>
          </w:tcPr>
          <w:p w14:paraId="455B3E72">
            <w:pPr>
              <w:pStyle w:val="25"/>
              <w:shd w:val="clear"/>
              <w:ind w:firstLine="0" w:firstLineChars="0"/>
              <w:jc w:val="left"/>
              <w:rPr>
                <w:color w:val="auto"/>
                <w:highlight w:val="none"/>
              </w:rPr>
            </w:pPr>
          </w:p>
        </w:tc>
        <w:tc>
          <w:tcPr>
            <w:tcW w:w="991" w:type="dxa"/>
          </w:tcPr>
          <w:p w14:paraId="0F6F967D">
            <w:pPr>
              <w:shd w:val="clear"/>
              <w:snapToGrid w:val="0"/>
              <w:ind w:right="-108"/>
              <w:rPr>
                <w:color w:val="auto"/>
                <w:highlight w:val="none"/>
              </w:rPr>
            </w:pPr>
          </w:p>
        </w:tc>
        <w:tc>
          <w:tcPr>
            <w:tcW w:w="1098" w:type="dxa"/>
          </w:tcPr>
          <w:p w14:paraId="06EFAE1F">
            <w:pPr>
              <w:shd w:val="clear"/>
              <w:snapToGrid w:val="0"/>
              <w:ind w:right="-108"/>
              <w:rPr>
                <w:color w:val="auto"/>
                <w:highlight w:val="none"/>
              </w:rPr>
            </w:pPr>
          </w:p>
        </w:tc>
      </w:tr>
      <w:tr w14:paraId="78A994F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08" w:hRule="atLeast"/>
          <w:jc w:val="center"/>
        </w:trPr>
        <w:tc>
          <w:tcPr>
            <w:tcW w:w="1562" w:type="dxa"/>
            <w:vAlign w:val="center"/>
          </w:tcPr>
          <w:p w14:paraId="61E1FDBE">
            <w:pPr>
              <w:pStyle w:val="25"/>
              <w:shd w:val="clear"/>
              <w:ind w:firstLine="0" w:firstLineChars="0"/>
              <w:jc w:val="left"/>
              <w:rPr>
                <w:color w:val="auto"/>
                <w:highlight w:val="none"/>
              </w:rPr>
            </w:pPr>
          </w:p>
        </w:tc>
        <w:tc>
          <w:tcPr>
            <w:tcW w:w="6096" w:type="dxa"/>
            <w:vAlign w:val="center"/>
          </w:tcPr>
          <w:p w14:paraId="69FC3A6F">
            <w:pPr>
              <w:pStyle w:val="25"/>
              <w:shd w:val="clear"/>
              <w:ind w:firstLine="0" w:firstLineChars="0"/>
              <w:jc w:val="left"/>
              <w:rPr>
                <w:color w:val="auto"/>
                <w:highlight w:val="none"/>
              </w:rPr>
            </w:pPr>
          </w:p>
        </w:tc>
        <w:tc>
          <w:tcPr>
            <w:tcW w:w="991" w:type="dxa"/>
          </w:tcPr>
          <w:p w14:paraId="3DD49389">
            <w:pPr>
              <w:shd w:val="clear"/>
              <w:snapToGrid w:val="0"/>
              <w:ind w:right="-108"/>
              <w:rPr>
                <w:color w:val="auto"/>
                <w:highlight w:val="none"/>
              </w:rPr>
            </w:pPr>
          </w:p>
        </w:tc>
        <w:tc>
          <w:tcPr>
            <w:tcW w:w="1098" w:type="dxa"/>
          </w:tcPr>
          <w:p w14:paraId="0603F99B">
            <w:pPr>
              <w:shd w:val="clear"/>
              <w:snapToGrid w:val="0"/>
              <w:ind w:right="-108"/>
              <w:rPr>
                <w:color w:val="auto"/>
                <w:highlight w:val="none"/>
              </w:rPr>
            </w:pPr>
          </w:p>
        </w:tc>
      </w:tr>
    </w:tbl>
    <w:p w14:paraId="6C241CF1">
      <w:pPr>
        <w:shd w:val="clear"/>
        <w:adjustRightInd w:val="0"/>
        <w:snapToGrid w:val="0"/>
        <w:spacing w:line="360" w:lineRule="auto"/>
        <w:jc w:val="right"/>
        <w:rPr>
          <w:rFonts w:cs="仿宋" w:asciiTheme="majorEastAsia" w:hAnsiTheme="majorEastAsia" w:eastAsiaTheme="majorEastAsia"/>
          <w:color w:val="auto"/>
          <w:kern w:val="0"/>
          <w:sz w:val="24"/>
          <w:highlight w:val="none"/>
        </w:rPr>
      </w:pPr>
    </w:p>
    <w:p w14:paraId="2E8ED0E8">
      <w:pPr>
        <w:shd w:val="clear"/>
        <w:adjustRightInd w:val="0"/>
        <w:snapToGrid w:val="0"/>
        <w:spacing w:line="360" w:lineRule="auto"/>
        <w:jc w:val="righ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法定代表人或其授权委托人（签名或印章）：</w:t>
      </w:r>
    </w:p>
    <w:p w14:paraId="29EA9739">
      <w:pPr>
        <w:shd w:val="clear"/>
        <w:adjustRightInd w:val="0"/>
        <w:snapToGrid w:val="0"/>
        <w:spacing w:line="360" w:lineRule="auto"/>
        <w:ind w:left="3990" w:leftChars="1900"/>
        <w:jc w:val="center"/>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投标人（盖章）：</w:t>
      </w:r>
    </w:p>
    <w:p w14:paraId="0E015841">
      <w:pPr>
        <w:shd w:val="clear"/>
        <w:adjustRightInd w:val="0"/>
        <w:snapToGrid w:val="0"/>
        <w:spacing w:line="360" w:lineRule="auto"/>
        <w:ind w:right="1920"/>
        <w:jc w:val="center"/>
        <w:rPr>
          <w:rFonts w:cs="仿宋" w:asciiTheme="majorEastAsia" w:hAnsiTheme="majorEastAsia" w:eastAsiaTheme="majorEastAsia"/>
          <w:b/>
          <w:color w:val="auto"/>
          <w:kern w:val="0"/>
          <w:sz w:val="32"/>
          <w:szCs w:val="32"/>
          <w:highlight w:val="none"/>
          <w:lang w:val="zh-CN"/>
        </w:rPr>
      </w:pPr>
      <w:r>
        <w:rPr>
          <w:rFonts w:hint="eastAsia" w:cs="仿宋" w:asciiTheme="majorEastAsia" w:hAnsiTheme="majorEastAsia" w:eastAsiaTheme="majorEastAsia"/>
          <w:color w:val="auto"/>
          <w:kern w:val="0"/>
          <w:sz w:val="24"/>
          <w:highlight w:val="none"/>
          <w:lang w:val="zh-CN"/>
        </w:rPr>
        <w:t xml:space="preserve">                                      日期</w:t>
      </w:r>
      <w:r>
        <w:rPr>
          <w:rFonts w:hint="eastAsia" w:cs="仿宋" w:asciiTheme="majorEastAsia" w:hAnsiTheme="majorEastAsia" w:eastAsiaTheme="majorEastAsia"/>
          <w:color w:val="auto"/>
          <w:kern w:val="0"/>
          <w:sz w:val="24"/>
          <w:highlight w:val="none"/>
        </w:rPr>
        <w:t>:</w:t>
      </w:r>
    </w:p>
    <w:p w14:paraId="1E5F075A">
      <w:pPr>
        <w:widowControl/>
        <w:shd w:val="clear"/>
        <w:jc w:val="left"/>
        <w:rPr>
          <w:rFonts w:asciiTheme="majorEastAsia" w:hAnsiTheme="majorEastAsia" w:eastAsiaTheme="majorEastAsia"/>
          <w:color w:val="auto"/>
          <w:sz w:val="28"/>
          <w:highlight w:val="none"/>
          <w:lang w:val="zh-CN"/>
        </w:rPr>
      </w:pPr>
    </w:p>
    <w:p w14:paraId="31BE751D">
      <w:pPr>
        <w:widowControl/>
        <w:shd w:val="clear"/>
        <w:jc w:val="left"/>
        <w:rPr>
          <w:rFonts w:asciiTheme="majorEastAsia" w:hAnsiTheme="majorEastAsia" w:eastAsiaTheme="majorEastAsia"/>
          <w:color w:val="auto"/>
          <w:sz w:val="28"/>
          <w:highlight w:val="none"/>
          <w:lang w:val="zh-CN"/>
        </w:rPr>
      </w:pPr>
      <w:r>
        <w:rPr>
          <w:rFonts w:asciiTheme="majorEastAsia" w:hAnsiTheme="majorEastAsia" w:eastAsiaTheme="majorEastAsia"/>
          <w:color w:val="auto"/>
          <w:highlight w:val="none"/>
          <w:lang w:val="zh-CN"/>
        </w:rPr>
        <w:br w:type="page"/>
      </w:r>
    </w:p>
    <w:p w14:paraId="7BF1C362">
      <w:pPr>
        <w:numPr>
          <w:ilvl w:val="0"/>
          <w:numId w:val="3"/>
        </w:numPr>
        <w:shd w:val="clear"/>
        <w:snapToGrid w:val="0"/>
        <w:spacing w:line="360" w:lineRule="auto"/>
        <w:jc w:val="center"/>
        <w:outlineLvl w:val="0"/>
        <w:rPr>
          <w:rFonts w:cs="仿宋" w:asciiTheme="majorEastAsia" w:hAnsiTheme="majorEastAsia" w:eastAsiaTheme="majorEastAsia"/>
          <w:b/>
          <w:color w:val="auto"/>
          <w:kern w:val="0"/>
          <w:sz w:val="32"/>
          <w:szCs w:val="32"/>
          <w:highlight w:val="none"/>
          <w:lang w:val="zh-CN"/>
        </w:rPr>
      </w:pPr>
      <w:r>
        <w:rPr>
          <w:rFonts w:hint="eastAsia" w:cs="仿宋" w:asciiTheme="majorEastAsia" w:hAnsiTheme="majorEastAsia" w:eastAsiaTheme="majorEastAsia"/>
          <w:b/>
          <w:color w:val="auto"/>
          <w:kern w:val="0"/>
          <w:sz w:val="32"/>
          <w:szCs w:val="32"/>
          <w:highlight w:val="none"/>
          <w:lang w:val="zh-CN"/>
        </w:rPr>
        <w:t>技术响应表</w:t>
      </w:r>
    </w:p>
    <w:p w14:paraId="6A5F9E62">
      <w:pPr>
        <w:shd w:val="clear"/>
        <w:spacing w:line="360" w:lineRule="auto"/>
        <w:jc w:val="center"/>
        <w:rPr>
          <w:rFonts w:ascii="宋体" w:hAnsi="宋体" w:cs="宋体"/>
          <w:color w:val="auto"/>
          <w:highlight w:val="none"/>
        </w:rPr>
      </w:pPr>
      <w:r>
        <w:rPr>
          <w:rFonts w:hint="eastAsia" w:ascii="宋体" w:hAnsi="宋体" w:cs="宋体"/>
          <w:b/>
          <w:color w:val="auto"/>
          <w:highlight w:val="none"/>
          <w:lang w:val="en-US" w:eastAsia="zh-CN"/>
        </w:rPr>
        <w:t>1</w:t>
      </w:r>
      <w:r>
        <w:rPr>
          <w:rFonts w:hint="eastAsia" w:ascii="宋体" w:hAnsi="宋体" w:cs="宋体"/>
          <w:b/>
          <w:color w:val="auto"/>
          <w:highlight w:val="none"/>
        </w:rPr>
        <w:t>.带</w:t>
      </w:r>
      <w:r>
        <w:rPr>
          <w:rFonts w:hint="eastAsia" w:asciiTheme="minorEastAsia" w:hAnsiTheme="minorEastAsia" w:eastAsiaTheme="minorEastAsia"/>
          <w:color w:val="auto"/>
          <w:sz w:val="24"/>
          <w:highlight w:val="none"/>
        </w:rPr>
        <w:t>★</w:t>
      </w:r>
      <w:r>
        <w:rPr>
          <w:rFonts w:hint="eastAsia" w:ascii="宋体" w:hAnsi="宋体" w:cs="宋体"/>
          <w:b/>
          <w:color w:val="auto"/>
          <w:highlight w:val="none"/>
        </w:rPr>
        <w:t>条款响应一览表</w:t>
      </w:r>
    </w:p>
    <w:p w14:paraId="2D6773C7">
      <w:pPr>
        <w:shd w:val="clear"/>
        <w:spacing w:line="360" w:lineRule="auto"/>
        <w:rPr>
          <w:rFonts w:cs="仿宋" w:asciiTheme="majorEastAsia" w:hAnsiTheme="majorEastAsia" w:eastAsiaTheme="majorEastAsia"/>
          <w:color w:val="auto"/>
          <w:kern w:val="0"/>
          <w:sz w:val="32"/>
          <w:szCs w:val="32"/>
          <w:highlight w:val="none"/>
          <w:lang w:val="zh-CN"/>
        </w:rPr>
      </w:pPr>
      <w:r>
        <w:rPr>
          <w:rFonts w:hint="eastAsia" w:ascii="宋体" w:hAnsi="宋体" w:cs="宋体"/>
          <w:color w:val="auto"/>
          <w:highlight w:val="none"/>
        </w:rPr>
        <w:t>项目名称：</w:t>
      </w:r>
    </w:p>
    <w:tbl>
      <w:tblPr>
        <w:tblStyle w:val="1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787"/>
        <w:gridCol w:w="2788"/>
        <w:gridCol w:w="2788"/>
      </w:tblGrid>
      <w:tr w14:paraId="0C685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003BB4CF">
            <w:pPr>
              <w:shd w:val="clea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2787" w:type="dxa"/>
            <w:vAlign w:val="center"/>
          </w:tcPr>
          <w:p w14:paraId="733AAF73">
            <w:pPr>
              <w:shd w:val="clear"/>
              <w:ind w:firstLine="210" w:firstLineChars="100"/>
              <w:rPr>
                <w:rFonts w:ascii="宋体" w:hAnsi="宋体" w:cs="宋体"/>
                <w:color w:val="auto"/>
                <w:highlight w:val="none"/>
              </w:rPr>
            </w:pPr>
            <w:r>
              <w:rPr>
                <w:rFonts w:hint="eastAsia" w:ascii="宋体" w:hAnsi="宋体" w:cs="宋体"/>
                <w:color w:val="auto"/>
                <w:highlight w:val="none"/>
              </w:rPr>
              <w:t>采购文件条款描述</w:t>
            </w:r>
          </w:p>
        </w:tc>
        <w:tc>
          <w:tcPr>
            <w:tcW w:w="2788" w:type="dxa"/>
            <w:vAlign w:val="center"/>
          </w:tcPr>
          <w:p w14:paraId="21A0A755">
            <w:pPr>
              <w:shd w:val="clear"/>
              <w:ind w:left="-78" w:leftChars="-37" w:right="-80" w:rightChars="-38"/>
              <w:jc w:val="center"/>
              <w:rPr>
                <w:rFonts w:ascii="宋体" w:hAnsi="宋体" w:cs="宋体"/>
                <w:color w:val="auto"/>
                <w:highlight w:val="none"/>
              </w:rPr>
            </w:pPr>
            <w:r>
              <w:rPr>
                <w:rFonts w:hint="eastAsia" w:ascii="宋体" w:hAnsi="宋体" w:cs="宋体"/>
                <w:color w:val="auto"/>
                <w:highlight w:val="none"/>
              </w:rPr>
              <w:t>投标人响应描述</w:t>
            </w:r>
          </w:p>
        </w:tc>
        <w:tc>
          <w:tcPr>
            <w:tcW w:w="2788" w:type="dxa"/>
            <w:vAlign w:val="center"/>
          </w:tcPr>
          <w:p w14:paraId="33F9C262">
            <w:pPr>
              <w:shd w:val="clear"/>
              <w:ind w:left="-78" w:leftChars="-37" w:right="-80" w:rightChars="-38"/>
              <w:jc w:val="center"/>
              <w:rPr>
                <w:rFonts w:ascii="宋体" w:hAnsi="宋体" w:cs="宋体"/>
                <w:color w:val="auto"/>
                <w:highlight w:val="none"/>
              </w:rPr>
            </w:pPr>
            <w:r>
              <w:rPr>
                <w:rFonts w:hint="eastAsia" w:ascii="宋体" w:hAnsi="宋体" w:cs="宋体"/>
                <w:color w:val="auto"/>
                <w:highlight w:val="none"/>
              </w:rPr>
              <w:t>差异</w:t>
            </w:r>
          </w:p>
        </w:tc>
      </w:tr>
      <w:tr w14:paraId="0C174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0E708DAD">
            <w:pPr>
              <w:shd w:val="clear"/>
              <w:rPr>
                <w:rFonts w:ascii="宋体" w:hAnsi="宋体" w:cs="宋体"/>
                <w:color w:val="auto"/>
                <w:highlight w:val="none"/>
              </w:rPr>
            </w:pPr>
          </w:p>
        </w:tc>
        <w:tc>
          <w:tcPr>
            <w:tcW w:w="2787" w:type="dxa"/>
          </w:tcPr>
          <w:p w14:paraId="4B336E25">
            <w:pPr>
              <w:shd w:val="clear"/>
              <w:rPr>
                <w:rFonts w:ascii="宋体" w:hAnsi="宋体" w:cs="宋体"/>
                <w:color w:val="auto"/>
                <w:highlight w:val="none"/>
              </w:rPr>
            </w:pPr>
          </w:p>
        </w:tc>
        <w:tc>
          <w:tcPr>
            <w:tcW w:w="2788" w:type="dxa"/>
          </w:tcPr>
          <w:p w14:paraId="370F1479">
            <w:pPr>
              <w:shd w:val="clear"/>
              <w:rPr>
                <w:rFonts w:ascii="宋体" w:hAnsi="宋体" w:cs="宋体"/>
                <w:color w:val="auto"/>
                <w:highlight w:val="none"/>
              </w:rPr>
            </w:pPr>
          </w:p>
        </w:tc>
        <w:tc>
          <w:tcPr>
            <w:tcW w:w="2788" w:type="dxa"/>
          </w:tcPr>
          <w:p w14:paraId="2AAF4A14">
            <w:pPr>
              <w:shd w:val="clear"/>
              <w:rPr>
                <w:rFonts w:ascii="宋体" w:hAnsi="宋体" w:cs="宋体"/>
                <w:color w:val="auto"/>
                <w:highlight w:val="none"/>
              </w:rPr>
            </w:pPr>
          </w:p>
        </w:tc>
      </w:tr>
      <w:tr w14:paraId="4C91E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44EC2BEF">
            <w:pPr>
              <w:shd w:val="clear"/>
              <w:rPr>
                <w:rFonts w:ascii="宋体" w:hAnsi="宋体" w:cs="宋体"/>
                <w:color w:val="auto"/>
                <w:highlight w:val="none"/>
              </w:rPr>
            </w:pPr>
          </w:p>
        </w:tc>
        <w:tc>
          <w:tcPr>
            <w:tcW w:w="2787" w:type="dxa"/>
          </w:tcPr>
          <w:p w14:paraId="178DB55F">
            <w:pPr>
              <w:shd w:val="clear"/>
              <w:rPr>
                <w:rFonts w:ascii="宋体" w:hAnsi="宋体" w:cs="宋体"/>
                <w:color w:val="auto"/>
                <w:highlight w:val="none"/>
              </w:rPr>
            </w:pPr>
          </w:p>
        </w:tc>
        <w:tc>
          <w:tcPr>
            <w:tcW w:w="2788" w:type="dxa"/>
          </w:tcPr>
          <w:p w14:paraId="5BA9D631">
            <w:pPr>
              <w:shd w:val="clear"/>
              <w:rPr>
                <w:rFonts w:ascii="宋体" w:hAnsi="宋体" w:cs="宋体"/>
                <w:color w:val="auto"/>
                <w:highlight w:val="none"/>
              </w:rPr>
            </w:pPr>
          </w:p>
        </w:tc>
        <w:tc>
          <w:tcPr>
            <w:tcW w:w="2788" w:type="dxa"/>
          </w:tcPr>
          <w:p w14:paraId="2C7A9EB5">
            <w:pPr>
              <w:shd w:val="clear"/>
              <w:rPr>
                <w:rFonts w:ascii="宋体" w:hAnsi="宋体" w:cs="宋体"/>
                <w:color w:val="auto"/>
                <w:highlight w:val="none"/>
              </w:rPr>
            </w:pPr>
          </w:p>
        </w:tc>
      </w:tr>
      <w:tr w14:paraId="28185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7FD9511E">
            <w:pPr>
              <w:shd w:val="clear"/>
              <w:rPr>
                <w:rFonts w:ascii="宋体" w:hAnsi="宋体" w:cs="宋体"/>
                <w:color w:val="auto"/>
                <w:highlight w:val="none"/>
              </w:rPr>
            </w:pPr>
          </w:p>
        </w:tc>
        <w:tc>
          <w:tcPr>
            <w:tcW w:w="2787" w:type="dxa"/>
          </w:tcPr>
          <w:p w14:paraId="3ABD31B8">
            <w:pPr>
              <w:shd w:val="clear"/>
              <w:rPr>
                <w:rFonts w:ascii="宋体" w:hAnsi="宋体" w:cs="宋体"/>
                <w:color w:val="auto"/>
                <w:highlight w:val="none"/>
              </w:rPr>
            </w:pPr>
          </w:p>
        </w:tc>
        <w:tc>
          <w:tcPr>
            <w:tcW w:w="2788" w:type="dxa"/>
          </w:tcPr>
          <w:p w14:paraId="52817B85">
            <w:pPr>
              <w:shd w:val="clear"/>
              <w:rPr>
                <w:rFonts w:ascii="宋体" w:hAnsi="宋体" w:cs="宋体"/>
                <w:color w:val="auto"/>
                <w:highlight w:val="none"/>
              </w:rPr>
            </w:pPr>
          </w:p>
        </w:tc>
        <w:tc>
          <w:tcPr>
            <w:tcW w:w="2788" w:type="dxa"/>
          </w:tcPr>
          <w:p w14:paraId="5C633008">
            <w:pPr>
              <w:shd w:val="clear"/>
              <w:rPr>
                <w:rFonts w:ascii="宋体" w:hAnsi="宋体" w:cs="宋体"/>
                <w:color w:val="auto"/>
                <w:highlight w:val="none"/>
              </w:rPr>
            </w:pPr>
          </w:p>
        </w:tc>
      </w:tr>
      <w:tr w14:paraId="68605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086EDA21">
            <w:pPr>
              <w:shd w:val="clear"/>
              <w:rPr>
                <w:rFonts w:ascii="宋体" w:hAnsi="宋体" w:cs="宋体"/>
                <w:color w:val="auto"/>
                <w:highlight w:val="none"/>
              </w:rPr>
            </w:pPr>
          </w:p>
        </w:tc>
        <w:tc>
          <w:tcPr>
            <w:tcW w:w="2787" w:type="dxa"/>
          </w:tcPr>
          <w:p w14:paraId="2975033B">
            <w:pPr>
              <w:shd w:val="clear"/>
              <w:rPr>
                <w:rFonts w:ascii="宋体" w:hAnsi="宋体" w:cs="宋体"/>
                <w:color w:val="auto"/>
                <w:highlight w:val="none"/>
              </w:rPr>
            </w:pPr>
          </w:p>
        </w:tc>
        <w:tc>
          <w:tcPr>
            <w:tcW w:w="2788" w:type="dxa"/>
          </w:tcPr>
          <w:p w14:paraId="4ACE9095">
            <w:pPr>
              <w:shd w:val="clear"/>
              <w:rPr>
                <w:rFonts w:ascii="宋体" w:hAnsi="宋体" w:cs="宋体"/>
                <w:color w:val="auto"/>
                <w:highlight w:val="none"/>
              </w:rPr>
            </w:pPr>
          </w:p>
        </w:tc>
        <w:tc>
          <w:tcPr>
            <w:tcW w:w="2788" w:type="dxa"/>
          </w:tcPr>
          <w:p w14:paraId="3F455DC8">
            <w:pPr>
              <w:shd w:val="clear"/>
              <w:rPr>
                <w:rFonts w:ascii="宋体" w:hAnsi="宋体" w:cs="宋体"/>
                <w:color w:val="auto"/>
                <w:highlight w:val="none"/>
              </w:rPr>
            </w:pPr>
          </w:p>
        </w:tc>
      </w:tr>
      <w:tr w14:paraId="5A80E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421AF4DB">
            <w:pPr>
              <w:shd w:val="clear"/>
              <w:rPr>
                <w:rFonts w:ascii="宋体" w:hAnsi="宋体" w:cs="宋体"/>
                <w:color w:val="auto"/>
                <w:highlight w:val="none"/>
              </w:rPr>
            </w:pPr>
          </w:p>
        </w:tc>
        <w:tc>
          <w:tcPr>
            <w:tcW w:w="2787" w:type="dxa"/>
          </w:tcPr>
          <w:p w14:paraId="56FC0225">
            <w:pPr>
              <w:shd w:val="clear"/>
              <w:rPr>
                <w:rFonts w:ascii="宋体" w:hAnsi="宋体" w:cs="宋体"/>
                <w:color w:val="auto"/>
                <w:highlight w:val="none"/>
              </w:rPr>
            </w:pPr>
          </w:p>
        </w:tc>
        <w:tc>
          <w:tcPr>
            <w:tcW w:w="2788" w:type="dxa"/>
          </w:tcPr>
          <w:p w14:paraId="5E6991CA">
            <w:pPr>
              <w:shd w:val="clear"/>
              <w:rPr>
                <w:rFonts w:ascii="宋体" w:hAnsi="宋体" w:cs="宋体"/>
                <w:color w:val="auto"/>
                <w:highlight w:val="none"/>
              </w:rPr>
            </w:pPr>
          </w:p>
        </w:tc>
        <w:tc>
          <w:tcPr>
            <w:tcW w:w="2788" w:type="dxa"/>
          </w:tcPr>
          <w:p w14:paraId="434CF8FF">
            <w:pPr>
              <w:shd w:val="clear"/>
              <w:rPr>
                <w:rFonts w:ascii="宋体" w:hAnsi="宋体" w:cs="宋体"/>
                <w:color w:val="auto"/>
                <w:highlight w:val="none"/>
              </w:rPr>
            </w:pPr>
          </w:p>
        </w:tc>
      </w:tr>
      <w:tr w14:paraId="31EE9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26708586">
            <w:pPr>
              <w:shd w:val="clear"/>
              <w:rPr>
                <w:rFonts w:ascii="宋体" w:hAnsi="宋体" w:cs="宋体"/>
                <w:color w:val="auto"/>
                <w:highlight w:val="none"/>
              </w:rPr>
            </w:pPr>
            <w:r>
              <w:rPr>
                <w:rFonts w:hint="eastAsia" w:ascii="宋体" w:hAnsi="宋体" w:cs="宋体"/>
                <w:color w:val="auto"/>
                <w:highlight w:val="none"/>
              </w:rPr>
              <w:t>……</w:t>
            </w:r>
          </w:p>
        </w:tc>
        <w:tc>
          <w:tcPr>
            <w:tcW w:w="2787" w:type="dxa"/>
          </w:tcPr>
          <w:p w14:paraId="10E53CDC">
            <w:pPr>
              <w:shd w:val="clear"/>
              <w:rPr>
                <w:rFonts w:ascii="宋体" w:hAnsi="宋体" w:cs="宋体"/>
                <w:color w:val="auto"/>
                <w:highlight w:val="none"/>
              </w:rPr>
            </w:pPr>
          </w:p>
        </w:tc>
        <w:tc>
          <w:tcPr>
            <w:tcW w:w="2788" w:type="dxa"/>
          </w:tcPr>
          <w:p w14:paraId="1295E399">
            <w:pPr>
              <w:shd w:val="clear"/>
              <w:rPr>
                <w:rFonts w:ascii="宋体" w:hAnsi="宋体" w:cs="宋体"/>
                <w:color w:val="auto"/>
                <w:highlight w:val="none"/>
              </w:rPr>
            </w:pPr>
          </w:p>
        </w:tc>
        <w:tc>
          <w:tcPr>
            <w:tcW w:w="2788" w:type="dxa"/>
          </w:tcPr>
          <w:p w14:paraId="51ACE4B9">
            <w:pPr>
              <w:shd w:val="clear"/>
              <w:rPr>
                <w:rFonts w:ascii="宋体" w:hAnsi="宋体" w:cs="宋体"/>
                <w:color w:val="auto"/>
                <w:highlight w:val="none"/>
              </w:rPr>
            </w:pPr>
          </w:p>
        </w:tc>
      </w:tr>
    </w:tbl>
    <w:p w14:paraId="458E62BC">
      <w:pPr>
        <w:shd w:val="clear"/>
        <w:spacing w:line="360" w:lineRule="auto"/>
        <w:jc w:val="left"/>
        <w:rPr>
          <w:rFonts w:ascii="宋体" w:hAnsi="宋体" w:cs="宋体"/>
          <w:color w:val="auto"/>
          <w:highlight w:val="none"/>
        </w:rPr>
      </w:pPr>
      <w:r>
        <w:rPr>
          <w:rFonts w:hint="eastAsia" w:ascii="宋体" w:hAnsi="宋体" w:cs="宋体"/>
          <w:color w:val="auto"/>
          <w:highlight w:val="none"/>
        </w:rPr>
        <w:t>说明：投标人必须对应采购文件“第三部分 采购需求”带“</w:t>
      </w:r>
      <w:r>
        <w:rPr>
          <w:rFonts w:hint="eastAsia" w:asciiTheme="minorEastAsia" w:hAnsiTheme="minorEastAsia" w:eastAsiaTheme="minorEastAsia"/>
          <w:color w:val="auto"/>
          <w:sz w:val="24"/>
          <w:highlight w:val="none"/>
        </w:rPr>
        <w:t>★</w:t>
      </w:r>
      <w:r>
        <w:rPr>
          <w:rFonts w:hint="eastAsia" w:ascii="宋体" w:hAnsi="宋体" w:cs="宋体"/>
          <w:color w:val="auto"/>
          <w:highlight w:val="none"/>
        </w:rPr>
        <w:t>”的条款逐条应答并按要求填写上表。条款要求提供的相关证明资料必须一并提供，否则视为不响应。</w:t>
      </w:r>
    </w:p>
    <w:p w14:paraId="61DB1DAA">
      <w:pPr>
        <w:shd w:val="clear"/>
        <w:spacing w:line="360" w:lineRule="auto"/>
        <w:jc w:val="right"/>
        <w:rPr>
          <w:rFonts w:ascii="宋体" w:hAnsi="宋体" w:cs="宋体"/>
          <w:color w:val="auto"/>
          <w:highlight w:val="none"/>
        </w:rPr>
      </w:pPr>
      <w:r>
        <w:rPr>
          <w:rFonts w:hint="eastAsia" w:ascii="宋体" w:hAnsi="宋体" w:cs="宋体"/>
          <w:color w:val="auto"/>
          <w:highlight w:val="none"/>
        </w:rPr>
        <w:t>法定代表人或其授权委托人（签名或印章）：</w:t>
      </w:r>
    </w:p>
    <w:p w14:paraId="1F24662D">
      <w:pPr>
        <w:shd w:val="clear"/>
        <w:spacing w:line="360" w:lineRule="auto"/>
        <w:ind w:firstLine="5040" w:firstLineChars="2400"/>
        <w:rPr>
          <w:rFonts w:ascii="宋体" w:hAnsi="宋体" w:cs="宋体"/>
          <w:color w:val="auto"/>
          <w:highlight w:val="none"/>
        </w:rPr>
      </w:pPr>
      <w:r>
        <w:rPr>
          <w:rFonts w:hint="eastAsia" w:ascii="宋体" w:hAnsi="宋体" w:cs="宋体"/>
          <w:color w:val="auto"/>
          <w:highlight w:val="none"/>
        </w:rPr>
        <w:t>投标人（盖章）：</w:t>
      </w:r>
    </w:p>
    <w:p w14:paraId="7A2140FD">
      <w:pPr>
        <w:shd w:val="clear"/>
        <w:spacing w:line="360" w:lineRule="auto"/>
        <w:ind w:firstLine="5040" w:firstLineChars="2400"/>
        <w:rPr>
          <w:rFonts w:hint="eastAsia" w:ascii="宋体" w:hAnsi="宋体" w:cs="宋体"/>
          <w:color w:val="auto"/>
          <w:highlight w:val="none"/>
          <w:lang w:val="zh-CN"/>
        </w:rPr>
      </w:pPr>
      <w:r>
        <w:rPr>
          <w:rFonts w:hint="eastAsia" w:ascii="宋体" w:hAnsi="宋体" w:cs="宋体"/>
          <w:color w:val="auto"/>
          <w:highlight w:val="none"/>
        </w:rPr>
        <w:t>日期：</w:t>
      </w:r>
    </w:p>
    <w:p w14:paraId="6F926FB9">
      <w:pPr>
        <w:shd w:val="clear"/>
        <w:jc w:val="center"/>
        <w:rPr>
          <w:rFonts w:ascii="宋体" w:hAnsi="宋体" w:cs="宋体"/>
          <w:color w:val="auto"/>
          <w:highlight w:val="none"/>
        </w:rPr>
      </w:pPr>
      <w:r>
        <w:rPr>
          <w:rFonts w:hint="eastAsia" w:ascii="宋体" w:hAnsi="宋体" w:cs="宋体"/>
          <w:b/>
          <w:color w:val="auto"/>
          <w:highlight w:val="none"/>
          <w:lang w:val="en-US" w:eastAsia="zh-CN"/>
        </w:rPr>
        <w:t>2</w:t>
      </w:r>
      <w:r>
        <w:rPr>
          <w:rFonts w:hint="eastAsia" w:ascii="宋体" w:hAnsi="宋体" w:cs="宋体"/>
          <w:b/>
          <w:color w:val="auto"/>
          <w:highlight w:val="none"/>
        </w:rPr>
        <w:t>.一般性条款响应一览表</w:t>
      </w:r>
    </w:p>
    <w:p w14:paraId="6144333D">
      <w:pPr>
        <w:shd w:val="clear"/>
        <w:rPr>
          <w:rFonts w:ascii="宋体" w:hAnsi="宋体" w:cs="宋体"/>
          <w:color w:val="auto"/>
          <w:highlight w:val="none"/>
        </w:rPr>
      </w:pPr>
    </w:p>
    <w:p w14:paraId="679BA260">
      <w:pPr>
        <w:shd w:val="clear"/>
        <w:ind w:firstLine="210" w:firstLineChars="100"/>
        <w:rPr>
          <w:rFonts w:ascii="宋体" w:hAnsi="宋体" w:cs="宋体"/>
          <w:color w:val="auto"/>
          <w:highlight w:val="none"/>
        </w:rPr>
      </w:pPr>
      <w:r>
        <w:rPr>
          <w:rFonts w:hint="eastAsia" w:ascii="宋体" w:hAnsi="宋体" w:cs="宋体"/>
          <w:color w:val="auto"/>
          <w:highlight w:val="none"/>
        </w:rPr>
        <w:t xml:space="preserve">  项目名称：     </w:t>
      </w:r>
    </w:p>
    <w:p w14:paraId="75EA0E6D">
      <w:pPr>
        <w:shd w:val="clear"/>
        <w:ind w:firstLine="210" w:firstLineChars="100"/>
        <w:rPr>
          <w:rFonts w:ascii="宋体" w:hAnsi="宋体" w:cs="宋体"/>
          <w:color w:val="auto"/>
          <w:highlight w:val="none"/>
        </w:rPr>
      </w:pPr>
      <w:r>
        <w:rPr>
          <w:rFonts w:hint="eastAsia" w:ascii="宋体" w:hAnsi="宋体" w:cs="宋体"/>
          <w:color w:val="auto"/>
          <w:highlight w:val="none"/>
        </w:rPr>
        <w:t xml:space="preserve">   </w:t>
      </w:r>
    </w:p>
    <w:tbl>
      <w:tblPr>
        <w:tblStyle w:val="18"/>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787"/>
        <w:gridCol w:w="2788"/>
        <w:gridCol w:w="2788"/>
      </w:tblGrid>
      <w:tr w14:paraId="3BE80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13F26644">
            <w:pPr>
              <w:shd w:val="clea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2787" w:type="dxa"/>
            <w:vAlign w:val="center"/>
          </w:tcPr>
          <w:p w14:paraId="39E1E106">
            <w:pPr>
              <w:shd w:val="clear"/>
              <w:ind w:firstLine="210" w:firstLineChars="100"/>
              <w:rPr>
                <w:rFonts w:ascii="宋体" w:hAnsi="宋体" w:cs="宋体"/>
                <w:color w:val="auto"/>
                <w:highlight w:val="none"/>
              </w:rPr>
            </w:pPr>
            <w:r>
              <w:rPr>
                <w:rFonts w:hint="eastAsia" w:ascii="宋体" w:hAnsi="宋体" w:cs="宋体"/>
                <w:color w:val="auto"/>
                <w:highlight w:val="none"/>
              </w:rPr>
              <w:t>采购文件条款描述</w:t>
            </w:r>
          </w:p>
        </w:tc>
        <w:tc>
          <w:tcPr>
            <w:tcW w:w="2788" w:type="dxa"/>
            <w:vAlign w:val="center"/>
          </w:tcPr>
          <w:p w14:paraId="382C16A4">
            <w:pPr>
              <w:shd w:val="clear"/>
              <w:ind w:left="-78" w:leftChars="-37" w:right="-80" w:rightChars="-38"/>
              <w:jc w:val="center"/>
              <w:rPr>
                <w:rFonts w:ascii="宋体" w:hAnsi="宋体" w:cs="宋体"/>
                <w:color w:val="auto"/>
                <w:highlight w:val="none"/>
              </w:rPr>
            </w:pPr>
            <w:r>
              <w:rPr>
                <w:rFonts w:hint="eastAsia" w:ascii="宋体" w:hAnsi="宋体" w:cs="宋体"/>
                <w:color w:val="auto"/>
                <w:highlight w:val="none"/>
              </w:rPr>
              <w:t>投标人响应描述</w:t>
            </w:r>
          </w:p>
        </w:tc>
        <w:tc>
          <w:tcPr>
            <w:tcW w:w="2788" w:type="dxa"/>
            <w:vAlign w:val="center"/>
          </w:tcPr>
          <w:p w14:paraId="211E9208">
            <w:pPr>
              <w:shd w:val="clear"/>
              <w:ind w:left="-78" w:leftChars="-37" w:right="-80" w:rightChars="-38"/>
              <w:jc w:val="center"/>
              <w:rPr>
                <w:rFonts w:ascii="宋体" w:hAnsi="宋体" w:cs="宋体"/>
                <w:color w:val="auto"/>
                <w:highlight w:val="none"/>
              </w:rPr>
            </w:pPr>
            <w:r>
              <w:rPr>
                <w:rFonts w:hint="eastAsia" w:ascii="宋体" w:hAnsi="宋体" w:cs="宋体"/>
                <w:color w:val="auto"/>
                <w:highlight w:val="none"/>
              </w:rPr>
              <w:t>差异</w:t>
            </w:r>
          </w:p>
        </w:tc>
      </w:tr>
      <w:tr w14:paraId="78587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44FBCF9E">
            <w:pPr>
              <w:shd w:val="clear"/>
              <w:rPr>
                <w:rFonts w:ascii="宋体" w:hAnsi="宋体" w:cs="宋体"/>
                <w:color w:val="auto"/>
                <w:highlight w:val="none"/>
              </w:rPr>
            </w:pPr>
          </w:p>
        </w:tc>
        <w:tc>
          <w:tcPr>
            <w:tcW w:w="2787" w:type="dxa"/>
          </w:tcPr>
          <w:p w14:paraId="579D7F32">
            <w:pPr>
              <w:shd w:val="clear"/>
              <w:rPr>
                <w:rFonts w:ascii="宋体" w:hAnsi="宋体" w:cs="宋体"/>
                <w:color w:val="auto"/>
                <w:highlight w:val="none"/>
              </w:rPr>
            </w:pPr>
          </w:p>
        </w:tc>
        <w:tc>
          <w:tcPr>
            <w:tcW w:w="2788" w:type="dxa"/>
          </w:tcPr>
          <w:p w14:paraId="27322164">
            <w:pPr>
              <w:shd w:val="clear"/>
              <w:rPr>
                <w:rFonts w:ascii="宋体" w:hAnsi="宋体" w:cs="宋体"/>
                <w:color w:val="auto"/>
                <w:highlight w:val="none"/>
              </w:rPr>
            </w:pPr>
          </w:p>
        </w:tc>
        <w:tc>
          <w:tcPr>
            <w:tcW w:w="2788" w:type="dxa"/>
          </w:tcPr>
          <w:p w14:paraId="46EEE726">
            <w:pPr>
              <w:shd w:val="clear"/>
              <w:rPr>
                <w:rFonts w:ascii="宋体" w:hAnsi="宋体" w:cs="宋体"/>
                <w:color w:val="auto"/>
                <w:highlight w:val="none"/>
              </w:rPr>
            </w:pPr>
          </w:p>
        </w:tc>
      </w:tr>
      <w:tr w14:paraId="1656D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48E56EE7">
            <w:pPr>
              <w:shd w:val="clear"/>
              <w:rPr>
                <w:rFonts w:ascii="宋体" w:hAnsi="宋体" w:cs="宋体"/>
                <w:color w:val="auto"/>
                <w:highlight w:val="none"/>
              </w:rPr>
            </w:pPr>
          </w:p>
        </w:tc>
        <w:tc>
          <w:tcPr>
            <w:tcW w:w="2787" w:type="dxa"/>
          </w:tcPr>
          <w:p w14:paraId="3A8947D9">
            <w:pPr>
              <w:shd w:val="clear"/>
              <w:rPr>
                <w:rFonts w:ascii="宋体" w:hAnsi="宋体" w:cs="宋体"/>
                <w:color w:val="auto"/>
                <w:highlight w:val="none"/>
              </w:rPr>
            </w:pPr>
          </w:p>
        </w:tc>
        <w:tc>
          <w:tcPr>
            <w:tcW w:w="2788" w:type="dxa"/>
          </w:tcPr>
          <w:p w14:paraId="362EB089">
            <w:pPr>
              <w:shd w:val="clear"/>
              <w:rPr>
                <w:rFonts w:ascii="宋体" w:hAnsi="宋体" w:cs="宋体"/>
                <w:color w:val="auto"/>
                <w:highlight w:val="none"/>
              </w:rPr>
            </w:pPr>
          </w:p>
        </w:tc>
        <w:tc>
          <w:tcPr>
            <w:tcW w:w="2788" w:type="dxa"/>
          </w:tcPr>
          <w:p w14:paraId="7A7B6E99">
            <w:pPr>
              <w:shd w:val="clear"/>
              <w:rPr>
                <w:rFonts w:ascii="宋体" w:hAnsi="宋体" w:cs="宋体"/>
                <w:color w:val="auto"/>
                <w:highlight w:val="none"/>
              </w:rPr>
            </w:pPr>
          </w:p>
        </w:tc>
      </w:tr>
      <w:tr w14:paraId="24640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001F1D5A">
            <w:pPr>
              <w:shd w:val="clear"/>
              <w:rPr>
                <w:rFonts w:ascii="宋体" w:hAnsi="宋体" w:cs="宋体"/>
                <w:color w:val="auto"/>
                <w:highlight w:val="none"/>
              </w:rPr>
            </w:pPr>
          </w:p>
        </w:tc>
        <w:tc>
          <w:tcPr>
            <w:tcW w:w="2787" w:type="dxa"/>
          </w:tcPr>
          <w:p w14:paraId="392A0638">
            <w:pPr>
              <w:shd w:val="clear"/>
              <w:rPr>
                <w:rFonts w:ascii="宋体" w:hAnsi="宋体" w:cs="宋体"/>
                <w:color w:val="auto"/>
                <w:highlight w:val="none"/>
              </w:rPr>
            </w:pPr>
          </w:p>
        </w:tc>
        <w:tc>
          <w:tcPr>
            <w:tcW w:w="2788" w:type="dxa"/>
          </w:tcPr>
          <w:p w14:paraId="7415D63F">
            <w:pPr>
              <w:shd w:val="clear"/>
              <w:rPr>
                <w:rFonts w:ascii="宋体" w:hAnsi="宋体" w:cs="宋体"/>
                <w:color w:val="auto"/>
                <w:highlight w:val="none"/>
              </w:rPr>
            </w:pPr>
          </w:p>
        </w:tc>
        <w:tc>
          <w:tcPr>
            <w:tcW w:w="2788" w:type="dxa"/>
          </w:tcPr>
          <w:p w14:paraId="5FAAF469">
            <w:pPr>
              <w:shd w:val="clear"/>
              <w:rPr>
                <w:rFonts w:ascii="宋体" w:hAnsi="宋体" w:cs="宋体"/>
                <w:color w:val="auto"/>
                <w:highlight w:val="none"/>
              </w:rPr>
            </w:pPr>
          </w:p>
        </w:tc>
      </w:tr>
      <w:tr w14:paraId="0186D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72455D92">
            <w:pPr>
              <w:shd w:val="clear"/>
              <w:rPr>
                <w:rFonts w:ascii="宋体" w:hAnsi="宋体" w:cs="宋体"/>
                <w:color w:val="auto"/>
                <w:highlight w:val="none"/>
              </w:rPr>
            </w:pPr>
          </w:p>
        </w:tc>
        <w:tc>
          <w:tcPr>
            <w:tcW w:w="2787" w:type="dxa"/>
          </w:tcPr>
          <w:p w14:paraId="3FC64BB2">
            <w:pPr>
              <w:shd w:val="clear"/>
              <w:rPr>
                <w:rFonts w:ascii="宋体" w:hAnsi="宋体" w:cs="宋体"/>
                <w:color w:val="auto"/>
                <w:highlight w:val="none"/>
              </w:rPr>
            </w:pPr>
          </w:p>
        </w:tc>
        <w:tc>
          <w:tcPr>
            <w:tcW w:w="2788" w:type="dxa"/>
          </w:tcPr>
          <w:p w14:paraId="32DB318F">
            <w:pPr>
              <w:shd w:val="clear"/>
              <w:rPr>
                <w:rFonts w:ascii="宋体" w:hAnsi="宋体" w:cs="宋体"/>
                <w:color w:val="auto"/>
                <w:highlight w:val="none"/>
              </w:rPr>
            </w:pPr>
          </w:p>
        </w:tc>
        <w:tc>
          <w:tcPr>
            <w:tcW w:w="2788" w:type="dxa"/>
          </w:tcPr>
          <w:p w14:paraId="501AC9C3">
            <w:pPr>
              <w:shd w:val="clear"/>
              <w:rPr>
                <w:rFonts w:ascii="宋体" w:hAnsi="宋体" w:cs="宋体"/>
                <w:color w:val="auto"/>
                <w:highlight w:val="none"/>
              </w:rPr>
            </w:pPr>
          </w:p>
        </w:tc>
      </w:tr>
      <w:tr w14:paraId="071CE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59361F43">
            <w:pPr>
              <w:shd w:val="clear"/>
              <w:rPr>
                <w:rFonts w:ascii="宋体" w:hAnsi="宋体" w:cs="宋体"/>
                <w:color w:val="auto"/>
                <w:highlight w:val="none"/>
              </w:rPr>
            </w:pPr>
          </w:p>
        </w:tc>
        <w:tc>
          <w:tcPr>
            <w:tcW w:w="2787" w:type="dxa"/>
          </w:tcPr>
          <w:p w14:paraId="1ACAF899">
            <w:pPr>
              <w:shd w:val="clear"/>
              <w:rPr>
                <w:rFonts w:ascii="宋体" w:hAnsi="宋体" w:cs="宋体"/>
                <w:color w:val="auto"/>
                <w:highlight w:val="none"/>
              </w:rPr>
            </w:pPr>
          </w:p>
        </w:tc>
        <w:tc>
          <w:tcPr>
            <w:tcW w:w="2788" w:type="dxa"/>
          </w:tcPr>
          <w:p w14:paraId="5AC754EB">
            <w:pPr>
              <w:shd w:val="clear"/>
              <w:rPr>
                <w:rFonts w:ascii="宋体" w:hAnsi="宋体" w:cs="宋体"/>
                <w:color w:val="auto"/>
                <w:highlight w:val="none"/>
              </w:rPr>
            </w:pPr>
          </w:p>
        </w:tc>
        <w:tc>
          <w:tcPr>
            <w:tcW w:w="2788" w:type="dxa"/>
          </w:tcPr>
          <w:p w14:paraId="389A0D74">
            <w:pPr>
              <w:shd w:val="clear"/>
              <w:rPr>
                <w:rFonts w:ascii="宋体" w:hAnsi="宋体" w:cs="宋体"/>
                <w:color w:val="auto"/>
                <w:highlight w:val="none"/>
              </w:rPr>
            </w:pPr>
          </w:p>
        </w:tc>
      </w:tr>
      <w:tr w14:paraId="47277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2107A9B6">
            <w:pPr>
              <w:shd w:val="clear"/>
              <w:rPr>
                <w:rFonts w:ascii="宋体" w:hAnsi="宋体" w:cs="宋体"/>
                <w:color w:val="auto"/>
                <w:highlight w:val="none"/>
              </w:rPr>
            </w:pPr>
            <w:r>
              <w:rPr>
                <w:rFonts w:hint="eastAsia" w:ascii="宋体" w:hAnsi="宋体" w:cs="宋体"/>
                <w:color w:val="auto"/>
                <w:highlight w:val="none"/>
              </w:rPr>
              <w:t>……</w:t>
            </w:r>
          </w:p>
        </w:tc>
        <w:tc>
          <w:tcPr>
            <w:tcW w:w="2787" w:type="dxa"/>
          </w:tcPr>
          <w:p w14:paraId="03AF58A0">
            <w:pPr>
              <w:shd w:val="clear"/>
              <w:rPr>
                <w:rFonts w:ascii="宋体" w:hAnsi="宋体" w:cs="宋体"/>
                <w:color w:val="auto"/>
                <w:highlight w:val="none"/>
              </w:rPr>
            </w:pPr>
          </w:p>
        </w:tc>
        <w:tc>
          <w:tcPr>
            <w:tcW w:w="2788" w:type="dxa"/>
          </w:tcPr>
          <w:p w14:paraId="744C9B20">
            <w:pPr>
              <w:shd w:val="clear"/>
              <w:rPr>
                <w:rFonts w:ascii="宋体" w:hAnsi="宋体" w:cs="宋体"/>
                <w:color w:val="auto"/>
                <w:highlight w:val="none"/>
              </w:rPr>
            </w:pPr>
          </w:p>
        </w:tc>
        <w:tc>
          <w:tcPr>
            <w:tcW w:w="2788" w:type="dxa"/>
          </w:tcPr>
          <w:p w14:paraId="20BF9E76">
            <w:pPr>
              <w:shd w:val="clear"/>
              <w:rPr>
                <w:rFonts w:ascii="宋体" w:hAnsi="宋体" w:cs="宋体"/>
                <w:color w:val="auto"/>
                <w:highlight w:val="none"/>
              </w:rPr>
            </w:pPr>
          </w:p>
        </w:tc>
      </w:tr>
    </w:tbl>
    <w:p w14:paraId="4DBABFA6">
      <w:pPr>
        <w:shd w:val="clear"/>
        <w:spacing w:line="360" w:lineRule="auto"/>
        <w:ind w:firstLine="210" w:firstLineChars="100"/>
        <w:rPr>
          <w:rFonts w:ascii="宋体" w:hAnsi="宋体" w:cs="宋体"/>
          <w:color w:val="auto"/>
          <w:highlight w:val="none"/>
        </w:rPr>
      </w:pPr>
      <w:r>
        <w:rPr>
          <w:rFonts w:hint="eastAsia" w:ascii="宋体" w:hAnsi="宋体" w:cs="宋体"/>
          <w:color w:val="auto"/>
          <w:highlight w:val="none"/>
        </w:rPr>
        <w:t>注：对采购文件</w:t>
      </w:r>
      <w:r>
        <w:rPr>
          <w:rFonts w:hint="eastAsia" w:ascii="宋体" w:hAnsi="宋体" w:cs="宋体"/>
          <w:b/>
          <w:color w:val="auto"/>
          <w:highlight w:val="none"/>
        </w:rPr>
        <w:t>“</w:t>
      </w:r>
      <w:r>
        <w:rPr>
          <w:rFonts w:hint="eastAsia" w:ascii="宋体" w:hAnsi="宋体" w:cs="宋体"/>
          <w:color w:val="auto"/>
          <w:highlight w:val="none"/>
        </w:rPr>
        <w:t>第三部分 采购需求</w:t>
      </w:r>
      <w:r>
        <w:rPr>
          <w:rFonts w:hint="eastAsia" w:ascii="宋体" w:hAnsi="宋体" w:cs="宋体"/>
          <w:b/>
          <w:color w:val="auto"/>
          <w:highlight w:val="none"/>
        </w:rPr>
        <w:t>”</w:t>
      </w:r>
      <w:r>
        <w:rPr>
          <w:rFonts w:hint="eastAsia" w:ascii="宋体" w:hAnsi="宋体" w:cs="宋体"/>
          <w:color w:val="auto"/>
          <w:highlight w:val="none"/>
        </w:rPr>
        <w:t>中</w:t>
      </w:r>
      <w:r>
        <w:rPr>
          <w:rFonts w:hint="eastAsia" w:ascii="宋体" w:hAnsi="宋体" w:cs="宋体"/>
          <w:b/>
          <w:bCs/>
          <w:color w:val="auto"/>
          <w:highlight w:val="none"/>
        </w:rPr>
        <w:t>非带“</w:t>
      </w:r>
      <w:r>
        <w:rPr>
          <w:rFonts w:hint="eastAsia" w:asciiTheme="minorEastAsia" w:hAnsiTheme="minorEastAsia" w:eastAsiaTheme="minorEastAsia"/>
          <w:color w:val="auto"/>
          <w:sz w:val="24"/>
          <w:highlight w:val="none"/>
        </w:rPr>
        <w:t>★</w:t>
      </w:r>
      <w:r>
        <w:rPr>
          <w:rFonts w:hint="eastAsia" w:ascii="宋体" w:hAnsi="宋体" w:cs="宋体"/>
          <w:b/>
          <w:bCs/>
          <w:color w:val="auto"/>
          <w:highlight w:val="none"/>
        </w:rPr>
        <w:t>”的条款</w:t>
      </w:r>
      <w:r>
        <w:rPr>
          <w:rFonts w:hint="eastAsia" w:ascii="宋体" w:hAnsi="宋体" w:cs="宋体"/>
          <w:color w:val="auto"/>
          <w:highlight w:val="none"/>
        </w:rPr>
        <w:t>逐条应答并按要求填写上表。条款要求提供的相关证明资料必须一并提供，否则视为不响应。</w:t>
      </w:r>
    </w:p>
    <w:p w14:paraId="765526F7">
      <w:pPr>
        <w:shd w:val="clear"/>
        <w:spacing w:line="360" w:lineRule="auto"/>
        <w:ind w:firstLine="3360" w:firstLineChars="1600"/>
        <w:rPr>
          <w:rFonts w:ascii="宋体" w:hAnsi="宋体" w:cs="宋体"/>
          <w:color w:val="auto"/>
          <w:highlight w:val="none"/>
        </w:rPr>
      </w:pPr>
      <w:r>
        <w:rPr>
          <w:rFonts w:hint="eastAsia" w:ascii="宋体" w:hAnsi="宋体" w:cs="宋体"/>
          <w:color w:val="auto"/>
          <w:highlight w:val="none"/>
        </w:rPr>
        <w:t>法定代表人或其授权委托人（签名或印章）：</w:t>
      </w:r>
    </w:p>
    <w:p w14:paraId="4001AAB2">
      <w:pPr>
        <w:shd w:val="clear"/>
        <w:spacing w:line="360" w:lineRule="auto"/>
        <w:ind w:firstLine="4830" w:firstLineChars="2300"/>
        <w:rPr>
          <w:rFonts w:ascii="宋体" w:hAnsi="宋体" w:cs="宋体"/>
          <w:color w:val="auto"/>
          <w:highlight w:val="none"/>
        </w:rPr>
      </w:pPr>
      <w:r>
        <w:rPr>
          <w:rFonts w:hint="eastAsia" w:ascii="宋体" w:hAnsi="宋体" w:cs="宋体"/>
          <w:color w:val="auto"/>
          <w:highlight w:val="none"/>
        </w:rPr>
        <w:t>投标人（盖章）：</w:t>
      </w:r>
    </w:p>
    <w:p w14:paraId="6214275D">
      <w:pPr>
        <w:shd w:val="clear"/>
        <w:spacing w:line="360" w:lineRule="auto"/>
        <w:rPr>
          <w:rFonts w:ascii="宋体" w:hAnsi="宋体" w:cs="宋体"/>
          <w:color w:val="auto"/>
          <w:sz w:val="24"/>
          <w:highlight w:val="none"/>
        </w:rPr>
      </w:pPr>
      <w:r>
        <w:rPr>
          <w:rFonts w:hint="eastAsia" w:ascii="宋体" w:hAnsi="宋体" w:cs="宋体"/>
          <w:color w:val="auto"/>
          <w:highlight w:val="none"/>
        </w:rPr>
        <w:t xml:space="preserve">                            </w:t>
      </w:r>
      <w:r>
        <w:rPr>
          <w:rFonts w:hint="eastAsia" w:ascii="宋体" w:hAnsi="宋体" w:cs="宋体"/>
          <w:color w:val="auto"/>
          <w:highlight w:val="none"/>
          <w:lang w:val="en-US" w:eastAsia="zh-CN"/>
        </w:rPr>
        <w:t xml:space="preserve">                </w:t>
      </w:r>
      <w:r>
        <w:rPr>
          <w:rFonts w:hint="eastAsia" w:ascii="宋体" w:hAnsi="宋体" w:cs="宋体"/>
          <w:color w:val="auto"/>
          <w:highlight w:val="none"/>
        </w:rPr>
        <w:t xml:space="preserve">  日期：</w:t>
      </w:r>
    </w:p>
    <w:p w14:paraId="1A1622FA">
      <w:pPr>
        <w:pStyle w:val="25"/>
        <w:shd w:val="clear"/>
        <w:ind w:firstLine="560"/>
        <w:rPr>
          <w:color w:val="auto"/>
          <w:highlight w:val="none"/>
        </w:rPr>
      </w:pPr>
    </w:p>
    <w:p w14:paraId="019B414D">
      <w:pPr>
        <w:numPr>
          <w:ilvl w:val="0"/>
          <w:numId w:val="3"/>
        </w:numPr>
        <w:shd w:val="clear"/>
        <w:snapToGrid w:val="0"/>
        <w:spacing w:line="360" w:lineRule="auto"/>
        <w:jc w:val="center"/>
        <w:outlineLvl w:val="0"/>
        <w:rPr>
          <w:rFonts w:cs="仿宋" w:asciiTheme="majorEastAsia" w:hAnsiTheme="majorEastAsia" w:eastAsiaTheme="majorEastAsia"/>
          <w:b/>
          <w:color w:val="auto"/>
          <w:kern w:val="0"/>
          <w:sz w:val="32"/>
          <w:szCs w:val="32"/>
          <w:highlight w:val="none"/>
          <w:lang w:val="zh-CN"/>
        </w:rPr>
      </w:pPr>
      <w:r>
        <w:rPr>
          <w:rFonts w:hint="eastAsia" w:cs="仿宋" w:asciiTheme="majorEastAsia" w:hAnsiTheme="majorEastAsia" w:eastAsiaTheme="majorEastAsia"/>
          <w:b/>
          <w:color w:val="auto"/>
          <w:kern w:val="0"/>
          <w:sz w:val="32"/>
          <w:szCs w:val="32"/>
          <w:highlight w:val="none"/>
        </w:rPr>
        <w:br w:type="page"/>
      </w:r>
      <w:r>
        <w:rPr>
          <w:rFonts w:hint="eastAsia" w:cs="仿宋" w:asciiTheme="majorEastAsia" w:hAnsiTheme="majorEastAsia" w:eastAsiaTheme="majorEastAsia"/>
          <w:b/>
          <w:color w:val="auto"/>
          <w:kern w:val="0"/>
          <w:sz w:val="32"/>
          <w:szCs w:val="32"/>
          <w:highlight w:val="none"/>
        </w:rPr>
        <w:t>同类业绩情况一览表</w:t>
      </w:r>
    </w:p>
    <w:p w14:paraId="6052929D">
      <w:pPr>
        <w:shd w:val="clear"/>
        <w:spacing w:line="360" w:lineRule="auto"/>
        <w:jc w:val="center"/>
        <w:rPr>
          <w:rFonts w:cs="仿宋" w:asciiTheme="majorEastAsia" w:hAnsiTheme="majorEastAsia" w:eastAsiaTheme="majorEastAsia"/>
          <w:color w:val="auto"/>
          <w:highlight w:val="none"/>
        </w:rPr>
      </w:pPr>
    </w:p>
    <w:tbl>
      <w:tblPr>
        <w:tblStyle w:val="18"/>
        <w:tblW w:w="979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31"/>
        <w:gridCol w:w="1555"/>
        <w:gridCol w:w="1732"/>
        <w:gridCol w:w="1936"/>
        <w:gridCol w:w="1950"/>
        <w:gridCol w:w="1792"/>
      </w:tblGrid>
      <w:tr w14:paraId="459C4D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5" w:hRule="atLeast"/>
        </w:trPr>
        <w:tc>
          <w:tcPr>
            <w:tcW w:w="831" w:type="dxa"/>
            <w:tcBorders>
              <w:top w:val="single" w:color="auto" w:sz="4" w:space="0"/>
              <w:left w:val="single" w:color="auto" w:sz="4" w:space="0"/>
              <w:bottom w:val="single" w:color="auto" w:sz="4" w:space="0"/>
              <w:right w:val="single" w:color="auto" w:sz="4" w:space="0"/>
            </w:tcBorders>
            <w:vAlign w:val="center"/>
          </w:tcPr>
          <w:p w14:paraId="2FE091AA">
            <w:pPr>
              <w:shd w:val="clear"/>
              <w:spacing w:line="360" w:lineRule="auto"/>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序号</w:t>
            </w:r>
          </w:p>
        </w:tc>
        <w:tc>
          <w:tcPr>
            <w:tcW w:w="1555" w:type="dxa"/>
            <w:tcBorders>
              <w:top w:val="single" w:color="auto" w:sz="4" w:space="0"/>
              <w:left w:val="single" w:color="auto" w:sz="4" w:space="0"/>
              <w:bottom w:val="single" w:color="auto" w:sz="4" w:space="0"/>
              <w:right w:val="single" w:color="auto" w:sz="4" w:space="0"/>
            </w:tcBorders>
            <w:vAlign w:val="center"/>
          </w:tcPr>
          <w:p w14:paraId="38C0065C">
            <w:pPr>
              <w:shd w:val="clear"/>
              <w:spacing w:line="360" w:lineRule="auto"/>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采购单位名称</w:t>
            </w:r>
          </w:p>
        </w:tc>
        <w:tc>
          <w:tcPr>
            <w:tcW w:w="1732" w:type="dxa"/>
            <w:tcBorders>
              <w:top w:val="single" w:color="auto" w:sz="4" w:space="0"/>
              <w:left w:val="single" w:color="auto" w:sz="4" w:space="0"/>
              <w:right w:val="single" w:color="auto" w:sz="4" w:space="0"/>
            </w:tcBorders>
            <w:vAlign w:val="center"/>
          </w:tcPr>
          <w:p w14:paraId="098B0417">
            <w:pPr>
              <w:shd w:val="clear"/>
              <w:spacing w:line="360" w:lineRule="auto"/>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项目名称</w:t>
            </w:r>
          </w:p>
        </w:tc>
        <w:tc>
          <w:tcPr>
            <w:tcW w:w="1936" w:type="dxa"/>
            <w:tcBorders>
              <w:top w:val="single" w:color="auto" w:sz="4" w:space="0"/>
              <w:left w:val="single" w:color="auto" w:sz="4" w:space="0"/>
              <w:bottom w:val="single" w:color="auto" w:sz="4" w:space="0"/>
              <w:right w:val="single" w:color="auto" w:sz="4" w:space="0"/>
            </w:tcBorders>
            <w:vAlign w:val="center"/>
          </w:tcPr>
          <w:p w14:paraId="671AA22C">
            <w:pPr>
              <w:shd w:val="clear"/>
              <w:spacing w:line="360" w:lineRule="auto"/>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合同金额</w:t>
            </w:r>
          </w:p>
          <w:p w14:paraId="5BD3B3AC">
            <w:pPr>
              <w:shd w:val="clear"/>
              <w:spacing w:line="360" w:lineRule="auto"/>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950" w:type="dxa"/>
            <w:tcBorders>
              <w:top w:val="single" w:color="auto" w:sz="4" w:space="0"/>
              <w:left w:val="single" w:color="auto" w:sz="4" w:space="0"/>
              <w:bottom w:val="single" w:color="auto" w:sz="4" w:space="0"/>
              <w:right w:val="single" w:color="auto" w:sz="4" w:space="0"/>
            </w:tcBorders>
            <w:vAlign w:val="center"/>
          </w:tcPr>
          <w:p w14:paraId="14135A2F">
            <w:pPr>
              <w:shd w:val="clear"/>
              <w:spacing w:line="360" w:lineRule="auto"/>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采购单位联系人及联系电话</w:t>
            </w:r>
          </w:p>
        </w:tc>
        <w:tc>
          <w:tcPr>
            <w:tcW w:w="1792" w:type="dxa"/>
            <w:tcBorders>
              <w:top w:val="single" w:color="auto" w:sz="4" w:space="0"/>
              <w:left w:val="single" w:color="auto" w:sz="4" w:space="0"/>
              <w:bottom w:val="single" w:color="auto" w:sz="4" w:space="0"/>
              <w:right w:val="single" w:color="auto" w:sz="4" w:space="0"/>
            </w:tcBorders>
            <w:vAlign w:val="center"/>
          </w:tcPr>
          <w:p w14:paraId="1EC35F75">
            <w:pPr>
              <w:shd w:val="clear"/>
              <w:spacing w:line="360" w:lineRule="auto"/>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合同签订时间</w:t>
            </w:r>
          </w:p>
        </w:tc>
      </w:tr>
      <w:tr w14:paraId="0F8073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1" w:hRule="atLeast"/>
        </w:trPr>
        <w:tc>
          <w:tcPr>
            <w:tcW w:w="831" w:type="dxa"/>
            <w:tcBorders>
              <w:top w:val="single" w:color="auto" w:sz="4" w:space="0"/>
              <w:left w:val="single" w:color="auto" w:sz="4" w:space="0"/>
              <w:bottom w:val="single" w:color="auto" w:sz="4" w:space="0"/>
              <w:right w:val="single" w:color="auto" w:sz="4" w:space="0"/>
            </w:tcBorders>
            <w:vAlign w:val="center"/>
          </w:tcPr>
          <w:p w14:paraId="362D3D82">
            <w:pPr>
              <w:shd w:val="clear"/>
              <w:spacing w:line="360" w:lineRule="auto"/>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w:t>
            </w:r>
          </w:p>
        </w:tc>
        <w:tc>
          <w:tcPr>
            <w:tcW w:w="1555" w:type="dxa"/>
            <w:tcBorders>
              <w:top w:val="single" w:color="auto" w:sz="4" w:space="0"/>
              <w:left w:val="single" w:color="auto" w:sz="4" w:space="0"/>
              <w:bottom w:val="single" w:color="auto" w:sz="4" w:space="0"/>
              <w:right w:val="single" w:color="auto" w:sz="4" w:space="0"/>
            </w:tcBorders>
            <w:vAlign w:val="center"/>
          </w:tcPr>
          <w:p w14:paraId="20565522">
            <w:pPr>
              <w:shd w:val="clear"/>
              <w:spacing w:line="360" w:lineRule="auto"/>
              <w:jc w:val="left"/>
              <w:rPr>
                <w:rFonts w:cs="仿宋" w:asciiTheme="majorEastAsia" w:hAnsiTheme="majorEastAsia" w:eastAsiaTheme="majorEastAsia"/>
                <w:color w:val="auto"/>
                <w:kern w:val="0"/>
                <w:sz w:val="24"/>
                <w:highlight w:val="none"/>
              </w:rPr>
            </w:pPr>
          </w:p>
        </w:tc>
        <w:tc>
          <w:tcPr>
            <w:tcW w:w="1732" w:type="dxa"/>
            <w:tcBorders>
              <w:top w:val="single" w:color="auto" w:sz="4" w:space="0"/>
              <w:left w:val="single" w:color="auto" w:sz="4" w:space="0"/>
              <w:bottom w:val="single" w:color="auto" w:sz="4" w:space="0"/>
              <w:right w:val="single" w:color="auto" w:sz="4" w:space="0"/>
            </w:tcBorders>
            <w:vAlign w:val="center"/>
          </w:tcPr>
          <w:p w14:paraId="36FC0D92">
            <w:pPr>
              <w:shd w:val="clear"/>
              <w:spacing w:line="360" w:lineRule="auto"/>
              <w:jc w:val="left"/>
              <w:rPr>
                <w:rFonts w:cs="仿宋" w:asciiTheme="majorEastAsia" w:hAnsiTheme="majorEastAsia" w:eastAsiaTheme="majorEastAsia"/>
                <w:color w:val="auto"/>
                <w:kern w:val="0"/>
                <w:sz w:val="24"/>
                <w:highlight w:val="none"/>
              </w:rPr>
            </w:pPr>
          </w:p>
        </w:tc>
        <w:tc>
          <w:tcPr>
            <w:tcW w:w="1936" w:type="dxa"/>
            <w:tcBorders>
              <w:top w:val="single" w:color="auto" w:sz="4" w:space="0"/>
              <w:left w:val="single" w:color="auto" w:sz="4" w:space="0"/>
              <w:bottom w:val="single" w:color="auto" w:sz="4" w:space="0"/>
              <w:right w:val="single" w:color="auto" w:sz="4" w:space="0"/>
            </w:tcBorders>
            <w:vAlign w:val="center"/>
          </w:tcPr>
          <w:p w14:paraId="424F066A">
            <w:pPr>
              <w:shd w:val="clear"/>
              <w:spacing w:line="360" w:lineRule="auto"/>
              <w:jc w:val="left"/>
              <w:rPr>
                <w:rFonts w:cs="仿宋" w:asciiTheme="majorEastAsia" w:hAnsiTheme="majorEastAsia" w:eastAsiaTheme="majorEastAsia"/>
                <w:color w:val="auto"/>
                <w:kern w:val="0"/>
                <w:sz w:val="24"/>
                <w:highlight w:val="none"/>
              </w:rPr>
            </w:pPr>
          </w:p>
        </w:tc>
        <w:tc>
          <w:tcPr>
            <w:tcW w:w="1950" w:type="dxa"/>
            <w:tcBorders>
              <w:top w:val="single" w:color="auto" w:sz="4" w:space="0"/>
              <w:left w:val="single" w:color="auto" w:sz="4" w:space="0"/>
              <w:bottom w:val="single" w:color="auto" w:sz="4" w:space="0"/>
              <w:right w:val="single" w:color="auto" w:sz="4" w:space="0"/>
            </w:tcBorders>
            <w:vAlign w:val="center"/>
          </w:tcPr>
          <w:p w14:paraId="443225E1">
            <w:pPr>
              <w:shd w:val="clear"/>
              <w:spacing w:line="360" w:lineRule="auto"/>
              <w:jc w:val="left"/>
              <w:rPr>
                <w:rFonts w:cs="仿宋" w:asciiTheme="majorEastAsia" w:hAnsiTheme="majorEastAsia" w:eastAsiaTheme="majorEastAsia"/>
                <w:color w:val="auto"/>
                <w:kern w:val="0"/>
                <w:sz w:val="24"/>
                <w:highlight w:val="none"/>
              </w:rPr>
            </w:pPr>
          </w:p>
        </w:tc>
        <w:tc>
          <w:tcPr>
            <w:tcW w:w="1792" w:type="dxa"/>
            <w:tcBorders>
              <w:top w:val="single" w:color="auto" w:sz="4" w:space="0"/>
              <w:left w:val="single" w:color="auto" w:sz="4" w:space="0"/>
              <w:bottom w:val="single" w:color="auto" w:sz="4" w:space="0"/>
              <w:right w:val="single" w:color="auto" w:sz="4" w:space="0"/>
            </w:tcBorders>
            <w:vAlign w:val="center"/>
          </w:tcPr>
          <w:p w14:paraId="54E0400E">
            <w:pPr>
              <w:shd w:val="clear"/>
              <w:spacing w:line="360" w:lineRule="auto"/>
              <w:jc w:val="left"/>
              <w:rPr>
                <w:rFonts w:cs="仿宋" w:asciiTheme="majorEastAsia" w:hAnsiTheme="majorEastAsia" w:eastAsiaTheme="majorEastAsia"/>
                <w:color w:val="auto"/>
                <w:kern w:val="0"/>
                <w:sz w:val="24"/>
                <w:highlight w:val="none"/>
              </w:rPr>
            </w:pPr>
          </w:p>
        </w:tc>
      </w:tr>
      <w:tr w14:paraId="38B3D4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1" w:hRule="atLeast"/>
        </w:trPr>
        <w:tc>
          <w:tcPr>
            <w:tcW w:w="831" w:type="dxa"/>
            <w:tcBorders>
              <w:top w:val="single" w:color="auto" w:sz="4" w:space="0"/>
              <w:left w:val="single" w:color="auto" w:sz="4" w:space="0"/>
              <w:bottom w:val="single" w:color="auto" w:sz="4" w:space="0"/>
              <w:right w:val="single" w:color="auto" w:sz="4" w:space="0"/>
            </w:tcBorders>
            <w:vAlign w:val="center"/>
          </w:tcPr>
          <w:p w14:paraId="6FA4C1AE">
            <w:pPr>
              <w:shd w:val="clear"/>
              <w:spacing w:line="360" w:lineRule="auto"/>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w:t>
            </w:r>
          </w:p>
        </w:tc>
        <w:tc>
          <w:tcPr>
            <w:tcW w:w="1555" w:type="dxa"/>
            <w:tcBorders>
              <w:top w:val="single" w:color="auto" w:sz="4" w:space="0"/>
              <w:left w:val="single" w:color="auto" w:sz="4" w:space="0"/>
              <w:bottom w:val="single" w:color="auto" w:sz="4" w:space="0"/>
              <w:right w:val="single" w:color="auto" w:sz="4" w:space="0"/>
            </w:tcBorders>
            <w:vAlign w:val="center"/>
          </w:tcPr>
          <w:p w14:paraId="76ACEE77">
            <w:pPr>
              <w:shd w:val="clear"/>
              <w:spacing w:line="360" w:lineRule="auto"/>
              <w:jc w:val="left"/>
              <w:rPr>
                <w:rFonts w:cs="仿宋" w:asciiTheme="majorEastAsia" w:hAnsiTheme="majorEastAsia" w:eastAsiaTheme="majorEastAsia"/>
                <w:color w:val="auto"/>
                <w:kern w:val="0"/>
                <w:sz w:val="24"/>
                <w:highlight w:val="none"/>
              </w:rPr>
            </w:pPr>
          </w:p>
        </w:tc>
        <w:tc>
          <w:tcPr>
            <w:tcW w:w="1732" w:type="dxa"/>
            <w:tcBorders>
              <w:top w:val="single" w:color="auto" w:sz="4" w:space="0"/>
              <w:left w:val="single" w:color="auto" w:sz="4" w:space="0"/>
              <w:bottom w:val="single" w:color="auto" w:sz="4" w:space="0"/>
              <w:right w:val="single" w:color="auto" w:sz="4" w:space="0"/>
            </w:tcBorders>
            <w:vAlign w:val="center"/>
          </w:tcPr>
          <w:p w14:paraId="6ECC6467">
            <w:pPr>
              <w:shd w:val="clear"/>
              <w:spacing w:line="360" w:lineRule="auto"/>
              <w:jc w:val="left"/>
              <w:rPr>
                <w:rFonts w:cs="仿宋" w:asciiTheme="majorEastAsia" w:hAnsiTheme="majorEastAsia" w:eastAsiaTheme="majorEastAsia"/>
                <w:color w:val="auto"/>
                <w:kern w:val="0"/>
                <w:sz w:val="24"/>
                <w:highlight w:val="none"/>
              </w:rPr>
            </w:pPr>
          </w:p>
        </w:tc>
        <w:tc>
          <w:tcPr>
            <w:tcW w:w="1936" w:type="dxa"/>
            <w:tcBorders>
              <w:top w:val="single" w:color="auto" w:sz="4" w:space="0"/>
              <w:left w:val="single" w:color="auto" w:sz="4" w:space="0"/>
              <w:bottom w:val="single" w:color="auto" w:sz="4" w:space="0"/>
              <w:right w:val="single" w:color="auto" w:sz="4" w:space="0"/>
            </w:tcBorders>
            <w:vAlign w:val="center"/>
          </w:tcPr>
          <w:p w14:paraId="4714EFE5">
            <w:pPr>
              <w:shd w:val="clear"/>
              <w:spacing w:line="360" w:lineRule="auto"/>
              <w:jc w:val="left"/>
              <w:rPr>
                <w:rFonts w:cs="仿宋" w:asciiTheme="majorEastAsia" w:hAnsiTheme="majorEastAsia" w:eastAsiaTheme="majorEastAsia"/>
                <w:color w:val="auto"/>
                <w:kern w:val="0"/>
                <w:sz w:val="24"/>
                <w:highlight w:val="none"/>
              </w:rPr>
            </w:pPr>
          </w:p>
        </w:tc>
        <w:tc>
          <w:tcPr>
            <w:tcW w:w="1950" w:type="dxa"/>
            <w:tcBorders>
              <w:top w:val="single" w:color="auto" w:sz="4" w:space="0"/>
              <w:left w:val="single" w:color="auto" w:sz="4" w:space="0"/>
              <w:bottom w:val="single" w:color="auto" w:sz="4" w:space="0"/>
              <w:right w:val="single" w:color="auto" w:sz="4" w:space="0"/>
            </w:tcBorders>
            <w:vAlign w:val="center"/>
          </w:tcPr>
          <w:p w14:paraId="6A94A70A">
            <w:pPr>
              <w:shd w:val="clear"/>
              <w:spacing w:line="360" w:lineRule="auto"/>
              <w:jc w:val="left"/>
              <w:rPr>
                <w:rFonts w:cs="仿宋" w:asciiTheme="majorEastAsia" w:hAnsiTheme="majorEastAsia" w:eastAsiaTheme="majorEastAsia"/>
                <w:color w:val="auto"/>
                <w:kern w:val="0"/>
                <w:sz w:val="24"/>
                <w:highlight w:val="none"/>
              </w:rPr>
            </w:pPr>
          </w:p>
        </w:tc>
        <w:tc>
          <w:tcPr>
            <w:tcW w:w="1792" w:type="dxa"/>
            <w:tcBorders>
              <w:top w:val="single" w:color="auto" w:sz="4" w:space="0"/>
              <w:left w:val="single" w:color="auto" w:sz="4" w:space="0"/>
              <w:bottom w:val="single" w:color="auto" w:sz="4" w:space="0"/>
              <w:right w:val="single" w:color="auto" w:sz="4" w:space="0"/>
            </w:tcBorders>
            <w:vAlign w:val="center"/>
          </w:tcPr>
          <w:p w14:paraId="30D742AC">
            <w:pPr>
              <w:shd w:val="clear"/>
              <w:spacing w:line="360" w:lineRule="auto"/>
              <w:jc w:val="left"/>
              <w:rPr>
                <w:rFonts w:cs="仿宋" w:asciiTheme="majorEastAsia" w:hAnsiTheme="majorEastAsia" w:eastAsiaTheme="majorEastAsia"/>
                <w:color w:val="auto"/>
                <w:kern w:val="0"/>
                <w:sz w:val="24"/>
                <w:highlight w:val="none"/>
              </w:rPr>
            </w:pPr>
          </w:p>
        </w:tc>
      </w:tr>
      <w:tr w14:paraId="079942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1" w:hRule="atLeast"/>
        </w:trPr>
        <w:tc>
          <w:tcPr>
            <w:tcW w:w="831" w:type="dxa"/>
            <w:tcBorders>
              <w:top w:val="single" w:color="auto" w:sz="4" w:space="0"/>
              <w:left w:val="single" w:color="auto" w:sz="4" w:space="0"/>
              <w:bottom w:val="single" w:color="auto" w:sz="4" w:space="0"/>
              <w:right w:val="single" w:color="auto" w:sz="4" w:space="0"/>
            </w:tcBorders>
            <w:vAlign w:val="center"/>
          </w:tcPr>
          <w:p w14:paraId="13B5C018">
            <w:pPr>
              <w:shd w:val="clear"/>
              <w:spacing w:line="360" w:lineRule="auto"/>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w:t>
            </w:r>
          </w:p>
        </w:tc>
        <w:tc>
          <w:tcPr>
            <w:tcW w:w="1555" w:type="dxa"/>
            <w:tcBorders>
              <w:top w:val="single" w:color="auto" w:sz="4" w:space="0"/>
              <w:left w:val="single" w:color="auto" w:sz="4" w:space="0"/>
              <w:bottom w:val="single" w:color="auto" w:sz="4" w:space="0"/>
              <w:right w:val="single" w:color="auto" w:sz="4" w:space="0"/>
            </w:tcBorders>
            <w:vAlign w:val="center"/>
          </w:tcPr>
          <w:p w14:paraId="69C8BAB8">
            <w:pPr>
              <w:shd w:val="clear"/>
              <w:spacing w:line="360" w:lineRule="auto"/>
              <w:jc w:val="left"/>
              <w:rPr>
                <w:rFonts w:cs="仿宋" w:asciiTheme="majorEastAsia" w:hAnsiTheme="majorEastAsia" w:eastAsiaTheme="majorEastAsia"/>
                <w:color w:val="auto"/>
                <w:kern w:val="0"/>
                <w:sz w:val="24"/>
                <w:highlight w:val="none"/>
              </w:rPr>
            </w:pPr>
          </w:p>
        </w:tc>
        <w:tc>
          <w:tcPr>
            <w:tcW w:w="1732" w:type="dxa"/>
            <w:tcBorders>
              <w:top w:val="single" w:color="auto" w:sz="4" w:space="0"/>
              <w:left w:val="single" w:color="auto" w:sz="4" w:space="0"/>
              <w:bottom w:val="single" w:color="auto" w:sz="4" w:space="0"/>
              <w:right w:val="single" w:color="auto" w:sz="4" w:space="0"/>
            </w:tcBorders>
            <w:vAlign w:val="center"/>
          </w:tcPr>
          <w:p w14:paraId="07B2704C">
            <w:pPr>
              <w:shd w:val="clear"/>
              <w:spacing w:line="360" w:lineRule="auto"/>
              <w:jc w:val="left"/>
              <w:rPr>
                <w:rFonts w:cs="仿宋" w:asciiTheme="majorEastAsia" w:hAnsiTheme="majorEastAsia" w:eastAsiaTheme="majorEastAsia"/>
                <w:color w:val="auto"/>
                <w:kern w:val="0"/>
                <w:sz w:val="24"/>
                <w:highlight w:val="none"/>
              </w:rPr>
            </w:pPr>
          </w:p>
        </w:tc>
        <w:tc>
          <w:tcPr>
            <w:tcW w:w="1936" w:type="dxa"/>
            <w:tcBorders>
              <w:top w:val="single" w:color="auto" w:sz="4" w:space="0"/>
              <w:left w:val="single" w:color="auto" w:sz="4" w:space="0"/>
              <w:bottom w:val="single" w:color="auto" w:sz="4" w:space="0"/>
              <w:right w:val="single" w:color="auto" w:sz="4" w:space="0"/>
            </w:tcBorders>
            <w:vAlign w:val="center"/>
          </w:tcPr>
          <w:p w14:paraId="5F4EAAB9">
            <w:pPr>
              <w:shd w:val="clear"/>
              <w:spacing w:line="360" w:lineRule="auto"/>
              <w:jc w:val="left"/>
              <w:rPr>
                <w:rFonts w:cs="仿宋" w:asciiTheme="majorEastAsia" w:hAnsiTheme="majorEastAsia" w:eastAsiaTheme="majorEastAsia"/>
                <w:color w:val="auto"/>
                <w:kern w:val="0"/>
                <w:sz w:val="24"/>
                <w:highlight w:val="none"/>
              </w:rPr>
            </w:pPr>
          </w:p>
        </w:tc>
        <w:tc>
          <w:tcPr>
            <w:tcW w:w="1950" w:type="dxa"/>
            <w:tcBorders>
              <w:top w:val="single" w:color="auto" w:sz="4" w:space="0"/>
              <w:left w:val="single" w:color="auto" w:sz="4" w:space="0"/>
              <w:bottom w:val="single" w:color="auto" w:sz="4" w:space="0"/>
              <w:right w:val="single" w:color="auto" w:sz="4" w:space="0"/>
            </w:tcBorders>
            <w:vAlign w:val="center"/>
          </w:tcPr>
          <w:p w14:paraId="26E5E277">
            <w:pPr>
              <w:shd w:val="clear"/>
              <w:spacing w:line="360" w:lineRule="auto"/>
              <w:jc w:val="left"/>
              <w:rPr>
                <w:rFonts w:cs="仿宋" w:asciiTheme="majorEastAsia" w:hAnsiTheme="majorEastAsia" w:eastAsiaTheme="majorEastAsia"/>
                <w:color w:val="auto"/>
                <w:kern w:val="0"/>
                <w:sz w:val="24"/>
                <w:highlight w:val="none"/>
              </w:rPr>
            </w:pPr>
          </w:p>
        </w:tc>
        <w:tc>
          <w:tcPr>
            <w:tcW w:w="1792" w:type="dxa"/>
            <w:tcBorders>
              <w:top w:val="single" w:color="auto" w:sz="4" w:space="0"/>
              <w:left w:val="single" w:color="auto" w:sz="4" w:space="0"/>
              <w:bottom w:val="single" w:color="auto" w:sz="4" w:space="0"/>
              <w:right w:val="single" w:color="auto" w:sz="4" w:space="0"/>
            </w:tcBorders>
            <w:vAlign w:val="center"/>
          </w:tcPr>
          <w:p w14:paraId="3D014BA2">
            <w:pPr>
              <w:shd w:val="clear"/>
              <w:spacing w:line="360" w:lineRule="auto"/>
              <w:jc w:val="left"/>
              <w:rPr>
                <w:rFonts w:cs="仿宋" w:asciiTheme="majorEastAsia" w:hAnsiTheme="majorEastAsia" w:eastAsiaTheme="majorEastAsia"/>
                <w:color w:val="auto"/>
                <w:kern w:val="0"/>
                <w:sz w:val="24"/>
                <w:highlight w:val="none"/>
              </w:rPr>
            </w:pPr>
          </w:p>
        </w:tc>
      </w:tr>
      <w:tr w14:paraId="0C7096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1" w:hRule="atLeast"/>
        </w:trPr>
        <w:tc>
          <w:tcPr>
            <w:tcW w:w="831" w:type="dxa"/>
            <w:tcBorders>
              <w:top w:val="single" w:color="auto" w:sz="4" w:space="0"/>
              <w:left w:val="single" w:color="auto" w:sz="4" w:space="0"/>
              <w:bottom w:val="single" w:color="auto" w:sz="4" w:space="0"/>
              <w:right w:val="single" w:color="auto" w:sz="4" w:space="0"/>
            </w:tcBorders>
            <w:vAlign w:val="center"/>
          </w:tcPr>
          <w:p w14:paraId="2D2ED155">
            <w:pPr>
              <w:shd w:val="clear"/>
              <w:spacing w:line="360" w:lineRule="auto"/>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w:t>
            </w:r>
          </w:p>
        </w:tc>
        <w:tc>
          <w:tcPr>
            <w:tcW w:w="1555" w:type="dxa"/>
            <w:tcBorders>
              <w:top w:val="single" w:color="auto" w:sz="4" w:space="0"/>
              <w:left w:val="single" w:color="auto" w:sz="4" w:space="0"/>
              <w:bottom w:val="single" w:color="auto" w:sz="4" w:space="0"/>
              <w:right w:val="single" w:color="auto" w:sz="4" w:space="0"/>
            </w:tcBorders>
            <w:vAlign w:val="center"/>
          </w:tcPr>
          <w:p w14:paraId="085CCF05">
            <w:pPr>
              <w:shd w:val="clear"/>
              <w:spacing w:line="360" w:lineRule="auto"/>
              <w:jc w:val="left"/>
              <w:rPr>
                <w:rFonts w:cs="仿宋" w:asciiTheme="majorEastAsia" w:hAnsiTheme="majorEastAsia" w:eastAsiaTheme="majorEastAsia"/>
                <w:color w:val="auto"/>
                <w:kern w:val="0"/>
                <w:sz w:val="24"/>
                <w:highlight w:val="none"/>
              </w:rPr>
            </w:pPr>
          </w:p>
        </w:tc>
        <w:tc>
          <w:tcPr>
            <w:tcW w:w="1732" w:type="dxa"/>
            <w:tcBorders>
              <w:top w:val="single" w:color="auto" w:sz="4" w:space="0"/>
              <w:left w:val="single" w:color="auto" w:sz="4" w:space="0"/>
              <w:bottom w:val="single" w:color="auto" w:sz="4" w:space="0"/>
              <w:right w:val="single" w:color="auto" w:sz="4" w:space="0"/>
            </w:tcBorders>
            <w:vAlign w:val="center"/>
          </w:tcPr>
          <w:p w14:paraId="3D1824FD">
            <w:pPr>
              <w:shd w:val="clear"/>
              <w:spacing w:line="360" w:lineRule="auto"/>
              <w:jc w:val="left"/>
              <w:rPr>
                <w:rFonts w:cs="仿宋" w:asciiTheme="majorEastAsia" w:hAnsiTheme="majorEastAsia" w:eastAsiaTheme="majorEastAsia"/>
                <w:color w:val="auto"/>
                <w:kern w:val="0"/>
                <w:sz w:val="24"/>
                <w:highlight w:val="none"/>
              </w:rPr>
            </w:pPr>
          </w:p>
        </w:tc>
        <w:tc>
          <w:tcPr>
            <w:tcW w:w="1936" w:type="dxa"/>
            <w:tcBorders>
              <w:top w:val="single" w:color="auto" w:sz="4" w:space="0"/>
              <w:left w:val="single" w:color="auto" w:sz="4" w:space="0"/>
              <w:bottom w:val="single" w:color="auto" w:sz="4" w:space="0"/>
              <w:right w:val="single" w:color="auto" w:sz="4" w:space="0"/>
            </w:tcBorders>
            <w:vAlign w:val="center"/>
          </w:tcPr>
          <w:p w14:paraId="019E043D">
            <w:pPr>
              <w:shd w:val="clear"/>
              <w:spacing w:line="360" w:lineRule="auto"/>
              <w:jc w:val="left"/>
              <w:rPr>
                <w:rFonts w:cs="仿宋" w:asciiTheme="majorEastAsia" w:hAnsiTheme="majorEastAsia" w:eastAsiaTheme="majorEastAsia"/>
                <w:color w:val="auto"/>
                <w:kern w:val="0"/>
                <w:sz w:val="24"/>
                <w:highlight w:val="none"/>
              </w:rPr>
            </w:pPr>
          </w:p>
        </w:tc>
        <w:tc>
          <w:tcPr>
            <w:tcW w:w="1950" w:type="dxa"/>
            <w:tcBorders>
              <w:top w:val="single" w:color="auto" w:sz="4" w:space="0"/>
              <w:left w:val="single" w:color="auto" w:sz="4" w:space="0"/>
              <w:bottom w:val="single" w:color="auto" w:sz="4" w:space="0"/>
              <w:right w:val="single" w:color="auto" w:sz="4" w:space="0"/>
            </w:tcBorders>
            <w:vAlign w:val="center"/>
          </w:tcPr>
          <w:p w14:paraId="7918DC66">
            <w:pPr>
              <w:shd w:val="clear"/>
              <w:spacing w:line="360" w:lineRule="auto"/>
              <w:jc w:val="left"/>
              <w:rPr>
                <w:rFonts w:cs="仿宋" w:asciiTheme="majorEastAsia" w:hAnsiTheme="majorEastAsia" w:eastAsiaTheme="majorEastAsia"/>
                <w:color w:val="auto"/>
                <w:kern w:val="0"/>
                <w:sz w:val="24"/>
                <w:highlight w:val="none"/>
              </w:rPr>
            </w:pPr>
          </w:p>
        </w:tc>
        <w:tc>
          <w:tcPr>
            <w:tcW w:w="1792" w:type="dxa"/>
            <w:tcBorders>
              <w:top w:val="single" w:color="auto" w:sz="4" w:space="0"/>
              <w:left w:val="single" w:color="auto" w:sz="4" w:space="0"/>
              <w:bottom w:val="single" w:color="auto" w:sz="4" w:space="0"/>
              <w:right w:val="single" w:color="auto" w:sz="4" w:space="0"/>
            </w:tcBorders>
            <w:vAlign w:val="center"/>
          </w:tcPr>
          <w:p w14:paraId="2703E193">
            <w:pPr>
              <w:shd w:val="clear"/>
              <w:spacing w:line="360" w:lineRule="auto"/>
              <w:jc w:val="left"/>
              <w:rPr>
                <w:rFonts w:cs="仿宋" w:asciiTheme="majorEastAsia" w:hAnsiTheme="majorEastAsia" w:eastAsiaTheme="majorEastAsia"/>
                <w:color w:val="auto"/>
                <w:kern w:val="0"/>
                <w:sz w:val="24"/>
                <w:highlight w:val="none"/>
              </w:rPr>
            </w:pPr>
          </w:p>
        </w:tc>
      </w:tr>
      <w:tr w14:paraId="5923D4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1" w:hRule="atLeast"/>
        </w:trPr>
        <w:tc>
          <w:tcPr>
            <w:tcW w:w="831" w:type="dxa"/>
            <w:tcBorders>
              <w:top w:val="single" w:color="auto" w:sz="4" w:space="0"/>
              <w:left w:val="single" w:color="auto" w:sz="4" w:space="0"/>
              <w:bottom w:val="single" w:color="auto" w:sz="4" w:space="0"/>
              <w:right w:val="single" w:color="auto" w:sz="4" w:space="0"/>
            </w:tcBorders>
            <w:vAlign w:val="center"/>
          </w:tcPr>
          <w:p w14:paraId="444FE73A">
            <w:pPr>
              <w:shd w:val="clear"/>
              <w:spacing w:line="360" w:lineRule="auto"/>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w:t>
            </w:r>
          </w:p>
        </w:tc>
        <w:tc>
          <w:tcPr>
            <w:tcW w:w="1555" w:type="dxa"/>
            <w:tcBorders>
              <w:top w:val="single" w:color="auto" w:sz="4" w:space="0"/>
              <w:left w:val="single" w:color="auto" w:sz="4" w:space="0"/>
              <w:bottom w:val="single" w:color="auto" w:sz="4" w:space="0"/>
              <w:right w:val="single" w:color="auto" w:sz="4" w:space="0"/>
            </w:tcBorders>
            <w:vAlign w:val="center"/>
          </w:tcPr>
          <w:p w14:paraId="4284C91F">
            <w:pPr>
              <w:shd w:val="clear"/>
              <w:spacing w:line="360" w:lineRule="auto"/>
              <w:jc w:val="left"/>
              <w:rPr>
                <w:rFonts w:cs="仿宋" w:asciiTheme="majorEastAsia" w:hAnsiTheme="majorEastAsia" w:eastAsiaTheme="majorEastAsia"/>
                <w:color w:val="auto"/>
                <w:kern w:val="0"/>
                <w:sz w:val="24"/>
                <w:highlight w:val="none"/>
              </w:rPr>
            </w:pPr>
          </w:p>
        </w:tc>
        <w:tc>
          <w:tcPr>
            <w:tcW w:w="1732" w:type="dxa"/>
            <w:tcBorders>
              <w:top w:val="single" w:color="auto" w:sz="4" w:space="0"/>
              <w:left w:val="single" w:color="auto" w:sz="4" w:space="0"/>
              <w:bottom w:val="single" w:color="auto" w:sz="4" w:space="0"/>
              <w:right w:val="single" w:color="auto" w:sz="4" w:space="0"/>
            </w:tcBorders>
            <w:vAlign w:val="center"/>
          </w:tcPr>
          <w:p w14:paraId="23DB2D68">
            <w:pPr>
              <w:shd w:val="clear"/>
              <w:spacing w:line="360" w:lineRule="auto"/>
              <w:jc w:val="left"/>
              <w:rPr>
                <w:rFonts w:cs="仿宋" w:asciiTheme="majorEastAsia" w:hAnsiTheme="majorEastAsia" w:eastAsiaTheme="majorEastAsia"/>
                <w:color w:val="auto"/>
                <w:kern w:val="0"/>
                <w:sz w:val="24"/>
                <w:highlight w:val="none"/>
              </w:rPr>
            </w:pPr>
          </w:p>
        </w:tc>
        <w:tc>
          <w:tcPr>
            <w:tcW w:w="1936" w:type="dxa"/>
            <w:tcBorders>
              <w:top w:val="single" w:color="auto" w:sz="4" w:space="0"/>
              <w:left w:val="single" w:color="auto" w:sz="4" w:space="0"/>
              <w:bottom w:val="single" w:color="auto" w:sz="4" w:space="0"/>
              <w:right w:val="single" w:color="auto" w:sz="4" w:space="0"/>
            </w:tcBorders>
            <w:vAlign w:val="center"/>
          </w:tcPr>
          <w:p w14:paraId="714F29A6">
            <w:pPr>
              <w:shd w:val="clear"/>
              <w:spacing w:line="360" w:lineRule="auto"/>
              <w:jc w:val="left"/>
              <w:rPr>
                <w:rFonts w:cs="仿宋" w:asciiTheme="majorEastAsia" w:hAnsiTheme="majorEastAsia" w:eastAsiaTheme="majorEastAsia"/>
                <w:color w:val="auto"/>
                <w:kern w:val="0"/>
                <w:sz w:val="24"/>
                <w:highlight w:val="none"/>
              </w:rPr>
            </w:pPr>
          </w:p>
        </w:tc>
        <w:tc>
          <w:tcPr>
            <w:tcW w:w="1950" w:type="dxa"/>
            <w:tcBorders>
              <w:top w:val="single" w:color="auto" w:sz="4" w:space="0"/>
              <w:left w:val="single" w:color="auto" w:sz="4" w:space="0"/>
              <w:bottom w:val="single" w:color="auto" w:sz="4" w:space="0"/>
              <w:right w:val="single" w:color="auto" w:sz="4" w:space="0"/>
            </w:tcBorders>
            <w:vAlign w:val="center"/>
          </w:tcPr>
          <w:p w14:paraId="2D84AEDA">
            <w:pPr>
              <w:shd w:val="clear"/>
              <w:spacing w:line="360" w:lineRule="auto"/>
              <w:jc w:val="left"/>
              <w:rPr>
                <w:rFonts w:cs="仿宋" w:asciiTheme="majorEastAsia" w:hAnsiTheme="majorEastAsia" w:eastAsiaTheme="majorEastAsia"/>
                <w:color w:val="auto"/>
                <w:kern w:val="0"/>
                <w:sz w:val="24"/>
                <w:highlight w:val="none"/>
              </w:rPr>
            </w:pPr>
          </w:p>
        </w:tc>
        <w:tc>
          <w:tcPr>
            <w:tcW w:w="1792" w:type="dxa"/>
            <w:tcBorders>
              <w:top w:val="single" w:color="auto" w:sz="4" w:space="0"/>
              <w:left w:val="single" w:color="auto" w:sz="4" w:space="0"/>
              <w:bottom w:val="single" w:color="auto" w:sz="4" w:space="0"/>
              <w:right w:val="single" w:color="auto" w:sz="4" w:space="0"/>
            </w:tcBorders>
            <w:vAlign w:val="center"/>
          </w:tcPr>
          <w:p w14:paraId="1FC6E5BB">
            <w:pPr>
              <w:shd w:val="clear"/>
              <w:spacing w:line="360" w:lineRule="auto"/>
              <w:jc w:val="left"/>
              <w:rPr>
                <w:rFonts w:cs="仿宋" w:asciiTheme="majorEastAsia" w:hAnsiTheme="majorEastAsia" w:eastAsiaTheme="majorEastAsia"/>
                <w:color w:val="auto"/>
                <w:kern w:val="0"/>
                <w:sz w:val="24"/>
                <w:highlight w:val="none"/>
              </w:rPr>
            </w:pPr>
          </w:p>
        </w:tc>
      </w:tr>
    </w:tbl>
    <w:p w14:paraId="0D1B54E3">
      <w:pPr>
        <w:shd w:val="clear"/>
        <w:spacing w:line="360" w:lineRule="auto"/>
        <w:jc w:val="left"/>
        <w:rPr>
          <w:rFonts w:cs="仿宋" w:asciiTheme="majorEastAsia" w:hAnsiTheme="majorEastAsia" w:eastAsiaTheme="majorEastAsia"/>
          <w:color w:val="auto"/>
          <w:kern w:val="0"/>
          <w:sz w:val="24"/>
          <w:highlight w:val="none"/>
        </w:rPr>
      </w:pPr>
    </w:p>
    <w:p w14:paraId="39BE4AB3">
      <w:pPr>
        <w:shd w:val="clear"/>
        <w:spacing w:line="360" w:lineRule="auto"/>
        <w:jc w:val="left"/>
        <w:rPr>
          <w:rFonts w:cs="仿宋" w:asciiTheme="majorEastAsia" w:hAnsiTheme="majorEastAsia" w:eastAsiaTheme="majorEastAsia"/>
          <w:color w:val="auto"/>
          <w:kern w:val="0"/>
          <w:sz w:val="24"/>
          <w:highlight w:val="none"/>
        </w:rPr>
      </w:pPr>
    </w:p>
    <w:p w14:paraId="5DEB7C2E">
      <w:pPr>
        <w:shd w:val="clear"/>
        <w:spacing w:line="360" w:lineRule="auto"/>
        <w:jc w:val="left"/>
        <w:rPr>
          <w:rFonts w:cs="仿宋" w:asciiTheme="majorEastAsia" w:hAnsiTheme="majorEastAsia" w:eastAsiaTheme="majorEastAsia"/>
          <w:color w:val="auto"/>
          <w:kern w:val="0"/>
          <w:sz w:val="24"/>
          <w:highlight w:val="none"/>
        </w:rPr>
      </w:pPr>
    </w:p>
    <w:p w14:paraId="5718821F">
      <w:pPr>
        <w:shd w:val="clear"/>
        <w:adjustRightInd w:val="0"/>
        <w:snapToGrid w:val="0"/>
        <w:spacing w:line="360" w:lineRule="auto"/>
        <w:jc w:val="righ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法定代表人或其授权委托人（签名或印章）：</w:t>
      </w:r>
    </w:p>
    <w:p w14:paraId="57E2871F">
      <w:pPr>
        <w:shd w:val="clear"/>
        <w:adjustRightInd w:val="0"/>
        <w:snapToGrid w:val="0"/>
        <w:spacing w:line="360" w:lineRule="auto"/>
        <w:ind w:left="3990" w:leftChars="1900"/>
        <w:jc w:val="center"/>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投标人（盖章）：</w:t>
      </w:r>
    </w:p>
    <w:p w14:paraId="0B1FAE24">
      <w:pPr>
        <w:shd w:val="clear"/>
        <w:adjustRightInd w:val="0"/>
        <w:snapToGrid w:val="0"/>
        <w:spacing w:line="360" w:lineRule="auto"/>
        <w:ind w:right="1920"/>
        <w:jc w:val="center"/>
        <w:rPr>
          <w:rFonts w:cs="仿宋" w:asciiTheme="majorEastAsia" w:hAnsiTheme="majorEastAsia" w:eastAsiaTheme="majorEastAsia"/>
          <w:b/>
          <w:color w:val="auto"/>
          <w:kern w:val="0"/>
          <w:sz w:val="32"/>
          <w:szCs w:val="32"/>
          <w:highlight w:val="none"/>
          <w:lang w:val="zh-CN"/>
        </w:rPr>
      </w:pPr>
      <w:r>
        <w:rPr>
          <w:rFonts w:hint="eastAsia" w:cs="仿宋" w:asciiTheme="majorEastAsia" w:hAnsiTheme="majorEastAsia" w:eastAsiaTheme="majorEastAsia"/>
          <w:color w:val="auto"/>
          <w:kern w:val="0"/>
          <w:sz w:val="24"/>
          <w:highlight w:val="none"/>
          <w:lang w:val="zh-CN"/>
        </w:rPr>
        <w:t xml:space="preserve">                                      日期</w:t>
      </w:r>
      <w:r>
        <w:rPr>
          <w:rFonts w:hint="eastAsia" w:cs="仿宋" w:asciiTheme="majorEastAsia" w:hAnsiTheme="majorEastAsia" w:eastAsiaTheme="majorEastAsia"/>
          <w:color w:val="auto"/>
          <w:kern w:val="0"/>
          <w:sz w:val="24"/>
          <w:highlight w:val="none"/>
        </w:rPr>
        <w:t>:</w:t>
      </w:r>
    </w:p>
    <w:p w14:paraId="5F9008DF">
      <w:pPr>
        <w:shd w:val="clear"/>
        <w:spacing w:line="360" w:lineRule="auto"/>
        <w:ind w:left="4620" w:leftChars="2200"/>
        <w:jc w:val="left"/>
        <w:rPr>
          <w:rFonts w:cs="仿宋" w:asciiTheme="majorEastAsia" w:hAnsiTheme="majorEastAsia" w:eastAsiaTheme="majorEastAsia"/>
          <w:b/>
          <w:color w:val="auto"/>
          <w:kern w:val="0"/>
          <w:sz w:val="32"/>
          <w:szCs w:val="32"/>
          <w:highlight w:val="none"/>
          <w:lang w:val="zh-CN"/>
        </w:rPr>
      </w:pPr>
    </w:p>
    <w:p w14:paraId="6C312001">
      <w:pPr>
        <w:numPr>
          <w:ilvl w:val="0"/>
          <w:numId w:val="3"/>
        </w:numPr>
        <w:shd w:val="clear"/>
        <w:snapToGrid w:val="0"/>
        <w:spacing w:line="360" w:lineRule="auto"/>
        <w:jc w:val="center"/>
        <w:outlineLvl w:val="0"/>
        <w:rPr>
          <w:rFonts w:cs="仿宋" w:asciiTheme="majorEastAsia" w:hAnsiTheme="majorEastAsia" w:eastAsiaTheme="majorEastAsia"/>
          <w:b/>
          <w:color w:val="auto"/>
          <w:kern w:val="0"/>
          <w:sz w:val="32"/>
          <w:szCs w:val="32"/>
          <w:highlight w:val="none"/>
          <w:lang w:val="zh-CN"/>
        </w:rPr>
      </w:pPr>
      <w:r>
        <w:rPr>
          <w:rFonts w:hint="eastAsia" w:cs="仿宋" w:asciiTheme="majorEastAsia" w:hAnsiTheme="majorEastAsia" w:eastAsiaTheme="majorEastAsia"/>
          <w:b/>
          <w:color w:val="auto"/>
          <w:kern w:val="0"/>
          <w:sz w:val="32"/>
          <w:szCs w:val="32"/>
          <w:highlight w:val="none"/>
          <w:lang w:val="zh-CN"/>
        </w:rPr>
        <w:br w:type="page"/>
      </w:r>
      <w:r>
        <w:rPr>
          <w:rFonts w:hint="eastAsia" w:cs="仿宋" w:asciiTheme="majorEastAsia" w:hAnsiTheme="majorEastAsia" w:eastAsiaTheme="majorEastAsia"/>
          <w:b/>
          <w:color w:val="auto"/>
          <w:kern w:val="0"/>
          <w:sz w:val="32"/>
          <w:szCs w:val="32"/>
          <w:highlight w:val="none"/>
          <w:lang w:val="zh-CN"/>
        </w:rPr>
        <w:t>政府采购供应商廉洁自律承诺书</w:t>
      </w:r>
    </w:p>
    <w:p w14:paraId="0870A2E6">
      <w:pPr>
        <w:shd w:val="clear"/>
        <w:snapToGrid w:val="0"/>
        <w:spacing w:line="360" w:lineRule="auto"/>
        <w:rPr>
          <w:rFonts w:cs="仿宋" w:asciiTheme="majorEastAsia" w:hAnsiTheme="majorEastAsia" w:eastAsiaTheme="majorEastAsia"/>
          <w:color w:val="auto"/>
          <w:sz w:val="24"/>
          <w:highlight w:val="none"/>
        </w:rPr>
      </w:pPr>
    </w:p>
    <w:p w14:paraId="5ED0452B">
      <w:pPr>
        <w:shd w:val="clear"/>
        <w:snapToGrid w:val="0"/>
        <w:spacing w:line="360" w:lineRule="auto"/>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sz w:val="24"/>
          <w:highlight w:val="none"/>
        </w:rPr>
        <w:t>（采购人）、（采购代理机构）</w:t>
      </w:r>
      <w:r>
        <w:rPr>
          <w:rFonts w:hint="eastAsia" w:cs="仿宋" w:asciiTheme="majorEastAsia" w:hAnsiTheme="majorEastAsia" w:eastAsiaTheme="majorEastAsia"/>
          <w:color w:val="auto"/>
          <w:kern w:val="0"/>
          <w:sz w:val="24"/>
          <w:highlight w:val="none"/>
          <w:lang w:val="zh-CN"/>
        </w:rPr>
        <w:t>：</w:t>
      </w:r>
    </w:p>
    <w:p w14:paraId="42A89EF5">
      <w:pPr>
        <w:shd w:val="clear"/>
        <w:autoSpaceDE w:val="0"/>
        <w:autoSpaceDN w:val="0"/>
        <w:spacing w:line="360" w:lineRule="auto"/>
        <w:ind w:left="2" w:leftChars="1" w:firstLine="480" w:firstLineChars="2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我单位响应你</w:t>
      </w:r>
      <w:r>
        <w:rPr>
          <w:rFonts w:hint="eastAsia" w:cs="仿宋" w:asciiTheme="majorEastAsia" w:hAnsiTheme="majorEastAsia" w:eastAsiaTheme="majorEastAsia"/>
          <w:color w:val="auto"/>
          <w:sz w:val="24"/>
          <w:highlight w:val="none"/>
        </w:rPr>
        <w:t>单位</w:t>
      </w:r>
      <w:r>
        <w:rPr>
          <w:rFonts w:hint="eastAsia" w:cs="仿宋" w:asciiTheme="majorEastAsia" w:hAnsiTheme="majorEastAsia" w:eastAsiaTheme="majorEastAsia"/>
          <w:color w:val="auto"/>
          <w:kern w:val="0"/>
          <w:sz w:val="24"/>
          <w:highlight w:val="none"/>
          <w:lang w:val="zh-CN"/>
        </w:rPr>
        <w:t>项目招标要求参加投标。在这次投标过程中和中标后，我们将严格遵守国家法律法规要求，并郑重承诺：</w:t>
      </w:r>
    </w:p>
    <w:p w14:paraId="4158D7BF">
      <w:pPr>
        <w:shd w:val="clear"/>
        <w:autoSpaceDE w:val="0"/>
        <w:autoSpaceDN w:val="0"/>
        <w:spacing w:line="360" w:lineRule="auto"/>
        <w:ind w:left="2" w:leftChars="1" w:firstLine="480" w:firstLineChars="2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 xml:space="preserve">一、不向项目有关人员及部门赠送礼金礼物、有价证券、回扣以及中介费、介绍费、咨询费等好处费； </w:t>
      </w:r>
    </w:p>
    <w:p w14:paraId="08E25477">
      <w:pPr>
        <w:shd w:val="clear"/>
        <w:autoSpaceDE w:val="0"/>
        <w:autoSpaceDN w:val="0"/>
        <w:spacing w:line="360" w:lineRule="auto"/>
        <w:ind w:left="2" w:leftChars="1" w:firstLine="480" w:firstLineChars="2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 xml:space="preserve">二、不为项目有关人员及部门报销应由你方单位或个人支付的费用； </w:t>
      </w:r>
    </w:p>
    <w:p w14:paraId="5FADC0A7">
      <w:pPr>
        <w:shd w:val="clear"/>
        <w:autoSpaceDE w:val="0"/>
        <w:autoSpaceDN w:val="0"/>
        <w:spacing w:line="360" w:lineRule="auto"/>
        <w:ind w:left="2" w:leftChars="1" w:firstLine="480" w:firstLineChars="2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 xml:space="preserve">三、不向项目有关人员及部门提供有可能影响公正的宴请和健身娱乐等活动； </w:t>
      </w:r>
    </w:p>
    <w:p w14:paraId="3CE55998">
      <w:pPr>
        <w:shd w:val="clear"/>
        <w:autoSpaceDE w:val="0"/>
        <w:autoSpaceDN w:val="0"/>
        <w:spacing w:line="360" w:lineRule="auto"/>
        <w:ind w:left="2" w:leftChars="1" w:firstLine="480" w:firstLineChars="2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四、不为项目有关人员及部门出国（境）、旅游等提供方便；</w:t>
      </w:r>
    </w:p>
    <w:p w14:paraId="1D5BA879">
      <w:pPr>
        <w:shd w:val="clear"/>
        <w:autoSpaceDE w:val="0"/>
        <w:autoSpaceDN w:val="0"/>
        <w:spacing w:line="360" w:lineRule="auto"/>
        <w:ind w:left="481" w:leftChars="229"/>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五、不为项目有关人员个人装修住房、婚丧嫁娶、配偶子女工作安排等提供</w:t>
      </w:r>
    </w:p>
    <w:p w14:paraId="29209A22">
      <w:pPr>
        <w:shd w:val="clear"/>
        <w:autoSpaceDE w:val="0"/>
        <w:autoSpaceDN w:val="0"/>
        <w:spacing w:line="360" w:lineRule="auto"/>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好处；</w:t>
      </w:r>
    </w:p>
    <w:p w14:paraId="3E6040B5">
      <w:pPr>
        <w:shd w:val="clear"/>
        <w:autoSpaceDE w:val="0"/>
        <w:autoSpaceDN w:val="0"/>
        <w:spacing w:line="360" w:lineRule="auto"/>
        <w:ind w:left="481" w:leftChars="229"/>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六、严格遵守《</w:t>
      </w:r>
      <w:r>
        <w:rPr>
          <w:rFonts w:hint="eastAsia" w:cs="仿宋" w:asciiTheme="majorEastAsia" w:hAnsiTheme="majorEastAsia" w:eastAsiaTheme="majorEastAsia"/>
          <w:color w:val="auto"/>
          <w:sz w:val="24"/>
          <w:highlight w:val="none"/>
          <w:lang w:val="zh-CN"/>
        </w:rPr>
        <w:t>中华人民共和国</w:t>
      </w:r>
      <w:r>
        <w:rPr>
          <w:rFonts w:hint="eastAsia" w:cs="仿宋" w:asciiTheme="majorEastAsia" w:hAnsiTheme="majorEastAsia" w:eastAsiaTheme="majorEastAsia"/>
          <w:color w:val="auto"/>
          <w:kern w:val="0"/>
          <w:sz w:val="24"/>
          <w:highlight w:val="none"/>
          <w:lang w:val="zh-CN"/>
        </w:rPr>
        <w:t>政府采购法》《</w:t>
      </w:r>
      <w:r>
        <w:rPr>
          <w:rFonts w:hint="eastAsia" w:cs="仿宋" w:asciiTheme="majorEastAsia" w:hAnsiTheme="majorEastAsia" w:eastAsiaTheme="majorEastAsia"/>
          <w:color w:val="auto"/>
          <w:sz w:val="24"/>
          <w:highlight w:val="none"/>
          <w:lang w:val="zh-CN"/>
        </w:rPr>
        <w:t>中华人民共和国</w:t>
      </w:r>
      <w:r>
        <w:rPr>
          <w:rFonts w:hint="eastAsia" w:cs="仿宋" w:asciiTheme="majorEastAsia" w:hAnsiTheme="majorEastAsia" w:eastAsiaTheme="majorEastAsia"/>
          <w:color w:val="auto"/>
          <w:kern w:val="0"/>
          <w:sz w:val="24"/>
          <w:highlight w:val="none"/>
          <w:lang w:val="zh-CN"/>
        </w:rPr>
        <w:t>招标投标</w:t>
      </w:r>
    </w:p>
    <w:p w14:paraId="241E8491">
      <w:pPr>
        <w:shd w:val="clear"/>
        <w:autoSpaceDE w:val="0"/>
        <w:autoSpaceDN w:val="0"/>
        <w:spacing w:line="360" w:lineRule="auto"/>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法》</w:t>
      </w:r>
      <w:r>
        <w:rPr>
          <w:rFonts w:hint="eastAsia" w:cs="仿宋" w:asciiTheme="majorEastAsia" w:hAnsiTheme="majorEastAsia" w:eastAsiaTheme="majorEastAsia"/>
          <w:color w:val="auto"/>
          <w:sz w:val="24"/>
          <w:highlight w:val="none"/>
          <w:lang w:val="zh-CN"/>
        </w:rPr>
        <w:t>《中华人民共和国民法典》</w:t>
      </w:r>
      <w:r>
        <w:rPr>
          <w:rFonts w:hint="eastAsia" w:cs="仿宋" w:asciiTheme="majorEastAsia" w:hAnsiTheme="majorEastAsia" w:eastAsiaTheme="majorEastAsia"/>
          <w:color w:val="auto"/>
          <w:kern w:val="0"/>
          <w:sz w:val="24"/>
          <w:highlight w:val="none"/>
          <w:lang w:val="zh-CN"/>
        </w:rPr>
        <w:t xml:space="preserve">等法律法规，诚实守信，合法经营，坚决抵制各种违法违纪行为。 </w:t>
      </w:r>
    </w:p>
    <w:p w14:paraId="6A1D0790">
      <w:pPr>
        <w:shd w:val="clear"/>
        <w:autoSpaceDE w:val="0"/>
        <w:autoSpaceDN w:val="0"/>
        <w:spacing w:line="360" w:lineRule="auto"/>
        <w:ind w:firstLine="480" w:firstLineChars="2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如违反上述承诺，你</w:t>
      </w:r>
      <w:r>
        <w:rPr>
          <w:rFonts w:hint="eastAsia" w:cs="仿宋" w:asciiTheme="majorEastAsia" w:hAnsiTheme="majorEastAsia" w:eastAsiaTheme="majorEastAsia"/>
          <w:color w:val="auto"/>
          <w:sz w:val="24"/>
          <w:highlight w:val="none"/>
        </w:rPr>
        <w:t>单位</w:t>
      </w:r>
      <w:r>
        <w:rPr>
          <w:rFonts w:hint="eastAsia" w:cs="仿宋" w:asciiTheme="majorEastAsia" w:hAnsiTheme="majorEastAsia" w:eastAsiaTheme="majorEastAsia"/>
          <w:color w:val="auto"/>
          <w:kern w:val="0"/>
          <w:sz w:val="24"/>
          <w:highlight w:val="none"/>
          <w:lang w:val="zh-CN"/>
        </w:rPr>
        <w:t>有权立即取消我单位投标、中标或在建项目的建设资格，有权拒绝我单位在一定时期内进入你</w:t>
      </w:r>
      <w:r>
        <w:rPr>
          <w:rFonts w:hint="eastAsia" w:cs="仿宋" w:asciiTheme="majorEastAsia" w:hAnsiTheme="majorEastAsia" w:eastAsiaTheme="majorEastAsia"/>
          <w:color w:val="auto"/>
          <w:sz w:val="24"/>
          <w:highlight w:val="none"/>
        </w:rPr>
        <w:t>单位</w:t>
      </w:r>
      <w:r>
        <w:rPr>
          <w:rFonts w:hint="eastAsia" w:cs="仿宋" w:asciiTheme="majorEastAsia" w:hAnsiTheme="majorEastAsia" w:eastAsiaTheme="majorEastAsia"/>
          <w:color w:val="auto"/>
          <w:kern w:val="0"/>
          <w:sz w:val="24"/>
          <w:highlight w:val="none"/>
          <w:lang w:val="zh-CN"/>
        </w:rPr>
        <w:t>进行项目建设或其他经营活动，并通报市财政局。由此引起的相应损失均由我单位承担。</w:t>
      </w:r>
    </w:p>
    <w:p w14:paraId="2D63C37B">
      <w:pPr>
        <w:shd w:val="clear"/>
        <w:autoSpaceDE w:val="0"/>
        <w:autoSpaceDN w:val="0"/>
        <w:spacing w:line="360" w:lineRule="auto"/>
        <w:ind w:left="2"/>
        <w:jc w:val="left"/>
        <w:rPr>
          <w:rFonts w:cs="仿宋" w:asciiTheme="majorEastAsia" w:hAnsiTheme="majorEastAsia" w:eastAsiaTheme="majorEastAsia"/>
          <w:color w:val="auto"/>
          <w:kern w:val="0"/>
          <w:sz w:val="24"/>
          <w:highlight w:val="none"/>
          <w:lang w:val="zh-CN"/>
        </w:rPr>
      </w:pPr>
    </w:p>
    <w:p w14:paraId="5A74DA29">
      <w:pPr>
        <w:shd w:val="clear"/>
        <w:autoSpaceDE w:val="0"/>
        <w:autoSpaceDN w:val="0"/>
        <w:spacing w:line="360" w:lineRule="auto"/>
        <w:ind w:left="2"/>
        <w:jc w:val="left"/>
        <w:rPr>
          <w:rFonts w:cs="仿宋" w:asciiTheme="majorEastAsia" w:hAnsiTheme="majorEastAsia" w:eastAsiaTheme="majorEastAsia"/>
          <w:color w:val="auto"/>
          <w:kern w:val="0"/>
          <w:sz w:val="24"/>
          <w:highlight w:val="none"/>
          <w:lang w:val="zh-CN"/>
        </w:rPr>
      </w:pPr>
    </w:p>
    <w:p w14:paraId="10ABEDE3">
      <w:pPr>
        <w:shd w:val="clear"/>
        <w:autoSpaceDE w:val="0"/>
        <w:autoSpaceDN w:val="0"/>
        <w:spacing w:line="360" w:lineRule="auto"/>
        <w:ind w:left="2"/>
        <w:jc w:val="left"/>
        <w:rPr>
          <w:rFonts w:cs="仿宋" w:asciiTheme="majorEastAsia" w:hAnsiTheme="majorEastAsia" w:eastAsiaTheme="majorEastAsia"/>
          <w:color w:val="auto"/>
          <w:kern w:val="0"/>
          <w:sz w:val="24"/>
          <w:highlight w:val="none"/>
          <w:lang w:val="zh-CN"/>
        </w:rPr>
      </w:pPr>
    </w:p>
    <w:p w14:paraId="4C6659E2">
      <w:pPr>
        <w:shd w:val="clear"/>
        <w:adjustRightInd w:val="0"/>
        <w:snapToGrid w:val="0"/>
        <w:spacing w:line="360" w:lineRule="auto"/>
        <w:jc w:val="righ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法定代表人或其授权委托人（签名或印章）：</w:t>
      </w:r>
    </w:p>
    <w:p w14:paraId="082C5688">
      <w:pPr>
        <w:shd w:val="clear"/>
        <w:adjustRightInd w:val="0"/>
        <w:snapToGrid w:val="0"/>
        <w:spacing w:line="360" w:lineRule="auto"/>
        <w:ind w:left="3990" w:leftChars="1900"/>
        <w:jc w:val="center"/>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投标人（盖章）：</w:t>
      </w:r>
    </w:p>
    <w:p w14:paraId="3EE06990">
      <w:pPr>
        <w:shd w:val="clear"/>
        <w:adjustRightInd w:val="0"/>
        <w:snapToGrid w:val="0"/>
        <w:spacing w:line="360" w:lineRule="auto"/>
        <w:ind w:right="1920"/>
        <w:jc w:val="center"/>
        <w:rPr>
          <w:rFonts w:cs="仿宋" w:asciiTheme="majorEastAsia" w:hAnsiTheme="majorEastAsia" w:eastAsiaTheme="majorEastAsia"/>
          <w:b/>
          <w:color w:val="auto"/>
          <w:kern w:val="0"/>
          <w:sz w:val="32"/>
          <w:szCs w:val="32"/>
          <w:highlight w:val="none"/>
          <w:lang w:val="zh-CN"/>
        </w:rPr>
      </w:pPr>
      <w:r>
        <w:rPr>
          <w:rFonts w:hint="eastAsia" w:cs="仿宋" w:asciiTheme="majorEastAsia" w:hAnsiTheme="majorEastAsia" w:eastAsiaTheme="majorEastAsia"/>
          <w:color w:val="auto"/>
          <w:kern w:val="0"/>
          <w:sz w:val="24"/>
          <w:highlight w:val="none"/>
          <w:lang w:val="zh-CN"/>
        </w:rPr>
        <w:t xml:space="preserve">                                      日期</w:t>
      </w:r>
      <w:r>
        <w:rPr>
          <w:rFonts w:hint="eastAsia" w:cs="仿宋" w:asciiTheme="majorEastAsia" w:hAnsiTheme="majorEastAsia" w:eastAsiaTheme="majorEastAsia"/>
          <w:color w:val="auto"/>
          <w:kern w:val="0"/>
          <w:sz w:val="24"/>
          <w:highlight w:val="none"/>
        </w:rPr>
        <w:t>:</w:t>
      </w:r>
    </w:p>
    <w:p w14:paraId="65A0448A">
      <w:pPr>
        <w:shd w:val="clear"/>
        <w:spacing w:line="360" w:lineRule="auto"/>
        <w:ind w:left="4620" w:leftChars="2200"/>
        <w:rPr>
          <w:rFonts w:cs="仿宋" w:asciiTheme="majorEastAsia" w:hAnsiTheme="majorEastAsia" w:eastAsiaTheme="majorEastAsia"/>
          <w:color w:val="auto"/>
          <w:sz w:val="24"/>
          <w:highlight w:val="none"/>
        </w:rPr>
      </w:pPr>
    </w:p>
    <w:p w14:paraId="5D06563A">
      <w:pPr>
        <w:shd w:val="clear"/>
        <w:spacing w:line="360" w:lineRule="auto"/>
        <w:jc w:val="center"/>
        <w:rPr>
          <w:rFonts w:cs="仿宋" w:asciiTheme="majorEastAsia" w:hAnsiTheme="majorEastAsia" w:eastAsiaTheme="majorEastAsia"/>
          <w:b/>
          <w:bCs/>
          <w:color w:val="auto"/>
          <w:sz w:val="24"/>
          <w:highlight w:val="none"/>
        </w:rPr>
      </w:pPr>
    </w:p>
    <w:p w14:paraId="5431B048">
      <w:pPr>
        <w:shd w:val="clear"/>
        <w:spacing w:line="360" w:lineRule="auto"/>
        <w:jc w:val="center"/>
        <w:rPr>
          <w:rFonts w:cs="仿宋" w:asciiTheme="majorEastAsia" w:hAnsiTheme="majorEastAsia" w:eastAsiaTheme="majorEastAsia"/>
          <w:b/>
          <w:bCs/>
          <w:color w:val="auto"/>
          <w:sz w:val="24"/>
          <w:highlight w:val="none"/>
        </w:rPr>
        <w:sectPr>
          <w:pgSz w:w="11906" w:h="16838"/>
          <w:pgMar w:top="1276" w:right="1418" w:bottom="1247" w:left="1418" w:header="851" w:footer="992" w:gutter="0"/>
          <w:cols w:space="720" w:num="1"/>
          <w:titlePg/>
          <w:docGrid w:linePitch="312" w:charSpace="0"/>
        </w:sectPr>
      </w:pPr>
    </w:p>
    <w:p w14:paraId="3018A037">
      <w:pPr>
        <w:shd w:val="clear"/>
        <w:spacing w:line="360" w:lineRule="auto"/>
        <w:jc w:val="center"/>
        <w:outlineLvl w:val="0"/>
        <w:rPr>
          <w:rFonts w:cs="仿宋" w:asciiTheme="majorEastAsia" w:hAnsiTheme="majorEastAsia" w:eastAsiaTheme="majorEastAsia"/>
          <w:b/>
          <w:color w:val="auto"/>
          <w:kern w:val="0"/>
          <w:sz w:val="36"/>
          <w:szCs w:val="36"/>
          <w:highlight w:val="none"/>
        </w:rPr>
      </w:pPr>
    </w:p>
    <w:p w14:paraId="2C4031A8">
      <w:pPr>
        <w:shd w:val="clear"/>
        <w:spacing w:line="360" w:lineRule="auto"/>
        <w:jc w:val="center"/>
        <w:outlineLvl w:val="0"/>
        <w:rPr>
          <w:rFonts w:cs="仿宋" w:asciiTheme="majorEastAsia" w:hAnsiTheme="majorEastAsia" w:eastAsiaTheme="majorEastAsia"/>
          <w:b/>
          <w:color w:val="auto"/>
          <w:kern w:val="0"/>
          <w:sz w:val="36"/>
          <w:szCs w:val="36"/>
          <w:highlight w:val="none"/>
        </w:rPr>
      </w:pPr>
      <w:r>
        <w:rPr>
          <w:rFonts w:hint="eastAsia" w:cs="仿宋" w:asciiTheme="majorEastAsia" w:hAnsiTheme="majorEastAsia" w:eastAsiaTheme="majorEastAsia"/>
          <w:b/>
          <w:color w:val="auto"/>
          <w:kern w:val="0"/>
          <w:sz w:val="36"/>
          <w:szCs w:val="36"/>
          <w:highlight w:val="none"/>
        </w:rPr>
        <w:t>报价文件部分</w:t>
      </w:r>
    </w:p>
    <w:p w14:paraId="66D16ABA">
      <w:pPr>
        <w:shd w:val="clear"/>
        <w:spacing w:line="360" w:lineRule="auto"/>
        <w:jc w:val="center"/>
        <w:outlineLvl w:val="0"/>
        <w:rPr>
          <w:rFonts w:cs="仿宋" w:asciiTheme="majorEastAsia" w:hAnsiTheme="majorEastAsia" w:eastAsiaTheme="majorEastAsia"/>
          <w:b/>
          <w:color w:val="auto"/>
          <w:kern w:val="0"/>
          <w:sz w:val="36"/>
          <w:szCs w:val="36"/>
          <w:highlight w:val="none"/>
        </w:rPr>
      </w:pPr>
      <w:r>
        <w:rPr>
          <w:rFonts w:hint="eastAsia" w:cs="仿宋" w:asciiTheme="majorEastAsia" w:hAnsiTheme="majorEastAsia" w:eastAsiaTheme="majorEastAsia"/>
          <w:b/>
          <w:color w:val="auto"/>
          <w:kern w:val="0"/>
          <w:sz w:val="36"/>
          <w:szCs w:val="36"/>
          <w:highlight w:val="none"/>
        </w:rPr>
        <w:t>目录</w:t>
      </w:r>
    </w:p>
    <w:p w14:paraId="130D775F">
      <w:pPr>
        <w:shd w:val="clear"/>
        <w:snapToGrid w:val="0"/>
        <w:spacing w:line="360" w:lineRule="auto"/>
        <w:ind w:firstLine="480" w:firstLineChars="200"/>
        <w:rPr>
          <w:rFonts w:cs="仿宋" w:asciiTheme="majorEastAsia" w:hAnsiTheme="majorEastAsia" w:eastAsiaTheme="majorEastAsia"/>
          <w:color w:val="auto"/>
          <w:sz w:val="24"/>
          <w:highlight w:val="none"/>
          <w:u w:val="single"/>
          <w:lang w:val="zh-CN"/>
        </w:rPr>
      </w:pPr>
      <w:r>
        <w:rPr>
          <w:rFonts w:hint="eastAsia" w:cs="仿宋" w:asciiTheme="majorEastAsia" w:hAnsiTheme="majorEastAsia" w:eastAsiaTheme="majorEastAsia"/>
          <w:color w:val="auto"/>
          <w:sz w:val="24"/>
          <w:highlight w:val="none"/>
        </w:rPr>
        <w:t xml:space="preserve"> </w:t>
      </w:r>
    </w:p>
    <w:p w14:paraId="359BD5CA">
      <w:pPr>
        <w:shd w:val="clear"/>
        <w:snapToGrid w:val="0"/>
        <w:spacing w:line="360" w:lineRule="auto"/>
        <w:ind w:firstLine="1120" w:firstLineChars="4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1 开标一览表；</w:t>
      </w:r>
    </w:p>
    <w:p w14:paraId="425555FB">
      <w:pPr>
        <w:shd w:val="clear"/>
        <w:snapToGrid w:val="0"/>
        <w:spacing w:line="360" w:lineRule="auto"/>
        <w:ind w:firstLine="1120" w:firstLineChars="4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2 投标报价明细表；</w:t>
      </w:r>
    </w:p>
    <w:p w14:paraId="111A2F7C">
      <w:pPr>
        <w:shd w:val="clear"/>
        <w:snapToGrid w:val="0"/>
        <w:spacing w:line="360" w:lineRule="auto"/>
        <w:ind w:firstLine="1120" w:firstLineChars="4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3 中小企业声明函（如有）；</w:t>
      </w:r>
    </w:p>
    <w:p w14:paraId="1A050CCC">
      <w:pPr>
        <w:shd w:val="clear"/>
        <w:snapToGrid w:val="0"/>
        <w:spacing w:line="360" w:lineRule="auto"/>
        <w:ind w:firstLine="1120" w:firstLineChars="4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4 残疾人福利性单位声明函（如有）；</w:t>
      </w:r>
    </w:p>
    <w:p w14:paraId="4E3EF98D">
      <w:pPr>
        <w:shd w:val="clear"/>
        <w:snapToGrid w:val="0"/>
        <w:spacing w:line="360" w:lineRule="auto"/>
        <w:ind w:firstLine="1120" w:firstLineChars="4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5 监狱企业的证明文件（如有）；</w:t>
      </w:r>
    </w:p>
    <w:p w14:paraId="606A1108">
      <w:pPr>
        <w:shd w:val="clear"/>
        <w:snapToGrid w:val="0"/>
        <w:spacing w:line="360" w:lineRule="auto"/>
        <w:ind w:firstLine="1120" w:firstLineChars="4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6 政府采购统计基础信息表；</w:t>
      </w:r>
    </w:p>
    <w:p w14:paraId="4A36CEDF">
      <w:pPr>
        <w:shd w:val="clear"/>
        <w:snapToGrid w:val="0"/>
        <w:spacing w:line="360" w:lineRule="auto"/>
        <w:ind w:firstLine="1120" w:firstLineChars="4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7 其他资料（如有）。</w:t>
      </w:r>
    </w:p>
    <w:p w14:paraId="10592854">
      <w:pPr>
        <w:shd w:val="clear"/>
        <w:snapToGrid w:val="0"/>
        <w:spacing w:line="360" w:lineRule="auto"/>
        <w:ind w:right="480"/>
        <w:rPr>
          <w:rFonts w:cs="仿宋" w:asciiTheme="majorEastAsia" w:hAnsiTheme="majorEastAsia" w:eastAsiaTheme="majorEastAsia"/>
          <w:b/>
          <w:color w:val="auto"/>
          <w:kern w:val="0"/>
          <w:sz w:val="32"/>
          <w:szCs w:val="32"/>
          <w:highlight w:val="none"/>
        </w:rPr>
      </w:pPr>
    </w:p>
    <w:p w14:paraId="6FC45F63">
      <w:pPr>
        <w:pStyle w:val="35"/>
        <w:keepNext w:val="0"/>
        <w:pageBreakBefore w:val="0"/>
        <w:shd w:val="clear"/>
        <w:tabs>
          <w:tab w:val="clear" w:pos="720"/>
        </w:tabs>
        <w:snapToGrid w:val="0"/>
        <w:spacing w:before="120" w:after="120"/>
        <w:ind w:firstLine="643"/>
        <w:outlineLvl w:val="9"/>
        <w:rPr>
          <w:rFonts w:cs="仿宋" w:asciiTheme="majorEastAsia" w:hAnsiTheme="majorEastAsia" w:eastAsiaTheme="majorEastAsia"/>
          <w:color w:val="auto"/>
          <w:kern w:val="2"/>
          <w:sz w:val="32"/>
          <w:szCs w:val="32"/>
          <w:highlight w:val="none"/>
        </w:rPr>
        <w:sectPr>
          <w:headerReference r:id="rId8" w:type="first"/>
          <w:footerReference r:id="rId10" w:type="first"/>
          <w:headerReference r:id="rId7" w:type="default"/>
          <w:footerReference r:id="rId9" w:type="default"/>
          <w:pgSz w:w="11906" w:h="16838"/>
          <w:pgMar w:top="1276" w:right="1418" w:bottom="1247" w:left="1418" w:header="851" w:footer="992" w:gutter="0"/>
          <w:cols w:space="720" w:num="1"/>
          <w:titlePg/>
          <w:docGrid w:linePitch="312" w:charSpace="0"/>
        </w:sectPr>
      </w:pPr>
    </w:p>
    <w:p w14:paraId="388C00E2">
      <w:pPr>
        <w:pStyle w:val="35"/>
        <w:keepNext w:val="0"/>
        <w:pageBreakBefore w:val="0"/>
        <w:shd w:val="clear"/>
        <w:tabs>
          <w:tab w:val="clear" w:pos="720"/>
        </w:tabs>
        <w:snapToGrid w:val="0"/>
        <w:spacing w:before="120" w:after="120"/>
        <w:ind w:firstLine="643"/>
        <w:outlineLvl w:val="9"/>
        <w:rPr>
          <w:rFonts w:cs="仿宋" w:asciiTheme="majorEastAsia" w:hAnsiTheme="majorEastAsia" w:eastAsiaTheme="majorEastAsia"/>
          <w:color w:val="auto"/>
          <w:kern w:val="2"/>
          <w:sz w:val="32"/>
          <w:szCs w:val="32"/>
          <w:highlight w:val="none"/>
        </w:rPr>
      </w:pPr>
      <w:r>
        <w:rPr>
          <w:rFonts w:hint="eastAsia" w:cs="仿宋" w:asciiTheme="majorEastAsia" w:hAnsiTheme="majorEastAsia" w:eastAsiaTheme="majorEastAsia"/>
          <w:color w:val="auto"/>
          <w:kern w:val="2"/>
          <w:sz w:val="32"/>
          <w:szCs w:val="32"/>
          <w:highlight w:val="none"/>
        </w:rPr>
        <w:t>一、开标一览表（报价表）</w:t>
      </w:r>
    </w:p>
    <w:p w14:paraId="68B88BE5">
      <w:pPr>
        <w:shd w:val="clear"/>
        <w:snapToGrid w:val="0"/>
        <w:spacing w:line="360" w:lineRule="auto"/>
        <w:rPr>
          <w:rFonts w:cs="仿宋" w:asciiTheme="majorEastAsia" w:hAnsiTheme="majorEastAsia" w:eastAsiaTheme="majorEastAsia"/>
          <w:color w:val="auto"/>
          <w:kern w:val="0"/>
          <w:sz w:val="24"/>
          <w:highlight w:val="none"/>
          <w:u w:val="single"/>
        </w:rPr>
      </w:pPr>
      <w:r>
        <w:rPr>
          <w:rFonts w:hint="eastAsia" w:cs="仿宋" w:asciiTheme="majorEastAsia" w:hAnsiTheme="majorEastAsia" w:eastAsiaTheme="majorEastAsia"/>
          <w:color w:val="auto"/>
          <w:sz w:val="24"/>
          <w:highlight w:val="none"/>
        </w:rPr>
        <w:t>（采购人）、（采购代理机构）</w:t>
      </w:r>
      <w:r>
        <w:rPr>
          <w:rFonts w:hint="eastAsia" w:cs="仿宋" w:asciiTheme="majorEastAsia" w:hAnsiTheme="majorEastAsia" w:eastAsiaTheme="majorEastAsia"/>
          <w:color w:val="auto"/>
          <w:kern w:val="0"/>
          <w:sz w:val="24"/>
          <w:highlight w:val="none"/>
          <w:lang w:val="zh-CN"/>
        </w:rPr>
        <w:t>：</w:t>
      </w:r>
    </w:p>
    <w:p w14:paraId="685698A3">
      <w:pPr>
        <w:shd w:val="clear"/>
        <w:snapToGrid w:val="0"/>
        <w:spacing w:line="360" w:lineRule="auto"/>
        <w:ind w:firstLine="482"/>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cs="仿宋" w:asciiTheme="majorEastAsia" w:hAnsiTheme="majorEastAsia" w:eastAsiaTheme="majorEastAsia"/>
          <w:color w:val="auto"/>
          <w:sz w:val="24"/>
          <w:highlight w:val="none"/>
          <w:u w:val="none"/>
        </w:rPr>
        <w:t>（奉化区江口街道园中村改造安置房建设工程（二期）配套幼儿园户外改造项目）</w:t>
      </w:r>
      <w:r>
        <w:rPr>
          <w:rFonts w:hint="eastAsia" w:cs="仿宋" w:asciiTheme="majorEastAsia" w:hAnsiTheme="majorEastAsia" w:eastAsiaTheme="majorEastAsia"/>
          <w:color w:val="auto"/>
          <w:kern w:val="0"/>
          <w:sz w:val="24"/>
          <w:highlight w:val="none"/>
          <w:lang w:val="zh-CN"/>
        </w:rPr>
        <w:t>【</w:t>
      </w:r>
      <w:r>
        <w:rPr>
          <w:rFonts w:hint="eastAsia" w:cs="仿宋" w:asciiTheme="majorEastAsia" w:hAnsiTheme="majorEastAsia" w:eastAsiaTheme="majorEastAsia"/>
          <w:color w:val="auto"/>
          <w:sz w:val="24"/>
          <w:highlight w:val="none"/>
        </w:rPr>
        <w:t>项目编号：     】的实施</w:t>
      </w:r>
      <w:r>
        <w:rPr>
          <w:rFonts w:hint="eastAsia" w:cs="仿宋" w:asciiTheme="majorEastAsia" w:hAnsiTheme="majorEastAsia" w:eastAsiaTheme="majorEastAsia"/>
          <w:color w:val="auto"/>
          <w:kern w:val="0"/>
          <w:sz w:val="24"/>
          <w:highlight w:val="none"/>
          <w:lang w:val="zh-CN"/>
        </w:rPr>
        <w:t>。</w:t>
      </w:r>
    </w:p>
    <w:p w14:paraId="59C302BC">
      <w:pPr>
        <w:shd w:val="clear"/>
        <w:spacing w:line="360" w:lineRule="auto"/>
        <w:jc w:val="center"/>
        <w:rPr>
          <w:rFonts w:cs="仿宋" w:asciiTheme="majorEastAsia" w:hAnsiTheme="majorEastAsia" w:eastAsiaTheme="majorEastAsia"/>
          <w:b/>
          <w:color w:val="auto"/>
          <w:kern w:val="0"/>
          <w:sz w:val="24"/>
          <w:highlight w:val="none"/>
          <w:lang w:val="zh-CN"/>
        </w:rPr>
      </w:pPr>
      <w:r>
        <w:rPr>
          <w:rFonts w:hint="eastAsia" w:cs="仿宋" w:asciiTheme="majorEastAsia" w:hAnsiTheme="majorEastAsia" w:eastAsiaTheme="majorEastAsia"/>
          <w:b/>
          <w:color w:val="auto"/>
          <w:kern w:val="0"/>
          <w:sz w:val="24"/>
          <w:highlight w:val="none"/>
          <w:lang w:val="zh-CN"/>
        </w:rPr>
        <w:t>开标一览表（报价表）(单位均为人民币元)</w:t>
      </w:r>
    </w:p>
    <w:tbl>
      <w:tblPr>
        <w:tblStyle w:val="18"/>
        <w:tblW w:w="132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3440"/>
        <w:gridCol w:w="1275"/>
        <w:gridCol w:w="1410"/>
        <w:gridCol w:w="1246"/>
        <w:gridCol w:w="2009"/>
        <w:gridCol w:w="3377"/>
      </w:tblGrid>
      <w:tr w14:paraId="28C3E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jc w:val="center"/>
        </w:trPr>
        <w:tc>
          <w:tcPr>
            <w:tcW w:w="534" w:type="dxa"/>
            <w:vAlign w:val="center"/>
          </w:tcPr>
          <w:p w14:paraId="690E4708">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序号</w:t>
            </w:r>
          </w:p>
        </w:tc>
        <w:tc>
          <w:tcPr>
            <w:tcW w:w="3440" w:type="dxa"/>
            <w:vAlign w:val="center"/>
          </w:tcPr>
          <w:p w14:paraId="4940213C">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项目名称</w:t>
            </w:r>
          </w:p>
        </w:tc>
        <w:tc>
          <w:tcPr>
            <w:tcW w:w="1275" w:type="dxa"/>
          </w:tcPr>
          <w:p w14:paraId="448810AD">
            <w:pPr>
              <w:shd w:val="clear"/>
              <w:spacing w:line="360" w:lineRule="auto"/>
              <w:jc w:val="center"/>
              <w:rPr>
                <w:rFonts w:cs="仿宋" w:asciiTheme="majorEastAsia" w:hAnsiTheme="majorEastAsia" w:eastAsiaTheme="majorEastAsia"/>
                <w:b/>
                <w:color w:val="auto"/>
                <w:sz w:val="24"/>
                <w:highlight w:val="none"/>
              </w:rPr>
            </w:pPr>
          </w:p>
          <w:p w14:paraId="36B7A63B">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品牌</w:t>
            </w:r>
          </w:p>
        </w:tc>
        <w:tc>
          <w:tcPr>
            <w:tcW w:w="1410" w:type="dxa"/>
            <w:vAlign w:val="center"/>
          </w:tcPr>
          <w:p w14:paraId="30C47550">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规格型号</w:t>
            </w:r>
          </w:p>
        </w:tc>
        <w:tc>
          <w:tcPr>
            <w:tcW w:w="1246" w:type="dxa"/>
            <w:vAlign w:val="center"/>
          </w:tcPr>
          <w:p w14:paraId="5EA819A5">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数量</w:t>
            </w:r>
          </w:p>
        </w:tc>
        <w:tc>
          <w:tcPr>
            <w:tcW w:w="2009" w:type="dxa"/>
            <w:vAlign w:val="center"/>
          </w:tcPr>
          <w:p w14:paraId="06E49ADF">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投标报价（小写）</w:t>
            </w:r>
          </w:p>
        </w:tc>
        <w:tc>
          <w:tcPr>
            <w:tcW w:w="3377" w:type="dxa"/>
            <w:vAlign w:val="center"/>
          </w:tcPr>
          <w:p w14:paraId="6C7EEA35">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投标报价（大写）</w:t>
            </w:r>
          </w:p>
        </w:tc>
      </w:tr>
      <w:tr w14:paraId="6561E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6" w:hRule="atLeast"/>
          <w:jc w:val="center"/>
        </w:trPr>
        <w:tc>
          <w:tcPr>
            <w:tcW w:w="534" w:type="dxa"/>
            <w:vAlign w:val="center"/>
          </w:tcPr>
          <w:p w14:paraId="081AB36E">
            <w:pPr>
              <w:shd w:val="clear"/>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w:t>
            </w:r>
          </w:p>
        </w:tc>
        <w:tc>
          <w:tcPr>
            <w:tcW w:w="3440" w:type="dxa"/>
            <w:vAlign w:val="center"/>
          </w:tcPr>
          <w:p w14:paraId="530C66F6">
            <w:pPr>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奉化区江口街道园中村改造安置房建设工程（二期）配套幼儿园户外改造项目</w:t>
            </w:r>
          </w:p>
        </w:tc>
        <w:tc>
          <w:tcPr>
            <w:tcW w:w="2685" w:type="dxa"/>
            <w:gridSpan w:val="2"/>
            <w:vAlign w:val="center"/>
          </w:tcPr>
          <w:p w14:paraId="1CA07DE4">
            <w:pPr>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详见“投标报价明细表”</w:t>
            </w:r>
          </w:p>
        </w:tc>
        <w:tc>
          <w:tcPr>
            <w:tcW w:w="1246" w:type="dxa"/>
            <w:vAlign w:val="center"/>
          </w:tcPr>
          <w:p w14:paraId="203C7CDB">
            <w:pPr>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1项</w:t>
            </w:r>
          </w:p>
        </w:tc>
        <w:tc>
          <w:tcPr>
            <w:tcW w:w="2009" w:type="dxa"/>
            <w:vAlign w:val="center"/>
          </w:tcPr>
          <w:p w14:paraId="18B53413">
            <w:pPr>
              <w:shd w:val="clear"/>
              <w:spacing w:line="360" w:lineRule="auto"/>
              <w:jc w:val="center"/>
              <w:rPr>
                <w:rFonts w:cs="仿宋" w:asciiTheme="majorEastAsia" w:hAnsiTheme="majorEastAsia" w:eastAsiaTheme="majorEastAsia"/>
                <w:color w:val="auto"/>
                <w:sz w:val="24"/>
                <w:highlight w:val="none"/>
              </w:rPr>
            </w:pPr>
          </w:p>
        </w:tc>
        <w:tc>
          <w:tcPr>
            <w:tcW w:w="3377" w:type="dxa"/>
            <w:vAlign w:val="center"/>
          </w:tcPr>
          <w:p w14:paraId="5F0BF938">
            <w:pPr>
              <w:shd w:val="clear"/>
              <w:spacing w:line="360" w:lineRule="auto"/>
              <w:jc w:val="center"/>
              <w:rPr>
                <w:rFonts w:cs="仿宋" w:asciiTheme="majorEastAsia" w:hAnsiTheme="majorEastAsia" w:eastAsiaTheme="majorEastAsia"/>
                <w:color w:val="auto"/>
                <w:sz w:val="24"/>
                <w:highlight w:val="none"/>
              </w:rPr>
            </w:pPr>
          </w:p>
        </w:tc>
      </w:tr>
    </w:tbl>
    <w:p w14:paraId="179F3D9A">
      <w:pPr>
        <w:keepNext w:val="0"/>
        <w:keepLines w:val="0"/>
        <w:pageBreakBefore w:val="0"/>
        <w:widowControl w:val="0"/>
        <w:shd w:val="clear"/>
        <w:kinsoku/>
        <w:wordWrap/>
        <w:overflowPunct/>
        <w:topLinePunct w:val="0"/>
        <w:autoSpaceDE/>
        <w:autoSpaceDN/>
        <w:bidi w:val="0"/>
        <w:adjustRightInd/>
        <w:snapToGrid w:val="0"/>
        <w:spacing w:line="240" w:lineRule="auto"/>
        <w:ind w:left="482"/>
        <w:textAlignment w:val="auto"/>
        <w:rPr>
          <w:rFonts w:cs="仿宋" w:asciiTheme="majorEastAsia" w:hAnsiTheme="majorEastAsia" w:eastAsiaTheme="majorEastAsia"/>
          <w:b/>
          <w:color w:val="auto"/>
          <w:kern w:val="0"/>
          <w:sz w:val="24"/>
          <w:highlight w:val="none"/>
          <w:lang w:val="zh-CN"/>
        </w:rPr>
      </w:pPr>
      <w:r>
        <w:rPr>
          <w:rFonts w:hint="eastAsia" w:cs="仿宋" w:asciiTheme="majorEastAsia" w:hAnsiTheme="majorEastAsia" w:eastAsiaTheme="majorEastAsia"/>
          <w:b/>
          <w:color w:val="auto"/>
          <w:kern w:val="0"/>
          <w:sz w:val="24"/>
          <w:highlight w:val="none"/>
          <w:lang w:val="zh-CN"/>
        </w:rPr>
        <w:t>注：</w:t>
      </w:r>
    </w:p>
    <w:p w14:paraId="1B7DA4C7">
      <w:pPr>
        <w:shd w:val="clear"/>
        <w:spacing w:line="360" w:lineRule="auto"/>
        <w:ind w:left="-2" w:leftChars="-1" w:firstLine="480" w:firstLineChars="200"/>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1、投标人需按本表格式填写，不得自行更改。</w:t>
      </w:r>
    </w:p>
    <w:p w14:paraId="768807EE">
      <w:pPr>
        <w:shd w:val="clear"/>
        <w:spacing w:line="360" w:lineRule="auto"/>
        <w:ind w:firstLine="480" w:firstLineChars="200"/>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2、有关本项目实施所涉及的一切费用均计入报价。</w:t>
      </w:r>
      <w:r>
        <w:rPr>
          <w:rFonts w:hint="eastAsia" w:cs="仿宋" w:asciiTheme="majorEastAsia" w:hAnsiTheme="majorEastAsia" w:eastAsiaTheme="majorEastAsia"/>
          <w:b/>
          <w:color w:val="auto"/>
          <w:kern w:val="0"/>
          <w:sz w:val="24"/>
          <w:highlight w:val="none"/>
          <w:lang w:val="zh-CN"/>
        </w:rPr>
        <w:t>采购人将以合同形式有偿取得货物或服务，不接受投标人给予的赠品、回扣或者与采购无关的其他商品、服务</w:t>
      </w:r>
      <w:r>
        <w:rPr>
          <w:rFonts w:hint="eastAsia" w:cs="仿宋" w:asciiTheme="majorEastAsia" w:hAnsiTheme="majorEastAsia" w:eastAsiaTheme="majorEastAsia"/>
          <w:color w:val="auto"/>
          <w:kern w:val="0"/>
          <w:sz w:val="24"/>
          <w:highlight w:val="none"/>
          <w:lang w:val="zh-CN"/>
        </w:rPr>
        <w:t>，</w:t>
      </w:r>
      <w:r>
        <w:rPr>
          <w:rFonts w:hint="eastAsia" w:cs="仿宋" w:asciiTheme="majorEastAsia" w:hAnsiTheme="majorEastAsia" w:eastAsiaTheme="majorEastAsia"/>
          <w:b/>
          <w:color w:val="auto"/>
          <w:kern w:val="0"/>
          <w:sz w:val="24"/>
          <w:highlight w:val="none"/>
          <w:lang w:val="zh-CN"/>
        </w:rPr>
        <w:t>不得出现“0元”“免费赠送”等形式的无偿报价，</w:t>
      </w:r>
      <w:r>
        <w:rPr>
          <w:rFonts w:hint="eastAsia" w:cs="仿宋" w:asciiTheme="majorEastAsia" w:hAnsiTheme="majorEastAsia" w:eastAsiaTheme="majorEastAsia"/>
          <w:b/>
          <w:color w:val="auto"/>
          <w:kern w:val="0"/>
          <w:sz w:val="24"/>
          <w:highlight w:val="none"/>
        </w:rPr>
        <w:t>否则视为</w:t>
      </w:r>
      <w:r>
        <w:rPr>
          <w:rFonts w:hint="eastAsia" w:cs="仿宋" w:asciiTheme="majorEastAsia" w:hAnsiTheme="majorEastAsia" w:eastAsiaTheme="majorEastAsia"/>
          <w:b/>
          <w:color w:val="auto"/>
          <w:sz w:val="24"/>
          <w:highlight w:val="none"/>
        </w:rPr>
        <w:t>投标文件含有采购人不能接受的附加条件的，投标无效</w:t>
      </w:r>
      <w:r>
        <w:rPr>
          <w:rFonts w:hint="eastAsia" w:cs="仿宋" w:asciiTheme="majorEastAsia" w:hAnsiTheme="majorEastAsia" w:eastAsiaTheme="majorEastAsia"/>
          <w:b/>
          <w:color w:val="auto"/>
          <w:kern w:val="0"/>
          <w:sz w:val="24"/>
          <w:highlight w:val="none"/>
          <w:lang w:val="zh-CN"/>
        </w:rPr>
        <w:t>。</w:t>
      </w:r>
    </w:p>
    <w:p w14:paraId="3177E7EA">
      <w:pPr>
        <w:shd w:val="clear"/>
        <w:spacing w:line="360" w:lineRule="auto"/>
        <w:ind w:left="7560" w:leftChars="36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法定代表人或其授权委托人（签名或印章）：        </w:t>
      </w:r>
    </w:p>
    <w:p w14:paraId="0423673F">
      <w:pPr>
        <w:shd w:val="clear"/>
        <w:spacing w:line="360" w:lineRule="auto"/>
        <w:ind w:left="7560" w:leftChars="36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投标人（盖章）：         </w:t>
      </w:r>
    </w:p>
    <w:p w14:paraId="52CD91B9">
      <w:pPr>
        <w:shd w:val="clear"/>
        <w:spacing w:line="360" w:lineRule="auto"/>
        <w:ind w:left="7560" w:leftChars="3600"/>
        <w:rPr>
          <w:rFonts w:asciiTheme="majorEastAsia" w:hAnsiTheme="majorEastAsia" w:eastAsiaTheme="majorEastAsia"/>
          <w:color w:val="auto"/>
          <w:highlight w:val="none"/>
        </w:rPr>
        <w:sectPr>
          <w:pgSz w:w="16838" w:h="11906" w:orient="landscape"/>
          <w:pgMar w:top="1418" w:right="1247" w:bottom="1418" w:left="1276" w:header="851" w:footer="992" w:gutter="0"/>
          <w:cols w:space="720" w:num="1"/>
          <w:titlePg/>
          <w:docGrid w:linePitch="312" w:charSpace="0"/>
        </w:sectPr>
      </w:pPr>
      <w:r>
        <w:rPr>
          <w:rFonts w:hint="eastAsia" w:cs="仿宋" w:asciiTheme="majorEastAsia" w:hAnsiTheme="majorEastAsia" w:eastAsiaTheme="majorEastAsia"/>
          <w:color w:val="auto"/>
          <w:sz w:val="24"/>
          <w:highlight w:val="none"/>
        </w:rPr>
        <w:t xml:space="preserve">日  期： </w:t>
      </w:r>
    </w:p>
    <w:p w14:paraId="4F0D4363">
      <w:pPr>
        <w:pStyle w:val="35"/>
        <w:keepNext w:val="0"/>
        <w:pageBreakBefore w:val="0"/>
        <w:shd w:val="clear"/>
        <w:tabs>
          <w:tab w:val="clear" w:pos="720"/>
        </w:tabs>
        <w:snapToGrid w:val="0"/>
        <w:spacing w:before="120" w:after="120"/>
        <w:ind w:firstLine="643"/>
        <w:outlineLvl w:val="9"/>
        <w:rPr>
          <w:rFonts w:cs="仿宋" w:asciiTheme="majorEastAsia" w:hAnsiTheme="majorEastAsia" w:eastAsiaTheme="majorEastAsia"/>
          <w:color w:val="auto"/>
          <w:kern w:val="2"/>
          <w:sz w:val="32"/>
          <w:szCs w:val="32"/>
          <w:highlight w:val="none"/>
        </w:rPr>
      </w:pPr>
      <w:r>
        <w:rPr>
          <w:rFonts w:hint="eastAsia" w:cs="仿宋" w:asciiTheme="majorEastAsia" w:hAnsiTheme="majorEastAsia" w:eastAsiaTheme="majorEastAsia"/>
          <w:color w:val="auto"/>
          <w:kern w:val="2"/>
          <w:sz w:val="32"/>
          <w:szCs w:val="32"/>
          <w:highlight w:val="none"/>
        </w:rPr>
        <w:t>二、投标报价明细表</w:t>
      </w:r>
    </w:p>
    <w:p w14:paraId="1B97D742">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投标人名称：</w:t>
      </w:r>
      <w:r>
        <w:rPr>
          <w:rFonts w:hint="eastAsia" w:cs="仿宋" w:asciiTheme="majorEastAsia" w:hAnsiTheme="majorEastAsia" w:eastAsiaTheme="majorEastAsia"/>
          <w:color w:val="auto"/>
          <w:kern w:val="0"/>
          <w:sz w:val="24"/>
          <w:highlight w:val="none"/>
          <w:u w:val="single"/>
        </w:rPr>
        <w:t xml:space="preserve">                            </w:t>
      </w:r>
    </w:p>
    <w:p w14:paraId="1C22FF1B">
      <w:pPr>
        <w:shd w:val="clear"/>
        <w:snapToGri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项目编号： </w:t>
      </w:r>
      <w:r>
        <w:rPr>
          <w:rFonts w:hint="eastAsia" w:cs="仿宋" w:asciiTheme="majorEastAsia" w:hAnsiTheme="majorEastAsia" w:eastAsiaTheme="majorEastAsia"/>
          <w:color w:val="auto"/>
          <w:kern w:val="0"/>
          <w:sz w:val="24"/>
          <w:highlight w:val="none"/>
          <w:u w:val="single"/>
        </w:rPr>
        <w:t xml:space="preserve">                             </w:t>
      </w:r>
      <w:r>
        <w:rPr>
          <w:rFonts w:hint="eastAsia" w:cs="仿宋" w:asciiTheme="majorEastAsia" w:hAnsiTheme="majorEastAsia" w:eastAsiaTheme="majorEastAsia"/>
          <w:color w:val="auto"/>
          <w:sz w:val="24"/>
          <w:highlight w:val="none"/>
        </w:rPr>
        <w:t xml:space="preserve">           金额单位：人民币（元）</w:t>
      </w:r>
    </w:p>
    <w:tbl>
      <w:tblPr>
        <w:tblStyle w:val="18"/>
        <w:tblW w:w="1011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1"/>
        <w:gridCol w:w="1399"/>
        <w:gridCol w:w="1846"/>
        <w:gridCol w:w="1637"/>
        <w:gridCol w:w="1513"/>
        <w:gridCol w:w="1500"/>
        <w:gridCol w:w="1411"/>
      </w:tblGrid>
      <w:tr w14:paraId="0BBEDA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1089" w:hRule="atLeast"/>
          <w:jc w:val="center"/>
        </w:trPr>
        <w:tc>
          <w:tcPr>
            <w:tcW w:w="811" w:type="dxa"/>
            <w:tcBorders>
              <w:top w:val="single" w:color="auto" w:sz="4" w:space="0"/>
              <w:left w:val="single" w:color="auto" w:sz="4" w:space="0"/>
              <w:bottom w:val="single" w:color="auto" w:sz="4" w:space="0"/>
              <w:right w:val="single" w:color="auto" w:sz="4" w:space="0"/>
            </w:tcBorders>
            <w:vAlign w:val="center"/>
          </w:tcPr>
          <w:p w14:paraId="5604B5B2">
            <w:pPr>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序号</w:t>
            </w:r>
          </w:p>
        </w:tc>
        <w:tc>
          <w:tcPr>
            <w:tcW w:w="1399" w:type="dxa"/>
            <w:tcBorders>
              <w:top w:val="single" w:color="auto" w:sz="4" w:space="0"/>
              <w:left w:val="single" w:color="auto" w:sz="4" w:space="0"/>
              <w:bottom w:val="single" w:color="auto" w:sz="4" w:space="0"/>
              <w:right w:val="single" w:color="auto" w:sz="4" w:space="0"/>
            </w:tcBorders>
            <w:vAlign w:val="center"/>
          </w:tcPr>
          <w:p w14:paraId="02D6CE10">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名称</w:t>
            </w:r>
          </w:p>
        </w:tc>
        <w:tc>
          <w:tcPr>
            <w:tcW w:w="1846" w:type="dxa"/>
            <w:tcBorders>
              <w:top w:val="single" w:color="auto" w:sz="4" w:space="0"/>
              <w:left w:val="single" w:color="auto" w:sz="4" w:space="0"/>
              <w:bottom w:val="single" w:color="auto" w:sz="4" w:space="0"/>
              <w:right w:val="single" w:color="auto" w:sz="4" w:space="0"/>
            </w:tcBorders>
            <w:vAlign w:val="center"/>
          </w:tcPr>
          <w:p w14:paraId="0983D2E6">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品牌（如有）</w:t>
            </w:r>
          </w:p>
        </w:tc>
        <w:tc>
          <w:tcPr>
            <w:tcW w:w="1637" w:type="dxa"/>
            <w:tcBorders>
              <w:top w:val="single" w:color="auto" w:sz="4" w:space="0"/>
              <w:left w:val="single" w:color="auto" w:sz="4" w:space="0"/>
              <w:bottom w:val="single" w:color="auto" w:sz="4" w:space="0"/>
              <w:right w:val="single" w:color="auto" w:sz="4" w:space="0"/>
            </w:tcBorders>
            <w:vAlign w:val="center"/>
          </w:tcPr>
          <w:p w14:paraId="7E9D4877">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规格型号</w:t>
            </w:r>
          </w:p>
        </w:tc>
        <w:tc>
          <w:tcPr>
            <w:tcW w:w="1513" w:type="dxa"/>
            <w:tcBorders>
              <w:top w:val="single" w:color="auto" w:sz="4" w:space="0"/>
              <w:left w:val="single" w:color="auto" w:sz="4" w:space="0"/>
              <w:bottom w:val="single" w:color="auto" w:sz="4" w:space="0"/>
              <w:right w:val="single" w:color="auto" w:sz="4" w:space="0"/>
            </w:tcBorders>
            <w:vAlign w:val="center"/>
          </w:tcPr>
          <w:p w14:paraId="6A6F1521">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单位及数量</w:t>
            </w:r>
          </w:p>
        </w:tc>
        <w:tc>
          <w:tcPr>
            <w:tcW w:w="1500" w:type="dxa"/>
            <w:tcBorders>
              <w:top w:val="single" w:color="auto" w:sz="4" w:space="0"/>
              <w:left w:val="single" w:color="auto" w:sz="4" w:space="0"/>
              <w:bottom w:val="single" w:color="auto" w:sz="4" w:space="0"/>
              <w:right w:val="single" w:color="auto" w:sz="4" w:space="0"/>
            </w:tcBorders>
            <w:vAlign w:val="center"/>
          </w:tcPr>
          <w:p w14:paraId="186FF134">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单价</w:t>
            </w:r>
          </w:p>
        </w:tc>
        <w:tc>
          <w:tcPr>
            <w:tcW w:w="1411" w:type="dxa"/>
            <w:tcBorders>
              <w:top w:val="single" w:color="auto" w:sz="4" w:space="0"/>
              <w:left w:val="single" w:color="auto" w:sz="4" w:space="0"/>
              <w:bottom w:val="single" w:color="auto" w:sz="4" w:space="0"/>
              <w:right w:val="single" w:color="auto" w:sz="4" w:space="0"/>
            </w:tcBorders>
            <w:vAlign w:val="center"/>
          </w:tcPr>
          <w:p w14:paraId="34B985F3">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合计</w:t>
            </w:r>
          </w:p>
        </w:tc>
      </w:tr>
      <w:tr w14:paraId="25555B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11" w:type="dxa"/>
            <w:tcBorders>
              <w:top w:val="single" w:color="auto" w:sz="4" w:space="0"/>
              <w:left w:val="single" w:color="auto" w:sz="4" w:space="0"/>
              <w:bottom w:val="single" w:color="auto" w:sz="4" w:space="0"/>
              <w:right w:val="single" w:color="auto" w:sz="4" w:space="0"/>
            </w:tcBorders>
          </w:tcPr>
          <w:p w14:paraId="0C240223">
            <w:pPr>
              <w:shd w:val="clear"/>
              <w:spacing w:line="360" w:lineRule="auto"/>
              <w:rPr>
                <w:rFonts w:cs="仿宋" w:asciiTheme="majorEastAsia" w:hAnsiTheme="majorEastAsia" w:eastAsiaTheme="majorEastAsia"/>
                <w:color w:val="auto"/>
                <w:highlight w:val="none"/>
              </w:rPr>
            </w:pPr>
          </w:p>
        </w:tc>
        <w:tc>
          <w:tcPr>
            <w:tcW w:w="1399" w:type="dxa"/>
            <w:tcBorders>
              <w:top w:val="single" w:color="auto" w:sz="4" w:space="0"/>
              <w:left w:val="single" w:color="auto" w:sz="4" w:space="0"/>
              <w:bottom w:val="single" w:color="auto" w:sz="4" w:space="0"/>
              <w:right w:val="single" w:color="auto" w:sz="4" w:space="0"/>
            </w:tcBorders>
          </w:tcPr>
          <w:p w14:paraId="777540B9">
            <w:pPr>
              <w:shd w:val="clear"/>
              <w:spacing w:line="360" w:lineRule="auto"/>
              <w:rPr>
                <w:rFonts w:cs="仿宋" w:asciiTheme="majorEastAsia" w:hAnsiTheme="majorEastAsia" w:eastAsiaTheme="majorEastAsia"/>
                <w:color w:val="auto"/>
                <w:highlight w:val="none"/>
              </w:rPr>
            </w:pPr>
          </w:p>
        </w:tc>
        <w:tc>
          <w:tcPr>
            <w:tcW w:w="1846" w:type="dxa"/>
            <w:tcBorders>
              <w:top w:val="single" w:color="auto" w:sz="4" w:space="0"/>
              <w:left w:val="single" w:color="auto" w:sz="4" w:space="0"/>
              <w:bottom w:val="single" w:color="auto" w:sz="4" w:space="0"/>
              <w:right w:val="single" w:color="auto" w:sz="4" w:space="0"/>
            </w:tcBorders>
          </w:tcPr>
          <w:p w14:paraId="66BCD35F">
            <w:pPr>
              <w:shd w:val="clear"/>
              <w:spacing w:line="360" w:lineRule="auto"/>
              <w:rPr>
                <w:rFonts w:cs="仿宋" w:asciiTheme="majorEastAsia" w:hAnsiTheme="majorEastAsia" w:eastAsiaTheme="majorEastAsia"/>
                <w:color w:val="auto"/>
                <w:highlight w:val="none"/>
              </w:rPr>
            </w:pPr>
          </w:p>
        </w:tc>
        <w:tc>
          <w:tcPr>
            <w:tcW w:w="1637" w:type="dxa"/>
            <w:tcBorders>
              <w:top w:val="single" w:color="auto" w:sz="4" w:space="0"/>
              <w:left w:val="single" w:color="auto" w:sz="4" w:space="0"/>
              <w:bottom w:val="single" w:color="auto" w:sz="4" w:space="0"/>
              <w:right w:val="single" w:color="auto" w:sz="4" w:space="0"/>
            </w:tcBorders>
          </w:tcPr>
          <w:p w14:paraId="5D95E2AD">
            <w:pPr>
              <w:shd w:val="clear"/>
              <w:spacing w:line="360" w:lineRule="auto"/>
              <w:rPr>
                <w:rFonts w:cs="仿宋" w:asciiTheme="majorEastAsia" w:hAnsiTheme="majorEastAsia" w:eastAsiaTheme="majorEastAsia"/>
                <w:color w:val="auto"/>
                <w:highlight w:val="none"/>
              </w:rPr>
            </w:pPr>
          </w:p>
        </w:tc>
        <w:tc>
          <w:tcPr>
            <w:tcW w:w="1513" w:type="dxa"/>
            <w:tcBorders>
              <w:top w:val="single" w:color="auto" w:sz="4" w:space="0"/>
              <w:left w:val="single" w:color="auto" w:sz="4" w:space="0"/>
              <w:bottom w:val="single" w:color="auto" w:sz="4" w:space="0"/>
              <w:right w:val="single" w:color="auto" w:sz="4" w:space="0"/>
            </w:tcBorders>
          </w:tcPr>
          <w:p w14:paraId="6F920E9B">
            <w:pPr>
              <w:shd w:val="clear"/>
              <w:spacing w:line="360" w:lineRule="auto"/>
              <w:rPr>
                <w:rFonts w:cs="仿宋" w:asciiTheme="majorEastAsia" w:hAnsiTheme="majorEastAsia" w:eastAsiaTheme="majorEastAsia"/>
                <w:color w:val="auto"/>
                <w:highlight w:val="none"/>
              </w:rPr>
            </w:pPr>
          </w:p>
        </w:tc>
        <w:tc>
          <w:tcPr>
            <w:tcW w:w="1500" w:type="dxa"/>
            <w:tcBorders>
              <w:top w:val="single" w:color="auto" w:sz="4" w:space="0"/>
              <w:left w:val="single" w:color="auto" w:sz="4" w:space="0"/>
              <w:bottom w:val="single" w:color="auto" w:sz="4" w:space="0"/>
              <w:right w:val="single" w:color="auto" w:sz="4" w:space="0"/>
            </w:tcBorders>
          </w:tcPr>
          <w:p w14:paraId="4272C0D6">
            <w:pPr>
              <w:shd w:val="clear"/>
              <w:spacing w:line="360" w:lineRule="auto"/>
              <w:rPr>
                <w:rFonts w:cs="仿宋" w:asciiTheme="majorEastAsia" w:hAnsiTheme="majorEastAsia" w:eastAsiaTheme="majorEastAsia"/>
                <w:color w:val="auto"/>
                <w:highlight w:val="none"/>
              </w:rPr>
            </w:pPr>
          </w:p>
        </w:tc>
        <w:tc>
          <w:tcPr>
            <w:tcW w:w="1411" w:type="dxa"/>
            <w:tcBorders>
              <w:top w:val="single" w:color="auto" w:sz="4" w:space="0"/>
              <w:left w:val="single" w:color="auto" w:sz="4" w:space="0"/>
              <w:bottom w:val="single" w:color="auto" w:sz="4" w:space="0"/>
              <w:right w:val="single" w:color="auto" w:sz="4" w:space="0"/>
            </w:tcBorders>
          </w:tcPr>
          <w:p w14:paraId="6B5EDB60">
            <w:pPr>
              <w:shd w:val="clear"/>
              <w:spacing w:line="360" w:lineRule="auto"/>
              <w:rPr>
                <w:rFonts w:cs="仿宋" w:asciiTheme="majorEastAsia" w:hAnsiTheme="majorEastAsia" w:eastAsiaTheme="majorEastAsia"/>
                <w:color w:val="auto"/>
                <w:highlight w:val="none"/>
              </w:rPr>
            </w:pPr>
          </w:p>
        </w:tc>
      </w:tr>
      <w:tr w14:paraId="3F36C2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11" w:type="dxa"/>
            <w:tcBorders>
              <w:top w:val="single" w:color="auto" w:sz="4" w:space="0"/>
              <w:left w:val="single" w:color="auto" w:sz="4" w:space="0"/>
              <w:bottom w:val="single" w:color="auto" w:sz="4" w:space="0"/>
              <w:right w:val="single" w:color="auto" w:sz="4" w:space="0"/>
            </w:tcBorders>
          </w:tcPr>
          <w:p w14:paraId="4673FB46">
            <w:pPr>
              <w:shd w:val="clear"/>
              <w:spacing w:line="360" w:lineRule="auto"/>
              <w:rPr>
                <w:rFonts w:cs="仿宋" w:asciiTheme="majorEastAsia" w:hAnsiTheme="majorEastAsia" w:eastAsiaTheme="majorEastAsia"/>
                <w:color w:val="auto"/>
                <w:highlight w:val="none"/>
              </w:rPr>
            </w:pPr>
          </w:p>
        </w:tc>
        <w:tc>
          <w:tcPr>
            <w:tcW w:w="1399" w:type="dxa"/>
            <w:tcBorders>
              <w:top w:val="single" w:color="auto" w:sz="4" w:space="0"/>
              <w:left w:val="single" w:color="auto" w:sz="4" w:space="0"/>
              <w:bottom w:val="single" w:color="auto" w:sz="4" w:space="0"/>
              <w:right w:val="single" w:color="auto" w:sz="4" w:space="0"/>
            </w:tcBorders>
          </w:tcPr>
          <w:p w14:paraId="04A75DDA">
            <w:pPr>
              <w:shd w:val="clear"/>
              <w:spacing w:line="360" w:lineRule="auto"/>
              <w:rPr>
                <w:rFonts w:cs="仿宋" w:asciiTheme="majorEastAsia" w:hAnsiTheme="majorEastAsia" w:eastAsiaTheme="majorEastAsia"/>
                <w:color w:val="auto"/>
                <w:highlight w:val="none"/>
              </w:rPr>
            </w:pPr>
          </w:p>
        </w:tc>
        <w:tc>
          <w:tcPr>
            <w:tcW w:w="1846" w:type="dxa"/>
            <w:tcBorders>
              <w:top w:val="single" w:color="auto" w:sz="4" w:space="0"/>
              <w:left w:val="single" w:color="auto" w:sz="4" w:space="0"/>
              <w:bottom w:val="single" w:color="auto" w:sz="4" w:space="0"/>
              <w:right w:val="single" w:color="auto" w:sz="4" w:space="0"/>
            </w:tcBorders>
          </w:tcPr>
          <w:p w14:paraId="7AFDBAE4">
            <w:pPr>
              <w:shd w:val="clear"/>
              <w:spacing w:line="360" w:lineRule="auto"/>
              <w:rPr>
                <w:rFonts w:cs="仿宋" w:asciiTheme="majorEastAsia" w:hAnsiTheme="majorEastAsia" w:eastAsiaTheme="majorEastAsia"/>
                <w:color w:val="auto"/>
                <w:highlight w:val="none"/>
              </w:rPr>
            </w:pPr>
          </w:p>
        </w:tc>
        <w:tc>
          <w:tcPr>
            <w:tcW w:w="1637" w:type="dxa"/>
            <w:tcBorders>
              <w:top w:val="single" w:color="auto" w:sz="4" w:space="0"/>
              <w:left w:val="single" w:color="auto" w:sz="4" w:space="0"/>
              <w:bottom w:val="single" w:color="auto" w:sz="4" w:space="0"/>
              <w:right w:val="single" w:color="auto" w:sz="4" w:space="0"/>
            </w:tcBorders>
          </w:tcPr>
          <w:p w14:paraId="03FE5230">
            <w:pPr>
              <w:shd w:val="clear"/>
              <w:spacing w:line="360" w:lineRule="auto"/>
              <w:rPr>
                <w:rFonts w:cs="仿宋" w:asciiTheme="majorEastAsia" w:hAnsiTheme="majorEastAsia" w:eastAsiaTheme="majorEastAsia"/>
                <w:color w:val="auto"/>
                <w:highlight w:val="none"/>
              </w:rPr>
            </w:pPr>
          </w:p>
        </w:tc>
        <w:tc>
          <w:tcPr>
            <w:tcW w:w="1513" w:type="dxa"/>
            <w:tcBorders>
              <w:top w:val="single" w:color="auto" w:sz="4" w:space="0"/>
              <w:left w:val="single" w:color="auto" w:sz="4" w:space="0"/>
              <w:bottom w:val="single" w:color="auto" w:sz="4" w:space="0"/>
              <w:right w:val="single" w:color="auto" w:sz="4" w:space="0"/>
            </w:tcBorders>
          </w:tcPr>
          <w:p w14:paraId="0B0F5712">
            <w:pPr>
              <w:shd w:val="clear"/>
              <w:spacing w:line="360" w:lineRule="auto"/>
              <w:rPr>
                <w:rFonts w:cs="仿宋" w:asciiTheme="majorEastAsia" w:hAnsiTheme="majorEastAsia" w:eastAsiaTheme="majorEastAsia"/>
                <w:color w:val="auto"/>
                <w:highlight w:val="none"/>
              </w:rPr>
            </w:pPr>
          </w:p>
        </w:tc>
        <w:tc>
          <w:tcPr>
            <w:tcW w:w="1500" w:type="dxa"/>
            <w:tcBorders>
              <w:top w:val="single" w:color="auto" w:sz="4" w:space="0"/>
              <w:left w:val="single" w:color="auto" w:sz="4" w:space="0"/>
              <w:bottom w:val="single" w:color="auto" w:sz="4" w:space="0"/>
              <w:right w:val="single" w:color="auto" w:sz="4" w:space="0"/>
            </w:tcBorders>
          </w:tcPr>
          <w:p w14:paraId="1E2C032B">
            <w:pPr>
              <w:shd w:val="clear"/>
              <w:spacing w:line="360" w:lineRule="auto"/>
              <w:rPr>
                <w:rFonts w:cs="仿宋" w:asciiTheme="majorEastAsia" w:hAnsiTheme="majorEastAsia" w:eastAsiaTheme="majorEastAsia"/>
                <w:color w:val="auto"/>
                <w:highlight w:val="none"/>
              </w:rPr>
            </w:pPr>
          </w:p>
        </w:tc>
        <w:tc>
          <w:tcPr>
            <w:tcW w:w="1411" w:type="dxa"/>
            <w:tcBorders>
              <w:top w:val="single" w:color="auto" w:sz="4" w:space="0"/>
              <w:left w:val="single" w:color="auto" w:sz="4" w:space="0"/>
              <w:bottom w:val="single" w:color="auto" w:sz="4" w:space="0"/>
              <w:right w:val="single" w:color="auto" w:sz="4" w:space="0"/>
            </w:tcBorders>
          </w:tcPr>
          <w:p w14:paraId="6A462B00">
            <w:pPr>
              <w:shd w:val="clear"/>
              <w:spacing w:line="360" w:lineRule="auto"/>
              <w:rPr>
                <w:rFonts w:cs="仿宋" w:asciiTheme="majorEastAsia" w:hAnsiTheme="majorEastAsia" w:eastAsiaTheme="majorEastAsia"/>
                <w:color w:val="auto"/>
                <w:highlight w:val="none"/>
              </w:rPr>
            </w:pPr>
          </w:p>
        </w:tc>
      </w:tr>
      <w:tr w14:paraId="3B2DE9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11" w:type="dxa"/>
            <w:tcBorders>
              <w:top w:val="single" w:color="auto" w:sz="4" w:space="0"/>
              <w:left w:val="single" w:color="auto" w:sz="4" w:space="0"/>
              <w:bottom w:val="single" w:color="auto" w:sz="4" w:space="0"/>
              <w:right w:val="single" w:color="auto" w:sz="4" w:space="0"/>
            </w:tcBorders>
          </w:tcPr>
          <w:p w14:paraId="30E6474A">
            <w:pPr>
              <w:shd w:val="clear"/>
              <w:spacing w:line="360" w:lineRule="auto"/>
              <w:rPr>
                <w:rFonts w:cs="仿宋" w:asciiTheme="majorEastAsia" w:hAnsiTheme="majorEastAsia" w:eastAsiaTheme="majorEastAsia"/>
                <w:color w:val="auto"/>
                <w:highlight w:val="none"/>
              </w:rPr>
            </w:pPr>
          </w:p>
        </w:tc>
        <w:tc>
          <w:tcPr>
            <w:tcW w:w="1399" w:type="dxa"/>
            <w:tcBorders>
              <w:top w:val="single" w:color="auto" w:sz="4" w:space="0"/>
              <w:left w:val="single" w:color="auto" w:sz="4" w:space="0"/>
              <w:bottom w:val="single" w:color="auto" w:sz="4" w:space="0"/>
              <w:right w:val="single" w:color="auto" w:sz="4" w:space="0"/>
            </w:tcBorders>
          </w:tcPr>
          <w:p w14:paraId="5F33968D">
            <w:pPr>
              <w:shd w:val="clear"/>
              <w:spacing w:line="360" w:lineRule="auto"/>
              <w:rPr>
                <w:rFonts w:cs="仿宋" w:asciiTheme="majorEastAsia" w:hAnsiTheme="majorEastAsia" w:eastAsiaTheme="majorEastAsia"/>
                <w:color w:val="auto"/>
                <w:highlight w:val="none"/>
              </w:rPr>
            </w:pPr>
          </w:p>
        </w:tc>
        <w:tc>
          <w:tcPr>
            <w:tcW w:w="1846" w:type="dxa"/>
            <w:tcBorders>
              <w:top w:val="single" w:color="auto" w:sz="4" w:space="0"/>
              <w:left w:val="single" w:color="auto" w:sz="4" w:space="0"/>
              <w:bottom w:val="single" w:color="auto" w:sz="4" w:space="0"/>
              <w:right w:val="single" w:color="auto" w:sz="4" w:space="0"/>
            </w:tcBorders>
          </w:tcPr>
          <w:p w14:paraId="6BA4867B">
            <w:pPr>
              <w:shd w:val="clear"/>
              <w:spacing w:line="360" w:lineRule="auto"/>
              <w:rPr>
                <w:rFonts w:cs="仿宋" w:asciiTheme="majorEastAsia" w:hAnsiTheme="majorEastAsia" w:eastAsiaTheme="majorEastAsia"/>
                <w:color w:val="auto"/>
                <w:highlight w:val="none"/>
              </w:rPr>
            </w:pPr>
          </w:p>
        </w:tc>
        <w:tc>
          <w:tcPr>
            <w:tcW w:w="1637" w:type="dxa"/>
            <w:tcBorders>
              <w:top w:val="single" w:color="auto" w:sz="4" w:space="0"/>
              <w:left w:val="single" w:color="auto" w:sz="4" w:space="0"/>
              <w:bottom w:val="single" w:color="auto" w:sz="4" w:space="0"/>
              <w:right w:val="single" w:color="auto" w:sz="4" w:space="0"/>
            </w:tcBorders>
          </w:tcPr>
          <w:p w14:paraId="32158E35">
            <w:pPr>
              <w:shd w:val="clear"/>
              <w:spacing w:line="360" w:lineRule="auto"/>
              <w:rPr>
                <w:rFonts w:cs="仿宋" w:asciiTheme="majorEastAsia" w:hAnsiTheme="majorEastAsia" w:eastAsiaTheme="majorEastAsia"/>
                <w:color w:val="auto"/>
                <w:highlight w:val="none"/>
              </w:rPr>
            </w:pPr>
          </w:p>
        </w:tc>
        <w:tc>
          <w:tcPr>
            <w:tcW w:w="1513" w:type="dxa"/>
            <w:tcBorders>
              <w:top w:val="single" w:color="auto" w:sz="4" w:space="0"/>
              <w:left w:val="single" w:color="auto" w:sz="4" w:space="0"/>
              <w:bottom w:val="single" w:color="auto" w:sz="4" w:space="0"/>
              <w:right w:val="single" w:color="auto" w:sz="4" w:space="0"/>
            </w:tcBorders>
          </w:tcPr>
          <w:p w14:paraId="2CA28686">
            <w:pPr>
              <w:shd w:val="clear"/>
              <w:spacing w:line="360" w:lineRule="auto"/>
              <w:rPr>
                <w:rFonts w:cs="仿宋" w:asciiTheme="majorEastAsia" w:hAnsiTheme="majorEastAsia" w:eastAsiaTheme="majorEastAsia"/>
                <w:color w:val="auto"/>
                <w:highlight w:val="none"/>
              </w:rPr>
            </w:pPr>
          </w:p>
        </w:tc>
        <w:tc>
          <w:tcPr>
            <w:tcW w:w="1500" w:type="dxa"/>
            <w:tcBorders>
              <w:top w:val="single" w:color="auto" w:sz="4" w:space="0"/>
              <w:left w:val="single" w:color="auto" w:sz="4" w:space="0"/>
              <w:bottom w:val="single" w:color="auto" w:sz="4" w:space="0"/>
              <w:right w:val="single" w:color="auto" w:sz="4" w:space="0"/>
            </w:tcBorders>
          </w:tcPr>
          <w:p w14:paraId="74AF19EE">
            <w:pPr>
              <w:shd w:val="clear"/>
              <w:spacing w:line="360" w:lineRule="auto"/>
              <w:rPr>
                <w:rFonts w:cs="仿宋" w:asciiTheme="majorEastAsia" w:hAnsiTheme="majorEastAsia" w:eastAsiaTheme="majorEastAsia"/>
                <w:color w:val="auto"/>
                <w:highlight w:val="none"/>
              </w:rPr>
            </w:pPr>
          </w:p>
        </w:tc>
        <w:tc>
          <w:tcPr>
            <w:tcW w:w="1411" w:type="dxa"/>
            <w:tcBorders>
              <w:top w:val="single" w:color="auto" w:sz="4" w:space="0"/>
              <w:left w:val="single" w:color="auto" w:sz="4" w:space="0"/>
              <w:bottom w:val="single" w:color="auto" w:sz="4" w:space="0"/>
              <w:right w:val="single" w:color="auto" w:sz="4" w:space="0"/>
            </w:tcBorders>
          </w:tcPr>
          <w:p w14:paraId="096D379F">
            <w:pPr>
              <w:shd w:val="clear"/>
              <w:spacing w:line="360" w:lineRule="auto"/>
              <w:rPr>
                <w:rFonts w:cs="仿宋" w:asciiTheme="majorEastAsia" w:hAnsiTheme="majorEastAsia" w:eastAsiaTheme="majorEastAsia"/>
                <w:color w:val="auto"/>
                <w:highlight w:val="none"/>
              </w:rPr>
            </w:pPr>
          </w:p>
        </w:tc>
      </w:tr>
      <w:tr w14:paraId="5D434A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11" w:type="dxa"/>
            <w:tcBorders>
              <w:top w:val="single" w:color="auto" w:sz="4" w:space="0"/>
              <w:left w:val="single" w:color="auto" w:sz="4" w:space="0"/>
              <w:bottom w:val="single" w:color="auto" w:sz="4" w:space="0"/>
              <w:right w:val="single" w:color="auto" w:sz="4" w:space="0"/>
            </w:tcBorders>
          </w:tcPr>
          <w:p w14:paraId="0EFAE7B2">
            <w:pPr>
              <w:shd w:val="clear"/>
              <w:spacing w:line="360" w:lineRule="auto"/>
              <w:rPr>
                <w:rFonts w:cs="仿宋" w:asciiTheme="majorEastAsia" w:hAnsiTheme="majorEastAsia" w:eastAsiaTheme="majorEastAsia"/>
                <w:color w:val="auto"/>
                <w:highlight w:val="none"/>
              </w:rPr>
            </w:pPr>
          </w:p>
        </w:tc>
        <w:tc>
          <w:tcPr>
            <w:tcW w:w="1399" w:type="dxa"/>
            <w:tcBorders>
              <w:top w:val="single" w:color="auto" w:sz="4" w:space="0"/>
              <w:left w:val="single" w:color="auto" w:sz="4" w:space="0"/>
              <w:bottom w:val="single" w:color="auto" w:sz="4" w:space="0"/>
              <w:right w:val="single" w:color="auto" w:sz="4" w:space="0"/>
            </w:tcBorders>
          </w:tcPr>
          <w:p w14:paraId="6A30508F">
            <w:pPr>
              <w:shd w:val="clear"/>
              <w:spacing w:line="360" w:lineRule="auto"/>
              <w:rPr>
                <w:rFonts w:cs="仿宋" w:asciiTheme="majorEastAsia" w:hAnsiTheme="majorEastAsia" w:eastAsiaTheme="majorEastAsia"/>
                <w:color w:val="auto"/>
                <w:highlight w:val="none"/>
              </w:rPr>
            </w:pPr>
          </w:p>
        </w:tc>
        <w:tc>
          <w:tcPr>
            <w:tcW w:w="1846" w:type="dxa"/>
            <w:tcBorders>
              <w:top w:val="single" w:color="auto" w:sz="4" w:space="0"/>
              <w:left w:val="single" w:color="auto" w:sz="4" w:space="0"/>
              <w:bottom w:val="single" w:color="auto" w:sz="4" w:space="0"/>
              <w:right w:val="single" w:color="auto" w:sz="4" w:space="0"/>
            </w:tcBorders>
          </w:tcPr>
          <w:p w14:paraId="00F9844F">
            <w:pPr>
              <w:shd w:val="clear"/>
              <w:spacing w:line="360" w:lineRule="auto"/>
              <w:rPr>
                <w:rFonts w:cs="仿宋" w:asciiTheme="majorEastAsia" w:hAnsiTheme="majorEastAsia" w:eastAsiaTheme="majorEastAsia"/>
                <w:color w:val="auto"/>
                <w:highlight w:val="none"/>
              </w:rPr>
            </w:pPr>
          </w:p>
        </w:tc>
        <w:tc>
          <w:tcPr>
            <w:tcW w:w="1637" w:type="dxa"/>
            <w:tcBorders>
              <w:top w:val="single" w:color="auto" w:sz="4" w:space="0"/>
              <w:left w:val="single" w:color="auto" w:sz="4" w:space="0"/>
              <w:bottom w:val="single" w:color="auto" w:sz="4" w:space="0"/>
              <w:right w:val="single" w:color="auto" w:sz="4" w:space="0"/>
            </w:tcBorders>
          </w:tcPr>
          <w:p w14:paraId="18CAC1C0">
            <w:pPr>
              <w:shd w:val="clear"/>
              <w:spacing w:line="360" w:lineRule="auto"/>
              <w:rPr>
                <w:rFonts w:cs="仿宋" w:asciiTheme="majorEastAsia" w:hAnsiTheme="majorEastAsia" w:eastAsiaTheme="majorEastAsia"/>
                <w:color w:val="auto"/>
                <w:highlight w:val="none"/>
              </w:rPr>
            </w:pPr>
          </w:p>
        </w:tc>
        <w:tc>
          <w:tcPr>
            <w:tcW w:w="1513" w:type="dxa"/>
            <w:tcBorders>
              <w:top w:val="single" w:color="auto" w:sz="4" w:space="0"/>
              <w:left w:val="single" w:color="auto" w:sz="4" w:space="0"/>
              <w:bottom w:val="single" w:color="auto" w:sz="4" w:space="0"/>
              <w:right w:val="single" w:color="auto" w:sz="4" w:space="0"/>
            </w:tcBorders>
          </w:tcPr>
          <w:p w14:paraId="4F313AE5">
            <w:pPr>
              <w:shd w:val="clear"/>
              <w:spacing w:line="360" w:lineRule="auto"/>
              <w:rPr>
                <w:rFonts w:cs="仿宋" w:asciiTheme="majorEastAsia" w:hAnsiTheme="majorEastAsia" w:eastAsiaTheme="majorEastAsia"/>
                <w:color w:val="auto"/>
                <w:highlight w:val="none"/>
              </w:rPr>
            </w:pPr>
          </w:p>
        </w:tc>
        <w:tc>
          <w:tcPr>
            <w:tcW w:w="1500" w:type="dxa"/>
            <w:tcBorders>
              <w:top w:val="single" w:color="auto" w:sz="4" w:space="0"/>
              <w:left w:val="single" w:color="auto" w:sz="4" w:space="0"/>
              <w:bottom w:val="single" w:color="auto" w:sz="4" w:space="0"/>
              <w:right w:val="single" w:color="auto" w:sz="4" w:space="0"/>
            </w:tcBorders>
          </w:tcPr>
          <w:p w14:paraId="4784C327">
            <w:pPr>
              <w:shd w:val="clear"/>
              <w:spacing w:line="360" w:lineRule="auto"/>
              <w:rPr>
                <w:rFonts w:cs="仿宋" w:asciiTheme="majorEastAsia" w:hAnsiTheme="majorEastAsia" w:eastAsiaTheme="majorEastAsia"/>
                <w:color w:val="auto"/>
                <w:highlight w:val="none"/>
              </w:rPr>
            </w:pPr>
          </w:p>
        </w:tc>
        <w:tc>
          <w:tcPr>
            <w:tcW w:w="1411" w:type="dxa"/>
            <w:tcBorders>
              <w:top w:val="single" w:color="auto" w:sz="4" w:space="0"/>
              <w:left w:val="single" w:color="auto" w:sz="4" w:space="0"/>
              <w:bottom w:val="single" w:color="auto" w:sz="4" w:space="0"/>
              <w:right w:val="single" w:color="auto" w:sz="4" w:space="0"/>
            </w:tcBorders>
          </w:tcPr>
          <w:p w14:paraId="07339564">
            <w:pPr>
              <w:shd w:val="clear"/>
              <w:spacing w:line="360" w:lineRule="auto"/>
              <w:rPr>
                <w:rFonts w:cs="仿宋" w:asciiTheme="majorEastAsia" w:hAnsiTheme="majorEastAsia" w:eastAsiaTheme="majorEastAsia"/>
                <w:color w:val="auto"/>
                <w:highlight w:val="none"/>
              </w:rPr>
            </w:pPr>
          </w:p>
        </w:tc>
      </w:tr>
      <w:tr w14:paraId="4FEACB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11" w:type="dxa"/>
            <w:tcBorders>
              <w:top w:val="single" w:color="auto" w:sz="4" w:space="0"/>
              <w:left w:val="single" w:color="auto" w:sz="4" w:space="0"/>
              <w:bottom w:val="single" w:color="auto" w:sz="4" w:space="0"/>
              <w:right w:val="single" w:color="auto" w:sz="4" w:space="0"/>
            </w:tcBorders>
          </w:tcPr>
          <w:p w14:paraId="3958B36D">
            <w:pPr>
              <w:shd w:val="clear"/>
              <w:spacing w:line="360" w:lineRule="auto"/>
              <w:rPr>
                <w:rFonts w:cs="仿宋" w:asciiTheme="majorEastAsia" w:hAnsiTheme="majorEastAsia" w:eastAsiaTheme="majorEastAsia"/>
                <w:color w:val="auto"/>
                <w:highlight w:val="none"/>
              </w:rPr>
            </w:pPr>
          </w:p>
        </w:tc>
        <w:tc>
          <w:tcPr>
            <w:tcW w:w="1399" w:type="dxa"/>
            <w:tcBorders>
              <w:top w:val="single" w:color="auto" w:sz="4" w:space="0"/>
              <w:left w:val="single" w:color="auto" w:sz="4" w:space="0"/>
              <w:bottom w:val="single" w:color="auto" w:sz="4" w:space="0"/>
              <w:right w:val="single" w:color="auto" w:sz="4" w:space="0"/>
            </w:tcBorders>
          </w:tcPr>
          <w:p w14:paraId="2439BB24">
            <w:pPr>
              <w:shd w:val="clear"/>
              <w:spacing w:line="360" w:lineRule="auto"/>
              <w:rPr>
                <w:rFonts w:cs="仿宋" w:asciiTheme="majorEastAsia" w:hAnsiTheme="majorEastAsia" w:eastAsiaTheme="majorEastAsia"/>
                <w:color w:val="auto"/>
                <w:highlight w:val="none"/>
              </w:rPr>
            </w:pPr>
          </w:p>
        </w:tc>
        <w:tc>
          <w:tcPr>
            <w:tcW w:w="1846" w:type="dxa"/>
            <w:tcBorders>
              <w:top w:val="single" w:color="auto" w:sz="4" w:space="0"/>
              <w:left w:val="single" w:color="auto" w:sz="4" w:space="0"/>
              <w:bottom w:val="single" w:color="auto" w:sz="4" w:space="0"/>
              <w:right w:val="single" w:color="auto" w:sz="4" w:space="0"/>
            </w:tcBorders>
          </w:tcPr>
          <w:p w14:paraId="2F8E1A8E">
            <w:pPr>
              <w:shd w:val="clear"/>
              <w:spacing w:line="360" w:lineRule="auto"/>
              <w:rPr>
                <w:rFonts w:cs="仿宋" w:asciiTheme="majorEastAsia" w:hAnsiTheme="majorEastAsia" w:eastAsiaTheme="majorEastAsia"/>
                <w:color w:val="auto"/>
                <w:highlight w:val="none"/>
              </w:rPr>
            </w:pPr>
          </w:p>
        </w:tc>
        <w:tc>
          <w:tcPr>
            <w:tcW w:w="1637" w:type="dxa"/>
            <w:tcBorders>
              <w:top w:val="single" w:color="auto" w:sz="4" w:space="0"/>
              <w:left w:val="single" w:color="auto" w:sz="4" w:space="0"/>
              <w:bottom w:val="single" w:color="auto" w:sz="4" w:space="0"/>
              <w:right w:val="single" w:color="auto" w:sz="4" w:space="0"/>
            </w:tcBorders>
          </w:tcPr>
          <w:p w14:paraId="13E38FC8">
            <w:pPr>
              <w:shd w:val="clear"/>
              <w:spacing w:line="360" w:lineRule="auto"/>
              <w:rPr>
                <w:rFonts w:cs="仿宋" w:asciiTheme="majorEastAsia" w:hAnsiTheme="majorEastAsia" w:eastAsiaTheme="majorEastAsia"/>
                <w:color w:val="auto"/>
                <w:highlight w:val="none"/>
              </w:rPr>
            </w:pPr>
          </w:p>
        </w:tc>
        <w:tc>
          <w:tcPr>
            <w:tcW w:w="1513" w:type="dxa"/>
            <w:tcBorders>
              <w:top w:val="single" w:color="auto" w:sz="4" w:space="0"/>
              <w:left w:val="single" w:color="auto" w:sz="4" w:space="0"/>
              <w:bottom w:val="single" w:color="auto" w:sz="4" w:space="0"/>
              <w:right w:val="single" w:color="auto" w:sz="4" w:space="0"/>
            </w:tcBorders>
          </w:tcPr>
          <w:p w14:paraId="41290827">
            <w:pPr>
              <w:shd w:val="clear"/>
              <w:spacing w:line="360" w:lineRule="auto"/>
              <w:rPr>
                <w:rFonts w:cs="仿宋" w:asciiTheme="majorEastAsia" w:hAnsiTheme="majorEastAsia" w:eastAsiaTheme="majorEastAsia"/>
                <w:color w:val="auto"/>
                <w:highlight w:val="none"/>
              </w:rPr>
            </w:pPr>
          </w:p>
        </w:tc>
        <w:tc>
          <w:tcPr>
            <w:tcW w:w="1500" w:type="dxa"/>
            <w:tcBorders>
              <w:top w:val="single" w:color="auto" w:sz="4" w:space="0"/>
              <w:left w:val="single" w:color="auto" w:sz="4" w:space="0"/>
              <w:bottom w:val="single" w:color="auto" w:sz="4" w:space="0"/>
              <w:right w:val="single" w:color="auto" w:sz="4" w:space="0"/>
            </w:tcBorders>
          </w:tcPr>
          <w:p w14:paraId="4B0C6238">
            <w:pPr>
              <w:shd w:val="clear"/>
              <w:spacing w:line="360" w:lineRule="auto"/>
              <w:rPr>
                <w:rFonts w:cs="仿宋" w:asciiTheme="majorEastAsia" w:hAnsiTheme="majorEastAsia" w:eastAsiaTheme="majorEastAsia"/>
                <w:color w:val="auto"/>
                <w:highlight w:val="none"/>
              </w:rPr>
            </w:pPr>
          </w:p>
        </w:tc>
        <w:tc>
          <w:tcPr>
            <w:tcW w:w="1411" w:type="dxa"/>
            <w:tcBorders>
              <w:top w:val="single" w:color="auto" w:sz="4" w:space="0"/>
              <w:left w:val="single" w:color="auto" w:sz="4" w:space="0"/>
              <w:bottom w:val="single" w:color="auto" w:sz="4" w:space="0"/>
              <w:right w:val="single" w:color="auto" w:sz="4" w:space="0"/>
            </w:tcBorders>
          </w:tcPr>
          <w:p w14:paraId="4C436F89">
            <w:pPr>
              <w:shd w:val="clear"/>
              <w:spacing w:line="360" w:lineRule="auto"/>
              <w:rPr>
                <w:rFonts w:cs="仿宋" w:asciiTheme="majorEastAsia" w:hAnsiTheme="majorEastAsia" w:eastAsiaTheme="majorEastAsia"/>
                <w:color w:val="auto"/>
                <w:highlight w:val="none"/>
              </w:rPr>
            </w:pPr>
          </w:p>
        </w:tc>
      </w:tr>
      <w:tr w14:paraId="20E41E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11" w:type="dxa"/>
            <w:tcBorders>
              <w:top w:val="single" w:color="auto" w:sz="4" w:space="0"/>
              <w:left w:val="single" w:color="auto" w:sz="4" w:space="0"/>
              <w:bottom w:val="single" w:color="auto" w:sz="4" w:space="0"/>
              <w:right w:val="single" w:color="auto" w:sz="4" w:space="0"/>
            </w:tcBorders>
          </w:tcPr>
          <w:p w14:paraId="0F003992">
            <w:pPr>
              <w:shd w:val="clear"/>
              <w:spacing w:line="360" w:lineRule="auto"/>
              <w:rPr>
                <w:rFonts w:cs="仿宋" w:asciiTheme="majorEastAsia" w:hAnsiTheme="majorEastAsia" w:eastAsiaTheme="majorEastAsia"/>
                <w:color w:val="auto"/>
                <w:highlight w:val="none"/>
              </w:rPr>
            </w:pPr>
          </w:p>
        </w:tc>
        <w:tc>
          <w:tcPr>
            <w:tcW w:w="1399" w:type="dxa"/>
            <w:tcBorders>
              <w:top w:val="single" w:color="auto" w:sz="4" w:space="0"/>
              <w:left w:val="single" w:color="auto" w:sz="4" w:space="0"/>
              <w:bottom w:val="single" w:color="auto" w:sz="4" w:space="0"/>
              <w:right w:val="single" w:color="auto" w:sz="4" w:space="0"/>
            </w:tcBorders>
          </w:tcPr>
          <w:p w14:paraId="0F34D466">
            <w:pPr>
              <w:shd w:val="clear"/>
              <w:spacing w:line="360" w:lineRule="auto"/>
              <w:rPr>
                <w:rFonts w:cs="仿宋" w:asciiTheme="majorEastAsia" w:hAnsiTheme="majorEastAsia" w:eastAsiaTheme="majorEastAsia"/>
                <w:color w:val="auto"/>
                <w:highlight w:val="none"/>
              </w:rPr>
            </w:pPr>
          </w:p>
        </w:tc>
        <w:tc>
          <w:tcPr>
            <w:tcW w:w="1846" w:type="dxa"/>
            <w:tcBorders>
              <w:top w:val="single" w:color="auto" w:sz="4" w:space="0"/>
              <w:left w:val="single" w:color="auto" w:sz="4" w:space="0"/>
              <w:bottom w:val="single" w:color="auto" w:sz="4" w:space="0"/>
              <w:right w:val="single" w:color="auto" w:sz="4" w:space="0"/>
            </w:tcBorders>
          </w:tcPr>
          <w:p w14:paraId="033B09FD">
            <w:pPr>
              <w:shd w:val="clear"/>
              <w:spacing w:line="360" w:lineRule="auto"/>
              <w:rPr>
                <w:rFonts w:cs="仿宋" w:asciiTheme="majorEastAsia" w:hAnsiTheme="majorEastAsia" w:eastAsiaTheme="majorEastAsia"/>
                <w:color w:val="auto"/>
                <w:highlight w:val="none"/>
              </w:rPr>
            </w:pPr>
          </w:p>
        </w:tc>
        <w:tc>
          <w:tcPr>
            <w:tcW w:w="1637" w:type="dxa"/>
            <w:tcBorders>
              <w:top w:val="single" w:color="auto" w:sz="4" w:space="0"/>
              <w:left w:val="single" w:color="auto" w:sz="4" w:space="0"/>
              <w:bottom w:val="single" w:color="auto" w:sz="4" w:space="0"/>
              <w:right w:val="single" w:color="auto" w:sz="4" w:space="0"/>
            </w:tcBorders>
          </w:tcPr>
          <w:p w14:paraId="3C5E01C1">
            <w:pPr>
              <w:shd w:val="clear"/>
              <w:spacing w:line="360" w:lineRule="auto"/>
              <w:rPr>
                <w:rFonts w:cs="仿宋" w:asciiTheme="majorEastAsia" w:hAnsiTheme="majorEastAsia" w:eastAsiaTheme="majorEastAsia"/>
                <w:color w:val="auto"/>
                <w:highlight w:val="none"/>
              </w:rPr>
            </w:pPr>
          </w:p>
        </w:tc>
        <w:tc>
          <w:tcPr>
            <w:tcW w:w="1513" w:type="dxa"/>
            <w:tcBorders>
              <w:top w:val="single" w:color="auto" w:sz="4" w:space="0"/>
              <w:left w:val="single" w:color="auto" w:sz="4" w:space="0"/>
              <w:bottom w:val="single" w:color="auto" w:sz="4" w:space="0"/>
              <w:right w:val="single" w:color="auto" w:sz="4" w:space="0"/>
            </w:tcBorders>
          </w:tcPr>
          <w:p w14:paraId="0F0B5F23">
            <w:pPr>
              <w:shd w:val="clear"/>
              <w:spacing w:line="360" w:lineRule="auto"/>
              <w:rPr>
                <w:rFonts w:cs="仿宋" w:asciiTheme="majorEastAsia" w:hAnsiTheme="majorEastAsia" w:eastAsiaTheme="majorEastAsia"/>
                <w:color w:val="auto"/>
                <w:highlight w:val="none"/>
              </w:rPr>
            </w:pPr>
          </w:p>
        </w:tc>
        <w:tc>
          <w:tcPr>
            <w:tcW w:w="1500" w:type="dxa"/>
            <w:tcBorders>
              <w:top w:val="single" w:color="auto" w:sz="4" w:space="0"/>
              <w:left w:val="single" w:color="auto" w:sz="4" w:space="0"/>
              <w:bottom w:val="single" w:color="auto" w:sz="4" w:space="0"/>
              <w:right w:val="single" w:color="auto" w:sz="4" w:space="0"/>
            </w:tcBorders>
          </w:tcPr>
          <w:p w14:paraId="368F347F">
            <w:pPr>
              <w:shd w:val="clear"/>
              <w:spacing w:line="360" w:lineRule="auto"/>
              <w:rPr>
                <w:rFonts w:cs="仿宋" w:asciiTheme="majorEastAsia" w:hAnsiTheme="majorEastAsia" w:eastAsiaTheme="majorEastAsia"/>
                <w:color w:val="auto"/>
                <w:highlight w:val="none"/>
              </w:rPr>
            </w:pPr>
          </w:p>
        </w:tc>
        <w:tc>
          <w:tcPr>
            <w:tcW w:w="1411" w:type="dxa"/>
            <w:tcBorders>
              <w:top w:val="single" w:color="auto" w:sz="4" w:space="0"/>
              <w:left w:val="single" w:color="auto" w:sz="4" w:space="0"/>
              <w:bottom w:val="single" w:color="auto" w:sz="4" w:space="0"/>
              <w:right w:val="single" w:color="auto" w:sz="4" w:space="0"/>
            </w:tcBorders>
          </w:tcPr>
          <w:p w14:paraId="188200F8">
            <w:pPr>
              <w:shd w:val="clear"/>
              <w:spacing w:line="360" w:lineRule="auto"/>
              <w:rPr>
                <w:rFonts w:cs="仿宋" w:asciiTheme="majorEastAsia" w:hAnsiTheme="majorEastAsia" w:eastAsiaTheme="majorEastAsia"/>
                <w:color w:val="auto"/>
                <w:highlight w:val="none"/>
              </w:rPr>
            </w:pPr>
          </w:p>
        </w:tc>
      </w:tr>
      <w:tr w14:paraId="511E65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811" w:type="dxa"/>
            <w:tcBorders>
              <w:top w:val="single" w:color="auto" w:sz="4" w:space="0"/>
              <w:left w:val="single" w:color="auto" w:sz="4" w:space="0"/>
              <w:bottom w:val="single" w:color="auto" w:sz="4" w:space="0"/>
              <w:right w:val="single" w:color="auto" w:sz="4" w:space="0"/>
            </w:tcBorders>
          </w:tcPr>
          <w:p w14:paraId="1F678EF4">
            <w:pPr>
              <w:shd w:val="clear"/>
              <w:spacing w:line="360" w:lineRule="auto"/>
              <w:rPr>
                <w:rFonts w:cs="仿宋" w:asciiTheme="majorEastAsia" w:hAnsiTheme="majorEastAsia" w:eastAsiaTheme="majorEastAsia"/>
                <w:color w:val="auto"/>
                <w:highlight w:val="none"/>
              </w:rPr>
            </w:pPr>
          </w:p>
        </w:tc>
        <w:tc>
          <w:tcPr>
            <w:tcW w:w="1399" w:type="dxa"/>
            <w:tcBorders>
              <w:top w:val="single" w:color="auto" w:sz="4" w:space="0"/>
              <w:left w:val="single" w:color="auto" w:sz="4" w:space="0"/>
              <w:bottom w:val="single" w:color="auto" w:sz="4" w:space="0"/>
              <w:right w:val="single" w:color="auto" w:sz="4" w:space="0"/>
            </w:tcBorders>
          </w:tcPr>
          <w:p w14:paraId="5AEAF682">
            <w:pPr>
              <w:shd w:val="clear"/>
              <w:spacing w:line="360" w:lineRule="auto"/>
              <w:rPr>
                <w:rFonts w:cs="仿宋" w:asciiTheme="majorEastAsia" w:hAnsiTheme="majorEastAsia" w:eastAsiaTheme="majorEastAsia"/>
                <w:color w:val="auto"/>
                <w:highlight w:val="none"/>
              </w:rPr>
            </w:pPr>
          </w:p>
        </w:tc>
        <w:tc>
          <w:tcPr>
            <w:tcW w:w="1846" w:type="dxa"/>
            <w:tcBorders>
              <w:top w:val="single" w:color="auto" w:sz="4" w:space="0"/>
              <w:left w:val="single" w:color="auto" w:sz="4" w:space="0"/>
              <w:bottom w:val="single" w:color="auto" w:sz="4" w:space="0"/>
              <w:right w:val="single" w:color="auto" w:sz="4" w:space="0"/>
            </w:tcBorders>
          </w:tcPr>
          <w:p w14:paraId="5E232109">
            <w:pPr>
              <w:shd w:val="clear"/>
              <w:spacing w:line="360" w:lineRule="auto"/>
              <w:rPr>
                <w:rFonts w:cs="仿宋" w:asciiTheme="majorEastAsia" w:hAnsiTheme="majorEastAsia" w:eastAsiaTheme="majorEastAsia"/>
                <w:color w:val="auto"/>
                <w:highlight w:val="none"/>
              </w:rPr>
            </w:pPr>
          </w:p>
        </w:tc>
        <w:tc>
          <w:tcPr>
            <w:tcW w:w="1637" w:type="dxa"/>
            <w:tcBorders>
              <w:top w:val="single" w:color="auto" w:sz="4" w:space="0"/>
              <w:left w:val="single" w:color="auto" w:sz="4" w:space="0"/>
              <w:bottom w:val="single" w:color="auto" w:sz="4" w:space="0"/>
              <w:right w:val="single" w:color="auto" w:sz="4" w:space="0"/>
            </w:tcBorders>
          </w:tcPr>
          <w:p w14:paraId="21EBC862">
            <w:pPr>
              <w:shd w:val="clear"/>
              <w:spacing w:line="360" w:lineRule="auto"/>
              <w:rPr>
                <w:rFonts w:cs="仿宋" w:asciiTheme="majorEastAsia" w:hAnsiTheme="majorEastAsia" w:eastAsiaTheme="majorEastAsia"/>
                <w:color w:val="auto"/>
                <w:highlight w:val="none"/>
              </w:rPr>
            </w:pPr>
          </w:p>
        </w:tc>
        <w:tc>
          <w:tcPr>
            <w:tcW w:w="1513" w:type="dxa"/>
            <w:tcBorders>
              <w:top w:val="single" w:color="auto" w:sz="4" w:space="0"/>
              <w:left w:val="single" w:color="auto" w:sz="4" w:space="0"/>
              <w:bottom w:val="single" w:color="auto" w:sz="4" w:space="0"/>
              <w:right w:val="single" w:color="auto" w:sz="4" w:space="0"/>
            </w:tcBorders>
          </w:tcPr>
          <w:p w14:paraId="6C96C1F9">
            <w:pPr>
              <w:shd w:val="clear"/>
              <w:spacing w:line="360" w:lineRule="auto"/>
              <w:rPr>
                <w:rFonts w:cs="仿宋" w:asciiTheme="majorEastAsia" w:hAnsiTheme="majorEastAsia" w:eastAsiaTheme="majorEastAsia"/>
                <w:color w:val="auto"/>
                <w:highlight w:val="none"/>
              </w:rPr>
            </w:pPr>
          </w:p>
        </w:tc>
        <w:tc>
          <w:tcPr>
            <w:tcW w:w="1500" w:type="dxa"/>
            <w:tcBorders>
              <w:top w:val="single" w:color="auto" w:sz="4" w:space="0"/>
              <w:left w:val="single" w:color="auto" w:sz="4" w:space="0"/>
              <w:bottom w:val="single" w:color="auto" w:sz="4" w:space="0"/>
              <w:right w:val="single" w:color="auto" w:sz="4" w:space="0"/>
            </w:tcBorders>
          </w:tcPr>
          <w:p w14:paraId="656B0AEA">
            <w:pPr>
              <w:shd w:val="clear"/>
              <w:spacing w:line="360" w:lineRule="auto"/>
              <w:rPr>
                <w:rFonts w:cs="仿宋" w:asciiTheme="majorEastAsia" w:hAnsiTheme="majorEastAsia" w:eastAsiaTheme="majorEastAsia"/>
                <w:color w:val="auto"/>
                <w:highlight w:val="none"/>
              </w:rPr>
            </w:pPr>
          </w:p>
        </w:tc>
        <w:tc>
          <w:tcPr>
            <w:tcW w:w="1411" w:type="dxa"/>
            <w:tcBorders>
              <w:top w:val="single" w:color="auto" w:sz="4" w:space="0"/>
              <w:left w:val="single" w:color="auto" w:sz="4" w:space="0"/>
              <w:bottom w:val="single" w:color="auto" w:sz="4" w:space="0"/>
              <w:right w:val="single" w:color="auto" w:sz="4" w:space="0"/>
            </w:tcBorders>
          </w:tcPr>
          <w:p w14:paraId="769432BD">
            <w:pPr>
              <w:shd w:val="clear"/>
              <w:spacing w:line="360" w:lineRule="auto"/>
              <w:rPr>
                <w:rFonts w:cs="仿宋" w:asciiTheme="majorEastAsia" w:hAnsiTheme="majorEastAsia" w:eastAsiaTheme="majorEastAsia"/>
                <w:color w:val="auto"/>
                <w:highlight w:val="none"/>
              </w:rPr>
            </w:pPr>
          </w:p>
        </w:tc>
      </w:tr>
      <w:tr w14:paraId="75DD9F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811" w:type="dxa"/>
            <w:tcBorders>
              <w:top w:val="single" w:color="auto" w:sz="4" w:space="0"/>
              <w:left w:val="single" w:color="auto" w:sz="4" w:space="0"/>
              <w:bottom w:val="single" w:color="auto" w:sz="4" w:space="0"/>
              <w:right w:val="single" w:color="auto" w:sz="4" w:space="0"/>
            </w:tcBorders>
          </w:tcPr>
          <w:p w14:paraId="3F5C2800">
            <w:pPr>
              <w:shd w:val="clear"/>
              <w:spacing w:line="360" w:lineRule="auto"/>
              <w:rPr>
                <w:rFonts w:cs="仿宋" w:asciiTheme="majorEastAsia" w:hAnsiTheme="majorEastAsia" w:eastAsiaTheme="majorEastAsia"/>
                <w:color w:val="auto"/>
                <w:highlight w:val="none"/>
              </w:rPr>
            </w:pPr>
          </w:p>
        </w:tc>
        <w:tc>
          <w:tcPr>
            <w:tcW w:w="1399" w:type="dxa"/>
            <w:tcBorders>
              <w:top w:val="single" w:color="auto" w:sz="4" w:space="0"/>
              <w:left w:val="single" w:color="auto" w:sz="4" w:space="0"/>
              <w:bottom w:val="single" w:color="auto" w:sz="4" w:space="0"/>
              <w:right w:val="single" w:color="auto" w:sz="4" w:space="0"/>
            </w:tcBorders>
          </w:tcPr>
          <w:p w14:paraId="6F7E8315">
            <w:pPr>
              <w:shd w:val="clear"/>
              <w:spacing w:line="360" w:lineRule="auto"/>
              <w:rPr>
                <w:rFonts w:cs="仿宋" w:asciiTheme="majorEastAsia" w:hAnsiTheme="majorEastAsia" w:eastAsiaTheme="majorEastAsia"/>
                <w:color w:val="auto"/>
                <w:highlight w:val="none"/>
              </w:rPr>
            </w:pPr>
          </w:p>
        </w:tc>
        <w:tc>
          <w:tcPr>
            <w:tcW w:w="1846" w:type="dxa"/>
            <w:tcBorders>
              <w:top w:val="single" w:color="auto" w:sz="4" w:space="0"/>
              <w:left w:val="single" w:color="auto" w:sz="4" w:space="0"/>
              <w:bottom w:val="single" w:color="auto" w:sz="4" w:space="0"/>
              <w:right w:val="single" w:color="auto" w:sz="4" w:space="0"/>
            </w:tcBorders>
          </w:tcPr>
          <w:p w14:paraId="30EC129F">
            <w:pPr>
              <w:shd w:val="clear"/>
              <w:spacing w:line="360" w:lineRule="auto"/>
              <w:rPr>
                <w:rFonts w:cs="仿宋" w:asciiTheme="majorEastAsia" w:hAnsiTheme="majorEastAsia" w:eastAsiaTheme="majorEastAsia"/>
                <w:color w:val="auto"/>
                <w:highlight w:val="none"/>
              </w:rPr>
            </w:pPr>
          </w:p>
        </w:tc>
        <w:tc>
          <w:tcPr>
            <w:tcW w:w="1637" w:type="dxa"/>
            <w:tcBorders>
              <w:top w:val="single" w:color="auto" w:sz="4" w:space="0"/>
              <w:left w:val="single" w:color="auto" w:sz="4" w:space="0"/>
              <w:bottom w:val="single" w:color="auto" w:sz="4" w:space="0"/>
              <w:right w:val="single" w:color="auto" w:sz="4" w:space="0"/>
            </w:tcBorders>
          </w:tcPr>
          <w:p w14:paraId="08B5D34B">
            <w:pPr>
              <w:shd w:val="clear"/>
              <w:spacing w:line="360" w:lineRule="auto"/>
              <w:rPr>
                <w:rFonts w:cs="仿宋" w:asciiTheme="majorEastAsia" w:hAnsiTheme="majorEastAsia" w:eastAsiaTheme="majorEastAsia"/>
                <w:color w:val="auto"/>
                <w:highlight w:val="none"/>
              </w:rPr>
            </w:pPr>
          </w:p>
        </w:tc>
        <w:tc>
          <w:tcPr>
            <w:tcW w:w="1513" w:type="dxa"/>
            <w:tcBorders>
              <w:top w:val="single" w:color="auto" w:sz="4" w:space="0"/>
              <w:left w:val="single" w:color="auto" w:sz="4" w:space="0"/>
              <w:bottom w:val="single" w:color="auto" w:sz="4" w:space="0"/>
              <w:right w:val="single" w:color="auto" w:sz="4" w:space="0"/>
            </w:tcBorders>
          </w:tcPr>
          <w:p w14:paraId="1EAB7974">
            <w:pPr>
              <w:shd w:val="clear"/>
              <w:spacing w:line="360" w:lineRule="auto"/>
              <w:rPr>
                <w:rFonts w:cs="仿宋" w:asciiTheme="majorEastAsia" w:hAnsiTheme="majorEastAsia" w:eastAsiaTheme="majorEastAsia"/>
                <w:color w:val="auto"/>
                <w:highlight w:val="none"/>
              </w:rPr>
            </w:pPr>
          </w:p>
        </w:tc>
        <w:tc>
          <w:tcPr>
            <w:tcW w:w="1500" w:type="dxa"/>
            <w:tcBorders>
              <w:top w:val="single" w:color="auto" w:sz="4" w:space="0"/>
              <w:left w:val="single" w:color="auto" w:sz="4" w:space="0"/>
              <w:bottom w:val="single" w:color="auto" w:sz="4" w:space="0"/>
              <w:right w:val="single" w:color="auto" w:sz="4" w:space="0"/>
            </w:tcBorders>
          </w:tcPr>
          <w:p w14:paraId="50684D2E">
            <w:pPr>
              <w:shd w:val="clear"/>
              <w:spacing w:line="360" w:lineRule="auto"/>
              <w:rPr>
                <w:rFonts w:cs="仿宋" w:asciiTheme="majorEastAsia" w:hAnsiTheme="majorEastAsia" w:eastAsiaTheme="majorEastAsia"/>
                <w:color w:val="auto"/>
                <w:highlight w:val="none"/>
              </w:rPr>
            </w:pPr>
          </w:p>
        </w:tc>
        <w:tc>
          <w:tcPr>
            <w:tcW w:w="1411" w:type="dxa"/>
            <w:tcBorders>
              <w:top w:val="single" w:color="auto" w:sz="4" w:space="0"/>
              <w:left w:val="single" w:color="auto" w:sz="4" w:space="0"/>
              <w:bottom w:val="single" w:color="auto" w:sz="4" w:space="0"/>
              <w:right w:val="single" w:color="auto" w:sz="4" w:space="0"/>
            </w:tcBorders>
          </w:tcPr>
          <w:p w14:paraId="3B92E54F">
            <w:pPr>
              <w:shd w:val="clear"/>
              <w:spacing w:line="360" w:lineRule="auto"/>
              <w:rPr>
                <w:rFonts w:cs="仿宋" w:asciiTheme="majorEastAsia" w:hAnsiTheme="majorEastAsia" w:eastAsiaTheme="majorEastAsia"/>
                <w:color w:val="auto"/>
                <w:highlight w:val="none"/>
              </w:rPr>
            </w:pPr>
          </w:p>
        </w:tc>
      </w:tr>
      <w:tr w14:paraId="143FBA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811" w:type="dxa"/>
            <w:tcBorders>
              <w:top w:val="single" w:color="auto" w:sz="4" w:space="0"/>
              <w:left w:val="single" w:color="auto" w:sz="4" w:space="0"/>
              <w:bottom w:val="single" w:color="auto" w:sz="4" w:space="0"/>
              <w:right w:val="single" w:color="auto" w:sz="4" w:space="0"/>
            </w:tcBorders>
          </w:tcPr>
          <w:p w14:paraId="44652451">
            <w:pPr>
              <w:shd w:val="clear"/>
              <w:spacing w:line="360" w:lineRule="auto"/>
              <w:rPr>
                <w:rFonts w:cs="仿宋" w:asciiTheme="majorEastAsia" w:hAnsiTheme="majorEastAsia" w:eastAsiaTheme="majorEastAsia"/>
                <w:color w:val="auto"/>
                <w:highlight w:val="none"/>
              </w:rPr>
            </w:pPr>
          </w:p>
        </w:tc>
        <w:tc>
          <w:tcPr>
            <w:tcW w:w="1399" w:type="dxa"/>
            <w:tcBorders>
              <w:top w:val="single" w:color="auto" w:sz="4" w:space="0"/>
              <w:left w:val="single" w:color="auto" w:sz="4" w:space="0"/>
              <w:bottom w:val="single" w:color="auto" w:sz="4" w:space="0"/>
              <w:right w:val="single" w:color="auto" w:sz="4" w:space="0"/>
            </w:tcBorders>
          </w:tcPr>
          <w:p w14:paraId="6A4470AF">
            <w:pPr>
              <w:shd w:val="clear"/>
              <w:spacing w:line="360" w:lineRule="auto"/>
              <w:rPr>
                <w:rFonts w:cs="仿宋" w:asciiTheme="majorEastAsia" w:hAnsiTheme="majorEastAsia" w:eastAsiaTheme="majorEastAsia"/>
                <w:color w:val="auto"/>
                <w:highlight w:val="none"/>
              </w:rPr>
            </w:pPr>
          </w:p>
        </w:tc>
        <w:tc>
          <w:tcPr>
            <w:tcW w:w="1846" w:type="dxa"/>
            <w:tcBorders>
              <w:top w:val="single" w:color="auto" w:sz="4" w:space="0"/>
              <w:left w:val="single" w:color="auto" w:sz="4" w:space="0"/>
              <w:bottom w:val="single" w:color="auto" w:sz="4" w:space="0"/>
              <w:right w:val="single" w:color="auto" w:sz="4" w:space="0"/>
            </w:tcBorders>
          </w:tcPr>
          <w:p w14:paraId="182D5FDD">
            <w:pPr>
              <w:shd w:val="clear"/>
              <w:spacing w:line="360" w:lineRule="auto"/>
              <w:rPr>
                <w:rFonts w:cs="仿宋" w:asciiTheme="majorEastAsia" w:hAnsiTheme="majorEastAsia" w:eastAsiaTheme="majorEastAsia"/>
                <w:color w:val="auto"/>
                <w:highlight w:val="none"/>
              </w:rPr>
            </w:pPr>
          </w:p>
        </w:tc>
        <w:tc>
          <w:tcPr>
            <w:tcW w:w="1637" w:type="dxa"/>
            <w:tcBorders>
              <w:top w:val="single" w:color="auto" w:sz="4" w:space="0"/>
              <w:left w:val="single" w:color="auto" w:sz="4" w:space="0"/>
              <w:bottom w:val="single" w:color="auto" w:sz="4" w:space="0"/>
              <w:right w:val="single" w:color="auto" w:sz="4" w:space="0"/>
            </w:tcBorders>
          </w:tcPr>
          <w:p w14:paraId="258C8D6F">
            <w:pPr>
              <w:shd w:val="clear"/>
              <w:spacing w:line="360" w:lineRule="auto"/>
              <w:rPr>
                <w:rFonts w:cs="仿宋" w:asciiTheme="majorEastAsia" w:hAnsiTheme="majorEastAsia" w:eastAsiaTheme="majorEastAsia"/>
                <w:color w:val="auto"/>
                <w:highlight w:val="none"/>
              </w:rPr>
            </w:pPr>
          </w:p>
        </w:tc>
        <w:tc>
          <w:tcPr>
            <w:tcW w:w="1513" w:type="dxa"/>
            <w:tcBorders>
              <w:top w:val="single" w:color="auto" w:sz="4" w:space="0"/>
              <w:left w:val="single" w:color="auto" w:sz="4" w:space="0"/>
              <w:bottom w:val="single" w:color="auto" w:sz="4" w:space="0"/>
              <w:right w:val="single" w:color="auto" w:sz="4" w:space="0"/>
            </w:tcBorders>
          </w:tcPr>
          <w:p w14:paraId="199B85B7">
            <w:pPr>
              <w:shd w:val="clear"/>
              <w:spacing w:line="360" w:lineRule="auto"/>
              <w:rPr>
                <w:rFonts w:cs="仿宋" w:asciiTheme="majorEastAsia" w:hAnsiTheme="majorEastAsia" w:eastAsiaTheme="majorEastAsia"/>
                <w:color w:val="auto"/>
                <w:highlight w:val="none"/>
              </w:rPr>
            </w:pPr>
          </w:p>
        </w:tc>
        <w:tc>
          <w:tcPr>
            <w:tcW w:w="1500" w:type="dxa"/>
            <w:tcBorders>
              <w:top w:val="single" w:color="auto" w:sz="4" w:space="0"/>
              <w:left w:val="single" w:color="auto" w:sz="4" w:space="0"/>
              <w:bottom w:val="single" w:color="auto" w:sz="4" w:space="0"/>
              <w:right w:val="single" w:color="auto" w:sz="4" w:space="0"/>
            </w:tcBorders>
          </w:tcPr>
          <w:p w14:paraId="02AEC2FF">
            <w:pPr>
              <w:shd w:val="clear"/>
              <w:spacing w:line="360" w:lineRule="auto"/>
              <w:rPr>
                <w:rFonts w:cs="仿宋" w:asciiTheme="majorEastAsia" w:hAnsiTheme="majorEastAsia" w:eastAsiaTheme="majorEastAsia"/>
                <w:color w:val="auto"/>
                <w:highlight w:val="none"/>
              </w:rPr>
            </w:pPr>
          </w:p>
        </w:tc>
        <w:tc>
          <w:tcPr>
            <w:tcW w:w="1411" w:type="dxa"/>
            <w:tcBorders>
              <w:top w:val="single" w:color="auto" w:sz="4" w:space="0"/>
              <w:left w:val="single" w:color="auto" w:sz="4" w:space="0"/>
              <w:bottom w:val="single" w:color="auto" w:sz="4" w:space="0"/>
              <w:right w:val="single" w:color="auto" w:sz="4" w:space="0"/>
            </w:tcBorders>
          </w:tcPr>
          <w:p w14:paraId="3CE42E09">
            <w:pPr>
              <w:shd w:val="clear"/>
              <w:spacing w:line="360" w:lineRule="auto"/>
              <w:rPr>
                <w:rFonts w:cs="仿宋" w:asciiTheme="majorEastAsia" w:hAnsiTheme="majorEastAsia" w:eastAsiaTheme="majorEastAsia"/>
                <w:color w:val="auto"/>
                <w:highlight w:val="none"/>
              </w:rPr>
            </w:pPr>
          </w:p>
        </w:tc>
      </w:tr>
      <w:tr w14:paraId="678A63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811" w:type="dxa"/>
            <w:tcBorders>
              <w:top w:val="single" w:color="auto" w:sz="4" w:space="0"/>
              <w:left w:val="single" w:color="auto" w:sz="4" w:space="0"/>
              <w:bottom w:val="single" w:color="auto" w:sz="4" w:space="0"/>
              <w:right w:val="single" w:color="auto" w:sz="4" w:space="0"/>
            </w:tcBorders>
          </w:tcPr>
          <w:p w14:paraId="24714304">
            <w:pPr>
              <w:shd w:val="clear"/>
              <w:spacing w:line="360" w:lineRule="auto"/>
              <w:rPr>
                <w:rFonts w:cs="仿宋" w:asciiTheme="majorEastAsia" w:hAnsiTheme="majorEastAsia" w:eastAsiaTheme="majorEastAsia"/>
                <w:color w:val="auto"/>
                <w:highlight w:val="none"/>
              </w:rPr>
            </w:pPr>
          </w:p>
        </w:tc>
        <w:tc>
          <w:tcPr>
            <w:tcW w:w="1399" w:type="dxa"/>
            <w:tcBorders>
              <w:top w:val="single" w:color="auto" w:sz="4" w:space="0"/>
              <w:left w:val="single" w:color="auto" w:sz="4" w:space="0"/>
              <w:bottom w:val="single" w:color="auto" w:sz="4" w:space="0"/>
              <w:right w:val="single" w:color="auto" w:sz="4" w:space="0"/>
            </w:tcBorders>
          </w:tcPr>
          <w:p w14:paraId="6AF37467">
            <w:pPr>
              <w:shd w:val="clear"/>
              <w:spacing w:line="360" w:lineRule="auto"/>
              <w:rPr>
                <w:rFonts w:cs="仿宋" w:asciiTheme="majorEastAsia" w:hAnsiTheme="majorEastAsia" w:eastAsiaTheme="majorEastAsia"/>
                <w:color w:val="auto"/>
                <w:highlight w:val="none"/>
              </w:rPr>
            </w:pPr>
          </w:p>
        </w:tc>
        <w:tc>
          <w:tcPr>
            <w:tcW w:w="1846" w:type="dxa"/>
            <w:tcBorders>
              <w:top w:val="single" w:color="auto" w:sz="4" w:space="0"/>
              <w:left w:val="single" w:color="auto" w:sz="4" w:space="0"/>
              <w:bottom w:val="single" w:color="auto" w:sz="4" w:space="0"/>
              <w:right w:val="single" w:color="auto" w:sz="4" w:space="0"/>
            </w:tcBorders>
          </w:tcPr>
          <w:p w14:paraId="045CDF8A">
            <w:pPr>
              <w:shd w:val="clear"/>
              <w:spacing w:line="360" w:lineRule="auto"/>
              <w:rPr>
                <w:rFonts w:cs="仿宋" w:asciiTheme="majorEastAsia" w:hAnsiTheme="majorEastAsia" w:eastAsiaTheme="majorEastAsia"/>
                <w:color w:val="auto"/>
                <w:highlight w:val="none"/>
              </w:rPr>
            </w:pPr>
          </w:p>
        </w:tc>
        <w:tc>
          <w:tcPr>
            <w:tcW w:w="1637" w:type="dxa"/>
            <w:tcBorders>
              <w:top w:val="single" w:color="auto" w:sz="4" w:space="0"/>
              <w:left w:val="single" w:color="auto" w:sz="4" w:space="0"/>
              <w:bottom w:val="single" w:color="auto" w:sz="4" w:space="0"/>
              <w:right w:val="single" w:color="auto" w:sz="4" w:space="0"/>
            </w:tcBorders>
          </w:tcPr>
          <w:p w14:paraId="3C302850">
            <w:pPr>
              <w:shd w:val="clear"/>
              <w:spacing w:line="360" w:lineRule="auto"/>
              <w:rPr>
                <w:rFonts w:cs="仿宋" w:asciiTheme="majorEastAsia" w:hAnsiTheme="majorEastAsia" w:eastAsiaTheme="majorEastAsia"/>
                <w:color w:val="auto"/>
                <w:highlight w:val="none"/>
              </w:rPr>
            </w:pPr>
          </w:p>
        </w:tc>
        <w:tc>
          <w:tcPr>
            <w:tcW w:w="1513" w:type="dxa"/>
            <w:tcBorders>
              <w:top w:val="single" w:color="auto" w:sz="4" w:space="0"/>
              <w:left w:val="single" w:color="auto" w:sz="4" w:space="0"/>
              <w:bottom w:val="single" w:color="auto" w:sz="4" w:space="0"/>
              <w:right w:val="single" w:color="auto" w:sz="4" w:space="0"/>
            </w:tcBorders>
          </w:tcPr>
          <w:p w14:paraId="00EA1B3D">
            <w:pPr>
              <w:shd w:val="clear"/>
              <w:spacing w:line="360" w:lineRule="auto"/>
              <w:rPr>
                <w:rFonts w:cs="仿宋" w:asciiTheme="majorEastAsia" w:hAnsiTheme="majorEastAsia" w:eastAsiaTheme="majorEastAsia"/>
                <w:color w:val="auto"/>
                <w:highlight w:val="none"/>
              </w:rPr>
            </w:pPr>
          </w:p>
        </w:tc>
        <w:tc>
          <w:tcPr>
            <w:tcW w:w="1500" w:type="dxa"/>
            <w:tcBorders>
              <w:top w:val="single" w:color="auto" w:sz="4" w:space="0"/>
              <w:left w:val="single" w:color="auto" w:sz="4" w:space="0"/>
              <w:bottom w:val="single" w:color="auto" w:sz="4" w:space="0"/>
              <w:right w:val="single" w:color="auto" w:sz="4" w:space="0"/>
            </w:tcBorders>
          </w:tcPr>
          <w:p w14:paraId="7B2C6A62">
            <w:pPr>
              <w:shd w:val="clear"/>
              <w:spacing w:line="360" w:lineRule="auto"/>
              <w:rPr>
                <w:rFonts w:cs="仿宋" w:asciiTheme="majorEastAsia" w:hAnsiTheme="majorEastAsia" w:eastAsiaTheme="majorEastAsia"/>
                <w:color w:val="auto"/>
                <w:highlight w:val="none"/>
              </w:rPr>
            </w:pPr>
          </w:p>
        </w:tc>
        <w:tc>
          <w:tcPr>
            <w:tcW w:w="1411" w:type="dxa"/>
            <w:tcBorders>
              <w:top w:val="single" w:color="auto" w:sz="4" w:space="0"/>
              <w:left w:val="single" w:color="auto" w:sz="4" w:space="0"/>
              <w:bottom w:val="single" w:color="auto" w:sz="4" w:space="0"/>
              <w:right w:val="single" w:color="auto" w:sz="4" w:space="0"/>
            </w:tcBorders>
          </w:tcPr>
          <w:p w14:paraId="74D01509">
            <w:pPr>
              <w:shd w:val="clear"/>
              <w:spacing w:line="360" w:lineRule="auto"/>
              <w:rPr>
                <w:rFonts w:cs="仿宋" w:asciiTheme="majorEastAsia" w:hAnsiTheme="majorEastAsia" w:eastAsiaTheme="majorEastAsia"/>
                <w:color w:val="auto"/>
                <w:highlight w:val="none"/>
              </w:rPr>
            </w:pPr>
          </w:p>
        </w:tc>
      </w:tr>
      <w:tr w14:paraId="64438A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811" w:type="dxa"/>
            <w:tcBorders>
              <w:top w:val="single" w:color="auto" w:sz="4" w:space="0"/>
              <w:left w:val="single" w:color="auto" w:sz="4" w:space="0"/>
              <w:bottom w:val="single" w:color="auto" w:sz="4" w:space="0"/>
              <w:right w:val="single" w:color="auto" w:sz="4" w:space="0"/>
            </w:tcBorders>
          </w:tcPr>
          <w:p w14:paraId="459F7B0C">
            <w:pPr>
              <w:shd w:val="clear"/>
              <w:spacing w:line="360" w:lineRule="auto"/>
              <w:rPr>
                <w:rFonts w:cs="仿宋" w:asciiTheme="majorEastAsia" w:hAnsiTheme="majorEastAsia" w:eastAsiaTheme="majorEastAsia"/>
                <w:color w:val="auto"/>
                <w:highlight w:val="none"/>
              </w:rPr>
            </w:pPr>
          </w:p>
        </w:tc>
        <w:tc>
          <w:tcPr>
            <w:tcW w:w="1399" w:type="dxa"/>
            <w:tcBorders>
              <w:top w:val="single" w:color="auto" w:sz="4" w:space="0"/>
              <w:left w:val="single" w:color="auto" w:sz="4" w:space="0"/>
              <w:bottom w:val="single" w:color="auto" w:sz="4" w:space="0"/>
              <w:right w:val="single" w:color="auto" w:sz="4" w:space="0"/>
            </w:tcBorders>
          </w:tcPr>
          <w:p w14:paraId="29AF2B85">
            <w:pPr>
              <w:shd w:val="clear"/>
              <w:spacing w:line="360" w:lineRule="auto"/>
              <w:rPr>
                <w:rFonts w:cs="仿宋" w:asciiTheme="majorEastAsia" w:hAnsiTheme="majorEastAsia" w:eastAsiaTheme="majorEastAsia"/>
                <w:color w:val="auto"/>
                <w:highlight w:val="none"/>
              </w:rPr>
            </w:pPr>
          </w:p>
        </w:tc>
        <w:tc>
          <w:tcPr>
            <w:tcW w:w="1846" w:type="dxa"/>
            <w:tcBorders>
              <w:top w:val="single" w:color="auto" w:sz="4" w:space="0"/>
              <w:left w:val="single" w:color="auto" w:sz="4" w:space="0"/>
              <w:bottom w:val="single" w:color="auto" w:sz="4" w:space="0"/>
              <w:right w:val="single" w:color="auto" w:sz="4" w:space="0"/>
            </w:tcBorders>
          </w:tcPr>
          <w:p w14:paraId="397F0853">
            <w:pPr>
              <w:shd w:val="clear"/>
              <w:spacing w:line="360" w:lineRule="auto"/>
              <w:rPr>
                <w:rFonts w:cs="仿宋" w:asciiTheme="majorEastAsia" w:hAnsiTheme="majorEastAsia" w:eastAsiaTheme="majorEastAsia"/>
                <w:color w:val="auto"/>
                <w:highlight w:val="none"/>
              </w:rPr>
            </w:pPr>
          </w:p>
        </w:tc>
        <w:tc>
          <w:tcPr>
            <w:tcW w:w="1637" w:type="dxa"/>
            <w:tcBorders>
              <w:top w:val="single" w:color="auto" w:sz="4" w:space="0"/>
              <w:left w:val="single" w:color="auto" w:sz="4" w:space="0"/>
              <w:bottom w:val="single" w:color="auto" w:sz="4" w:space="0"/>
              <w:right w:val="single" w:color="auto" w:sz="4" w:space="0"/>
            </w:tcBorders>
          </w:tcPr>
          <w:p w14:paraId="6B4A01FE">
            <w:pPr>
              <w:shd w:val="clear"/>
              <w:spacing w:line="360" w:lineRule="auto"/>
              <w:rPr>
                <w:rFonts w:cs="仿宋" w:asciiTheme="majorEastAsia" w:hAnsiTheme="majorEastAsia" w:eastAsiaTheme="majorEastAsia"/>
                <w:color w:val="auto"/>
                <w:highlight w:val="none"/>
              </w:rPr>
            </w:pPr>
          </w:p>
        </w:tc>
        <w:tc>
          <w:tcPr>
            <w:tcW w:w="1513" w:type="dxa"/>
            <w:tcBorders>
              <w:top w:val="single" w:color="auto" w:sz="4" w:space="0"/>
              <w:left w:val="single" w:color="auto" w:sz="4" w:space="0"/>
              <w:bottom w:val="single" w:color="auto" w:sz="4" w:space="0"/>
              <w:right w:val="single" w:color="auto" w:sz="4" w:space="0"/>
            </w:tcBorders>
          </w:tcPr>
          <w:p w14:paraId="43FF2755">
            <w:pPr>
              <w:shd w:val="clear"/>
              <w:spacing w:line="360" w:lineRule="auto"/>
              <w:rPr>
                <w:rFonts w:cs="仿宋" w:asciiTheme="majorEastAsia" w:hAnsiTheme="majorEastAsia" w:eastAsiaTheme="majorEastAsia"/>
                <w:color w:val="auto"/>
                <w:highlight w:val="none"/>
              </w:rPr>
            </w:pPr>
          </w:p>
        </w:tc>
        <w:tc>
          <w:tcPr>
            <w:tcW w:w="1500" w:type="dxa"/>
            <w:tcBorders>
              <w:top w:val="single" w:color="auto" w:sz="4" w:space="0"/>
              <w:left w:val="single" w:color="auto" w:sz="4" w:space="0"/>
              <w:bottom w:val="single" w:color="auto" w:sz="4" w:space="0"/>
              <w:right w:val="single" w:color="auto" w:sz="4" w:space="0"/>
            </w:tcBorders>
          </w:tcPr>
          <w:p w14:paraId="3E2AFC0F">
            <w:pPr>
              <w:shd w:val="clear"/>
              <w:spacing w:line="360" w:lineRule="auto"/>
              <w:rPr>
                <w:rFonts w:cs="仿宋" w:asciiTheme="majorEastAsia" w:hAnsiTheme="majorEastAsia" w:eastAsiaTheme="majorEastAsia"/>
                <w:color w:val="auto"/>
                <w:highlight w:val="none"/>
              </w:rPr>
            </w:pPr>
          </w:p>
        </w:tc>
        <w:tc>
          <w:tcPr>
            <w:tcW w:w="1411" w:type="dxa"/>
            <w:tcBorders>
              <w:top w:val="single" w:color="auto" w:sz="4" w:space="0"/>
              <w:left w:val="single" w:color="auto" w:sz="4" w:space="0"/>
              <w:bottom w:val="single" w:color="auto" w:sz="4" w:space="0"/>
              <w:right w:val="single" w:color="auto" w:sz="4" w:space="0"/>
            </w:tcBorders>
          </w:tcPr>
          <w:p w14:paraId="2B93ECD3">
            <w:pPr>
              <w:shd w:val="clear"/>
              <w:spacing w:line="360" w:lineRule="auto"/>
              <w:rPr>
                <w:rFonts w:cs="仿宋" w:asciiTheme="majorEastAsia" w:hAnsiTheme="majorEastAsia" w:eastAsiaTheme="majorEastAsia"/>
                <w:color w:val="auto"/>
                <w:highlight w:val="none"/>
              </w:rPr>
            </w:pPr>
          </w:p>
        </w:tc>
      </w:tr>
      <w:tr w14:paraId="4C4DCC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811" w:type="dxa"/>
            <w:tcBorders>
              <w:top w:val="single" w:color="auto" w:sz="4" w:space="0"/>
              <w:left w:val="single" w:color="auto" w:sz="4" w:space="0"/>
              <w:bottom w:val="single" w:color="auto" w:sz="4" w:space="0"/>
              <w:right w:val="single" w:color="auto" w:sz="4" w:space="0"/>
            </w:tcBorders>
          </w:tcPr>
          <w:p w14:paraId="31C4AB9D">
            <w:pPr>
              <w:shd w:val="clear"/>
              <w:spacing w:line="360" w:lineRule="auto"/>
              <w:rPr>
                <w:rFonts w:cs="仿宋" w:asciiTheme="majorEastAsia" w:hAnsiTheme="majorEastAsia" w:eastAsiaTheme="majorEastAsia"/>
                <w:color w:val="auto"/>
                <w:highlight w:val="none"/>
              </w:rPr>
            </w:pPr>
          </w:p>
        </w:tc>
        <w:tc>
          <w:tcPr>
            <w:tcW w:w="1399" w:type="dxa"/>
            <w:tcBorders>
              <w:top w:val="single" w:color="auto" w:sz="4" w:space="0"/>
              <w:left w:val="single" w:color="auto" w:sz="4" w:space="0"/>
              <w:bottom w:val="single" w:color="auto" w:sz="4" w:space="0"/>
              <w:right w:val="single" w:color="auto" w:sz="4" w:space="0"/>
            </w:tcBorders>
          </w:tcPr>
          <w:p w14:paraId="7622C77C">
            <w:pPr>
              <w:shd w:val="clear"/>
              <w:spacing w:line="360" w:lineRule="auto"/>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w:t>
            </w:r>
          </w:p>
        </w:tc>
        <w:tc>
          <w:tcPr>
            <w:tcW w:w="1846" w:type="dxa"/>
            <w:tcBorders>
              <w:top w:val="single" w:color="auto" w:sz="4" w:space="0"/>
              <w:left w:val="single" w:color="auto" w:sz="4" w:space="0"/>
              <w:bottom w:val="single" w:color="auto" w:sz="4" w:space="0"/>
              <w:right w:val="single" w:color="auto" w:sz="4" w:space="0"/>
            </w:tcBorders>
          </w:tcPr>
          <w:p w14:paraId="25E9E26F">
            <w:pPr>
              <w:shd w:val="clear"/>
              <w:spacing w:line="360" w:lineRule="auto"/>
              <w:rPr>
                <w:rFonts w:cs="仿宋" w:asciiTheme="majorEastAsia" w:hAnsiTheme="majorEastAsia" w:eastAsiaTheme="majorEastAsia"/>
                <w:color w:val="auto"/>
                <w:highlight w:val="none"/>
              </w:rPr>
            </w:pPr>
          </w:p>
        </w:tc>
        <w:tc>
          <w:tcPr>
            <w:tcW w:w="1637" w:type="dxa"/>
            <w:tcBorders>
              <w:top w:val="single" w:color="auto" w:sz="4" w:space="0"/>
              <w:left w:val="single" w:color="auto" w:sz="4" w:space="0"/>
              <w:bottom w:val="single" w:color="auto" w:sz="4" w:space="0"/>
              <w:right w:val="single" w:color="auto" w:sz="4" w:space="0"/>
            </w:tcBorders>
          </w:tcPr>
          <w:p w14:paraId="273BDE3F">
            <w:pPr>
              <w:shd w:val="clear"/>
              <w:spacing w:line="360" w:lineRule="auto"/>
              <w:rPr>
                <w:rFonts w:cs="仿宋" w:asciiTheme="majorEastAsia" w:hAnsiTheme="majorEastAsia" w:eastAsiaTheme="majorEastAsia"/>
                <w:color w:val="auto"/>
                <w:highlight w:val="none"/>
              </w:rPr>
            </w:pPr>
          </w:p>
        </w:tc>
        <w:tc>
          <w:tcPr>
            <w:tcW w:w="1513" w:type="dxa"/>
            <w:tcBorders>
              <w:top w:val="single" w:color="auto" w:sz="4" w:space="0"/>
              <w:left w:val="single" w:color="auto" w:sz="4" w:space="0"/>
              <w:bottom w:val="single" w:color="auto" w:sz="4" w:space="0"/>
              <w:right w:val="single" w:color="auto" w:sz="4" w:space="0"/>
            </w:tcBorders>
          </w:tcPr>
          <w:p w14:paraId="2C184D58">
            <w:pPr>
              <w:shd w:val="clear"/>
              <w:spacing w:line="360" w:lineRule="auto"/>
              <w:rPr>
                <w:rFonts w:cs="仿宋" w:asciiTheme="majorEastAsia" w:hAnsiTheme="majorEastAsia" w:eastAsiaTheme="majorEastAsia"/>
                <w:color w:val="auto"/>
                <w:highlight w:val="none"/>
              </w:rPr>
            </w:pPr>
          </w:p>
        </w:tc>
        <w:tc>
          <w:tcPr>
            <w:tcW w:w="1500" w:type="dxa"/>
            <w:tcBorders>
              <w:top w:val="single" w:color="auto" w:sz="4" w:space="0"/>
              <w:left w:val="single" w:color="auto" w:sz="4" w:space="0"/>
              <w:bottom w:val="single" w:color="auto" w:sz="4" w:space="0"/>
              <w:right w:val="single" w:color="auto" w:sz="4" w:space="0"/>
            </w:tcBorders>
          </w:tcPr>
          <w:p w14:paraId="3DA29584">
            <w:pPr>
              <w:shd w:val="clear"/>
              <w:spacing w:line="360" w:lineRule="auto"/>
              <w:rPr>
                <w:rFonts w:cs="仿宋" w:asciiTheme="majorEastAsia" w:hAnsiTheme="majorEastAsia" w:eastAsiaTheme="majorEastAsia"/>
                <w:color w:val="auto"/>
                <w:highlight w:val="none"/>
              </w:rPr>
            </w:pPr>
          </w:p>
        </w:tc>
        <w:tc>
          <w:tcPr>
            <w:tcW w:w="1411" w:type="dxa"/>
            <w:tcBorders>
              <w:top w:val="single" w:color="auto" w:sz="4" w:space="0"/>
              <w:left w:val="single" w:color="auto" w:sz="4" w:space="0"/>
              <w:bottom w:val="single" w:color="auto" w:sz="4" w:space="0"/>
              <w:right w:val="single" w:color="auto" w:sz="4" w:space="0"/>
            </w:tcBorders>
          </w:tcPr>
          <w:p w14:paraId="4556A1C6">
            <w:pPr>
              <w:shd w:val="clear"/>
              <w:spacing w:line="360" w:lineRule="auto"/>
              <w:rPr>
                <w:rFonts w:cs="仿宋" w:asciiTheme="majorEastAsia" w:hAnsiTheme="majorEastAsia" w:eastAsiaTheme="majorEastAsia"/>
                <w:color w:val="auto"/>
                <w:highlight w:val="none"/>
              </w:rPr>
            </w:pPr>
          </w:p>
        </w:tc>
      </w:tr>
      <w:tr w14:paraId="29A05A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4" w:hRule="atLeast"/>
          <w:jc w:val="center"/>
        </w:trPr>
        <w:tc>
          <w:tcPr>
            <w:tcW w:w="811" w:type="dxa"/>
            <w:tcBorders>
              <w:top w:val="single" w:color="auto" w:sz="4" w:space="0"/>
              <w:left w:val="single" w:color="auto" w:sz="4" w:space="0"/>
              <w:bottom w:val="single" w:color="auto" w:sz="4" w:space="0"/>
              <w:right w:val="single" w:color="auto" w:sz="4" w:space="0"/>
            </w:tcBorders>
          </w:tcPr>
          <w:p w14:paraId="22E2FFEF">
            <w:pPr>
              <w:shd w:val="clear"/>
              <w:spacing w:line="360" w:lineRule="auto"/>
              <w:rPr>
                <w:rFonts w:cs="仿宋" w:asciiTheme="majorEastAsia" w:hAnsiTheme="majorEastAsia" w:eastAsiaTheme="majorEastAsia"/>
                <w:color w:val="auto"/>
                <w:sz w:val="24"/>
                <w:highlight w:val="none"/>
              </w:rPr>
            </w:pPr>
          </w:p>
        </w:tc>
        <w:tc>
          <w:tcPr>
            <w:tcW w:w="4882" w:type="dxa"/>
            <w:gridSpan w:val="3"/>
            <w:tcBorders>
              <w:top w:val="single" w:color="auto" w:sz="4" w:space="0"/>
              <w:left w:val="single" w:color="auto" w:sz="4" w:space="0"/>
              <w:bottom w:val="single" w:color="auto" w:sz="4" w:space="0"/>
              <w:right w:val="single" w:color="auto" w:sz="4" w:space="0"/>
            </w:tcBorders>
          </w:tcPr>
          <w:p w14:paraId="6933E05A">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总报价：</w:t>
            </w:r>
          </w:p>
        </w:tc>
        <w:tc>
          <w:tcPr>
            <w:tcW w:w="1513" w:type="dxa"/>
            <w:tcBorders>
              <w:top w:val="single" w:color="auto" w:sz="4" w:space="0"/>
              <w:left w:val="single" w:color="auto" w:sz="4" w:space="0"/>
              <w:bottom w:val="single" w:color="auto" w:sz="4" w:space="0"/>
              <w:right w:val="single" w:color="auto" w:sz="4" w:space="0"/>
            </w:tcBorders>
          </w:tcPr>
          <w:p w14:paraId="21914542">
            <w:pPr>
              <w:shd w:val="clear"/>
              <w:spacing w:line="360" w:lineRule="auto"/>
              <w:rPr>
                <w:rFonts w:cs="仿宋" w:asciiTheme="majorEastAsia" w:hAnsiTheme="majorEastAsia" w:eastAsiaTheme="majorEastAsia"/>
                <w:color w:val="auto"/>
                <w:highlight w:val="none"/>
              </w:rPr>
            </w:pPr>
          </w:p>
        </w:tc>
        <w:tc>
          <w:tcPr>
            <w:tcW w:w="1500" w:type="dxa"/>
            <w:tcBorders>
              <w:top w:val="single" w:color="auto" w:sz="4" w:space="0"/>
              <w:left w:val="single" w:color="auto" w:sz="4" w:space="0"/>
              <w:bottom w:val="single" w:color="auto" w:sz="4" w:space="0"/>
              <w:right w:val="single" w:color="auto" w:sz="4" w:space="0"/>
            </w:tcBorders>
          </w:tcPr>
          <w:p w14:paraId="47BF483D">
            <w:pPr>
              <w:shd w:val="clear"/>
              <w:spacing w:line="360" w:lineRule="auto"/>
              <w:rPr>
                <w:rFonts w:cs="仿宋" w:asciiTheme="majorEastAsia" w:hAnsiTheme="majorEastAsia" w:eastAsiaTheme="majorEastAsia"/>
                <w:color w:val="auto"/>
                <w:highlight w:val="none"/>
              </w:rPr>
            </w:pPr>
          </w:p>
        </w:tc>
        <w:tc>
          <w:tcPr>
            <w:tcW w:w="1411" w:type="dxa"/>
            <w:tcBorders>
              <w:top w:val="single" w:color="auto" w:sz="4" w:space="0"/>
              <w:left w:val="single" w:color="auto" w:sz="4" w:space="0"/>
              <w:bottom w:val="single" w:color="auto" w:sz="4" w:space="0"/>
              <w:right w:val="single" w:color="auto" w:sz="4" w:space="0"/>
            </w:tcBorders>
          </w:tcPr>
          <w:p w14:paraId="4E1ED421">
            <w:pPr>
              <w:shd w:val="clear"/>
              <w:spacing w:line="360" w:lineRule="auto"/>
              <w:rPr>
                <w:rFonts w:cs="仿宋" w:asciiTheme="majorEastAsia" w:hAnsiTheme="majorEastAsia" w:eastAsiaTheme="majorEastAsia"/>
                <w:color w:val="auto"/>
                <w:highlight w:val="none"/>
              </w:rPr>
            </w:pPr>
          </w:p>
        </w:tc>
      </w:tr>
    </w:tbl>
    <w:p w14:paraId="64DDBF66">
      <w:pPr>
        <w:pStyle w:val="7"/>
        <w:shd w:val="clear"/>
        <w:spacing w:line="360" w:lineRule="auto"/>
        <w:ind w:left="-178" w:leftChars="-85"/>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注：</w:t>
      </w:r>
    </w:p>
    <w:p w14:paraId="5DA710D2">
      <w:pPr>
        <w:pStyle w:val="7"/>
        <w:shd w:val="clear"/>
        <w:spacing w:line="360" w:lineRule="auto"/>
        <w:ind w:left="-178" w:leftChars="-85"/>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1.本表格仅供参考，投标人可根据项目实际情况扩展表格。</w:t>
      </w:r>
    </w:p>
    <w:p w14:paraId="454E1D91">
      <w:pPr>
        <w:pStyle w:val="7"/>
        <w:shd w:val="clear"/>
        <w:spacing w:line="360" w:lineRule="auto"/>
        <w:ind w:left="-178" w:leftChars="-85"/>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2.总报价应与开标一览表的投标报价一致。</w:t>
      </w:r>
    </w:p>
    <w:p w14:paraId="33B6FC07">
      <w:pPr>
        <w:shd w:val="clear"/>
        <w:spacing w:line="360" w:lineRule="auto"/>
        <w:rPr>
          <w:rFonts w:cs="仿宋" w:asciiTheme="majorEastAsia" w:hAnsiTheme="majorEastAsia" w:eastAsiaTheme="majorEastAsia"/>
          <w:color w:val="auto"/>
          <w:sz w:val="24"/>
          <w:highlight w:val="none"/>
        </w:rPr>
      </w:pPr>
    </w:p>
    <w:p w14:paraId="091E782B">
      <w:pPr>
        <w:shd w:val="clear"/>
        <w:spacing w:line="360" w:lineRule="auto"/>
        <w:ind w:left="3780" w:leftChars="18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法定代表人或其授权委托人（签名或印章）：        </w:t>
      </w:r>
    </w:p>
    <w:p w14:paraId="136A4A08">
      <w:pPr>
        <w:shd w:val="clear"/>
        <w:spacing w:line="360" w:lineRule="auto"/>
        <w:ind w:left="3780" w:leftChars="18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投标人（盖章）：         </w:t>
      </w:r>
    </w:p>
    <w:p w14:paraId="6E9D7447">
      <w:pPr>
        <w:pStyle w:val="35"/>
        <w:keepNext w:val="0"/>
        <w:pageBreakBefore w:val="0"/>
        <w:shd w:val="clear"/>
        <w:tabs>
          <w:tab w:val="clear" w:pos="720"/>
        </w:tabs>
        <w:snapToGrid w:val="0"/>
        <w:spacing w:before="120" w:after="120"/>
        <w:ind w:left="3780" w:leftChars="1800"/>
        <w:jc w:val="both"/>
        <w:outlineLvl w:val="9"/>
        <w:rPr>
          <w:rFonts w:cs="仿宋" w:asciiTheme="majorEastAsia" w:hAnsiTheme="majorEastAsia" w:eastAsiaTheme="majorEastAsia"/>
          <w:b w:val="0"/>
          <w:color w:val="auto"/>
          <w:kern w:val="2"/>
          <w:sz w:val="24"/>
          <w:szCs w:val="24"/>
          <w:highlight w:val="none"/>
        </w:rPr>
      </w:pPr>
      <w:r>
        <w:rPr>
          <w:rFonts w:hint="eastAsia" w:cs="仿宋" w:asciiTheme="majorEastAsia" w:hAnsiTheme="majorEastAsia" w:eastAsiaTheme="majorEastAsia"/>
          <w:b w:val="0"/>
          <w:color w:val="auto"/>
          <w:kern w:val="2"/>
          <w:sz w:val="24"/>
          <w:szCs w:val="24"/>
          <w:highlight w:val="none"/>
        </w:rPr>
        <w:t xml:space="preserve">日  期：  </w:t>
      </w:r>
    </w:p>
    <w:p w14:paraId="78814CEF">
      <w:pPr>
        <w:pStyle w:val="35"/>
        <w:keepNext w:val="0"/>
        <w:pageBreakBefore w:val="0"/>
        <w:shd w:val="clear"/>
        <w:tabs>
          <w:tab w:val="clear" w:pos="720"/>
        </w:tabs>
        <w:snapToGrid w:val="0"/>
        <w:spacing w:before="120" w:after="120"/>
        <w:outlineLvl w:val="9"/>
        <w:rPr>
          <w:rFonts w:cs="仿宋" w:asciiTheme="majorEastAsia" w:hAnsiTheme="majorEastAsia" w:eastAsiaTheme="majorEastAsia"/>
          <w:color w:val="auto"/>
          <w:sz w:val="32"/>
          <w:szCs w:val="32"/>
          <w:highlight w:val="none"/>
        </w:rPr>
      </w:pPr>
      <w:r>
        <w:rPr>
          <w:rFonts w:hint="eastAsia" w:cs="仿宋" w:asciiTheme="majorEastAsia" w:hAnsiTheme="majorEastAsia" w:eastAsiaTheme="majorEastAsia"/>
          <w:b w:val="0"/>
          <w:color w:val="auto"/>
          <w:kern w:val="2"/>
          <w:sz w:val="24"/>
          <w:szCs w:val="24"/>
          <w:highlight w:val="none"/>
        </w:rPr>
        <w:br w:type="page"/>
      </w:r>
      <w:r>
        <w:rPr>
          <w:rFonts w:hint="eastAsia" w:cs="仿宋" w:asciiTheme="majorEastAsia" w:hAnsiTheme="majorEastAsia" w:eastAsiaTheme="majorEastAsia"/>
          <w:color w:val="auto"/>
          <w:kern w:val="2"/>
          <w:sz w:val="32"/>
          <w:szCs w:val="32"/>
          <w:highlight w:val="none"/>
        </w:rPr>
        <w:t>三、</w:t>
      </w:r>
      <w:r>
        <w:rPr>
          <w:rFonts w:hint="eastAsia" w:cs="仿宋" w:asciiTheme="majorEastAsia" w:hAnsiTheme="majorEastAsia" w:eastAsiaTheme="majorEastAsia"/>
          <w:color w:val="auto"/>
          <w:sz w:val="32"/>
          <w:szCs w:val="32"/>
          <w:highlight w:val="none"/>
        </w:rPr>
        <w:t>中小企业声明函</w:t>
      </w:r>
    </w:p>
    <w:p w14:paraId="2F738B00">
      <w:pPr>
        <w:widowControl/>
        <w:shd w:val="clear"/>
        <w:spacing w:line="360" w:lineRule="auto"/>
        <w:ind w:firstLine="120" w:firstLineChars="5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w:t>
      </w:r>
    </w:p>
    <w:p w14:paraId="7BDEC5EA">
      <w:pPr>
        <w:shd w:val="clear"/>
        <w:spacing w:line="360" w:lineRule="auto"/>
        <w:jc w:val="center"/>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color w:val="auto"/>
          <w:sz w:val="32"/>
          <w:szCs w:val="32"/>
          <w:highlight w:val="none"/>
        </w:rPr>
        <w:t>中小企业声明函</w:t>
      </w:r>
    </w:p>
    <w:p w14:paraId="54BD1B2A">
      <w:pPr>
        <w:shd w:val="clear"/>
        <w:spacing w:line="360" w:lineRule="auto"/>
        <w:ind w:firstLine="482" w:firstLineChars="20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（对相关制造商信息了解不充分，或者不能确定相关信息真实、准确的，不建议出具《中小企业声明函》。声明函中需对“采购清单”中所有标的物逐一填写，内容不全或未按照格式进行填写的不予认可。）</w:t>
      </w:r>
    </w:p>
    <w:p w14:paraId="7CB971AA">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本公司郑重声明，根据《政府采购促进中小企业发展管理办法》（财库﹝2020﹞46 号）的规定，本公司参加</w:t>
      </w:r>
      <w:r>
        <w:rPr>
          <w:rFonts w:hint="eastAsia" w:cs="仿宋" w:asciiTheme="majorEastAsia" w:hAnsiTheme="majorEastAsia" w:eastAsiaTheme="majorEastAsia"/>
          <w:color w:val="auto"/>
          <w:sz w:val="24"/>
          <w:highlight w:val="none"/>
          <w:u w:val="single"/>
        </w:rPr>
        <w:t xml:space="preserve"> （单位名称）</w:t>
      </w:r>
      <w:r>
        <w:rPr>
          <w:rFonts w:hint="eastAsia" w:cs="仿宋" w:asciiTheme="majorEastAsia" w:hAnsiTheme="majorEastAsia" w:eastAsiaTheme="majorEastAsia"/>
          <w:color w:val="auto"/>
          <w:sz w:val="24"/>
          <w:highlight w:val="none"/>
        </w:rPr>
        <w:t xml:space="preserve"> 的 </w:t>
      </w:r>
      <w:r>
        <w:rPr>
          <w:rFonts w:hint="eastAsia" w:cs="仿宋" w:asciiTheme="majorEastAsia" w:hAnsiTheme="majorEastAsia" w:eastAsiaTheme="majorEastAsia"/>
          <w:color w:val="auto"/>
          <w:sz w:val="24"/>
          <w:highlight w:val="none"/>
          <w:u w:val="single"/>
        </w:rPr>
        <w:t xml:space="preserve">（项目名称） </w:t>
      </w:r>
      <w:r>
        <w:rPr>
          <w:rFonts w:hint="eastAsia" w:cs="仿宋" w:asciiTheme="majorEastAsia" w:hAnsiTheme="majorEastAsia" w:eastAsiaTheme="majorEastAsia"/>
          <w:color w:val="auto"/>
          <w:sz w:val="24"/>
          <w:highlight w:val="none"/>
        </w:rPr>
        <w:t>采购活动，提供的货物全部由符合政策要求的中小企业制造。相关企业（含中小企业、签订分包意向协议的中小企业）的具体情况如下：</w:t>
      </w:r>
    </w:p>
    <w:p w14:paraId="056EC2E8">
      <w:pPr>
        <w:shd w:val="clear"/>
        <w:spacing w:line="360" w:lineRule="auto"/>
        <w:ind w:firstLine="480" w:firstLineChars="200"/>
        <w:rPr>
          <w:rFonts w:cs="仿宋" w:asciiTheme="majorEastAsia" w:hAnsiTheme="majorEastAsia" w:eastAsiaTheme="majorEastAsia"/>
          <w:color w:val="auto"/>
          <w:kern w:val="0"/>
          <w:sz w:val="24"/>
          <w:highlight w:val="none"/>
          <w:u w:val="single"/>
        </w:rPr>
      </w:pPr>
      <w:r>
        <w:rPr>
          <w:rFonts w:hint="eastAsia" w:cs="仿宋" w:asciiTheme="majorEastAsia" w:hAnsiTheme="majorEastAsia" w:eastAsiaTheme="majorEastAsia"/>
          <w:color w:val="auto"/>
          <w:kern w:val="0"/>
          <w:sz w:val="24"/>
          <w:highlight w:val="none"/>
        </w:rPr>
        <w:t>1.</w:t>
      </w:r>
      <w:r>
        <w:rPr>
          <w:rFonts w:hint="eastAsia" w:cs="仿宋" w:asciiTheme="majorEastAsia" w:hAnsiTheme="majorEastAsia" w:eastAsiaTheme="majorEastAsia"/>
          <w:color w:val="auto"/>
          <w:sz w:val="24"/>
          <w:highlight w:val="none"/>
          <w:u w:val="single"/>
        </w:rPr>
        <w:t>（木屋功能架组合）</w:t>
      </w:r>
      <w:r>
        <w:rPr>
          <w:rFonts w:hint="eastAsia" w:cs="仿宋" w:asciiTheme="majorEastAsia" w:hAnsiTheme="majorEastAsia" w:eastAsiaTheme="majorEastAsia"/>
          <w:color w:val="auto"/>
          <w:sz w:val="24"/>
          <w:highlight w:val="none"/>
        </w:rPr>
        <w:t xml:space="preserve"> ，属于 </w:t>
      </w:r>
      <w:r>
        <w:rPr>
          <w:rFonts w:hint="eastAsia" w:cs="仿宋" w:asciiTheme="majorEastAsia" w:hAnsiTheme="majorEastAsia" w:eastAsiaTheme="majorEastAsia"/>
          <w:color w:val="auto"/>
          <w:sz w:val="24"/>
          <w:highlight w:val="none"/>
          <w:u w:val="single"/>
        </w:rPr>
        <w:t>（工业）</w:t>
      </w:r>
      <w:r>
        <w:rPr>
          <w:rFonts w:hint="eastAsia" w:cs="仿宋" w:asciiTheme="majorEastAsia" w:hAnsiTheme="majorEastAsia" w:eastAsiaTheme="majorEastAsia"/>
          <w:color w:val="auto"/>
          <w:sz w:val="24"/>
          <w:highlight w:val="none"/>
        </w:rPr>
        <w:t>行业 ；制造商为</w:t>
      </w:r>
      <w:r>
        <w:rPr>
          <w:rFonts w:hint="eastAsia" w:cs="仿宋" w:asciiTheme="majorEastAsia" w:hAnsiTheme="majorEastAsia" w:eastAsiaTheme="majorEastAsia"/>
          <w:color w:val="auto"/>
          <w:sz w:val="24"/>
          <w:highlight w:val="none"/>
          <w:u w:val="single"/>
        </w:rPr>
        <w:t xml:space="preserve"> （企业名称）</w:t>
      </w:r>
      <w:r>
        <w:rPr>
          <w:rFonts w:hint="eastAsia" w:cs="仿宋" w:asciiTheme="majorEastAsia" w:hAnsiTheme="majorEastAsia" w:eastAsiaTheme="majorEastAsia"/>
          <w:color w:val="auto"/>
          <w:sz w:val="24"/>
          <w:highlight w:val="none"/>
        </w:rPr>
        <w:t xml:space="preserve"> ，从业人员</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人，营业收入为</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万元，资产总额为</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万元，属于</w:t>
      </w:r>
      <w:r>
        <w:rPr>
          <w:rFonts w:hint="eastAsia" w:cs="仿宋" w:asciiTheme="majorEastAsia" w:hAnsiTheme="majorEastAsia" w:eastAsiaTheme="majorEastAsia"/>
          <w:color w:val="auto"/>
          <w:sz w:val="24"/>
          <w:highlight w:val="none"/>
          <w:u w:val="single"/>
        </w:rPr>
        <w:t xml:space="preserve"> （中型企业、小型企业、微型企业）</w:t>
      </w:r>
      <w:r>
        <w:rPr>
          <w:rFonts w:hint="eastAsia" w:cs="仿宋" w:asciiTheme="majorEastAsia" w:hAnsiTheme="majorEastAsia" w:eastAsiaTheme="majorEastAsia"/>
          <w:color w:val="auto"/>
          <w:sz w:val="24"/>
          <w:highlight w:val="none"/>
        </w:rPr>
        <w:t xml:space="preserve"> ；</w:t>
      </w:r>
    </w:p>
    <w:p w14:paraId="135E58F8">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kern w:val="0"/>
          <w:sz w:val="24"/>
          <w:highlight w:val="none"/>
        </w:rPr>
        <w:t>2.</w:t>
      </w:r>
      <w:r>
        <w:rPr>
          <w:rFonts w:hint="eastAsia" w:cs="仿宋" w:asciiTheme="majorEastAsia" w:hAnsiTheme="majorEastAsia" w:eastAsiaTheme="majorEastAsia"/>
          <w:color w:val="auto"/>
          <w:highlight w:val="none"/>
        </w:rPr>
        <w:t xml:space="preserve"> </w:t>
      </w:r>
      <w:r>
        <w:rPr>
          <w:rFonts w:hint="eastAsia" w:cs="仿宋" w:asciiTheme="majorEastAsia" w:hAnsiTheme="majorEastAsia" w:eastAsiaTheme="majorEastAsia"/>
          <w:color w:val="auto"/>
          <w:sz w:val="24"/>
          <w:highlight w:val="none"/>
          <w:u w:val="single"/>
        </w:rPr>
        <w:t>（帐篷）</w:t>
      </w:r>
      <w:r>
        <w:rPr>
          <w:rFonts w:hint="eastAsia" w:cs="仿宋" w:asciiTheme="majorEastAsia" w:hAnsiTheme="majorEastAsia" w:eastAsiaTheme="majorEastAsia"/>
          <w:color w:val="auto"/>
          <w:sz w:val="24"/>
          <w:highlight w:val="none"/>
        </w:rPr>
        <w:t xml:space="preserve"> ，属于 </w:t>
      </w:r>
      <w:r>
        <w:rPr>
          <w:rFonts w:hint="eastAsia" w:cs="仿宋" w:asciiTheme="majorEastAsia" w:hAnsiTheme="majorEastAsia" w:eastAsiaTheme="majorEastAsia"/>
          <w:color w:val="auto"/>
          <w:sz w:val="24"/>
          <w:highlight w:val="none"/>
          <w:u w:val="single"/>
        </w:rPr>
        <w:t>（工业）</w:t>
      </w:r>
      <w:r>
        <w:rPr>
          <w:rFonts w:hint="eastAsia" w:cs="仿宋" w:asciiTheme="majorEastAsia" w:hAnsiTheme="majorEastAsia" w:eastAsiaTheme="majorEastAsia"/>
          <w:color w:val="auto"/>
          <w:sz w:val="24"/>
          <w:highlight w:val="none"/>
        </w:rPr>
        <w:t>行业 ；制造商为</w:t>
      </w:r>
      <w:r>
        <w:rPr>
          <w:rFonts w:hint="eastAsia" w:cs="仿宋" w:asciiTheme="majorEastAsia" w:hAnsiTheme="majorEastAsia" w:eastAsiaTheme="majorEastAsia"/>
          <w:color w:val="auto"/>
          <w:sz w:val="24"/>
          <w:highlight w:val="none"/>
          <w:u w:val="single"/>
        </w:rPr>
        <w:t xml:space="preserve"> （企业名称）</w:t>
      </w:r>
      <w:r>
        <w:rPr>
          <w:rFonts w:hint="eastAsia" w:cs="仿宋" w:asciiTheme="majorEastAsia" w:hAnsiTheme="majorEastAsia" w:eastAsiaTheme="majorEastAsia"/>
          <w:color w:val="auto"/>
          <w:sz w:val="24"/>
          <w:highlight w:val="none"/>
        </w:rPr>
        <w:t xml:space="preserve"> ，从业人员</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人，营业收入为</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万元，资产总额为</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万元，属于</w:t>
      </w:r>
      <w:r>
        <w:rPr>
          <w:rFonts w:hint="eastAsia" w:cs="仿宋" w:asciiTheme="majorEastAsia" w:hAnsiTheme="majorEastAsia" w:eastAsiaTheme="majorEastAsia"/>
          <w:color w:val="auto"/>
          <w:sz w:val="24"/>
          <w:highlight w:val="none"/>
          <w:u w:val="single"/>
        </w:rPr>
        <w:t xml:space="preserve"> （中型企业、小型企业、微型企业）</w:t>
      </w:r>
      <w:r>
        <w:rPr>
          <w:rFonts w:hint="eastAsia" w:cs="仿宋" w:asciiTheme="majorEastAsia" w:hAnsiTheme="majorEastAsia" w:eastAsiaTheme="majorEastAsia"/>
          <w:color w:val="auto"/>
          <w:sz w:val="24"/>
          <w:highlight w:val="none"/>
        </w:rPr>
        <w:t xml:space="preserve"> ；</w:t>
      </w:r>
    </w:p>
    <w:p w14:paraId="74B36ADF">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w:t>
      </w:r>
      <w:r>
        <w:rPr>
          <w:rFonts w:hint="eastAsia" w:cs="仿宋" w:asciiTheme="majorEastAsia" w:hAnsiTheme="majorEastAsia" w:eastAsiaTheme="majorEastAsia"/>
          <w:color w:val="auto"/>
          <w:highlight w:val="none"/>
        </w:rPr>
        <w:t xml:space="preserve"> </w:t>
      </w:r>
      <w:r>
        <w:rPr>
          <w:rFonts w:hint="eastAsia" w:cs="仿宋" w:asciiTheme="majorEastAsia" w:hAnsiTheme="majorEastAsia" w:eastAsiaTheme="majorEastAsia"/>
          <w:color w:val="auto"/>
          <w:sz w:val="24"/>
          <w:highlight w:val="none"/>
          <w:u w:val="single"/>
        </w:rPr>
        <w:t>（拱形小屋）</w:t>
      </w:r>
      <w:r>
        <w:rPr>
          <w:rFonts w:hint="eastAsia" w:cs="仿宋" w:asciiTheme="majorEastAsia" w:hAnsiTheme="majorEastAsia" w:eastAsiaTheme="majorEastAsia"/>
          <w:color w:val="auto"/>
          <w:sz w:val="24"/>
          <w:highlight w:val="none"/>
        </w:rPr>
        <w:t xml:space="preserve"> ，属于 </w:t>
      </w:r>
      <w:r>
        <w:rPr>
          <w:rFonts w:hint="eastAsia" w:cs="仿宋" w:asciiTheme="majorEastAsia" w:hAnsiTheme="majorEastAsia" w:eastAsiaTheme="majorEastAsia"/>
          <w:color w:val="auto"/>
          <w:sz w:val="24"/>
          <w:highlight w:val="none"/>
          <w:u w:val="single"/>
        </w:rPr>
        <w:t>（工业）</w:t>
      </w:r>
      <w:r>
        <w:rPr>
          <w:rFonts w:hint="eastAsia" w:cs="仿宋" w:asciiTheme="majorEastAsia" w:hAnsiTheme="majorEastAsia" w:eastAsiaTheme="majorEastAsia"/>
          <w:color w:val="auto"/>
          <w:sz w:val="24"/>
          <w:highlight w:val="none"/>
        </w:rPr>
        <w:t>行业 ；制造商为</w:t>
      </w:r>
      <w:r>
        <w:rPr>
          <w:rFonts w:hint="eastAsia" w:cs="仿宋" w:asciiTheme="majorEastAsia" w:hAnsiTheme="majorEastAsia" w:eastAsiaTheme="majorEastAsia"/>
          <w:color w:val="auto"/>
          <w:sz w:val="24"/>
          <w:highlight w:val="none"/>
          <w:u w:val="single"/>
        </w:rPr>
        <w:t xml:space="preserve"> （企业名称）</w:t>
      </w:r>
      <w:r>
        <w:rPr>
          <w:rFonts w:hint="eastAsia" w:cs="仿宋" w:asciiTheme="majorEastAsia" w:hAnsiTheme="majorEastAsia" w:eastAsiaTheme="majorEastAsia"/>
          <w:color w:val="auto"/>
          <w:sz w:val="24"/>
          <w:highlight w:val="none"/>
        </w:rPr>
        <w:t xml:space="preserve"> ，从业人员</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人，营业收入为</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万元，资产总额为</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万元，属于</w:t>
      </w:r>
      <w:r>
        <w:rPr>
          <w:rFonts w:hint="eastAsia" w:cs="仿宋" w:asciiTheme="majorEastAsia" w:hAnsiTheme="majorEastAsia" w:eastAsiaTheme="majorEastAsia"/>
          <w:color w:val="auto"/>
          <w:sz w:val="24"/>
          <w:highlight w:val="none"/>
          <w:u w:val="single"/>
        </w:rPr>
        <w:t xml:space="preserve"> （中型企业、小型企业、微型企业）</w:t>
      </w:r>
      <w:r>
        <w:rPr>
          <w:rFonts w:hint="eastAsia" w:cs="仿宋" w:asciiTheme="majorEastAsia" w:hAnsiTheme="majorEastAsia" w:eastAsiaTheme="majorEastAsia"/>
          <w:color w:val="auto"/>
          <w:sz w:val="24"/>
          <w:highlight w:val="none"/>
        </w:rPr>
        <w:t xml:space="preserve"> ；</w:t>
      </w:r>
    </w:p>
    <w:p w14:paraId="082ECFD5">
      <w:pPr>
        <w:pStyle w:val="25"/>
        <w:shd w:val="clear"/>
        <w:ind w:firstLine="480"/>
        <w:rPr>
          <w:rFonts w:eastAsiaTheme="majorEastAsia"/>
          <w:color w:val="auto"/>
          <w:highlight w:val="none"/>
        </w:rPr>
      </w:pPr>
      <w:r>
        <w:rPr>
          <w:rFonts w:hint="eastAsia" w:cs="仿宋" w:asciiTheme="majorEastAsia" w:hAnsiTheme="majorEastAsia" w:eastAsiaTheme="majorEastAsia"/>
          <w:color w:val="auto"/>
          <w:sz w:val="24"/>
          <w:highlight w:val="none"/>
        </w:rPr>
        <w:t>……</w:t>
      </w:r>
    </w:p>
    <w:p w14:paraId="66D31112">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以上企业，不属于大企业的分支机构，不存在控股股东为大企业的情形，也不存在与大企业的负责人为同一人的情形。</w:t>
      </w:r>
    </w:p>
    <w:p w14:paraId="5A051C87">
      <w:pPr>
        <w:shd w:val="clear"/>
        <w:spacing w:line="360" w:lineRule="auto"/>
        <w:ind w:firstLine="482" w:firstLineChars="20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本企业对上述声明内容的真实性负责。如有虚假，将依法承担相应责任。</w:t>
      </w:r>
    </w:p>
    <w:p w14:paraId="7F79695E">
      <w:pPr>
        <w:shd w:val="clear"/>
        <w:snapToGrid w:val="0"/>
        <w:spacing w:line="360" w:lineRule="auto"/>
        <w:ind w:firstLine="5160" w:firstLineChars="2150"/>
        <w:rPr>
          <w:rFonts w:cs="仿宋" w:asciiTheme="majorEastAsia" w:hAnsiTheme="majorEastAsia" w:eastAsiaTheme="majorEastAsia"/>
          <w:color w:val="auto"/>
          <w:kern w:val="0"/>
          <w:sz w:val="24"/>
          <w:highlight w:val="none"/>
          <w:lang w:val="zh-CN"/>
        </w:rPr>
      </w:pPr>
    </w:p>
    <w:p w14:paraId="28F75981">
      <w:pPr>
        <w:shd w:val="clear"/>
        <w:spacing w:line="360" w:lineRule="auto"/>
        <w:ind w:left="3780" w:leftChars="18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法定代表人或其授权委托人（签名或印章）：        </w:t>
      </w:r>
    </w:p>
    <w:p w14:paraId="06D7D570">
      <w:pPr>
        <w:shd w:val="clear"/>
        <w:spacing w:line="360" w:lineRule="auto"/>
        <w:ind w:left="3780" w:leftChars="18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投标人（盖章）：         </w:t>
      </w:r>
    </w:p>
    <w:p w14:paraId="417B709D">
      <w:pPr>
        <w:shd w:val="clear"/>
        <w:spacing w:line="360" w:lineRule="auto"/>
        <w:ind w:left="3780" w:leftChars="18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日  期：</w:t>
      </w:r>
    </w:p>
    <w:p w14:paraId="1BC2C575">
      <w:pPr>
        <w:shd w:val="clear"/>
        <w:spacing w:line="360" w:lineRule="auto"/>
        <w:jc w:val="left"/>
        <w:rPr>
          <w:rFonts w:cs="仿宋" w:asciiTheme="majorEastAsia" w:hAnsiTheme="majorEastAsia" w:eastAsiaTheme="majorEastAsia"/>
          <w:color w:val="auto"/>
          <w:sz w:val="18"/>
          <w:szCs w:val="18"/>
          <w:highlight w:val="none"/>
        </w:rPr>
      </w:pPr>
      <w:r>
        <w:rPr>
          <w:rFonts w:hint="eastAsia" w:cs="仿宋" w:asciiTheme="majorEastAsia" w:hAnsiTheme="majorEastAsia" w:eastAsiaTheme="majorEastAsia"/>
          <w:color w:val="auto"/>
          <w:sz w:val="18"/>
          <w:szCs w:val="18"/>
          <w:highlight w:val="none"/>
        </w:rPr>
        <w:t>从业人员、营业收入、资产总额填报上一年度数据，无上一年度数据的新成立企业可不填报。</w:t>
      </w:r>
    </w:p>
    <w:p w14:paraId="1DD497DD">
      <w:pPr>
        <w:shd w:val="clear"/>
        <w:spacing w:line="360" w:lineRule="auto"/>
        <w:ind w:right="-420" w:rightChars="-2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注：符合《关于促进残疾人就业政府采购政策的通知》（财库〔2017〕141号）规定的条件并提供《残疾人福利性单位声明函》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9FC30F6">
      <w:pPr>
        <w:shd w:val="clear"/>
        <w:spacing w:line="360" w:lineRule="auto"/>
        <w:ind w:right="-420" w:rightChars="-200" w:firstLine="480" w:firstLineChars="200"/>
        <w:rPr>
          <w:rFonts w:cs="仿宋" w:asciiTheme="majorEastAsia" w:hAnsiTheme="majorEastAsia" w:eastAsiaTheme="majorEastAsia"/>
          <w:color w:val="auto"/>
          <w:sz w:val="24"/>
          <w:highlight w:val="none"/>
        </w:rPr>
      </w:pPr>
    </w:p>
    <w:p w14:paraId="4A94FA0E">
      <w:pPr>
        <w:shd w:val="clear"/>
        <w:spacing w:line="360" w:lineRule="auto"/>
        <w:ind w:right="-420" w:rightChars="-200" w:firstLine="480" w:firstLineChars="20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color w:val="auto"/>
          <w:sz w:val="24"/>
          <w:highlight w:val="none"/>
        </w:rPr>
        <w:t>注：</w:t>
      </w:r>
      <w:r>
        <w:rPr>
          <w:rFonts w:hint="eastAsia" w:ascii="宋体" w:hAnsi="宋体" w:cs="宋体"/>
          <w:color w:val="auto"/>
          <w:sz w:val="24"/>
          <w:highlight w:val="none"/>
          <w:shd w:val="clear" w:color="auto" w:fill="FFFFFF"/>
        </w:rPr>
        <w:t>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r>
        <w:rPr>
          <w:rFonts w:hint="eastAsia" w:cs="仿宋" w:asciiTheme="majorEastAsia" w:hAnsiTheme="majorEastAsia" w:eastAsiaTheme="majorEastAsia"/>
          <w:b/>
          <w:color w:val="auto"/>
          <w:sz w:val="32"/>
          <w:szCs w:val="32"/>
          <w:highlight w:val="none"/>
        </w:rPr>
        <w:br w:type="page"/>
      </w:r>
    </w:p>
    <w:p w14:paraId="1384ADFB">
      <w:pPr>
        <w:shd w:val="clear"/>
        <w:spacing w:line="360" w:lineRule="auto"/>
        <w:jc w:val="center"/>
        <w:rPr>
          <w:rFonts w:cs="仿宋" w:asciiTheme="majorEastAsia" w:hAnsiTheme="majorEastAsia" w:eastAsiaTheme="majorEastAsia"/>
          <w:color w:val="auto"/>
          <w:sz w:val="32"/>
          <w:szCs w:val="32"/>
          <w:highlight w:val="none"/>
        </w:rPr>
      </w:pPr>
      <w:r>
        <w:rPr>
          <w:rFonts w:hint="eastAsia" w:cs="仿宋" w:asciiTheme="majorEastAsia" w:hAnsiTheme="majorEastAsia" w:eastAsiaTheme="majorEastAsia"/>
          <w:b/>
          <w:bCs/>
          <w:color w:val="auto"/>
          <w:sz w:val="32"/>
          <w:szCs w:val="32"/>
          <w:highlight w:val="none"/>
        </w:rPr>
        <w:t>四、残疾人福利性单位声明函</w:t>
      </w:r>
    </w:p>
    <w:p w14:paraId="35DE81D0">
      <w:pPr>
        <w:shd w:val="clear"/>
        <w:spacing w:line="360" w:lineRule="auto"/>
        <w:rPr>
          <w:rFonts w:cs="仿宋" w:asciiTheme="majorEastAsia" w:hAnsiTheme="majorEastAsia" w:eastAsiaTheme="majorEastAsia"/>
          <w:b/>
          <w:color w:val="auto"/>
          <w:spacing w:val="6"/>
          <w:sz w:val="30"/>
          <w:szCs w:val="30"/>
          <w:highlight w:val="none"/>
        </w:rPr>
      </w:pPr>
    </w:p>
    <w:p w14:paraId="47AB3F9A">
      <w:pPr>
        <w:shd w:val="clear"/>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49B3EB0B">
      <w:pPr>
        <w:shd w:val="clear"/>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本单位对上述声明的真实性负责。如有虚假，将依法承担相应责任。</w:t>
      </w:r>
    </w:p>
    <w:p w14:paraId="31B09A03">
      <w:pPr>
        <w:shd w:val="clear"/>
        <w:spacing w:line="360" w:lineRule="auto"/>
        <w:ind w:firstLine="480" w:firstLineChars="200"/>
        <w:jc w:val="left"/>
        <w:rPr>
          <w:rFonts w:cs="仿宋" w:asciiTheme="majorEastAsia" w:hAnsiTheme="majorEastAsia" w:eastAsiaTheme="majorEastAsia"/>
          <w:color w:val="auto"/>
          <w:sz w:val="24"/>
          <w:highlight w:val="none"/>
        </w:rPr>
      </w:pPr>
    </w:p>
    <w:p w14:paraId="1678AFDF">
      <w:pPr>
        <w:shd w:val="clear"/>
        <w:spacing w:line="360" w:lineRule="auto"/>
        <w:ind w:firstLine="480" w:firstLineChars="200"/>
        <w:jc w:val="left"/>
        <w:rPr>
          <w:rFonts w:cs="仿宋" w:asciiTheme="majorEastAsia" w:hAnsiTheme="majorEastAsia" w:eastAsiaTheme="majorEastAsia"/>
          <w:color w:val="auto"/>
          <w:sz w:val="24"/>
          <w:highlight w:val="none"/>
        </w:rPr>
      </w:pPr>
    </w:p>
    <w:p w14:paraId="5F38F18F">
      <w:pPr>
        <w:shd w:val="clear"/>
        <w:adjustRightInd w:val="0"/>
        <w:spacing w:line="360" w:lineRule="auto"/>
        <w:ind w:firstLine="2400" w:firstLineChars="10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法定代表人或其授权委托人（签名或印章）：</w:t>
      </w:r>
    </w:p>
    <w:p w14:paraId="2A65C625">
      <w:pPr>
        <w:shd w:val="clear"/>
        <w:adjustRightInd w:val="0"/>
        <w:spacing w:line="360" w:lineRule="auto"/>
        <w:ind w:firstLine="3840" w:firstLineChars="16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投标人（盖章）：</w:t>
      </w:r>
    </w:p>
    <w:p w14:paraId="0A4C1344">
      <w:pPr>
        <w:shd w:val="clear"/>
        <w:rPr>
          <w:rFonts w:asciiTheme="majorEastAsia" w:hAnsiTheme="majorEastAsia" w:eastAsiaTheme="majorEastAsia"/>
          <w:color w:val="auto"/>
          <w:highlight w:val="none"/>
        </w:rPr>
      </w:pPr>
      <w:r>
        <w:rPr>
          <w:rFonts w:hint="eastAsia" w:cs="仿宋" w:asciiTheme="majorEastAsia" w:hAnsiTheme="majorEastAsia" w:eastAsiaTheme="majorEastAsia"/>
          <w:color w:val="auto"/>
          <w:sz w:val="24"/>
          <w:highlight w:val="none"/>
        </w:rPr>
        <w:t xml:space="preserve">                                日期：</w:t>
      </w:r>
    </w:p>
    <w:p w14:paraId="2B9C4A0C">
      <w:pPr>
        <w:shd w:val="clear"/>
        <w:spacing w:line="360" w:lineRule="auto"/>
        <w:ind w:firstLine="643" w:firstLineChars="200"/>
        <w:jc w:val="left"/>
        <w:rPr>
          <w:rFonts w:cs="仿宋" w:asciiTheme="majorEastAsia" w:hAnsiTheme="majorEastAsia" w:eastAsiaTheme="majorEastAsia"/>
          <w:b/>
          <w:color w:val="auto"/>
          <w:sz w:val="32"/>
          <w:szCs w:val="32"/>
          <w:highlight w:val="none"/>
        </w:rPr>
      </w:pPr>
    </w:p>
    <w:p w14:paraId="24E9E5F0">
      <w:pPr>
        <w:shd w:val="clear"/>
        <w:spacing w:line="360" w:lineRule="auto"/>
        <w:rPr>
          <w:rFonts w:cs="仿宋" w:asciiTheme="majorEastAsia" w:hAnsiTheme="majorEastAsia" w:eastAsiaTheme="majorEastAsia"/>
          <w:b/>
          <w:color w:val="auto"/>
          <w:sz w:val="32"/>
          <w:szCs w:val="32"/>
          <w:highlight w:val="none"/>
        </w:rPr>
      </w:pPr>
    </w:p>
    <w:p w14:paraId="48392CCB">
      <w:pPr>
        <w:numPr>
          <w:ilvl w:val="0"/>
          <w:numId w:val="4"/>
        </w:numPr>
        <w:shd w:val="clear"/>
        <w:spacing w:line="360" w:lineRule="auto"/>
        <w:jc w:val="center"/>
        <w:rPr>
          <w:rFonts w:cs="仿宋" w:asciiTheme="majorEastAsia" w:hAnsiTheme="majorEastAsia" w:eastAsiaTheme="majorEastAsia"/>
          <w:b/>
          <w:color w:val="auto"/>
          <w:spacing w:val="6"/>
          <w:sz w:val="32"/>
          <w:szCs w:val="32"/>
          <w:highlight w:val="none"/>
        </w:rPr>
      </w:pPr>
      <w:r>
        <w:rPr>
          <w:rFonts w:hint="eastAsia" w:cs="仿宋" w:asciiTheme="majorEastAsia" w:hAnsiTheme="majorEastAsia" w:eastAsiaTheme="majorEastAsia"/>
          <w:b/>
          <w:color w:val="auto"/>
          <w:spacing w:val="6"/>
          <w:sz w:val="32"/>
          <w:szCs w:val="32"/>
          <w:highlight w:val="none"/>
        </w:rPr>
        <w:br w:type="page"/>
      </w:r>
      <w:r>
        <w:rPr>
          <w:rFonts w:hint="eastAsia" w:cs="仿宋" w:asciiTheme="majorEastAsia" w:hAnsiTheme="majorEastAsia" w:eastAsiaTheme="majorEastAsia"/>
          <w:b/>
          <w:color w:val="auto"/>
          <w:spacing w:val="6"/>
          <w:sz w:val="32"/>
          <w:szCs w:val="32"/>
          <w:highlight w:val="none"/>
        </w:rPr>
        <w:t>政府采购统计基础信息表</w:t>
      </w:r>
    </w:p>
    <w:p w14:paraId="61CC198B">
      <w:pPr>
        <w:pStyle w:val="25"/>
        <w:shd w:val="clear"/>
        <w:spacing w:line="360" w:lineRule="auto"/>
        <w:ind w:firstLine="0" w:firstLineChars="0"/>
        <w:rPr>
          <w:rFonts w:cs="仿宋" w:asciiTheme="majorEastAsia" w:hAnsiTheme="majorEastAsia" w:eastAsiaTheme="majorEastAsia"/>
          <w:color w:val="auto"/>
          <w:highlight w:val="none"/>
        </w:rPr>
      </w:pPr>
    </w:p>
    <w:tbl>
      <w:tblPr>
        <w:tblStyle w:val="18"/>
        <w:tblW w:w="8537" w:type="dxa"/>
        <w:jc w:val="center"/>
        <w:tblLayout w:type="fixed"/>
        <w:tblCellMar>
          <w:top w:w="0" w:type="dxa"/>
          <w:left w:w="108" w:type="dxa"/>
          <w:bottom w:w="0" w:type="dxa"/>
          <w:right w:w="108" w:type="dxa"/>
        </w:tblCellMar>
      </w:tblPr>
      <w:tblGrid>
        <w:gridCol w:w="4998"/>
        <w:gridCol w:w="3539"/>
      </w:tblGrid>
      <w:tr w14:paraId="11D490A4">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14:paraId="7198B245">
            <w:pPr>
              <w:shd w:val="clear"/>
              <w:adjustRightIn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采购人及采购项目名称</w:t>
            </w:r>
          </w:p>
        </w:tc>
        <w:tc>
          <w:tcPr>
            <w:tcW w:w="3539" w:type="dxa"/>
            <w:tcBorders>
              <w:top w:val="single" w:color="000000" w:sz="4" w:space="0"/>
              <w:left w:val="nil"/>
              <w:bottom w:val="single" w:color="000000" w:sz="4" w:space="0"/>
              <w:right w:val="single" w:color="000000" w:sz="4" w:space="0"/>
            </w:tcBorders>
          </w:tcPr>
          <w:p w14:paraId="11FF73FA">
            <w:pPr>
              <w:shd w:val="clear"/>
              <w:spacing w:line="360" w:lineRule="auto"/>
              <w:rPr>
                <w:rFonts w:cs="仿宋" w:asciiTheme="majorEastAsia" w:hAnsiTheme="majorEastAsia" w:eastAsiaTheme="majorEastAsia"/>
                <w:color w:val="auto"/>
                <w:highlight w:val="none"/>
              </w:rPr>
            </w:pPr>
          </w:p>
        </w:tc>
      </w:tr>
      <w:tr w14:paraId="473C20B2">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14:paraId="62F45564">
            <w:pPr>
              <w:shd w:val="clear"/>
              <w:adjustRightIn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投标单位名称</w:t>
            </w:r>
          </w:p>
        </w:tc>
        <w:tc>
          <w:tcPr>
            <w:tcW w:w="3539" w:type="dxa"/>
            <w:tcBorders>
              <w:top w:val="single" w:color="000000" w:sz="4" w:space="0"/>
              <w:left w:val="nil"/>
              <w:bottom w:val="single" w:color="000000" w:sz="4" w:space="0"/>
              <w:right w:val="single" w:color="000000" w:sz="4" w:space="0"/>
            </w:tcBorders>
          </w:tcPr>
          <w:p w14:paraId="512578F4">
            <w:pPr>
              <w:shd w:val="clear"/>
              <w:spacing w:line="360" w:lineRule="auto"/>
              <w:rPr>
                <w:rFonts w:cs="仿宋" w:asciiTheme="majorEastAsia" w:hAnsiTheme="majorEastAsia" w:eastAsiaTheme="majorEastAsia"/>
                <w:color w:val="auto"/>
                <w:highlight w:val="none"/>
              </w:rPr>
            </w:pPr>
          </w:p>
        </w:tc>
      </w:tr>
      <w:tr w14:paraId="4B20A806">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14:paraId="52357961">
            <w:pPr>
              <w:shd w:val="clear"/>
              <w:adjustRightIn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投标单位是否为外商投资企业</w:t>
            </w:r>
          </w:p>
        </w:tc>
        <w:tc>
          <w:tcPr>
            <w:tcW w:w="3539" w:type="dxa"/>
            <w:tcBorders>
              <w:top w:val="single" w:color="000000" w:sz="4" w:space="0"/>
              <w:left w:val="nil"/>
              <w:bottom w:val="single" w:color="000000" w:sz="4" w:space="0"/>
              <w:right w:val="single" w:color="000000" w:sz="4" w:space="0"/>
            </w:tcBorders>
          </w:tcPr>
          <w:p w14:paraId="010080AA">
            <w:pPr>
              <w:shd w:val="clear"/>
              <w:spacing w:line="360" w:lineRule="auto"/>
              <w:rPr>
                <w:rFonts w:cs="仿宋" w:asciiTheme="majorEastAsia" w:hAnsiTheme="majorEastAsia" w:eastAsiaTheme="majorEastAsia"/>
                <w:color w:val="auto"/>
                <w:highlight w:val="none"/>
              </w:rPr>
            </w:pPr>
          </w:p>
        </w:tc>
      </w:tr>
      <w:tr w14:paraId="24C11A13">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14:paraId="1EB5C8CE">
            <w:pPr>
              <w:shd w:val="clear"/>
              <w:adjustRightIn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投标单位是否为宁波企业</w:t>
            </w:r>
          </w:p>
        </w:tc>
        <w:tc>
          <w:tcPr>
            <w:tcW w:w="3539" w:type="dxa"/>
            <w:tcBorders>
              <w:top w:val="single" w:color="000000" w:sz="4" w:space="0"/>
              <w:left w:val="nil"/>
              <w:bottom w:val="single" w:color="000000" w:sz="4" w:space="0"/>
              <w:right w:val="single" w:color="000000" w:sz="4" w:space="0"/>
            </w:tcBorders>
          </w:tcPr>
          <w:p w14:paraId="024D90EF">
            <w:pPr>
              <w:shd w:val="clear"/>
              <w:spacing w:line="360" w:lineRule="auto"/>
              <w:rPr>
                <w:rFonts w:cs="仿宋" w:asciiTheme="majorEastAsia" w:hAnsiTheme="majorEastAsia" w:eastAsiaTheme="majorEastAsia"/>
                <w:color w:val="auto"/>
                <w:highlight w:val="none"/>
              </w:rPr>
            </w:pPr>
          </w:p>
        </w:tc>
      </w:tr>
      <w:tr w14:paraId="7B77F187">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14:paraId="48D7AC33">
            <w:pPr>
              <w:shd w:val="clear"/>
              <w:adjustRightIn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企业划分标准类型（大型、中型、小型、微型）</w:t>
            </w:r>
          </w:p>
        </w:tc>
        <w:tc>
          <w:tcPr>
            <w:tcW w:w="3539" w:type="dxa"/>
            <w:tcBorders>
              <w:top w:val="single" w:color="000000" w:sz="4" w:space="0"/>
              <w:left w:val="nil"/>
              <w:bottom w:val="single" w:color="000000" w:sz="4" w:space="0"/>
              <w:right w:val="single" w:color="000000" w:sz="4" w:space="0"/>
            </w:tcBorders>
          </w:tcPr>
          <w:p w14:paraId="7144326A">
            <w:pPr>
              <w:shd w:val="clear"/>
              <w:spacing w:line="360" w:lineRule="auto"/>
              <w:rPr>
                <w:rFonts w:cs="仿宋" w:asciiTheme="majorEastAsia" w:hAnsiTheme="majorEastAsia" w:eastAsiaTheme="majorEastAsia"/>
                <w:color w:val="auto"/>
                <w:highlight w:val="none"/>
              </w:rPr>
            </w:pPr>
          </w:p>
        </w:tc>
      </w:tr>
      <w:tr w14:paraId="40ED2E3F">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14:paraId="65EDDEDE">
            <w:pPr>
              <w:shd w:val="clear"/>
              <w:adjustRightIn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提供的货物是否本企业制造</w:t>
            </w:r>
          </w:p>
        </w:tc>
        <w:tc>
          <w:tcPr>
            <w:tcW w:w="3539" w:type="dxa"/>
            <w:tcBorders>
              <w:top w:val="single" w:color="000000" w:sz="4" w:space="0"/>
              <w:left w:val="nil"/>
              <w:bottom w:val="single" w:color="000000" w:sz="4" w:space="0"/>
              <w:right w:val="single" w:color="000000" w:sz="4" w:space="0"/>
            </w:tcBorders>
          </w:tcPr>
          <w:p w14:paraId="3CC6E502">
            <w:pPr>
              <w:shd w:val="clear"/>
              <w:spacing w:line="360" w:lineRule="auto"/>
              <w:rPr>
                <w:rFonts w:cs="仿宋" w:asciiTheme="majorEastAsia" w:hAnsiTheme="majorEastAsia" w:eastAsiaTheme="majorEastAsia"/>
                <w:color w:val="auto"/>
                <w:highlight w:val="none"/>
              </w:rPr>
            </w:pPr>
          </w:p>
        </w:tc>
      </w:tr>
      <w:tr w14:paraId="356CEB20">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14:paraId="21CAD20C">
            <w:pPr>
              <w:shd w:val="clear"/>
              <w:adjustRightIn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货物原产地国别</w:t>
            </w:r>
          </w:p>
        </w:tc>
        <w:tc>
          <w:tcPr>
            <w:tcW w:w="3539" w:type="dxa"/>
            <w:tcBorders>
              <w:top w:val="single" w:color="000000" w:sz="4" w:space="0"/>
              <w:left w:val="nil"/>
              <w:bottom w:val="single" w:color="000000" w:sz="4" w:space="0"/>
              <w:right w:val="single" w:color="000000" w:sz="4" w:space="0"/>
            </w:tcBorders>
          </w:tcPr>
          <w:p w14:paraId="348FBF9A">
            <w:pPr>
              <w:shd w:val="clear"/>
              <w:spacing w:line="360" w:lineRule="auto"/>
              <w:rPr>
                <w:rFonts w:cs="仿宋" w:asciiTheme="majorEastAsia" w:hAnsiTheme="majorEastAsia" w:eastAsiaTheme="majorEastAsia"/>
                <w:color w:val="auto"/>
                <w:highlight w:val="none"/>
              </w:rPr>
            </w:pPr>
          </w:p>
        </w:tc>
      </w:tr>
      <w:tr w14:paraId="6CACC2A9">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14:paraId="2B29A47D">
            <w:pPr>
              <w:shd w:val="clear"/>
              <w:adjustRightIn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提供的货物是否为节能清单产品</w:t>
            </w:r>
          </w:p>
        </w:tc>
        <w:tc>
          <w:tcPr>
            <w:tcW w:w="3539" w:type="dxa"/>
            <w:tcBorders>
              <w:top w:val="single" w:color="000000" w:sz="4" w:space="0"/>
              <w:left w:val="nil"/>
              <w:bottom w:val="single" w:color="000000" w:sz="4" w:space="0"/>
              <w:right w:val="single" w:color="000000" w:sz="4" w:space="0"/>
            </w:tcBorders>
          </w:tcPr>
          <w:p w14:paraId="6A8EBB29">
            <w:pPr>
              <w:shd w:val="clear"/>
              <w:spacing w:line="360" w:lineRule="auto"/>
              <w:rPr>
                <w:rFonts w:cs="仿宋" w:asciiTheme="majorEastAsia" w:hAnsiTheme="majorEastAsia" w:eastAsiaTheme="majorEastAsia"/>
                <w:color w:val="auto"/>
                <w:highlight w:val="none"/>
              </w:rPr>
            </w:pPr>
          </w:p>
        </w:tc>
      </w:tr>
      <w:tr w14:paraId="426C7B11">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14:paraId="1694092F">
            <w:pPr>
              <w:shd w:val="clear"/>
              <w:adjustRightIn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提供的货物是否为环境标志清单产品</w:t>
            </w:r>
          </w:p>
        </w:tc>
        <w:tc>
          <w:tcPr>
            <w:tcW w:w="3539" w:type="dxa"/>
            <w:tcBorders>
              <w:top w:val="single" w:color="000000" w:sz="4" w:space="0"/>
              <w:left w:val="nil"/>
              <w:bottom w:val="single" w:color="000000" w:sz="4" w:space="0"/>
              <w:right w:val="single" w:color="000000" w:sz="4" w:space="0"/>
            </w:tcBorders>
          </w:tcPr>
          <w:p w14:paraId="104205E2">
            <w:pPr>
              <w:shd w:val="clear"/>
              <w:spacing w:line="360" w:lineRule="auto"/>
              <w:rPr>
                <w:rFonts w:cs="仿宋" w:asciiTheme="majorEastAsia" w:hAnsiTheme="majorEastAsia" w:eastAsiaTheme="majorEastAsia"/>
                <w:color w:val="auto"/>
                <w:highlight w:val="none"/>
              </w:rPr>
            </w:pPr>
          </w:p>
        </w:tc>
      </w:tr>
      <w:tr w14:paraId="4114180B">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14:paraId="790EADC8">
            <w:pPr>
              <w:shd w:val="clear"/>
              <w:adjustRightIn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承担的工程或服务是否本企业提供</w:t>
            </w:r>
          </w:p>
        </w:tc>
        <w:tc>
          <w:tcPr>
            <w:tcW w:w="3539" w:type="dxa"/>
            <w:tcBorders>
              <w:top w:val="single" w:color="000000" w:sz="4" w:space="0"/>
              <w:left w:val="nil"/>
              <w:bottom w:val="single" w:color="000000" w:sz="4" w:space="0"/>
              <w:right w:val="single" w:color="000000" w:sz="4" w:space="0"/>
            </w:tcBorders>
          </w:tcPr>
          <w:p w14:paraId="2750E142">
            <w:pPr>
              <w:shd w:val="clear"/>
              <w:spacing w:line="360" w:lineRule="auto"/>
              <w:rPr>
                <w:rFonts w:cs="仿宋" w:asciiTheme="majorEastAsia" w:hAnsiTheme="majorEastAsia" w:eastAsiaTheme="majorEastAsia"/>
                <w:color w:val="auto"/>
                <w:highlight w:val="none"/>
              </w:rPr>
            </w:pPr>
          </w:p>
        </w:tc>
      </w:tr>
    </w:tbl>
    <w:p w14:paraId="6DE08E27">
      <w:pPr>
        <w:shd w:val="clear"/>
        <w:adjustRightInd w:val="0"/>
        <w:spacing w:line="360" w:lineRule="auto"/>
        <w:jc w:val="left"/>
        <w:rPr>
          <w:rFonts w:cs="仿宋" w:asciiTheme="majorEastAsia" w:hAnsiTheme="majorEastAsia" w:eastAsiaTheme="majorEastAsia"/>
          <w:color w:val="auto"/>
          <w:sz w:val="24"/>
          <w:highlight w:val="none"/>
        </w:rPr>
      </w:pPr>
    </w:p>
    <w:p w14:paraId="6E63A8C4">
      <w:pPr>
        <w:shd w:val="clear"/>
        <w:adjustRightIn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备注：请各投标人务必填写此表作为投标文件的组成部分。</w:t>
      </w:r>
    </w:p>
    <w:p w14:paraId="078ADD35">
      <w:pPr>
        <w:shd w:val="clear"/>
        <w:adjustRightInd w:val="0"/>
        <w:spacing w:line="360" w:lineRule="auto"/>
        <w:jc w:val="left"/>
        <w:rPr>
          <w:rFonts w:cs="仿宋" w:asciiTheme="majorEastAsia" w:hAnsiTheme="majorEastAsia" w:eastAsiaTheme="majorEastAsia"/>
          <w:color w:val="auto"/>
          <w:sz w:val="24"/>
          <w:highlight w:val="none"/>
        </w:rPr>
      </w:pPr>
    </w:p>
    <w:p w14:paraId="15FE4E65">
      <w:pPr>
        <w:shd w:val="clear"/>
        <w:adjustRightInd w:val="0"/>
        <w:spacing w:line="360" w:lineRule="auto"/>
        <w:jc w:val="left"/>
        <w:rPr>
          <w:rFonts w:cs="仿宋" w:asciiTheme="majorEastAsia" w:hAnsiTheme="majorEastAsia" w:eastAsiaTheme="majorEastAsia"/>
          <w:color w:val="auto"/>
          <w:sz w:val="24"/>
          <w:highlight w:val="none"/>
        </w:rPr>
      </w:pPr>
    </w:p>
    <w:p w14:paraId="4E3647B7">
      <w:pPr>
        <w:shd w:val="clear"/>
        <w:adjustRightInd w:val="0"/>
        <w:spacing w:line="360" w:lineRule="auto"/>
        <w:ind w:firstLine="2400" w:firstLineChars="10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法定代表人或其授权委托人（签名或印章）：</w:t>
      </w:r>
    </w:p>
    <w:p w14:paraId="1B098F85">
      <w:pPr>
        <w:shd w:val="clear"/>
        <w:adjustRightInd w:val="0"/>
        <w:spacing w:line="360" w:lineRule="auto"/>
        <w:ind w:firstLine="2400" w:firstLineChars="10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投标人（盖章）：</w:t>
      </w:r>
    </w:p>
    <w:p w14:paraId="1A2DB7CF">
      <w:pPr>
        <w:shd w:val="clear"/>
        <w:rPr>
          <w:rFonts w:asciiTheme="majorEastAsia" w:hAnsiTheme="majorEastAsia" w:eastAsiaTheme="majorEastAsia"/>
          <w:color w:val="auto"/>
          <w:highlight w:val="none"/>
        </w:rPr>
      </w:pPr>
      <w:r>
        <w:rPr>
          <w:rFonts w:hint="eastAsia" w:cs="仿宋" w:asciiTheme="majorEastAsia" w:hAnsiTheme="majorEastAsia" w:eastAsiaTheme="majorEastAsia"/>
          <w:color w:val="auto"/>
          <w:sz w:val="24"/>
          <w:highlight w:val="none"/>
        </w:rPr>
        <w:t xml:space="preserve">                    日期：</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89A64">
    <w:pPr>
      <w:pStyle w:val="1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w:t>
    </w:r>
  </w:p>
  <w:p w14:paraId="610B880F">
    <w:pP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68995D">
    <w:pPr>
      <w:pStyle w:val="1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w:t>
    </w:r>
  </w:p>
  <w:p w14:paraId="7CBFFB35">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EDD41">
    <w:pPr>
      <w:pStyle w:val="1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w:t>
    </w:r>
  </w:p>
  <w:p w14:paraId="2D6702D1">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39345">
    <w:pPr>
      <w:pStyle w:val="1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w:t>
    </w:r>
  </w:p>
  <w:p w14:paraId="5A03A466">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F41080">
    <w:pPr>
      <w:pStyle w:val="13"/>
      <w:pBdr>
        <w:bottom w:val="none" w:color="auto" w:sz="0" w:space="0"/>
      </w:pBdr>
      <w:jc w:val="right"/>
      <w:rPr>
        <w:rFonts w:ascii="仿宋_GB2312" w:eastAsia="仿宋_GB2312"/>
        <w:b/>
        <w:i/>
        <w:u w:val="single"/>
      </w:rPr>
    </w:pPr>
    <w:r>
      <w:t></w:t>
    </w:r>
    <w:r>
      <w:rPr>
        <w:rFonts w:hint="eastAsia"/>
      </w:rPr>
      <w:t xml:space="preserve">                                               </w:t>
    </w:r>
  </w:p>
  <w:p w14:paraId="0F927406">
    <w:pPr>
      <w:rPr>
        <w:rFonts w:ascii="仿宋_GB2312" w:eastAsia="仿宋_GB2312"/>
        <w:b/>
        <w:i/>
        <w:sz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D962C9">
    <w:pPr>
      <w:pStyle w:val="13"/>
      <w:jc w:val="right"/>
    </w:pP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33CF9">
    <w:pPr>
      <w:pStyle w:val="13"/>
      <w:jc w:val="right"/>
      <w:rPr>
        <w:rFonts w:ascii="仿宋_GB2312" w:eastAsia="仿宋_GB2312"/>
        <w:b/>
        <w:i/>
        <w:u w:val="single"/>
      </w:rPr>
    </w:pPr>
    <w:r>
      <w:rPr>
        <w:rFonts w:hint="eastAsia"/>
      </w:rPr>
      <w:t xml:space="preserve">                                 </w:t>
    </w:r>
  </w:p>
  <w:p w14:paraId="62AE2887">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0F69D">
    <w:pPr>
      <w:pStyle w:val="13"/>
      <w:jc w:val="righ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225D33"/>
    <w:multiLevelType w:val="singleLevel"/>
    <w:tmpl w:val="9D225D33"/>
    <w:lvl w:ilvl="0" w:tentative="0">
      <w:start w:val="5"/>
      <w:numFmt w:val="chineseCounting"/>
      <w:suff w:val="nothing"/>
      <w:lvlText w:val="%1、"/>
      <w:lvlJc w:val="left"/>
      <w:rPr>
        <w:rFonts w:hint="eastAsia"/>
      </w:rPr>
    </w:lvl>
  </w:abstractNum>
  <w:abstractNum w:abstractNumId="1">
    <w:nsid w:val="A95BA21C"/>
    <w:multiLevelType w:val="singleLevel"/>
    <w:tmpl w:val="A95BA21C"/>
    <w:lvl w:ilvl="0" w:tentative="0">
      <w:start w:val="1"/>
      <w:numFmt w:val="decimal"/>
      <w:suff w:val="nothing"/>
      <w:lvlText w:val="%1．"/>
      <w:lvlJc w:val="left"/>
      <w:pPr>
        <w:ind w:left="0" w:firstLine="400"/>
      </w:pPr>
      <w:rPr>
        <w:rFonts w:hint="default"/>
      </w:rPr>
    </w:lvl>
  </w:abstractNum>
  <w:abstractNum w:abstractNumId="2">
    <w:nsid w:val="2DC53F9C"/>
    <w:multiLevelType w:val="singleLevel"/>
    <w:tmpl w:val="2DC53F9C"/>
    <w:lvl w:ilvl="0" w:tentative="0">
      <w:start w:val="5"/>
      <w:numFmt w:val="chineseCounting"/>
      <w:suff w:val="space"/>
      <w:lvlText w:val="第%1部分"/>
      <w:lvlJc w:val="left"/>
      <w:rPr>
        <w:rFonts w:hint="eastAsia"/>
      </w:rPr>
    </w:lvl>
  </w:abstractNum>
  <w:abstractNum w:abstractNumId="3">
    <w:nsid w:val="495C2BCE"/>
    <w:multiLevelType w:val="singleLevel"/>
    <w:tmpl w:val="495C2BCE"/>
    <w:lvl w:ilvl="0" w:tentative="0">
      <w:start w:val="1"/>
      <w:numFmt w:val="chineseCounting"/>
      <w:suff w:val="nothing"/>
      <w:lvlText w:val="%1、"/>
      <w:lvlJc w:val="left"/>
      <w:rPr>
        <w:rFonts w:hint="eastAsia"/>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2MwZjIwZWYxMjI1ODlmMWQ2NjBlZmJmNGMwY2QxMzgifQ=="/>
  </w:docVars>
  <w:rsids>
    <w:rsidRoot w:val="00BE1106"/>
    <w:rsid w:val="000E08FA"/>
    <w:rsid w:val="001E5D60"/>
    <w:rsid w:val="002D5049"/>
    <w:rsid w:val="002F0F4E"/>
    <w:rsid w:val="00325F5A"/>
    <w:rsid w:val="00385524"/>
    <w:rsid w:val="004149B7"/>
    <w:rsid w:val="004B6E42"/>
    <w:rsid w:val="005D6F69"/>
    <w:rsid w:val="00633810"/>
    <w:rsid w:val="008B3661"/>
    <w:rsid w:val="00923E94"/>
    <w:rsid w:val="00AF0DF7"/>
    <w:rsid w:val="00BE1106"/>
    <w:rsid w:val="00CA73A1"/>
    <w:rsid w:val="00FE2BD3"/>
    <w:rsid w:val="01251AC9"/>
    <w:rsid w:val="02823D0D"/>
    <w:rsid w:val="02A35163"/>
    <w:rsid w:val="03D270B5"/>
    <w:rsid w:val="03EB2398"/>
    <w:rsid w:val="047B14FB"/>
    <w:rsid w:val="059E7B97"/>
    <w:rsid w:val="05DB04A3"/>
    <w:rsid w:val="073E750B"/>
    <w:rsid w:val="077741FC"/>
    <w:rsid w:val="07CD02C0"/>
    <w:rsid w:val="0825634E"/>
    <w:rsid w:val="085B1D6F"/>
    <w:rsid w:val="092263E9"/>
    <w:rsid w:val="09970B85"/>
    <w:rsid w:val="0B2B77D7"/>
    <w:rsid w:val="0C1A784C"/>
    <w:rsid w:val="0C771D7C"/>
    <w:rsid w:val="0CE128D0"/>
    <w:rsid w:val="0CEE6D0E"/>
    <w:rsid w:val="0D5A25F6"/>
    <w:rsid w:val="0D7569AF"/>
    <w:rsid w:val="0DE4780D"/>
    <w:rsid w:val="0E3528EA"/>
    <w:rsid w:val="0F3E5F10"/>
    <w:rsid w:val="0FDE4579"/>
    <w:rsid w:val="10991687"/>
    <w:rsid w:val="10CF015F"/>
    <w:rsid w:val="12810624"/>
    <w:rsid w:val="12D44BF8"/>
    <w:rsid w:val="12EE1DDF"/>
    <w:rsid w:val="1301552C"/>
    <w:rsid w:val="139879D4"/>
    <w:rsid w:val="13A445CA"/>
    <w:rsid w:val="13B80076"/>
    <w:rsid w:val="13C163E1"/>
    <w:rsid w:val="13D00B75"/>
    <w:rsid w:val="1424570B"/>
    <w:rsid w:val="1457163D"/>
    <w:rsid w:val="14CD6C40"/>
    <w:rsid w:val="16EB0762"/>
    <w:rsid w:val="173E4D36"/>
    <w:rsid w:val="17D31922"/>
    <w:rsid w:val="17D42FA4"/>
    <w:rsid w:val="18635D32"/>
    <w:rsid w:val="191915B7"/>
    <w:rsid w:val="198F1011"/>
    <w:rsid w:val="1A320B58"/>
    <w:rsid w:val="1AD53A66"/>
    <w:rsid w:val="1BB44870"/>
    <w:rsid w:val="1C7F12A1"/>
    <w:rsid w:val="1D4D4375"/>
    <w:rsid w:val="1D632D08"/>
    <w:rsid w:val="1DC51D0D"/>
    <w:rsid w:val="1E024ED4"/>
    <w:rsid w:val="1F7F7C9A"/>
    <w:rsid w:val="1FD20711"/>
    <w:rsid w:val="20162F98"/>
    <w:rsid w:val="21022930"/>
    <w:rsid w:val="21042B4C"/>
    <w:rsid w:val="21350F58"/>
    <w:rsid w:val="231354DB"/>
    <w:rsid w:val="238735C1"/>
    <w:rsid w:val="24522E40"/>
    <w:rsid w:val="24A65001"/>
    <w:rsid w:val="24AA5D21"/>
    <w:rsid w:val="25571E03"/>
    <w:rsid w:val="262B46D7"/>
    <w:rsid w:val="277A5916"/>
    <w:rsid w:val="291678C1"/>
    <w:rsid w:val="29387837"/>
    <w:rsid w:val="29AE7AF9"/>
    <w:rsid w:val="29B175E9"/>
    <w:rsid w:val="2A005E7B"/>
    <w:rsid w:val="2B65243A"/>
    <w:rsid w:val="2C6A7D6E"/>
    <w:rsid w:val="2CDF7FCA"/>
    <w:rsid w:val="2D873C74"/>
    <w:rsid w:val="2DA37249"/>
    <w:rsid w:val="2E053A60"/>
    <w:rsid w:val="2E332EC2"/>
    <w:rsid w:val="2E596189"/>
    <w:rsid w:val="2ECB2EFB"/>
    <w:rsid w:val="2F3B43E8"/>
    <w:rsid w:val="2F594063"/>
    <w:rsid w:val="2F7B66D0"/>
    <w:rsid w:val="2FA84FEB"/>
    <w:rsid w:val="2FDE27BA"/>
    <w:rsid w:val="312608BD"/>
    <w:rsid w:val="31DE4CF4"/>
    <w:rsid w:val="329B0E37"/>
    <w:rsid w:val="32F223A4"/>
    <w:rsid w:val="33BA4214"/>
    <w:rsid w:val="33F00D0E"/>
    <w:rsid w:val="346E05B1"/>
    <w:rsid w:val="348222AE"/>
    <w:rsid w:val="34AF4725"/>
    <w:rsid w:val="366003CD"/>
    <w:rsid w:val="37D93CBA"/>
    <w:rsid w:val="38262F51"/>
    <w:rsid w:val="39400042"/>
    <w:rsid w:val="3958538C"/>
    <w:rsid w:val="396226AE"/>
    <w:rsid w:val="39777F08"/>
    <w:rsid w:val="3A561988"/>
    <w:rsid w:val="3AFF762B"/>
    <w:rsid w:val="3BE178BA"/>
    <w:rsid w:val="3C2B47A8"/>
    <w:rsid w:val="3D5D11C3"/>
    <w:rsid w:val="3E0E6961"/>
    <w:rsid w:val="3FE61943"/>
    <w:rsid w:val="40477F08"/>
    <w:rsid w:val="406749CA"/>
    <w:rsid w:val="4092603E"/>
    <w:rsid w:val="41630D72"/>
    <w:rsid w:val="42521512"/>
    <w:rsid w:val="427404C3"/>
    <w:rsid w:val="444E76B8"/>
    <w:rsid w:val="44580936"/>
    <w:rsid w:val="44A27E03"/>
    <w:rsid w:val="45140D01"/>
    <w:rsid w:val="45181E73"/>
    <w:rsid w:val="455455A1"/>
    <w:rsid w:val="458D2861"/>
    <w:rsid w:val="46074E0D"/>
    <w:rsid w:val="4622744D"/>
    <w:rsid w:val="48366397"/>
    <w:rsid w:val="4A264C4E"/>
    <w:rsid w:val="4A840A50"/>
    <w:rsid w:val="4AFE3E79"/>
    <w:rsid w:val="4B5F25AA"/>
    <w:rsid w:val="4B751A3A"/>
    <w:rsid w:val="4C2A2BB8"/>
    <w:rsid w:val="4C376F0B"/>
    <w:rsid w:val="4CCC5159"/>
    <w:rsid w:val="4CEF2F84"/>
    <w:rsid w:val="4CF17B79"/>
    <w:rsid w:val="4D785BA5"/>
    <w:rsid w:val="4EC07803"/>
    <w:rsid w:val="4F610FE6"/>
    <w:rsid w:val="4F886166"/>
    <w:rsid w:val="4FC61F04"/>
    <w:rsid w:val="50B05655"/>
    <w:rsid w:val="50D21D6D"/>
    <w:rsid w:val="517A013D"/>
    <w:rsid w:val="51BB2291"/>
    <w:rsid w:val="523F1C0D"/>
    <w:rsid w:val="53057EDB"/>
    <w:rsid w:val="533E519B"/>
    <w:rsid w:val="536A2433"/>
    <w:rsid w:val="547C1645"/>
    <w:rsid w:val="54B43966"/>
    <w:rsid w:val="567333AD"/>
    <w:rsid w:val="567535C9"/>
    <w:rsid w:val="58B55EFF"/>
    <w:rsid w:val="58C12AF6"/>
    <w:rsid w:val="58CE0D6F"/>
    <w:rsid w:val="590824D3"/>
    <w:rsid w:val="5937239D"/>
    <w:rsid w:val="59B12B6A"/>
    <w:rsid w:val="5A025174"/>
    <w:rsid w:val="5A8E07B6"/>
    <w:rsid w:val="5AB87F28"/>
    <w:rsid w:val="5ABD72ED"/>
    <w:rsid w:val="5C266AB1"/>
    <w:rsid w:val="5D86767D"/>
    <w:rsid w:val="5DA84284"/>
    <w:rsid w:val="5E2C21A1"/>
    <w:rsid w:val="5E960581"/>
    <w:rsid w:val="60340051"/>
    <w:rsid w:val="603718EF"/>
    <w:rsid w:val="603B13E0"/>
    <w:rsid w:val="6090779F"/>
    <w:rsid w:val="60AA0313"/>
    <w:rsid w:val="61686204"/>
    <w:rsid w:val="61D339C5"/>
    <w:rsid w:val="622A5268"/>
    <w:rsid w:val="623E2002"/>
    <w:rsid w:val="639C0E1B"/>
    <w:rsid w:val="64485E79"/>
    <w:rsid w:val="64C9520C"/>
    <w:rsid w:val="6506448B"/>
    <w:rsid w:val="65B25CA0"/>
    <w:rsid w:val="65B55790"/>
    <w:rsid w:val="66061B48"/>
    <w:rsid w:val="668533B4"/>
    <w:rsid w:val="66ED0F5A"/>
    <w:rsid w:val="672B4A5B"/>
    <w:rsid w:val="672D4457"/>
    <w:rsid w:val="681D761D"/>
    <w:rsid w:val="68F44821"/>
    <w:rsid w:val="692C5D69"/>
    <w:rsid w:val="695D4175"/>
    <w:rsid w:val="69D02B99"/>
    <w:rsid w:val="6A08622D"/>
    <w:rsid w:val="6A244C92"/>
    <w:rsid w:val="6BF6440D"/>
    <w:rsid w:val="6C296590"/>
    <w:rsid w:val="6C494E84"/>
    <w:rsid w:val="6CF97917"/>
    <w:rsid w:val="6D07518F"/>
    <w:rsid w:val="6D922AA9"/>
    <w:rsid w:val="6D981C1F"/>
    <w:rsid w:val="6DE9021D"/>
    <w:rsid w:val="6E2C05BA"/>
    <w:rsid w:val="6F993A2D"/>
    <w:rsid w:val="6FA7614A"/>
    <w:rsid w:val="701E3F32"/>
    <w:rsid w:val="70950698"/>
    <w:rsid w:val="70B44AA8"/>
    <w:rsid w:val="71737458"/>
    <w:rsid w:val="719E532A"/>
    <w:rsid w:val="72121874"/>
    <w:rsid w:val="72185876"/>
    <w:rsid w:val="723847F1"/>
    <w:rsid w:val="73CC79FC"/>
    <w:rsid w:val="74416441"/>
    <w:rsid w:val="7521074C"/>
    <w:rsid w:val="752244C4"/>
    <w:rsid w:val="75874327"/>
    <w:rsid w:val="75E52983"/>
    <w:rsid w:val="75FB71EF"/>
    <w:rsid w:val="76992564"/>
    <w:rsid w:val="76BD26F7"/>
    <w:rsid w:val="773A3D47"/>
    <w:rsid w:val="775A6197"/>
    <w:rsid w:val="7785787E"/>
    <w:rsid w:val="78175E36"/>
    <w:rsid w:val="78BB1179"/>
    <w:rsid w:val="78BB2C66"/>
    <w:rsid w:val="79703A50"/>
    <w:rsid w:val="79BA116F"/>
    <w:rsid w:val="79BA2F1D"/>
    <w:rsid w:val="79E61F64"/>
    <w:rsid w:val="7A0917AF"/>
    <w:rsid w:val="7A1C7FC7"/>
    <w:rsid w:val="7B904B10"/>
    <w:rsid w:val="7C4116D4"/>
    <w:rsid w:val="7D342FE7"/>
    <w:rsid w:val="7E0303C7"/>
    <w:rsid w:val="7ED00AED"/>
    <w:rsid w:val="7F283B4E"/>
    <w:rsid w:val="7FDC7DA8"/>
    <w:rsid w:val="7FE03E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nhideWhenUsed="0" w:uiPriority="0" w:semiHidden="0" w:name="toc 3"/>
    <w:lsdException w:uiPriority="39" w:name="toc 4"/>
    <w:lsdException w:uiPriority="39" w:name="toc 5"/>
    <w:lsdException w:qFormat="1" w:unhideWhenUsed="0" w:uiPriority="0" w:semiHidden="0"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link w:val="29"/>
    <w:qFormat/>
    <w:uiPriority w:val="0"/>
    <w:pPr>
      <w:keepNext/>
      <w:keepLines/>
      <w:tabs>
        <w:tab w:val="left" w:pos="432"/>
      </w:tabs>
      <w:spacing w:line="360" w:lineRule="auto"/>
      <w:ind w:left="432" w:hanging="432"/>
      <w:jc w:val="left"/>
      <w:outlineLvl w:val="1"/>
    </w:pPr>
    <w:rPr>
      <w:rFonts w:ascii="仿宋_GB2312" w:hAnsi="仿宋" w:eastAsia="仿宋_GB2312"/>
      <w:b/>
      <w:bCs/>
      <w:sz w:val="32"/>
      <w:szCs w:val="32"/>
      <w:lang w:val="zh-CN"/>
    </w:rPr>
  </w:style>
  <w:style w:type="paragraph" w:styleId="3">
    <w:name w:val="heading 3"/>
    <w:basedOn w:val="1"/>
    <w:next w:val="1"/>
    <w:link w:val="43"/>
    <w:unhideWhenUsed/>
    <w:qFormat/>
    <w:uiPriority w:val="9"/>
    <w:pPr>
      <w:keepNext/>
      <w:keepLines/>
      <w:spacing w:before="260" w:after="260" w:line="416" w:lineRule="auto"/>
      <w:outlineLvl w:val="2"/>
    </w:pPr>
    <w:rPr>
      <w:b/>
      <w:bCs/>
      <w:sz w:val="32"/>
      <w:szCs w:val="32"/>
    </w:rPr>
  </w:style>
  <w:style w:type="paragraph" w:styleId="4">
    <w:name w:val="heading 4"/>
    <w:basedOn w:val="1"/>
    <w:next w:val="1"/>
    <w:link w:val="44"/>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55"/>
    <w:qFormat/>
    <w:uiPriority w:val="0"/>
    <w:pPr>
      <w:widowControl/>
      <w:snapToGrid w:val="0"/>
      <w:spacing w:line="480" w:lineRule="exact"/>
      <w:ind w:firstLine="567"/>
    </w:pPr>
    <w:rPr>
      <w:rFonts w:ascii="宋体"/>
      <w:snapToGrid w:val="0"/>
      <w:color w:val="000000"/>
      <w:kern w:val="28"/>
      <w:sz w:val="28"/>
      <w:szCs w:val="20"/>
    </w:rPr>
  </w:style>
  <w:style w:type="paragraph" w:styleId="6">
    <w:name w:val="Body Text"/>
    <w:basedOn w:val="1"/>
    <w:next w:val="1"/>
    <w:link w:val="33"/>
    <w:qFormat/>
    <w:uiPriority w:val="0"/>
    <w:pPr>
      <w:autoSpaceDE w:val="0"/>
      <w:autoSpaceDN w:val="0"/>
      <w:spacing w:line="360" w:lineRule="auto"/>
    </w:pPr>
    <w:rPr>
      <w:rFonts w:ascii="宋体" w:hAnsi="Arial" w:cs="Arial"/>
      <w:snapToGrid w:val="0"/>
      <w:sz w:val="24"/>
      <w:szCs w:val="21"/>
      <w:lang w:val="zh-CN"/>
    </w:rPr>
  </w:style>
  <w:style w:type="paragraph" w:styleId="7">
    <w:name w:val="Body Text Indent"/>
    <w:basedOn w:val="1"/>
    <w:next w:val="1"/>
    <w:link w:val="30"/>
    <w:qFormat/>
    <w:uiPriority w:val="0"/>
    <w:pPr>
      <w:spacing w:line="480" w:lineRule="exact"/>
      <w:ind w:firstLine="480" w:firstLineChars="200"/>
    </w:pPr>
    <w:rPr>
      <w:rFonts w:ascii="宋体" w:hAnsi="宋体"/>
      <w:sz w:val="24"/>
    </w:rPr>
  </w:style>
  <w:style w:type="paragraph" w:styleId="8">
    <w:name w:val="toc 3"/>
    <w:basedOn w:val="1"/>
    <w:next w:val="1"/>
    <w:qFormat/>
    <w:uiPriority w:val="0"/>
    <w:pPr>
      <w:ind w:left="840" w:leftChars="400"/>
    </w:pPr>
    <w:rPr>
      <w:rFonts w:ascii="Times New Roman" w:hAnsi="Times New Roman"/>
    </w:rPr>
  </w:style>
  <w:style w:type="paragraph" w:styleId="9">
    <w:name w:val="Plain Text"/>
    <w:basedOn w:val="1"/>
    <w:link w:val="32"/>
    <w:qFormat/>
    <w:uiPriority w:val="0"/>
    <w:rPr>
      <w:rFonts w:ascii="宋体" w:hAnsi="Courier New" w:cs="Arial"/>
      <w:snapToGrid w:val="0"/>
      <w:szCs w:val="21"/>
    </w:rPr>
  </w:style>
  <w:style w:type="paragraph" w:styleId="10">
    <w:name w:val="Date"/>
    <w:basedOn w:val="1"/>
    <w:next w:val="1"/>
    <w:link w:val="31"/>
    <w:qFormat/>
    <w:uiPriority w:val="0"/>
    <w:pPr>
      <w:ind w:left="100" w:leftChars="2500"/>
    </w:pPr>
    <w:rPr>
      <w:rFonts w:ascii="宋体"/>
      <w:sz w:val="24"/>
      <w:szCs w:val="21"/>
      <w:lang w:val="zh-CN"/>
    </w:rPr>
  </w:style>
  <w:style w:type="paragraph" w:styleId="11">
    <w:name w:val="Balloon Text"/>
    <w:basedOn w:val="1"/>
    <w:link w:val="46"/>
    <w:unhideWhenUsed/>
    <w:qFormat/>
    <w:uiPriority w:val="99"/>
    <w:rPr>
      <w:sz w:val="18"/>
      <w:szCs w:val="18"/>
    </w:rPr>
  </w:style>
  <w:style w:type="paragraph" w:styleId="12">
    <w:name w:val="footer"/>
    <w:basedOn w:val="1"/>
    <w:link w:val="28"/>
    <w:unhideWhenUsed/>
    <w:qFormat/>
    <w:uiPriority w:val="99"/>
    <w:pPr>
      <w:tabs>
        <w:tab w:val="center" w:pos="4153"/>
        <w:tab w:val="right" w:pos="8306"/>
      </w:tabs>
      <w:snapToGrid w:val="0"/>
      <w:jc w:val="left"/>
    </w:pPr>
    <w:rPr>
      <w:sz w:val="18"/>
      <w:szCs w:val="18"/>
    </w:rPr>
  </w:style>
  <w:style w:type="paragraph" w:styleId="13">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6"/>
    <w:basedOn w:val="1"/>
    <w:next w:val="1"/>
    <w:qFormat/>
    <w:uiPriority w:val="0"/>
    <w:pPr>
      <w:ind w:left="1050"/>
      <w:jc w:val="left"/>
    </w:pPr>
    <w:rPr>
      <w:sz w:val="18"/>
      <w:szCs w:val="18"/>
    </w:rPr>
  </w:style>
  <w:style w:type="paragraph" w:styleId="15">
    <w:name w:val="Body Text Indent 3"/>
    <w:basedOn w:val="1"/>
    <w:link w:val="49"/>
    <w:qFormat/>
    <w:uiPriority w:val="0"/>
    <w:pPr>
      <w:spacing w:after="120"/>
      <w:ind w:left="420" w:leftChars="200"/>
    </w:pPr>
    <w:rPr>
      <w:rFonts w:ascii="Times New Roman" w:hAnsi="Times New Roman"/>
      <w:sz w:val="16"/>
      <w:szCs w:val="16"/>
    </w:rPr>
  </w:style>
  <w:style w:type="paragraph" w:styleId="16">
    <w:name w:val="Body Text First Indent"/>
    <w:basedOn w:val="6"/>
    <w:next w:val="14"/>
    <w:qFormat/>
    <w:uiPriority w:val="0"/>
    <w:pPr>
      <w:widowControl/>
      <w:spacing w:after="120" w:line="240" w:lineRule="auto"/>
      <w:ind w:firstLine="420" w:firstLineChars="100"/>
    </w:pPr>
    <w:rPr>
      <w:szCs w:val="20"/>
    </w:rPr>
  </w:style>
  <w:style w:type="paragraph" w:styleId="17">
    <w:name w:val="Body Text First Indent 2"/>
    <w:basedOn w:val="7"/>
    <w:link w:val="52"/>
    <w:unhideWhenUsed/>
    <w:qFormat/>
    <w:uiPriority w:val="99"/>
    <w:pPr>
      <w:spacing w:after="120" w:line="240" w:lineRule="auto"/>
      <w:ind w:left="420" w:leftChars="200" w:firstLine="420"/>
    </w:pPr>
    <w:rPr>
      <w:rFonts w:ascii="Calibri" w:hAnsi="Calibri"/>
      <w:sz w:val="21"/>
    </w:rPr>
  </w:style>
  <w:style w:type="table" w:styleId="19">
    <w:name w:val="Table Grid"/>
    <w:basedOn w:val="18"/>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22"/>
    <w:rPr>
      <w:b/>
    </w:rPr>
  </w:style>
  <w:style w:type="character" w:styleId="22">
    <w:name w:val="page number"/>
    <w:basedOn w:val="20"/>
    <w:qFormat/>
    <w:uiPriority w:val="0"/>
    <w:rPr>
      <w:rFonts w:ascii="Arial" w:hAnsi="Arial" w:eastAsia="黑体" w:cs="Arial"/>
      <w:snapToGrid w:val="0"/>
      <w:kern w:val="0"/>
      <w:szCs w:val="21"/>
    </w:rPr>
  </w:style>
  <w:style w:type="character" w:styleId="23">
    <w:name w:val="FollowedHyperlink"/>
    <w:basedOn w:val="20"/>
    <w:unhideWhenUsed/>
    <w:qFormat/>
    <w:uiPriority w:val="99"/>
    <w:rPr>
      <w:color w:val="800080"/>
      <w:u w:val="none"/>
    </w:rPr>
  </w:style>
  <w:style w:type="character" w:styleId="24">
    <w:name w:val="Hyperlink"/>
    <w:qFormat/>
    <w:uiPriority w:val="99"/>
    <w:rPr>
      <w:rFonts w:ascii="Arial" w:hAnsi="Arial" w:eastAsia="黑体" w:cs="Arial"/>
      <w:snapToGrid w:val="0"/>
      <w:color w:val="000000"/>
      <w:kern w:val="0"/>
      <w:sz w:val="18"/>
      <w:szCs w:val="18"/>
      <w:u w:val="none"/>
    </w:rPr>
  </w:style>
  <w:style w:type="paragraph" w:customStyle="1" w:styleId="25">
    <w:name w:val="_Style 3"/>
    <w:basedOn w:val="1"/>
    <w:qFormat/>
    <w:uiPriority w:val="1"/>
    <w:pPr>
      <w:ind w:firstLine="420" w:firstLineChars="200"/>
    </w:pPr>
    <w:rPr>
      <w:rFonts w:eastAsia="仿宋_GB2312"/>
      <w:sz w:val="28"/>
    </w:rPr>
  </w:style>
  <w:style w:type="paragraph" w:customStyle="1" w:styleId="26">
    <w:name w:val="列出段落1"/>
    <w:basedOn w:val="1"/>
    <w:unhideWhenUsed/>
    <w:qFormat/>
    <w:uiPriority w:val="99"/>
    <w:pPr>
      <w:ind w:firstLine="420" w:firstLineChars="200"/>
    </w:pPr>
  </w:style>
  <w:style w:type="character" w:customStyle="1" w:styleId="27">
    <w:name w:val="页眉 Char"/>
    <w:basedOn w:val="20"/>
    <w:link w:val="13"/>
    <w:qFormat/>
    <w:uiPriority w:val="99"/>
    <w:rPr>
      <w:sz w:val="18"/>
      <w:szCs w:val="18"/>
    </w:rPr>
  </w:style>
  <w:style w:type="character" w:customStyle="1" w:styleId="28">
    <w:name w:val="页脚 Char"/>
    <w:basedOn w:val="20"/>
    <w:link w:val="12"/>
    <w:qFormat/>
    <w:uiPriority w:val="99"/>
    <w:rPr>
      <w:sz w:val="18"/>
      <w:szCs w:val="18"/>
    </w:rPr>
  </w:style>
  <w:style w:type="character" w:customStyle="1" w:styleId="29">
    <w:name w:val="标题 2 Char"/>
    <w:basedOn w:val="20"/>
    <w:link w:val="2"/>
    <w:qFormat/>
    <w:uiPriority w:val="0"/>
    <w:rPr>
      <w:rFonts w:ascii="仿宋_GB2312" w:hAnsi="仿宋" w:eastAsia="仿宋_GB2312" w:cs="Times New Roman"/>
      <w:b/>
      <w:bCs/>
      <w:sz w:val="32"/>
      <w:szCs w:val="32"/>
      <w:lang w:val="zh-CN"/>
    </w:rPr>
  </w:style>
  <w:style w:type="character" w:customStyle="1" w:styleId="30">
    <w:name w:val="正文文本缩进 Char"/>
    <w:basedOn w:val="20"/>
    <w:link w:val="7"/>
    <w:qFormat/>
    <w:uiPriority w:val="0"/>
    <w:rPr>
      <w:rFonts w:ascii="宋体" w:hAnsi="宋体" w:eastAsia="宋体" w:cs="Times New Roman"/>
      <w:sz w:val="24"/>
      <w:szCs w:val="24"/>
    </w:rPr>
  </w:style>
  <w:style w:type="character" w:customStyle="1" w:styleId="31">
    <w:name w:val="日期 Char"/>
    <w:basedOn w:val="20"/>
    <w:link w:val="10"/>
    <w:qFormat/>
    <w:uiPriority w:val="0"/>
    <w:rPr>
      <w:rFonts w:ascii="宋体" w:hAnsi="Calibri" w:eastAsia="宋体" w:cs="Times New Roman"/>
      <w:sz w:val="24"/>
      <w:szCs w:val="21"/>
      <w:lang w:val="zh-CN"/>
    </w:rPr>
  </w:style>
  <w:style w:type="character" w:customStyle="1" w:styleId="32">
    <w:name w:val="纯文本 Char"/>
    <w:basedOn w:val="20"/>
    <w:link w:val="9"/>
    <w:qFormat/>
    <w:uiPriority w:val="0"/>
    <w:rPr>
      <w:rFonts w:ascii="宋体" w:hAnsi="Courier New" w:eastAsia="宋体" w:cs="Arial"/>
      <w:snapToGrid w:val="0"/>
      <w:szCs w:val="21"/>
    </w:rPr>
  </w:style>
  <w:style w:type="character" w:customStyle="1" w:styleId="33">
    <w:name w:val="正文文本 Char"/>
    <w:basedOn w:val="20"/>
    <w:link w:val="6"/>
    <w:qFormat/>
    <w:uiPriority w:val="0"/>
    <w:rPr>
      <w:rFonts w:ascii="宋体" w:hAnsi="Arial" w:eastAsia="宋体" w:cs="Arial"/>
      <w:snapToGrid w:val="0"/>
      <w:sz w:val="24"/>
      <w:szCs w:val="21"/>
      <w:lang w:val="zh-CN"/>
    </w:rPr>
  </w:style>
  <w:style w:type="paragraph" w:customStyle="1" w:styleId="34">
    <w:name w:val="索引 11"/>
    <w:basedOn w:val="1"/>
    <w:next w:val="1"/>
    <w:qFormat/>
    <w:uiPriority w:val="99"/>
    <w:pPr>
      <w:spacing w:line="360" w:lineRule="auto"/>
    </w:pPr>
    <w:rPr>
      <w:rFonts w:ascii="仿宋_GB2312" w:eastAsia="仿宋_GB2312"/>
      <w:sz w:val="24"/>
      <w:szCs w:val="20"/>
    </w:rPr>
  </w:style>
  <w:style w:type="paragraph" w:customStyle="1" w:styleId="35">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37">
    <w:name w:val="text-tag"/>
    <w:basedOn w:val="1"/>
    <w:semiHidden/>
    <w:qFormat/>
    <w:uiPriority w:val="99"/>
    <w:pPr>
      <w:widowControl/>
      <w:spacing w:before="100" w:beforeAutospacing="1" w:after="100" w:afterAutospacing="1"/>
      <w:jc w:val="left"/>
    </w:pPr>
    <w:rPr>
      <w:rFonts w:ascii="宋体" w:hAnsi="宋体" w:cs="宋体"/>
      <w:kern w:val="0"/>
      <w:sz w:val="24"/>
    </w:rPr>
  </w:style>
  <w:style w:type="paragraph" w:customStyle="1" w:styleId="38">
    <w:name w:val="纯文本1"/>
    <w:basedOn w:val="1"/>
    <w:qFormat/>
    <w:uiPriority w:val="0"/>
    <w:rPr>
      <w:rFonts w:ascii="宋体" w:hAnsi="Courier New"/>
      <w:kern w:val="0"/>
      <w:sz w:val="20"/>
      <w:szCs w:val="20"/>
    </w:rPr>
  </w:style>
  <w:style w:type="paragraph" w:customStyle="1" w:styleId="3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0">
    <w:name w:val="纯文本_0_0"/>
    <w:basedOn w:val="39"/>
    <w:qFormat/>
    <w:uiPriority w:val="0"/>
    <w:rPr>
      <w:rFonts w:ascii="宋体" w:hAnsi="Courier New"/>
      <w:szCs w:val="21"/>
    </w:rPr>
  </w:style>
  <w:style w:type="paragraph" w:customStyle="1" w:styleId="41">
    <w:name w:val="正文2"/>
    <w:basedOn w:val="1"/>
    <w:qFormat/>
    <w:uiPriority w:val="0"/>
    <w:pPr>
      <w:spacing w:before="156" w:line="360" w:lineRule="auto"/>
      <w:ind w:firstLine="510" w:firstLineChars="200"/>
    </w:pPr>
    <w:rPr>
      <w:sz w:val="24"/>
      <w:szCs w:val="20"/>
    </w:rPr>
  </w:style>
  <w:style w:type="paragraph" w:customStyle="1" w:styleId="42">
    <w:name w:val="正文缩进1"/>
    <w:basedOn w:val="1"/>
    <w:next w:val="7"/>
    <w:qFormat/>
    <w:uiPriority w:val="0"/>
    <w:pPr>
      <w:autoSpaceDE w:val="0"/>
      <w:autoSpaceDN w:val="0"/>
      <w:snapToGrid w:val="0"/>
      <w:spacing w:after="120" w:line="360" w:lineRule="auto"/>
      <w:ind w:left="420" w:leftChars="200" w:firstLine="480" w:firstLineChars="200"/>
    </w:pPr>
    <w:rPr>
      <w:sz w:val="24"/>
      <w:szCs w:val="21"/>
    </w:rPr>
  </w:style>
  <w:style w:type="character" w:customStyle="1" w:styleId="43">
    <w:name w:val="标题 3 Char"/>
    <w:basedOn w:val="20"/>
    <w:link w:val="3"/>
    <w:semiHidden/>
    <w:qFormat/>
    <w:uiPriority w:val="9"/>
    <w:rPr>
      <w:rFonts w:ascii="Calibri" w:hAnsi="Calibri" w:eastAsia="宋体" w:cs="Times New Roman"/>
      <w:b/>
      <w:bCs/>
      <w:sz w:val="32"/>
      <w:szCs w:val="32"/>
    </w:rPr>
  </w:style>
  <w:style w:type="character" w:customStyle="1" w:styleId="44">
    <w:name w:val="标题 4 Char"/>
    <w:basedOn w:val="20"/>
    <w:link w:val="4"/>
    <w:semiHidden/>
    <w:qFormat/>
    <w:uiPriority w:val="9"/>
    <w:rPr>
      <w:rFonts w:asciiTheme="majorHAnsi" w:hAnsiTheme="majorHAnsi" w:eastAsiaTheme="majorEastAsia" w:cstheme="majorBidi"/>
      <w:b/>
      <w:bCs/>
      <w:sz w:val="28"/>
      <w:szCs w:val="28"/>
    </w:rPr>
  </w:style>
  <w:style w:type="paragraph" w:customStyle="1" w:styleId="45">
    <w:name w:val="标题4"/>
    <w:basedOn w:val="1"/>
    <w:qFormat/>
    <w:uiPriority w:val="0"/>
    <w:rPr>
      <w:rFonts w:ascii="Times New Roman" w:hAnsi="Times New Roman" w:eastAsia="仿宋_GB2312"/>
      <w:sz w:val="32"/>
      <w:szCs w:val="20"/>
    </w:rPr>
  </w:style>
  <w:style w:type="character" w:customStyle="1" w:styleId="46">
    <w:name w:val="批注框文本 Char"/>
    <w:basedOn w:val="20"/>
    <w:link w:val="11"/>
    <w:semiHidden/>
    <w:qFormat/>
    <w:uiPriority w:val="99"/>
    <w:rPr>
      <w:rFonts w:ascii="Calibri" w:hAnsi="Calibri" w:eastAsia="宋体" w:cs="Times New Roman"/>
      <w:sz w:val="18"/>
      <w:szCs w:val="18"/>
    </w:rPr>
  </w:style>
  <w:style w:type="character" w:customStyle="1" w:styleId="47">
    <w:name w:val="List Paragraph Char"/>
    <w:link w:val="48"/>
    <w:qFormat/>
    <w:locked/>
    <w:uiPriority w:val="0"/>
    <w:rPr>
      <w:rFonts w:ascii="Times New Roman" w:hAnsi="Times New Roman"/>
      <w:szCs w:val="24"/>
    </w:rPr>
  </w:style>
  <w:style w:type="paragraph" w:customStyle="1" w:styleId="48">
    <w:name w:val="列出段落11"/>
    <w:basedOn w:val="1"/>
    <w:link w:val="47"/>
    <w:qFormat/>
    <w:uiPriority w:val="0"/>
    <w:pPr>
      <w:ind w:firstLine="420" w:firstLineChars="200"/>
    </w:pPr>
    <w:rPr>
      <w:rFonts w:ascii="Times New Roman" w:hAnsi="Times New Roman" w:eastAsiaTheme="minorEastAsia" w:cstheme="minorBidi"/>
    </w:rPr>
  </w:style>
  <w:style w:type="character" w:customStyle="1" w:styleId="49">
    <w:name w:val="正文文本缩进 3 Char"/>
    <w:basedOn w:val="20"/>
    <w:link w:val="15"/>
    <w:qFormat/>
    <w:uiPriority w:val="0"/>
    <w:rPr>
      <w:rFonts w:ascii="Times New Roman" w:hAnsi="Times New Roman" w:eastAsia="宋体" w:cs="Times New Roman"/>
      <w:kern w:val="2"/>
      <w:sz w:val="16"/>
      <w:szCs w:val="16"/>
    </w:rPr>
  </w:style>
  <w:style w:type="paragraph" w:customStyle="1" w:styleId="50">
    <w:name w:val="正文空格"/>
    <w:basedOn w:val="1"/>
    <w:next w:val="1"/>
    <w:qFormat/>
    <w:uiPriority w:val="0"/>
    <w:pPr>
      <w:spacing w:line="400" w:lineRule="exact"/>
      <w:ind w:firstLine="200" w:firstLineChars="200"/>
    </w:pPr>
    <w:rPr>
      <w:sz w:val="24"/>
      <w:szCs w:val="22"/>
    </w:rPr>
  </w:style>
  <w:style w:type="paragraph" w:customStyle="1" w:styleId="51">
    <w:name w:val="列出段落2"/>
    <w:basedOn w:val="1"/>
    <w:qFormat/>
    <w:uiPriority w:val="34"/>
    <w:pPr>
      <w:ind w:firstLine="420" w:firstLineChars="200"/>
    </w:pPr>
    <w:rPr>
      <w:kern w:val="0"/>
      <w:sz w:val="20"/>
      <w:szCs w:val="20"/>
    </w:rPr>
  </w:style>
  <w:style w:type="character" w:customStyle="1" w:styleId="52">
    <w:name w:val="正文首行缩进 2 Char"/>
    <w:basedOn w:val="30"/>
    <w:link w:val="17"/>
    <w:semiHidden/>
    <w:qFormat/>
    <w:uiPriority w:val="99"/>
    <w:rPr>
      <w:rFonts w:ascii="Calibri" w:hAnsi="Calibri" w:eastAsia="宋体" w:cs="Times New Roman"/>
      <w:kern w:val="2"/>
      <w:sz w:val="21"/>
      <w:szCs w:val="24"/>
    </w:rPr>
  </w:style>
  <w:style w:type="character" w:customStyle="1" w:styleId="53">
    <w:name w:val="font31"/>
    <w:basedOn w:val="20"/>
    <w:qFormat/>
    <w:uiPriority w:val="0"/>
    <w:rPr>
      <w:rFonts w:hint="eastAsia" w:ascii="宋体" w:hAnsi="宋体" w:eastAsia="宋体" w:cs="宋体"/>
      <w:color w:val="000000"/>
      <w:sz w:val="21"/>
      <w:szCs w:val="21"/>
      <w:u w:val="none"/>
    </w:rPr>
  </w:style>
  <w:style w:type="character" w:customStyle="1" w:styleId="54">
    <w:name w:val="textcolor1"/>
    <w:basedOn w:val="20"/>
    <w:qFormat/>
    <w:uiPriority w:val="0"/>
    <w:rPr>
      <w:color w:val="FF6600"/>
    </w:rPr>
  </w:style>
  <w:style w:type="character" w:customStyle="1" w:styleId="55">
    <w:name w:val="正文缩进 Char"/>
    <w:link w:val="5"/>
    <w:qFormat/>
    <w:uiPriority w:val="99"/>
    <w:rPr>
      <w:rFonts w:ascii="宋体" w:hAnsi="Calibri"/>
      <w:snapToGrid w:val="0"/>
      <w:color w:val="000000"/>
      <w:kern w:val="28"/>
      <w:sz w:val="28"/>
    </w:rPr>
  </w:style>
  <w:style w:type="character" w:customStyle="1" w:styleId="56">
    <w:name w:val="标题 3 Char1"/>
    <w:qFormat/>
    <w:uiPriority w:val="0"/>
    <w:rPr>
      <w:rFonts w:ascii="Calibri" w:hAnsi="Calibri" w:eastAsia="宋体"/>
      <w:b/>
      <w:bCs/>
      <w:kern w:val="2"/>
      <w:sz w:val="32"/>
      <w:szCs w:val="32"/>
      <w:lang w:val="en-US" w:eastAsia="zh-CN" w:bidi="ar-SA"/>
    </w:rPr>
  </w:style>
  <w:style w:type="paragraph" w:customStyle="1" w:styleId="57">
    <w:name w:val="正文1"/>
    <w:basedOn w:val="8"/>
    <w:next w:val="1"/>
    <w:qFormat/>
    <w:uiPriority w:val="0"/>
    <w:pPr>
      <w:tabs>
        <w:tab w:val="right" w:leader="dot" w:pos="8268"/>
      </w:tabs>
      <w:adjustRightInd w:val="0"/>
      <w:spacing w:line="318" w:lineRule="atLeast"/>
      <w:ind w:left="369" w:firstLine="369"/>
      <w:textAlignment w:val="baseline"/>
    </w:pPr>
    <w:rPr>
      <w:rFonts w:ascii="宋体"/>
      <w:szCs w:val="20"/>
    </w:rPr>
  </w:style>
  <w:style w:type="paragraph" w:customStyle="1" w:styleId="58">
    <w:name w:val="纯文本_5_0"/>
    <w:basedOn w:val="59"/>
    <w:qFormat/>
    <w:uiPriority w:val="0"/>
    <w:rPr>
      <w:rFonts w:ascii="宋体" w:hAnsi="Courier New"/>
      <w:szCs w:val="20"/>
    </w:rPr>
  </w:style>
  <w:style w:type="paragraph" w:customStyle="1" w:styleId="59">
    <w:name w:val="正文_14"/>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60">
    <w:name w:val="font61"/>
    <w:basedOn w:val="20"/>
    <w:qFormat/>
    <w:uiPriority w:val="0"/>
    <w:rPr>
      <w:rFonts w:hint="eastAsia" w:ascii="宋体" w:hAnsi="宋体" w:eastAsia="宋体" w:cs="宋体"/>
      <w:color w:val="000000"/>
      <w:sz w:val="18"/>
      <w:szCs w:val="18"/>
      <w:u w:val="none"/>
    </w:rPr>
  </w:style>
  <w:style w:type="character" w:customStyle="1" w:styleId="61">
    <w:name w:val="font71"/>
    <w:basedOn w:val="20"/>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9" Type="http://schemas.openxmlformats.org/officeDocument/2006/relationships/fontTable" Target="fontTable.xml"/><Relationship Id="rId68" Type="http://schemas.openxmlformats.org/officeDocument/2006/relationships/numbering" Target="numbering.xml"/><Relationship Id="rId67" Type="http://schemas.openxmlformats.org/officeDocument/2006/relationships/image" Target="media/image56.png"/><Relationship Id="rId66" Type="http://schemas.openxmlformats.org/officeDocument/2006/relationships/image" Target="media/image55.png"/><Relationship Id="rId65" Type="http://schemas.openxmlformats.org/officeDocument/2006/relationships/image" Target="media/image54.png"/><Relationship Id="rId64" Type="http://schemas.openxmlformats.org/officeDocument/2006/relationships/image" Target="media/image53.png"/><Relationship Id="rId63" Type="http://schemas.openxmlformats.org/officeDocument/2006/relationships/image" Target="media/image52.pn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footer" Target="footer2.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footer" Target="foot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header" Target="header2.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84</Pages>
  <Words>8771</Words>
  <Characters>10025</Characters>
  <Lines>353</Lines>
  <Paragraphs>99</Paragraphs>
  <TotalTime>0</TotalTime>
  <ScaleCrop>false</ScaleCrop>
  <LinksUpToDate>false</LinksUpToDate>
  <CharactersWithSpaces>10382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2022-09-28T09:25:00Z</dcterms:created>
  <dc:creator>Microsoft</dc:creator>
  <cp:lastModifiedBy>Ding.</cp:lastModifiedBy>
  <cp:lastPrinted>2024-04-19T05:09:00Z</cp:lastPrinted>
  <dcterms:modified xsi:type="dcterms:W3CDTF">2025-06-13T06:14:59Z</dcterms:modified>
  <cp:revision>169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A12025A4C1A0495C92A5218CFCA62A79</vt:lpwstr>
  </property>
  <property fmtid="{D5CDD505-2E9C-101B-9397-08002B2CF9AE}" pid="4" name="KSOTemplateDocerSaveRecord">
    <vt:lpwstr>eyJoZGlkIjoiZmMwODAzNDczODVkMWIxYjBiYmVjNjYzMjhkNjY1MTUiLCJ1c2VySWQiOiIxMjM4ODA1NDE2In0=</vt:lpwstr>
  </property>
</Properties>
</file>