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F715">
      <w:pPr>
        <w:shd w:val="clear"/>
        <w:spacing w:line="360" w:lineRule="auto"/>
        <w:jc w:val="center"/>
        <w:rPr>
          <w:rFonts w:cs="仿宋_GB2312" w:asciiTheme="majorEastAsia" w:hAnsiTheme="majorEastAsia" w:eastAsiaTheme="majorEastAsia"/>
          <w:color w:val="auto"/>
          <w:sz w:val="48"/>
          <w:szCs w:val="48"/>
          <w:highlight w:val="none"/>
        </w:rPr>
      </w:pPr>
      <w:bookmarkStart w:id="429" w:name="_GoBack"/>
      <w:bookmarkEnd w:id="429"/>
    </w:p>
    <w:p w14:paraId="2255DCA9">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奉化区江口街道园中村改造安置房建设工程（二期）配套幼儿园整体设备项目</w:t>
      </w:r>
    </w:p>
    <w:p w14:paraId="0689A6BD">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4AE70130">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47C3F0B3">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217</w:t>
      </w:r>
      <w:r>
        <w:rPr>
          <w:rFonts w:cs="仿宋_GB2312" w:asciiTheme="majorEastAsia" w:hAnsiTheme="majorEastAsia" w:eastAsiaTheme="majorEastAsia"/>
          <w:color w:val="auto"/>
          <w:sz w:val="30"/>
          <w:szCs w:val="30"/>
          <w:highlight w:val="none"/>
        </w:rPr>
        <w:t>D</w:t>
      </w:r>
    </w:p>
    <w:p w14:paraId="4A943A0E">
      <w:pPr>
        <w:shd w:val="clear"/>
        <w:spacing w:line="360" w:lineRule="auto"/>
        <w:rPr>
          <w:rFonts w:cs="仿宋_GB2312" w:asciiTheme="majorEastAsia" w:hAnsiTheme="majorEastAsia" w:eastAsiaTheme="majorEastAsia"/>
          <w:color w:val="auto"/>
          <w:sz w:val="28"/>
          <w:szCs w:val="20"/>
          <w:highlight w:val="none"/>
        </w:rPr>
      </w:pPr>
    </w:p>
    <w:p w14:paraId="2F53364A">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2EDE41AC">
      <w:pPr>
        <w:shd w:val="clear"/>
        <w:spacing w:line="360" w:lineRule="auto"/>
        <w:jc w:val="center"/>
        <w:rPr>
          <w:rFonts w:cs="仿宋_GB2312" w:asciiTheme="majorEastAsia" w:hAnsiTheme="majorEastAsia" w:eastAsiaTheme="majorEastAsia"/>
          <w:b/>
          <w:color w:val="auto"/>
          <w:sz w:val="44"/>
          <w:szCs w:val="44"/>
          <w:highlight w:val="none"/>
        </w:rPr>
      </w:pPr>
    </w:p>
    <w:p w14:paraId="66697CEC">
      <w:pPr>
        <w:pStyle w:val="25"/>
        <w:shd w:val="clear"/>
        <w:ind w:firstLine="560"/>
        <w:rPr>
          <w:color w:val="auto"/>
          <w:highlight w:val="none"/>
        </w:rPr>
      </w:pPr>
    </w:p>
    <w:p w14:paraId="7737A165">
      <w:pPr>
        <w:pStyle w:val="25"/>
        <w:shd w:val="clear"/>
        <w:ind w:firstLine="560"/>
        <w:rPr>
          <w:color w:val="auto"/>
          <w:highlight w:val="none"/>
        </w:rPr>
      </w:pPr>
    </w:p>
    <w:p w14:paraId="19B4E595">
      <w:pPr>
        <w:pStyle w:val="25"/>
        <w:shd w:val="clear"/>
        <w:ind w:firstLine="560"/>
        <w:rPr>
          <w:color w:val="auto"/>
          <w:highlight w:val="none"/>
        </w:rPr>
      </w:pPr>
    </w:p>
    <w:p w14:paraId="0E040C8C">
      <w:pPr>
        <w:pStyle w:val="25"/>
        <w:shd w:val="clear"/>
        <w:ind w:firstLine="560"/>
        <w:rPr>
          <w:color w:val="auto"/>
          <w:highlight w:val="none"/>
        </w:rPr>
      </w:pPr>
    </w:p>
    <w:p w14:paraId="157FE0E4">
      <w:pPr>
        <w:pStyle w:val="25"/>
        <w:shd w:val="clear"/>
        <w:ind w:firstLine="560"/>
        <w:rPr>
          <w:color w:val="auto"/>
          <w:highlight w:val="none"/>
        </w:rPr>
      </w:pPr>
    </w:p>
    <w:p w14:paraId="30ABC25F">
      <w:pPr>
        <w:pStyle w:val="25"/>
        <w:shd w:val="clear"/>
        <w:ind w:firstLine="560"/>
        <w:rPr>
          <w:color w:val="auto"/>
          <w:highlight w:val="none"/>
        </w:rPr>
      </w:pPr>
    </w:p>
    <w:p w14:paraId="44795940">
      <w:pPr>
        <w:shd w:val="clear"/>
        <w:spacing w:line="360" w:lineRule="auto"/>
        <w:jc w:val="center"/>
        <w:rPr>
          <w:rFonts w:cs="仿宋_GB2312" w:asciiTheme="majorEastAsia" w:hAnsiTheme="majorEastAsia" w:eastAsiaTheme="majorEastAsia"/>
          <w:color w:val="auto"/>
          <w:sz w:val="32"/>
          <w:szCs w:val="32"/>
          <w:highlight w:val="none"/>
        </w:rPr>
      </w:pPr>
    </w:p>
    <w:p w14:paraId="533E6ED4">
      <w:pPr>
        <w:shd w:val="clear"/>
        <w:snapToGrid w:val="0"/>
        <w:spacing w:line="360" w:lineRule="auto"/>
        <w:ind w:firstLine="960" w:firstLineChars="3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采购人：宁波市奉化区教育发展投资有限责任公司</w:t>
      </w:r>
    </w:p>
    <w:p w14:paraId="3B41B84B">
      <w:pPr>
        <w:shd w:val="clear"/>
        <w:spacing w:line="360" w:lineRule="auto"/>
        <w:ind w:firstLine="960" w:firstLineChars="300"/>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4F4B2B63">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56583C71">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二零二五年</w:t>
      </w:r>
    </w:p>
    <w:p w14:paraId="3C26FA6C">
      <w:pPr>
        <w:shd w:val="clear"/>
        <w:spacing w:line="360" w:lineRule="auto"/>
        <w:jc w:val="center"/>
        <w:rPr>
          <w:rFonts w:cs="仿宋_GB2312" w:asciiTheme="majorEastAsia" w:hAnsiTheme="majorEastAsia" w:eastAsiaTheme="majorEastAsia"/>
          <w:color w:val="auto"/>
          <w:sz w:val="24"/>
          <w:highlight w:val="none"/>
        </w:rPr>
      </w:pPr>
      <w:bookmarkStart w:id="0" w:name="_Hlt67893495"/>
      <w:bookmarkEnd w:id="0"/>
    </w:p>
    <w:p w14:paraId="0839EE18">
      <w:pPr>
        <w:shd w:val="clear"/>
        <w:spacing w:line="360" w:lineRule="auto"/>
        <w:jc w:val="center"/>
        <w:rPr>
          <w:rFonts w:cs="仿宋_GB2312" w:asciiTheme="majorEastAsia" w:hAnsiTheme="majorEastAsia" w:eastAsiaTheme="majorEastAsia"/>
          <w:color w:val="auto"/>
          <w:sz w:val="24"/>
          <w:highlight w:val="none"/>
        </w:rPr>
      </w:pPr>
    </w:p>
    <w:p w14:paraId="2D938C10">
      <w:pPr>
        <w:shd w:val="clear"/>
        <w:spacing w:line="360" w:lineRule="auto"/>
        <w:jc w:val="center"/>
        <w:rPr>
          <w:rFonts w:cs="仿宋_GB2312" w:asciiTheme="majorEastAsia" w:hAnsiTheme="majorEastAsia" w:eastAsiaTheme="majorEastAsia"/>
          <w:b/>
          <w:color w:val="auto"/>
          <w:sz w:val="48"/>
          <w:szCs w:val="48"/>
          <w:highlight w:val="none"/>
        </w:rPr>
      </w:pPr>
    </w:p>
    <w:p w14:paraId="4BA0B7F2">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0EB0F7B9">
      <w:pPr>
        <w:shd w:val="clear"/>
        <w:spacing w:line="360" w:lineRule="auto"/>
        <w:rPr>
          <w:rFonts w:cs="仿宋_GB2312" w:asciiTheme="majorEastAsia" w:hAnsiTheme="majorEastAsia" w:eastAsiaTheme="majorEastAsia"/>
          <w:color w:val="auto"/>
          <w:sz w:val="32"/>
          <w:szCs w:val="32"/>
          <w:highlight w:val="none"/>
        </w:rPr>
      </w:pPr>
    </w:p>
    <w:p w14:paraId="6DD38485">
      <w:pPr>
        <w:shd w:val="clear"/>
        <w:spacing w:line="360" w:lineRule="auto"/>
        <w:rPr>
          <w:rFonts w:cs="仿宋_GB2312" w:asciiTheme="majorEastAsia" w:hAnsiTheme="majorEastAsia" w:eastAsiaTheme="majorEastAsia"/>
          <w:color w:val="auto"/>
          <w:sz w:val="32"/>
          <w:szCs w:val="32"/>
          <w:highlight w:val="none"/>
        </w:rPr>
      </w:pPr>
    </w:p>
    <w:p w14:paraId="27B95A0B">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545D243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35B59B12">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3C93DC93">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0D1E6FFE">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30BE78BA">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67E9BEFE">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5C73DEC5">
      <w:pPr>
        <w:shd w:val="clear"/>
        <w:spacing w:line="360" w:lineRule="auto"/>
        <w:ind w:firstLine="549" w:firstLineChars="229"/>
        <w:rPr>
          <w:rFonts w:cs="仿宋" w:asciiTheme="majorEastAsia" w:hAnsiTheme="majorEastAsia" w:eastAsiaTheme="majorEastAsia"/>
          <w:color w:val="auto"/>
          <w:sz w:val="24"/>
          <w:highlight w:val="none"/>
        </w:rPr>
      </w:pPr>
    </w:p>
    <w:p w14:paraId="04D2A6E8">
      <w:pPr>
        <w:shd w:val="clear"/>
        <w:spacing w:line="360" w:lineRule="auto"/>
        <w:ind w:firstLine="549" w:firstLineChars="229"/>
        <w:rPr>
          <w:rFonts w:cs="仿宋" w:asciiTheme="majorEastAsia" w:hAnsiTheme="majorEastAsia" w:eastAsiaTheme="majorEastAsia"/>
          <w:color w:val="auto"/>
          <w:sz w:val="24"/>
          <w:highlight w:val="none"/>
        </w:rPr>
      </w:pPr>
    </w:p>
    <w:p w14:paraId="0E773049">
      <w:pPr>
        <w:shd w:val="clear"/>
        <w:spacing w:line="360" w:lineRule="auto"/>
        <w:ind w:firstLine="549" w:firstLineChars="229"/>
        <w:rPr>
          <w:rFonts w:cs="仿宋" w:asciiTheme="majorEastAsia" w:hAnsiTheme="majorEastAsia" w:eastAsiaTheme="majorEastAsia"/>
          <w:color w:val="auto"/>
          <w:sz w:val="24"/>
          <w:highlight w:val="none"/>
        </w:rPr>
      </w:pPr>
    </w:p>
    <w:p w14:paraId="23089E2C">
      <w:pPr>
        <w:shd w:val="clear"/>
        <w:spacing w:line="360" w:lineRule="auto"/>
        <w:ind w:firstLine="549" w:firstLineChars="229"/>
        <w:rPr>
          <w:rFonts w:cs="仿宋" w:asciiTheme="majorEastAsia" w:hAnsiTheme="majorEastAsia" w:eastAsiaTheme="majorEastAsia"/>
          <w:color w:val="auto"/>
          <w:sz w:val="24"/>
          <w:highlight w:val="none"/>
        </w:rPr>
      </w:pPr>
    </w:p>
    <w:p w14:paraId="1CB3E2BE">
      <w:pPr>
        <w:shd w:val="clear"/>
        <w:spacing w:line="360" w:lineRule="auto"/>
        <w:ind w:firstLine="549" w:firstLineChars="229"/>
        <w:rPr>
          <w:rFonts w:cs="仿宋" w:asciiTheme="majorEastAsia" w:hAnsiTheme="majorEastAsia" w:eastAsiaTheme="majorEastAsia"/>
          <w:color w:val="auto"/>
          <w:sz w:val="24"/>
          <w:highlight w:val="none"/>
        </w:rPr>
      </w:pPr>
    </w:p>
    <w:p w14:paraId="02BEF268">
      <w:pPr>
        <w:shd w:val="clear"/>
        <w:spacing w:line="360" w:lineRule="auto"/>
        <w:ind w:firstLine="549" w:firstLineChars="229"/>
        <w:rPr>
          <w:rFonts w:cs="仿宋" w:asciiTheme="majorEastAsia" w:hAnsiTheme="majorEastAsia" w:eastAsiaTheme="majorEastAsia"/>
          <w:color w:val="auto"/>
          <w:sz w:val="24"/>
          <w:highlight w:val="none"/>
        </w:rPr>
      </w:pPr>
    </w:p>
    <w:p w14:paraId="7B89244C">
      <w:pPr>
        <w:shd w:val="clear"/>
        <w:spacing w:line="360" w:lineRule="auto"/>
        <w:ind w:firstLine="549" w:firstLineChars="229"/>
        <w:rPr>
          <w:rFonts w:cs="仿宋" w:asciiTheme="majorEastAsia" w:hAnsiTheme="majorEastAsia" w:eastAsiaTheme="majorEastAsia"/>
          <w:color w:val="auto"/>
          <w:sz w:val="24"/>
          <w:highlight w:val="none"/>
        </w:rPr>
      </w:pPr>
    </w:p>
    <w:p w14:paraId="60FB92A0">
      <w:pPr>
        <w:shd w:val="clear"/>
        <w:spacing w:line="360" w:lineRule="auto"/>
        <w:ind w:firstLine="549" w:firstLineChars="229"/>
        <w:rPr>
          <w:rFonts w:cs="仿宋" w:asciiTheme="majorEastAsia" w:hAnsiTheme="majorEastAsia" w:eastAsiaTheme="majorEastAsia"/>
          <w:color w:val="auto"/>
          <w:sz w:val="24"/>
          <w:highlight w:val="none"/>
        </w:rPr>
      </w:pPr>
    </w:p>
    <w:p w14:paraId="20E9E428">
      <w:pPr>
        <w:shd w:val="clear"/>
        <w:spacing w:line="360" w:lineRule="auto"/>
        <w:ind w:firstLine="549" w:firstLineChars="229"/>
        <w:rPr>
          <w:rFonts w:cs="仿宋" w:asciiTheme="majorEastAsia" w:hAnsiTheme="majorEastAsia" w:eastAsiaTheme="majorEastAsia"/>
          <w:color w:val="auto"/>
          <w:sz w:val="24"/>
          <w:highlight w:val="none"/>
        </w:rPr>
      </w:pPr>
    </w:p>
    <w:p w14:paraId="6B0574DB">
      <w:pPr>
        <w:widowControl/>
        <w:shd w:val="clear"/>
        <w:jc w:val="left"/>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sz w:val="24"/>
          <w:highlight w:val="none"/>
        </w:rPr>
        <w:br w:type="page"/>
      </w:r>
    </w:p>
    <w:p w14:paraId="435F12C4">
      <w:pPr>
        <w:shd w:val="clear"/>
        <w:spacing w:line="360" w:lineRule="auto"/>
        <w:ind w:firstLine="549" w:firstLineChars="229"/>
        <w:rPr>
          <w:rFonts w:cs="仿宋" w:asciiTheme="majorEastAsia" w:hAnsiTheme="majorEastAsia" w:eastAsiaTheme="majorEastAsia"/>
          <w:color w:val="auto"/>
          <w:sz w:val="24"/>
          <w:highlight w:val="none"/>
        </w:rPr>
      </w:pPr>
    </w:p>
    <w:bookmarkEnd w:id="2"/>
    <w:p w14:paraId="4E8ED876">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 w:asciiTheme="majorEastAsia" w:hAnsiTheme="majorEastAsia" w:eastAsiaTheme="majorEastAsia"/>
          <w:b/>
          <w:color w:val="auto"/>
          <w:sz w:val="36"/>
          <w:szCs w:val="20"/>
          <w:highlight w:val="none"/>
        </w:rPr>
        <w:t>第一部分 招标公告</w:t>
      </w:r>
    </w:p>
    <w:p w14:paraId="03D79BE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07CDF8A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奉化区江口街道园中村改造安置房建设工程（二期）配套幼儿园整体设备项目</w:t>
      </w:r>
      <w:r>
        <w:rPr>
          <w:rFonts w:hint="eastAsia" w:cs="仿宋" w:asciiTheme="majorEastAsia" w:hAnsiTheme="majorEastAsia" w:eastAsiaTheme="majorEastAsia"/>
          <w:color w:val="auto"/>
          <w:sz w:val="24"/>
          <w:highlight w:val="none"/>
        </w:rPr>
        <w:t xml:space="preserve">的潜在供应商应在乐采云平台（ </w:t>
      </w:r>
      <w:r>
        <w:rPr>
          <w:color w:val="auto"/>
          <w:highlight w:val="none"/>
        </w:rPr>
        <w:fldChar w:fldCharType="begin"/>
      </w:r>
      <w:r>
        <w:rPr>
          <w:color w:val="auto"/>
          <w:highlight w:val="none"/>
        </w:rPr>
        <w:instrText xml:space="preserve"> HYPERLINK "https://www.zcygov.cn/）获取（下载）招标文件，并于2023年00月00日09点00分00秒" </w:instrText>
      </w:r>
      <w:r>
        <w:rPr>
          <w:color w:val="auto"/>
          <w:highlight w:val="none"/>
        </w:rPr>
        <w:fldChar w:fldCharType="separate"/>
      </w:r>
      <w:r>
        <w:rPr>
          <w:rStyle w:val="24"/>
          <w:rFonts w:hint="eastAsia" w:cs="仿宋" w:asciiTheme="majorEastAsia" w:hAnsiTheme="majorEastAsia" w:eastAsiaTheme="majorEastAsia"/>
          <w:color w:val="auto"/>
          <w:sz w:val="24"/>
          <w:szCs w:val="24"/>
          <w:highlight w:val="none"/>
        </w:rPr>
        <w:t>https://www.lecaiyun.com/）获取（下载）招标文件，并于</w:t>
      </w:r>
      <w:r>
        <w:rPr>
          <w:rStyle w:val="24"/>
          <w:rFonts w:hint="eastAsia" w:cs="仿宋" w:asciiTheme="majorEastAsia" w:hAnsiTheme="majorEastAsia" w:eastAsiaTheme="majorEastAsia"/>
          <w:color w:val="auto"/>
          <w:kern w:val="2"/>
          <w:sz w:val="24"/>
          <w:szCs w:val="24"/>
          <w:highlight w:val="none"/>
        </w:rPr>
        <w:t>2025年0</w:t>
      </w:r>
      <w:r>
        <w:rPr>
          <w:rStyle w:val="24"/>
          <w:rFonts w:hint="eastAsia" w:cs="仿宋" w:asciiTheme="majorEastAsia" w:hAnsiTheme="majorEastAsia" w:eastAsiaTheme="majorEastAsia"/>
          <w:color w:val="auto"/>
          <w:kern w:val="2"/>
          <w:sz w:val="24"/>
          <w:szCs w:val="24"/>
          <w:highlight w:val="none"/>
          <w:lang w:val="en-US" w:eastAsia="zh-CN"/>
        </w:rPr>
        <w:t>7</w:t>
      </w:r>
      <w:r>
        <w:rPr>
          <w:rStyle w:val="24"/>
          <w:rFonts w:hint="eastAsia" w:cs="仿宋" w:asciiTheme="majorEastAsia" w:hAnsiTheme="majorEastAsia" w:eastAsiaTheme="majorEastAsia"/>
          <w:color w:val="auto"/>
          <w:kern w:val="2"/>
          <w:sz w:val="24"/>
          <w:szCs w:val="24"/>
          <w:highlight w:val="none"/>
        </w:rPr>
        <w:t>月</w:t>
      </w:r>
      <w:r>
        <w:rPr>
          <w:rStyle w:val="24"/>
          <w:rFonts w:hint="eastAsia" w:cs="仿宋" w:asciiTheme="majorEastAsia" w:hAnsiTheme="majorEastAsia" w:eastAsiaTheme="majorEastAsia"/>
          <w:color w:val="auto"/>
          <w:kern w:val="2"/>
          <w:sz w:val="24"/>
          <w:szCs w:val="24"/>
          <w:highlight w:val="none"/>
          <w:lang w:val="en-US" w:eastAsia="zh-CN"/>
        </w:rPr>
        <w:t>22</w:t>
      </w:r>
      <w:r>
        <w:rPr>
          <w:rStyle w:val="24"/>
          <w:rFonts w:hint="eastAsia" w:cs="仿宋" w:asciiTheme="majorEastAsia" w:hAnsiTheme="majorEastAsia" w:eastAsiaTheme="majorEastAsia"/>
          <w:color w:val="auto"/>
          <w:kern w:val="2"/>
          <w:sz w:val="24"/>
          <w:szCs w:val="24"/>
          <w:highlight w:val="none"/>
        </w:rPr>
        <w:t>日</w:t>
      </w:r>
      <w:r>
        <w:rPr>
          <w:rStyle w:val="24"/>
          <w:rFonts w:hint="eastAsia" w:cs="仿宋" w:asciiTheme="majorEastAsia" w:hAnsiTheme="majorEastAsia" w:eastAsiaTheme="majorEastAsia"/>
          <w:color w:val="auto"/>
          <w:kern w:val="2"/>
          <w:sz w:val="24"/>
          <w:szCs w:val="24"/>
          <w:highlight w:val="none"/>
          <w:lang w:val="en-US" w:eastAsia="zh-CN"/>
        </w:rPr>
        <w:t>09</w:t>
      </w:r>
      <w:r>
        <w:rPr>
          <w:rStyle w:val="24"/>
          <w:rFonts w:hint="eastAsia" w:cs="仿宋" w:asciiTheme="majorEastAsia" w:hAnsiTheme="majorEastAsia" w:eastAsiaTheme="majorEastAsia"/>
          <w:color w:val="auto"/>
          <w:kern w:val="2"/>
          <w:sz w:val="24"/>
          <w:szCs w:val="24"/>
          <w:highlight w:val="none"/>
        </w:rPr>
        <w:t>点00分</w:t>
      </w:r>
      <w:r>
        <w:rPr>
          <w:rStyle w:val="24"/>
          <w:rFonts w:hint="eastAsia" w:cs="仿宋" w:asciiTheme="majorEastAsia" w:hAnsiTheme="majorEastAsia" w:eastAsiaTheme="majorEastAsia"/>
          <w:bCs/>
          <w:color w:val="auto"/>
          <w:kern w:val="2"/>
          <w:sz w:val="24"/>
          <w:szCs w:val="24"/>
          <w:highlight w:val="none"/>
        </w:rPr>
        <w:t>00秒</w:t>
      </w:r>
      <w:r>
        <w:rPr>
          <w:rStyle w:val="24"/>
          <w:rFonts w:hint="eastAsia" w:cs="仿宋" w:asciiTheme="majorEastAsia" w:hAnsiTheme="majorEastAsia" w:eastAsiaTheme="majorEastAsia"/>
          <w:bCs/>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57D3D6E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1FE92D9B">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Cs/>
          <w:color w:val="auto"/>
          <w:sz w:val="24"/>
          <w:highlight w:val="none"/>
        </w:rPr>
        <w:t>FHGQZB(2025)</w:t>
      </w:r>
      <w:r>
        <w:rPr>
          <w:rFonts w:hint="eastAsia" w:cs="仿宋" w:asciiTheme="majorEastAsia" w:hAnsiTheme="majorEastAsia" w:eastAsiaTheme="majorEastAsia"/>
          <w:bCs/>
          <w:color w:val="auto"/>
          <w:sz w:val="24"/>
          <w:highlight w:val="none"/>
          <w:lang w:val="en-US" w:eastAsia="zh-CN"/>
        </w:rPr>
        <w:t>217</w:t>
      </w:r>
      <w:r>
        <w:rPr>
          <w:rFonts w:hint="eastAsia" w:cs="仿宋" w:asciiTheme="majorEastAsia" w:hAnsiTheme="majorEastAsia" w:eastAsiaTheme="majorEastAsia"/>
          <w:bCs/>
          <w:color w:val="auto"/>
          <w:sz w:val="24"/>
          <w:highlight w:val="none"/>
        </w:rPr>
        <w:t>D</w:t>
      </w:r>
      <w:r>
        <w:rPr>
          <w:rFonts w:hint="eastAsia" w:cs="仿宋" w:asciiTheme="majorEastAsia" w:hAnsiTheme="majorEastAsia" w:eastAsiaTheme="majorEastAsia"/>
          <w:b/>
          <w:color w:val="auto"/>
          <w:sz w:val="24"/>
          <w:highlight w:val="none"/>
        </w:rPr>
        <w:t xml:space="preserve">   </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ascii="宋体" w:hAnsi="宋体" w:cs="宋体"/>
          <w:color w:val="auto"/>
          <w:sz w:val="24"/>
          <w:highlight w:val="none"/>
        </w:rPr>
        <w:t>:</w:t>
      </w:r>
      <w:r>
        <w:rPr>
          <w:rFonts w:hint="eastAsia" w:cs="仿宋" w:asciiTheme="majorEastAsia" w:hAnsiTheme="majorEastAsia" w:eastAsiaTheme="majorEastAsia"/>
          <w:bCs/>
          <w:color w:val="auto"/>
          <w:sz w:val="24"/>
          <w:highlight w:val="none"/>
        </w:rPr>
        <w:t xml:space="preserve"> </w:t>
      </w:r>
      <w:r>
        <w:rPr>
          <w:rFonts w:hint="eastAsia" w:ascii="宋体" w:hAnsi="宋体" w:cs="宋体"/>
          <w:color w:val="auto"/>
          <w:sz w:val="24"/>
          <w:highlight w:val="none"/>
        </w:rPr>
        <w:t>JX-25156</w:t>
      </w:r>
    </w:p>
    <w:p w14:paraId="1F06F9EE">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rPr>
        <w:t>奉化区江口街道园中村改造安置房建设工程（二期）配套幼儿园整体设备项目</w:t>
      </w:r>
    </w:p>
    <w:p w14:paraId="019E4C0C">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bCs/>
          <w:color w:val="auto"/>
          <w:sz w:val="24"/>
          <w:highlight w:val="none"/>
        </w:rPr>
        <w:t>1789354；</w:t>
      </w:r>
    </w:p>
    <w:p w14:paraId="2BFE3CB9">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Cs/>
          <w:color w:val="auto"/>
          <w:sz w:val="24"/>
          <w:highlight w:val="none"/>
        </w:rPr>
        <w:t>1789354；</w:t>
      </w:r>
    </w:p>
    <w:p w14:paraId="34516830">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color w:val="auto"/>
          <w:sz w:val="24"/>
          <w:highlight w:val="none"/>
        </w:rPr>
        <w:t>整体设备，</w:t>
      </w:r>
      <w:r>
        <w:rPr>
          <w:rFonts w:hint="eastAsia" w:cs="仿宋" w:asciiTheme="majorEastAsia" w:hAnsiTheme="majorEastAsia" w:eastAsiaTheme="majorEastAsia"/>
          <w:color w:val="auto"/>
          <w:sz w:val="24"/>
          <w:highlight w:val="none"/>
        </w:rPr>
        <w:t>具体</w:t>
      </w:r>
      <w:r>
        <w:rPr>
          <w:rFonts w:hint="eastAsia" w:cs="仿宋" w:asciiTheme="majorEastAsia" w:hAnsiTheme="majorEastAsia" w:eastAsiaTheme="majorEastAsia"/>
          <w:bCs/>
          <w:color w:val="auto"/>
          <w:sz w:val="24"/>
          <w:highlight w:val="none"/>
        </w:rPr>
        <w:t>详见招标文件第三部分采购需求。</w:t>
      </w:r>
    </w:p>
    <w:p w14:paraId="173FD5C2">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bCs/>
          <w:color w:val="auto"/>
          <w:sz w:val="24"/>
          <w:highlight w:val="none"/>
        </w:rPr>
        <w:t>详见采购文件。</w:t>
      </w:r>
      <w:r>
        <w:rPr>
          <w:rFonts w:cs="仿宋" w:asciiTheme="majorEastAsia" w:hAnsiTheme="majorEastAsia" w:eastAsiaTheme="majorEastAsia"/>
          <w:bCs/>
          <w:color w:val="auto"/>
          <w:sz w:val="24"/>
          <w:highlight w:val="none"/>
        </w:rPr>
        <w:t xml:space="preserve"> </w:t>
      </w:r>
    </w:p>
    <w:p w14:paraId="0EE1382F">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15C35446">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6FC81E8F">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9D78A3F">
      <w:pPr>
        <w:shd w:val="clear"/>
        <w:spacing w:line="360" w:lineRule="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2019500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r>
        <w:rPr>
          <w:rFonts w:hint="eastAsia" w:ascii="宋体" w:hAnsi="宋体" w:cs="宋体"/>
          <w:color w:val="auto"/>
          <w:sz w:val="24"/>
          <w:highlight w:val="none"/>
        </w:rPr>
        <w:t>/</w:t>
      </w:r>
    </w:p>
    <w:p w14:paraId="7B2DF9E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6815F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55FE8E2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30</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2CD08A20">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4"/>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575C4BD2">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4"/>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50AD69EC">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0C22A0C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3955A7FD">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2025年0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0605E216">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4"/>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54B4ADB4">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2025年0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color w:val="auto"/>
          <w:sz w:val="24"/>
          <w:highlight w:val="none"/>
        </w:rPr>
        <w:t>。</w:t>
      </w:r>
    </w:p>
    <w:p w14:paraId="16A6BC49">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4"/>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7C38D765">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14:paraId="74EA76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12BDF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2F5598FB">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08A683E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733543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4"/>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249605AE">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754B5C54">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1.采购人信息</w:t>
      </w:r>
    </w:p>
    <w:p w14:paraId="703C847E">
      <w:pPr>
        <w:shd w:val="clear"/>
        <w:spacing w:line="360" w:lineRule="auto"/>
        <w:rPr>
          <w:rFonts w:cs="仿宋" w:asciiTheme="majorEastAsia" w:hAnsiTheme="majorEastAsia" w:eastAsiaTheme="majorEastAsia"/>
          <w:color w:val="auto"/>
          <w:sz w:val="24"/>
          <w:highlight w:val="none"/>
        </w:rPr>
      </w:pPr>
      <w:r>
        <w:rPr>
          <w:rFonts w:hint="eastAsia" w:ascii="宋体" w:hAnsi="宋体" w:cs="仿宋"/>
          <w:color w:val="auto"/>
          <w:sz w:val="24"/>
          <w:highlight w:val="none"/>
        </w:rPr>
        <w:t xml:space="preserve">    </w:t>
      </w:r>
      <w:r>
        <w:rPr>
          <w:rFonts w:hint="eastAsia" w:cs="仿宋" w:asciiTheme="majorEastAsia" w:hAnsiTheme="majorEastAsia" w:eastAsiaTheme="majorEastAsia"/>
          <w:color w:val="auto"/>
          <w:sz w:val="24"/>
          <w:highlight w:val="none"/>
        </w:rPr>
        <w:t>名    称：宁波市奉化区教育发展投资有限责任公司</w:t>
      </w:r>
    </w:p>
    <w:p w14:paraId="37F9BD4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color w:val="auto"/>
          <w:sz w:val="24"/>
          <w:highlight w:val="none"/>
        </w:rPr>
        <w:t>宁波市奉化区锦屏街道桥西岸路128-2号</w:t>
      </w:r>
    </w:p>
    <w:p w14:paraId="786E5D5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w:t>
      </w:r>
      <w:r>
        <w:rPr>
          <w:rFonts w:hint="eastAsia" w:ascii="宋体" w:hAnsi="宋体" w:cs="宋体"/>
          <w:color w:val="auto"/>
          <w:sz w:val="24"/>
          <w:highlight w:val="none"/>
        </w:rPr>
        <w:t>顾先生</w:t>
      </w:r>
    </w:p>
    <w:p w14:paraId="47E3E813">
      <w:pPr>
        <w:shd w:val="clear"/>
        <w:spacing w:line="360" w:lineRule="auto"/>
        <w:ind w:firstLine="480" w:firstLineChars="200"/>
        <w:rPr>
          <w:rFonts w:ascii="宋体" w:hAnsi="宋体" w:cs="宋体"/>
          <w:color w:val="auto"/>
          <w:sz w:val="24"/>
          <w:highlight w:val="none"/>
        </w:rPr>
      </w:pPr>
      <w:r>
        <w:rPr>
          <w:rFonts w:hint="eastAsia" w:cs="仿宋" w:asciiTheme="majorEastAsia" w:hAnsiTheme="majorEastAsia" w:eastAsiaTheme="majorEastAsia"/>
          <w:color w:val="auto"/>
          <w:sz w:val="24"/>
          <w:highlight w:val="none"/>
        </w:rPr>
        <w:t>联系方式</w:t>
      </w:r>
      <w:r>
        <w:rPr>
          <w:rFonts w:hint="eastAsia" w:ascii="宋体" w:hAnsi="宋体" w:cs="宋体"/>
          <w:color w:val="auto"/>
          <w:sz w:val="24"/>
          <w:highlight w:val="none"/>
        </w:rPr>
        <w:t>：</w:t>
      </w:r>
      <w:r>
        <w:rPr>
          <w:rFonts w:ascii="宋体" w:hAnsi="宋体" w:cs="宋体"/>
          <w:color w:val="auto"/>
          <w:sz w:val="24"/>
          <w:highlight w:val="none"/>
        </w:rPr>
        <w:t>0574-88506809</w:t>
      </w:r>
    </w:p>
    <w:p w14:paraId="4EE7ECF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质疑联系人：</w:t>
      </w:r>
      <w:r>
        <w:rPr>
          <w:rFonts w:hint="eastAsia" w:cs="仿宋" w:asciiTheme="majorEastAsia" w:hAnsiTheme="majorEastAsia" w:eastAsiaTheme="majorEastAsia"/>
          <w:color w:val="auto"/>
          <w:sz w:val="24"/>
          <w:highlight w:val="none"/>
        </w:rPr>
        <w:t>毛</w:t>
      </w:r>
      <w:r>
        <w:rPr>
          <w:rFonts w:hint="eastAsia" w:cs="仿宋" w:asciiTheme="majorEastAsia" w:hAnsiTheme="majorEastAsia" w:eastAsiaTheme="majorEastAsia"/>
          <w:color w:val="auto"/>
          <w:sz w:val="24"/>
          <w:highlight w:val="none"/>
          <w:lang w:val="en-US" w:eastAsia="zh-CN"/>
        </w:rPr>
        <w:t>先生</w:t>
      </w:r>
      <w:r>
        <w:rPr>
          <w:rFonts w:hint="eastAsia" w:ascii="宋体" w:hAnsi="宋体" w:cs="仿宋"/>
          <w:color w:val="auto"/>
          <w:sz w:val="24"/>
          <w:highlight w:val="none"/>
        </w:rPr>
        <w:t xml:space="preserve">          </w:t>
      </w:r>
    </w:p>
    <w:p w14:paraId="0E04C59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质疑联系方式：</w:t>
      </w:r>
      <w:r>
        <w:rPr>
          <w:rFonts w:hint="eastAsia" w:cs="仿宋" w:asciiTheme="majorEastAsia" w:hAnsiTheme="majorEastAsia" w:eastAsiaTheme="majorEastAsia"/>
          <w:color w:val="auto"/>
          <w:sz w:val="24"/>
          <w:highlight w:val="none"/>
        </w:rPr>
        <w:t xml:space="preserve">0574-88506803 </w:t>
      </w:r>
    </w:p>
    <w:p w14:paraId="0E286FFE">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2.采购代理机构信息            </w:t>
      </w:r>
    </w:p>
    <w:p w14:paraId="6D1178C7">
      <w:pPr>
        <w:shd w:val="clear"/>
        <w:spacing w:line="360" w:lineRule="auto"/>
        <w:ind w:firstLine="480"/>
        <w:rPr>
          <w:rFonts w:ascii="宋体" w:hAnsi="宋体"/>
          <w:color w:val="auto"/>
          <w:sz w:val="24"/>
          <w:highlight w:val="none"/>
        </w:rPr>
      </w:pPr>
      <w:r>
        <w:rPr>
          <w:rFonts w:hint="eastAsia" w:ascii="宋体" w:hAnsi="宋体" w:cs="仿宋"/>
          <w:color w:val="auto"/>
          <w:sz w:val="24"/>
          <w:highlight w:val="none"/>
        </w:rPr>
        <w:t>名    称：</w:t>
      </w:r>
      <w:r>
        <w:rPr>
          <w:rFonts w:hint="eastAsia" w:ascii="宋体" w:hAnsi="宋体"/>
          <w:color w:val="auto"/>
          <w:sz w:val="24"/>
          <w:highlight w:val="none"/>
        </w:rPr>
        <w:t>宁波敬信项目管理咨询有限公司</w:t>
      </w:r>
    </w:p>
    <w:p w14:paraId="36789785">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地    址：</w:t>
      </w:r>
      <w:r>
        <w:rPr>
          <w:rFonts w:hint="eastAsia"/>
          <w:color w:val="auto"/>
          <w:sz w:val="24"/>
          <w:highlight w:val="none"/>
        </w:rPr>
        <w:t>宁波市奉化区岳林东路商业二</w:t>
      </w:r>
      <w:r>
        <w:rPr>
          <w:color w:val="auto"/>
          <w:sz w:val="24"/>
          <w:highlight w:val="none"/>
        </w:rPr>
        <w:t>16</w:t>
      </w:r>
      <w:r>
        <w:rPr>
          <w:rFonts w:hint="eastAsia"/>
          <w:color w:val="auto"/>
          <w:sz w:val="24"/>
          <w:highlight w:val="none"/>
        </w:rPr>
        <w:t>幢</w:t>
      </w:r>
      <w:r>
        <w:rPr>
          <w:color w:val="auto"/>
          <w:sz w:val="24"/>
          <w:highlight w:val="none"/>
        </w:rPr>
        <w:t>502</w:t>
      </w:r>
      <w:r>
        <w:rPr>
          <w:rFonts w:hint="eastAsia"/>
          <w:color w:val="auto"/>
          <w:sz w:val="24"/>
          <w:highlight w:val="none"/>
        </w:rPr>
        <w:t>室（惠政丽都北门）</w:t>
      </w:r>
      <w:r>
        <w:rPr>
          <w:rFonts w:hint="eastAsia" w:ascii="宋体" w:hAnsi="宋体" w:cs="仿宋"/>
          <w:color w:val="auto"/>
          <w:sz w:val="24"/>
          <w:highlight w:val="none"/>
        </w:rPr>
        <w:t xml:space="preserve"> </w:t>
      </w:r>
    </w:p>
    <w:p w14:paraId="31DC6DC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传    真：</w:t>
      </w:r>
      <w:r>
        <w:rPr>
          <w:rFonts w:hint="eastAsia" w:ascii="宋体" w:hAnsi="宋体"/>
          <w:color w:val="auto"/>
          <w:sz w:val="24"/>
          <w:szCs w:val="21"/>
          <w:highlight w:val="none"/>
        </w:rPr>
        <w:t>0574-88986381</w:t>
      </w:r>
      <w:r>
        <w:rPr>
          <w:rFonts w:hint="eastAsia" w:ascii="宋体" w:hAnsi="宋体" w:cs="仿宋"/>
          <w:color w:val="auto"/>
          <w:sz w:val="24"/>
          <w:highlight w:val="none"/>
        </w:rPr>
        <w:t xml:space="preserve">        </w:t>
      </w:r>
    </w:p>
    <w:p w14:paraId="1D7F0DAC">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项目联系人：</w:t>
      </w:r>
      <w:r>
        <w:rPr>
          <w:rFonts w:hint="eastAsia" w:ascii="宋体" w:hAnsi="宋体"/>
          <w:color w:val="auto"/>
          <w:sz w:val="24"/>
          <w:highlight w:val="none"/>
        </w:rPr>
        <w:t>丁先生</w:t>
      </w:r>
      <w:r>
        <w:rPr>
          <w:rFonts w:hint="eastAsia" w:ascii="宋体" w:hAnsi="宋体" w:cs="仿宋"/>
          <w:color w:val="auto"/>
          <w:sz w:val="24"/>
          <w:highlight w:val="none"/>
        </w:rPr>
        <w:t xml:space="preserve">     </w:t>
      </w:r>
    </w:p>
    <w:p w14:paraId="5DA02D41">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项目联系方式：</w:t>
      </w:r>
      <w:r>
        <w:rPr>
          <w:rFonts w:hint="eastAsia" w:ascii="宋体" w:hAnsi="宋体"/>
          <w:color w:val="auto"/>
          <w:sz w:val="24"/>
          <w:szCs w:val="21"/>
          <w:highlight w:val="none"/>
        </w:rPr>
        <w:t>0574-88986381</w:t>
      </w:r>
    </w:p>
    <w:p w14:paraId="1C264C2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质疑联系人：罗女士            </w:t>
      </w:r>
    </w:p>
    <w:p w14:paraId="3ED872E0">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质疑联系方式：</w:t>
      </w:r>
      <w:r>
        <w:rPr>
          <w:rFonts w:ascii="宋体" w:hAnsi="宋体"/>
          <w:color w:val="auto"/>
          <w:sz w:val="24"/>
          <w:highlight w:val="none"/>
        </w:rPr>
        <w:t>0574-88</w:t>
      </w:r>
      <w:r>
        <w:rPr>
          <w:rFonts w:hint="eastAsia" w:ascii="宋体" w:hAnsi="宋体"/>
          <w:color w:val="auto"/>
          <w:sz w:val="24"/>
          <w:highlight w:val="none"/>
        </w:rPr>
        <w:t>986386</w:t>
      </w:r>
      <w:r>
        <w:rPr>
          <w:rFonts w:hint="eastAsia" w:ascii="宋体" w:hAnsi="宋体" w:cs="仿宋"/>
          <w:color w:val="auto"/>
          <w:sz w:val="24"/>
          <w:highlight w:val="none"/>
        </w:rPr>
        <w:t xml:space="preserve">    </w:t>
      </w:r>
    </w:p>
    <w:p w14:paraId="15F6A3E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3.监督管理部门            </w:t>
      </w:r>
    </w:p>
    <w:p w14:paraId="38ED254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称：宁波市奉化区教育局监察（信访）室</w:t>
      </w:r>
    </w:p>
    <w:p w14:paraId="223B40A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址：宁波市奉化区桥西岸路南端128号</w:t>
      </w:r>
    </w:p>
    <w:p w14:paraId="74EA6224">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0574-88523822</w:t>
      </w:r>
      <w:r>
        <w:rPr>
          <w:rFonts w:hint="eastAsia" w:cs="仿宋" w:asciiTheme="majorEastAsia" w:hAnsiTheme="majorEastAsia" w:eastAsiaTheme="majorEastAsia"/>
          <w:color w:val="auto"/>
          <w:sz w:val="24"/>
          <w:highlight w:val="none"/>
        </w:rPr>
        <w:t xml:space="preserve"> </w:t>
      </w:r>
    </w:p>
    <w:p w14:paraId="7BB48A6A">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ascii="宋体" w:hAnsi="宋体" w:cs="宋体"/>
          <w:bCs/>
          <w:color w:val="auto"/>
          <w:sz w:val="24"/>
          <w:highlight w:val="none"/>
        </w:rPr>
        <w:t>毛先生</w:t>
      </w:r>
    </w:p>
    <w:p w14:paraId="1D14DEF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监督投诉电话：</w:t>
      </w:r>
      <w:r>
        <w:rPr>
          <w:rFonts w:hint="eastAsia" w:ascii="宋体" w:hAnsi="宋体" w:cs="宋体"/>
          <w:bCs/>
          <w:color w:val="auto"/>
          <w:sz w:val="24"/>
          <w:highlight w:val="none"/>
        </w:rPr>
        <w:t xml:space="preserve">0574-88523822  </w:t>
      </w:r>
      <w:r>
        <w:rPr>
          <w:rFonts w:hint="eastAsia" w:cs="仿宋" w:asciiTheme="majorEastAsia" w:hAnsiTheme="majorEastAsia" w:eastAsiaTheme="majorEastAsia"/>
          <w:color w:val="auto"/>
          <w:sz w:val="24"/>
          <w:highlight w:val="none"/>
        </w:rPr>
        <w:t xml:space="preserve">         </w:t>
      </w:r>
    </w:p>
    <w:p w14:paraId="5ED0414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69118CF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62FA8F49">
      <w:pPr>
        <w:pStyle w:val="9"/>
        <w:shd w:val="clear"/>
        <w:spacing w:line="360" w:lineRule="auto"/>
        <w:ind w:firstLine="723" w:firstLineChars="200"/>
        <w:jc w:val="center"/>
        <w:rPr>
          <w:rFonts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36"/>
          <w:szCs w:val="20"/>
          <w:highlight w:val="none"/>
        </w:rPr>
        <w:br w:type="page"/>
      </w:r>
    </w:p>
    <w:p w14:paraId="31E17579">
      <w:pPr>
        <w:pStyle w:val="9"/>
        <w:shd w:val="clear"/>
        <w:spacing w:line="360" w:lineRule="auto"/>
        <w:ind w:firstLine="723" w:firstLineChars="200"/>
        <w:jc w:val="center"/>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第二部分</w:t>
      </w:r>
      <w:bookmarkEnd w:id="7"/>
      <w:r>
        <w:rPr>
          <w:rFonts w:hint="eastAsia" w:cs="仿宋" w:asciiTheme="majorEastAsia" w:hAnsiTheme="majorEastAsia" w:eastAsiaTheme="majorEastAsia"/>
          <w:b/>
          <w:color w:val="auto"/>
          <w:sz w:val="36"/>
          <w:szCs w:val="20"/>
          <w:highlight w:val="none"/>
        </w:rPr>
        <w:t xml:space="preserve"> 投标须知</w:t>
      </w:r>
      <w:bookmarkEnd w:id="8"/>
    </w:p>
    <w:p w14:paraId="021E65CA">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13266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74E4B4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23EA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D0B05F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79C7D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7D09D87C">
            <w:pPr>
              <w:shd w:val="clear"/>
              <w:snapToGrid w:val="0"/>
              <w:spacing w:line="360" w:lineRule="auto"/>
              <w:jc w:val="center"/>
              <w:rPr>
                <w:rFonts w:cs="仿宋" w:asciiTheme="majorEastAsia" w:hAnsiTheme="majorEastAsia" w:eastAsiaTheme="majorEastAsia"/>
                <w:color w:val="auto"/>
                <w:sz w:val="24"/>
                <w:highlight w:val="none"/>
              </w:rPr>
            </w:pPr>
          </w:p>
          <w:p w14:paraId="757D7F44">
            <w:pPr>
              <w:shd w:val="clear"/>
              <w:snapToGrid w:val="0"/>
              <w:spacing w:line="360" w:lineRule="auto"/>
              <w:jc w:val="center"/>
              <w:rPr>
                <w:rFonts w:cs="仿宋" w:asciiTheme="majorEastAsia" w:hAnsiTheme="majorEastAsia" w:eastAsiaTheme="majorEastAsia"/>
                <w:color w:val="auto"/>
                <w:sz w:val="24"/>
                <w:highlight w:val="none"/>
              </w:rPr>
            </w:pPr>
          </w:p>
          <w:p w14:paraId="231C2E7B">
            <w:pPr>
              <w:shd w:val="clear"/>
              <w:snapToGrid w:val="0"/>
              <w:spacing w:line="360" w:lineRule="auto"/>
              <w:jc w:val="center"/>
              <w:rPr>
                <w:rFonts w:cs="仿宋" w:asciiTheme="majorEastAsia" w:hAnsiTheme="majorEastAsia" w:eastAsiaTheme="majorEastAsia"/>
                <w:color w:val="auto"/>
                <w:sz w:val="24"/>
                <w:highlight w:val="none"/>
              </w:rPr>
            </w:pPr>
          </w:p>
          <w:p w14:paraId="6931FF39">
            <w:pPr>
              <w:shd w:val="clear"/>
              <w:snapToGrid w:val="0"/>
              <w:spacing w:line="360" w:lineRule="auto"/>
              <w:jc w:val="center"/>
              <w:rPr>
                <w:rFonts w:cs="仿宋" w:asciiTheme="majorEastAsia" w:hAnsiTheme="majorEastAsia" w:eastAsiaTheme="majorEastAsia"/>
                <w:color w:val="auto"/>
                <w:sz w:val="24"/>
                <w:highlight w:val="none"/>
              </w:rPr>
            </w:pPr>
          </w:p>
          <w:p w14:paraId="2FC8701F">
            <w:pPr>
              <w:shd w:val="clear"/>
              <w:snapToGrid w:val="0"/>
              <w:spacing w:line="360" w:lineRule="auto"/>
              <w:jc w:val="center"/>
              <w:rPr>
                <w:rFonts w:cs="仿宋" w:asciiTheme="majorEastAsia" w:hAnsiTheme="majorEastAsia" w:eastAsiaTheme="majorEastAsia"/>
                <w:color w:val="auto"/>
                <w:sz w:val="24"/>
                <w:highlight w:val="none"/>
              </w:rPr>
            </w:pPr>
          </w:p>
          <w:p w14:paraId="474B0A74">
            <w:pPr>
              <w:shd w:val="clear"/>
              <w:snapToGrid w:val="0"/>
              <w:spacing w:line="360" w:lineRule="auto"/>
              <w:jc w:val="center"/>
              <w:rPr>
                <w:rFonts w:cs="仿宋" w:asciiTheme="majorEastAsia" w:hAnsiTheme="majorEastAsia" w:eastAsiaTheme="majorEastAsia"/>
                <w:color w:val="auto"/>
                <w:sz w:val="24"/>
                <w:highlight w:val="none"/>
              </w:rPr>
            </w:pPr>
          </w:p>
          <w:p w14:paraId="2C986DB0">
            <w:pPr>
              <w:shd w:val="clear"/>
              <w:snapToGrid w:val="0"/>
              <w:spacing w:line="360" w:lineRule="auto"/>
              <w:jc w:val="center"/>
              <w:rPr>
                <w:rFonts w:cs="仿宋" w:asciiTheme="majorEastAsia" w:hAnsiTheme="majorEastAsia" w:eastAsiaTheme="majorEastAsia"/>
                <w:color w:val="auto"/>
                <w:sz w:val="24"/>
                <w:highlight w:val="none"/>
              </w:rPr>
            </w:pPr>
          </w:p>
          <w:p w14:paraId="497CF2C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26A3B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B55DA43">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591076C7">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04F07ABC">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37A69AA1">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63483340">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52E50C6F">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45CD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751FD1">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E5C792">
            <w:pPr>
              <w:pStyle w:val="9"/>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0B82A5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投标保证金：人民币贰万元整。投标保证金须从投标人的基本账户转出以非现金方式交纳，形式：单位网银、转账支票、银行汇票或汇兑。</w:t>
            </w:r>
          </w:p>
          <w:p w14:paraId="738C3472">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14:paraId="449358F9">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账号：231000003436009010078</w:t>
            </w:r>
          </w:p>
          <w:p w14:paraId="2729236D">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14:paraId="3DD64FFE">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14:paraId="51D34381">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在本项目</w:t>
            </w: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bCs/>
                <w:color w:val="auto"/>
                <w:sz w:val="24"/>
                <w:highlight w:val="none"/>
              </w:rPr>
              <w:t>前</w:t>
            </w:r>
            <w:r>
              <w:rPr>
                <w:rFonts w:hint="eastAsia" w:ascii="宋体" w:hAnsi="宋体"/>
                <w:color w:val="auto"/>
                <w:sz w:val="24"/>
                <w:highlight w:val="none"/>
              </w:rPr>
              <w:t>须足额缴纳（以实际到账时间为准），并在汇款信息或转账支票中注明项目名称。</w:t>
            </w:r>
          </w:p>
          <w:p w14:paraId="4C681DC9">
            <w:pPr>
              <w:shd w:val="clear"/>
              <w:spacing w:line="360" w:lineRule="auto"/>
              <w:rPr>
                <w:rFonts w:cs="仿宋" w:asciiTheme="majorEastAsia" w:hAnsiTheme="majorEastAsia" w:eastAsia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14:paraId="39609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CCF32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9707EE">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3B4DAF3D">
            <w:pPr>
              <w:shd w:val="clear"/>
              <w:spacing w:line="360" w:lineRule="auto"/>
              <w:jc w:val="left"/>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sz w:val="24"/>
                <w:highlight w:val="none"/>
              </w:rPr>
              <w:t>不同意分包。</w:t>
            </w:r>
          </w:p>
        </w:tc>
      </w:tr>
      <w:tr w14:paraId="7C10E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33C9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0D124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0FE386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6C29FAF8">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282DF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B058A6E">
            <w:pPr>
              <w:shd w:val="clear"/>
              <w:snapToGrid w:val="0"/>
              <w:spacing w:line="360" w:lineRule="auto"/>
              <w:jc w:val="center"/>
              <w:rPr>
                <w:rFonts w:cs="仿宋" w:asciiTheme="majorEastAsia" w:hAnsiTheme="majorEastAsia" w:eastAsiaTheme="majorEastAsia"/>
                <w:color w:val="auto"/>
                <w:sz w:val="24"/>
                <w:highlight w:val="none"/>
              </w:rPr>
            </w:pPr>
          </w:p>
          <w:p w14:paraId="5AF9C81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5CD94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81B5DF5">
            <w:pPr>
              <w:shd w:val="clear"/>
              <w:spacing w:line="360" w:lineRule="auto"/>
              <w:rPr>
                <w:rFonts w:ascii="仿宋" w:hAnsi="仿宋" w:eastAsia="仿宋" w:cs="仿宋"/>
                <w:color w:val="auto"/>
                <w:sz w:val="24"/>
                <w:szCs w:val="20"/>
                <w:highlight w:val="none"/>
              </w:rPr>
            </w:pPr>
            <w:r>
              <w:rPr>
                <w:rFonts w:hint="eastAsia" w:cs="仿宋" w:asciiTheme="minorEastAsia" w:hAnsiTheme="minorEastAsia" w:eastAsiaTheme="minorEastAsia"/>
                <w:color w:val="auto"/>
                <w:kern w:val="0"/>
                <w:sz w:val="24"/>
                <w:highlight w:val="none"/>
              </w:rPr>
              <w:t>自行踏勘</w:t>
            </w:r>
            <w:r>
              <w:rPr>
                <w:rFonts w:hint="eastAsia" w:cs="仿宋" w:asciiTheme="minorEastAsia" w:hAnsiTheme="minorEastAsia" w:eastAsiaTheme="minorEastAsia"/>
                <w:color w:val="auto"/>
                <w:sz w:val="24"/>
                <w:szCs w:val="20"/>
                <w:highlight w:val="none"/>
              </w:rPr>
              <w:t>。</w:t>
            </w:r>
          </w:p>
        </w:tc>
      </w:tr>
      <w:tr w14:paraId="739B2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BAFE2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1223B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9D8867D">
            <w:pPr>
              <w:shd w:val="clear"/>
              <w:spacing w:line="360" w:lineRule="auto"/>
              <w:rPr>
                <w:rFonts w:cs="仿宋" w:asciiTheme="minorEastAsia" w:hAnsiTheme="minorEastAsia" w:eastAsiaTheme="minorEastAsia"/>
                <w:color w:val="auto"/>
                <w:kern w:val="0"/>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要求提供，</w:t>
            </w:r>
          </w:p>
          <w:p w14:paraId="210256EE">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snapToGrid w:val="0"/>
                <w:color w:val="auto"/>
                <w:kern w:val="28"/>
                <w:sz w:val="24"/>
                <w:highlight w:val="none"/>
              </w:rPr>
              <w:t>样品：</w:t>
            </w:r>
            <w:r>
              <w:rPr>
                <w:rFonts w:hint="eastAsia" w:ascii="宋体" w:hAnsi="宋体"/>
                <w:color w:val="auto"/>
                <w:sz w:val="24"/>
                <w:highlight w:val="none"/>
                <w:u w:val="single"/>
              </w:rPr>
              <w:t>详见</w:t>
            </w:r>
            <w:r>
              <w:rPr>
                <w:rFonts w:hint="eastAsia" w:cs="仿宋" w:asciiTheme="minorEastAsia" w:hAnsiTheme="minorEastAsia" w:eastAsiaTheme="minorEastAsia"/>
                <w:color w:val="auto"/>
                <w:sz w:val="24"/>
                <w:highlight w:val="none"/>
                <w:u w:val="single"/>
              </w:rPr>
              <w:t>第三部分 采购需求</w:t>
            </w:r>
            <w:r>
              <w:rPr>
                <w:rFonts w:hint="eastAsia" w:cs="仿宋" w:asciiTheme="minorEastAsia" w:hAnsiTheme="minorEastAsia" w:eastAsiaTheme="minorEastAsia"/>
                <w:color w:val="auto"/>
                <w:kern w:val="0"/>
                <w:sz w:val="24"/>
                <w:highlight w:val="none"/>
              </w:rPr>
              <w:t>；</w:t>
            </w:r>
          </w:p>
          <w:p w14:paraId="392041F1">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r>
              <w:rPr>
                <w:rFonts w:hint="eastAsia" w:cs="仿宋" w:asciiTheme="minorEastAsia" w:hAnsiTheme="minorEastAsia" w:eastAsiaTheme="minorEastAsia"/>
                <w:snapToGrid w:val="0"/>
                <w:color w:val="auto"/>
                <w:kern w:val="28"/>
                <w:sz w:val="24"/>
                <w:highlight w:val="none"/>
              </w:rPr>
              <w:t>样品的标准和要求：</w:t>
            </w:r>
            <w:r>
              <w:rPr>
                <w:rFonts w:hint="eastAsia" w:cs="仿宋" w:asciiTheme="minorEastAsia" w:hAnsiTheme="minorEastAsia" w:eastAsiaTheme="minorEastAsia"/>
                <w:color w:val="auto"/>
                <w:sz w:val="24"/>
                <w:highlight w:val="none"/>
                <w:u w:val="single"/>
              </w:rPr>
              <w:t>详见第三部分 采购需求</w:t>
            </w:r>
            <w:r>
              <w:rPr>
                <w:rFonts w:hint="eastAsia" w:cs="仿宋" w:asciiTheme="minorEastAsia" w:hAnsiTheme="minorEastAsia" w:eastAsiaTheme="minorEastAsia"/>
                <w:color w:val="auto"/>
                <w:kern w:val="0"/>
                <w:sz w:val="24"/>
                <w:highlight w:val="none"/>
              </w:rPr>
              <w:t>；</w:t>
            </w:r>
          </w:p>
          <w:p w14:paraId="0DCCC768">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（3）样品的评审方法以及评审标准</w:t>
            </w:r>
            <w:r>
              <w:rPr>
                <w:rFonts w:hint="eastAsia" w:cs="仿宋" w:asciiTheme="minorEastAsia" w:hAnsiTheme="minorEastAsia" w:eastAsiaTheme="minorEastAsia"/>
                <w:snapToGrid w:val="0"/>
                <w:color w:val="auto"/>
                <w:kern w:val="28"/>
                <w:sz w:val="24"/>
                <w:highlight w:val="none"/>
              </w:rPr>
              <w:t>：</w:t>
            </w:r>
            <w:r>
              <w:rPr>
                <w:rFonts w:hint="eastAsia" w:cs="仿宋" w:asciiTheme="minorEastAsia" w:hAnsiTheme="minorEastAsia" w:eastAsiaTheme="minorEastAsia"/>
                <w:snapToGrid w:val="0"/>
                <w:color w:val="auto"/>
                <w:kern w:val="28"/>
                <w:sz w:val="24"/>
                <w:highlight w:val="none"/>
                <w:u w:val="single"/>
              </w:rPr>
              <w:t>详见</w:t>
            </w:r>
            <w:r>
              <w:rPr>
                <w:rFonts w:hint="eastAsia" w:cs="仿宋" w:asciiTheme="minorEastAsia" w:hAnsiTheme="minorEastAsia" w:eastAsiaTheme="minorEastAsia"/>
                <w:color w:val="auto"/>
                <w:sz w:val="24"/>
                <w:highlight w:val="none"/>
                <w:u w:val="single"/>
              </w:rPr>
              <w:t>第四部分 评标办法</w:t>
            </w:r>
            <w:r>
              <w:rPr>
                <w:rFonts w:hint="eastAsia" w:cs="仿宋" w:asciiTheme="minorEastAsia" w:hAnsiTheme="minorEastAsia" w:eastAsiaTheme="minorEastAsia"/>
                <w:color w:val="auto"/>
                <w:kern w:val="0"/>
                <w:sz w:val="24"/>
                <w:highlight w:val="none"/>
              </w:rPr>
              <w:t>；</w:t>
            </w:r>
          </w:p>
          <w:p w14:paraId="18ED394C">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（4）是否需要随样品提交检测报告：</w:t>
            </w: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否；</w:t>
            </w:r>
          </w:p>
          <w:p w14:paraId="420FD52F">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（5）提供样品的时间：</w:t>
            </w:r>
            <w:r>
              <w:rPr>
                <w:rFonts w:hint="eastAsia" w:cs="仿宋" w:asciiTheme="majorEastAsia" w:hAnsiTheme="majorEastAsia" w:eastAsiaTheme="majorEastAsia"/>
                <w:color w:val="auto"/>
                <w:sz w:val="24"/>
                <w:highlight w:val="none"/>
                <w:u w:val="single"/>
              </w:rPr>
              <w:t>投标截止时间</w:t>
            </w:r>
            <w:r>
              <w:rPr>
                <w:rFonts w:hint="eastAsia" w:cs="仿宋" w:asciiTheme="minorEastAsia" w:hAnsiTheme="minorEastAsia" w:eastAsiaTheme="minorEastAsia"/>
                <w:color w:val="auto"/>
                <w:sz w:val="24"/>
                <w:highlight w:val="none"/>
                <w:u w:val="single"/>
              </w:rPr>
              <w:t>前（法定节假日除外）</w:t>
            </w:r>
            <w:r>
              <w:rPr>
                <w:rFonts w:hint="eastAsia" w:cs="仿宋" w:asciiTheme="minorEastAsia" w:hAnsiTheme="minorEastAsia" w:eastAsiaTheme="minorEastAsia"/>
                <w:color w:val="auto"/>
                <w:kern w:val="0"/>
                <w:sz w:val="24"/>
                <w:highlight w:val="none"/>
              </w:rPr>
              <w:t>；地点：</w:t>
            </w:r>
            <w:r>
              <w:rPr>
                <w:rFonts w:hint="eastAsia" w:cs="仿宋" w:asciiTheme="minorEastAsia" w:hAnsiTheme="minorEastAsia" w:eastAsiaTheme="minorEastAsia"/>
                <w:color w:val="auto"/>
                <w:kern w:val="0"/>
                <w:sz w:val="24"/>
                <w:highlight w:val="none"/>
                <w:u w:val="single"/>
              </w:rPr>
              <w:t>奉化区公共资源交易中心</w:t>
            </w:r>
            <w:r>
              <w:rPr>
                <w:rFonts w:hint="eastAsia" w:cs="仿宋" w:asciiTheme="minorEastAsia" w:hAnsiTheme="minorEastAsia" w:eastAsiaTheme="minorEastAsia"/>
                <w:color w:val="auto"/>
                <w:sz w:val="24"/>
                <w:highlight w:val="none"/>
                <w:u w:val="single"/>
              </w:rPr>
              <w:t>样品室</w:t>
            </w:r>
            <w:r>
              <w:rPr>
                <w:rFonts w:hint="eastAsia" w:cs="仿宋" w:asciiTheme="minorEastAsia" w:hAnsiTheme="minorEastAsia" w:eastAsiaTheme="minorEastAsia"/>
                <w:color w:val="auto"/>
                <w:kern w:val="0"/>
                <w:sz w:val="24"/>
                <w:highlight w:val="none"/>
              </w:rPr>
              <w:t>；联系人</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u w:val="single"/>
              </w:rPr>
              <w:t>丁先生</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28"/>
                <w:sz w:val="24"/>
                <w:highlight w:val="none"/>
              </w:rPr>
              <w:t>联系电话：</w:t>
            </w:r>
            <w:r>
              <w:rPr>
                <w:rFonts w:cs="仿宋" w:asciiTheme="minorEastAsia" w:hAnsiTheme="minorEastAsia" w:eastAsiaTheme="minorEastAsia"/>
                <w:color w:val="auto"/>
                <w:sz w:val="24"/>
                <w:highlight w:val="none"/>
                <w:u w:val="single"/>
              </w:rPr>
              <w:t>13777265503</w:t>
            </w:r>
            <w:r>
              <w:rPr>
                <w:rFonts w:hint="eastAsia" w:cs="仿宋" w:asciiTheme="minorEastAsia" w:hAnsiTheme="minorEastAsia" w:eastAsiaTheme="minorEastAsia"/>
                <w:color w:val="auto"/>
                <w:sz w:val="24"/>
                <w:highlight w:val="none"/>
              </w:rPr>
              <w:t>。请</w:t>
            </w:r>
            <w:r>
              <w:rPr>
                <w:rFonts w:hint="eastAsia" w:cs="仿宋" w:asciiTheme="minorEastAsia" w:hAnsiTheme="minorEastAsia" w:eastAsiaTheme="minorEastAsia"/>
                <w:color w:val="auto"/>
                <w:kern w:val="0"/>
                <w:sz w:val="24"/>
                <w:highlight w:val="none"/>
                <w:lang w:val="zh-CN"/>
              </w:rPr>
              <w:t>供应商</w:t>
            </w:r>
            <w:r>
              <w:rPr>
                <w:rFonts w:hint="eastAsia" w:cs="仿宋" w:asciiTheme="minorEastAsia" w:hAnsiTheme="minorEastAsia" w:eastAsiaTheme="minorEastAsia"/>
                <w:color w:val="auto"/>
                <w:sz w:val="24"/>
                <w:highlight w:val="none"/>
              </w:rPr>
              <w:t>在上述时间内提供样品并按规定位置摆放完毕。超过截止时间的，采购人或采购代理机构将不予接收，并将清场并封闭样品现场。</w:t>
            </w:r>
          </w:p>
          <w:p w14:paraId="7746C00C">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9015BF">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（7）制作、运输、安装和保管样品所发生的一切费用由</w:t>
            </w:r>
            <w:r>
              <w:rPr>
                <w:rFonts w:hint="eastAsia" w:cs="仿宋" w:asciiTheme="minorEastAsia" w:hAnsiTheme="minorEastAsia" w:eastAsiaTheme="minorEastAsia"/>
                <w:color w:val="auto"/>
                <w:kern w:val="0"/>
                <w:sz w:val="24"/>
                <w:highlight w:val="none"/>
                <w:lang w:val="zh-CN"/>
              </w:rPr>
              <w:t>供应商承担</w:t>
            </w:r>
            <w:r>
              <w:rPr>
                <w:rFonts w:hint="eastAsia" w:cs="仿宋" w:asciiTheme="minorEastAsia" w:hAnsiTheme="minorEastAsia" w:eastAsiaTheme="minorEastAsia"/>
                <w:color w:val="auto"/>
                <w:sz w:val="24"/>
                <w:highlight w:val="none"/>
              </w:rPr>
              <w:t>。</w:t>
            </w:r>
          </w:p>
        </w:tc>
      </w:tr>
      <w:tr w14:paraId="50EA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D71739">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2814E">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7CD8DD3">
            <w:pPr>
              <w:shd w:val="clear"/>
              <w:spacing w:line="360" w:lineRule="auto"/>
              <w:rPr>
                <w:rFonts w:cs="仿宋" w:asciiTheme="minorEastAsia" w:hAnsiTheme="minorEastAsia" w:eastAsiaTheme="minorEastAsia"/>
                <w:color w:val="auto"/>
                <w:kern w:val="0"/>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要求提供，</w:t>
            </w:r>
          </w:p>
          <w:p w14:paraId="47668CCC">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snapToGrid w:val="0"/>
                <w:color w:val="auto"/>
                <w:kern w:val="28"/>
                <w:sz w:val="24"/>
                <w:highlight w:val="none"/>
              </w:rPr>
              <w:t>根据评分标准功能演示相关的产品：</w:t>
            </w:r>
            <w:r>
              <w:rPr>
                <w:rFonts w:hint="eastAsia" w:cs="仿宋" w:asciiTheme="minorEastAsia" w:hAnsiTheme="minorEastAsia" w:eastAsiaTheme="minorEastAsia"/>
                <w:snapToGrid w:val="0"/>
                <w:color w:val="auto"/>
                <w:kern w:val="28"/>
                <w:sz w:val="24"/>
                <w:highlight w:val="none"/>
                <w:u w:val="single"/>
              </w:rPr>
              <w:t>详见</w:t>
            </w:r>
            <w:r>
              <w:rPr>
                <w:rFonts w:hint="eastAsia" w:cs="仿宋" w:asciiTheme="minorEastAsia" w:hAnsiTheme="minorEastAsia" w:eastAsiaTheme="minorEastAsia"/>
                <w:color w:val="auto"/>
                <w:sz w:val="24"/>
                <w:highlight w:val="none"/>
                <w:u w:val="single"/>
              </w:rPr>
              <w:t>第四部分 评标办法</w:t>
            </w:r>
            <w:r>
              <w:rPr>
                <w:rFonts w:hint="eastAsia" w:cs="仿宋" w:asciiTheme="minorEastAsia" w:hAnsiTheme="minorEastAsia" w:eastAsiaTheme="minorEastAsia"/>
                <w:color w:val="auto"/>
                <w:kern w:val="0"/>
                <w:sz w:val="24"/>
                <w:highlight w:val="none"/>
              </w:rPr>
              <w:t>；</w:t>
            </w:r>
          </w:p>
          <w:p w14:paraId="1A1BAFF9">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r>
              <w:rPr>
                <w:rFonts w:hint="eastAsia" w:cs="仿宋" w:asciiTheme="minorEastAsia" w:hAnsiTheme="minorEastAsia" w:eastAsiaTheme="minorEastAsia"/>
                <w:snapToGrid w:val="0"/>
                <w:color w:val="auto"/>
                <w:kern w:val="28"/>
                <w:sz w:val="24"/>
                <w:highlight w:val="none"/>
              </w:rPr>
              <w:t>产品的标准和要求：</w:t>
            </w:r>
            <w:r>
              <w:rPr>
                <w:rFonts w:hint="eastAsia" w:cs="仿宋" w:asciiTheme="minorEastAsia" w:hAnsiTheme="minorEastAsia" w:eastAsiaTheme="minorEastAsia"/>
                <w:color w:val="auto"/>
                <w:sz w:val="24"/>
                <w:highlight w:val="none"/>
                <w:u w:val="single"/>
              </w:rPr>
              <w:t>详见第三部分 采购需求</w:t>
            </w:r>
            <w:r>
              <w:rPr>
                <w:rFonts w:hint="eastAsia" w:cs="仿宋" w:asciiTheme="minorEastAsia" w:hAnsiTheme="minorEastAsia" w:eastAsiaTheme="minorEastAsia"/>
                <w:color w:val="auto"/>
                <w:kern w:val="0"/>
                <w:sz w:val="24"/>
                <w:highlight w:val="none"/>
              </w:rPr>
              <w:t>；</w:t>
            </w:r>
          </w:p>
          <w:p w14:paraId="5C769BCA">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（3）评审方法以及评审标准</w:t>
            </w:r>
            <w:r>
              <w:rPr>
                <w:rFonts w:hint="eastAsia" w:cs="仿宋" w:asciiTheme="minorEastAsia" w:hAnsiTheme="minorEastAsia" w:eastAsiaTheme="minorEastAsia"/>
                <w:snapToGrid w:val="0"/>
                <w:color w:val="auto"/>
                <w:kern w:val="28"/>
                <w:sz w:val="24"/>
                <w:highlight w:val="none"/>
              </w:rPr>
              <w:t>：</w:t>
            </w:r>
            <w:r>
              <w:rPr>
                <w:rFonts w:hint="eastAsia" w:cs="仿宋" w:asciiTheme="minorEastAsia" w:hAnsiTheme="minorEastAsia" w:eastAsiaTheme="minorEastAsia"/>
                <w:snapToGrid w:val="0"/>
                <w:color w:val="auto"/>
                <w:kern w:val="28"/>
                <w:sz w:val="24"/>
                <w:highlight w:val="none"/>
                <w:u w:val="single"/>
              </w:rPr>
              <w:t>详见</w:t>
            </w:r>
            <w:r>
              <w:rPr>
                <w:rFonts w:hint="eastAsia" w:cs="仿宋" w:asciiTheme="minorEastAsia" w:hAnsiTheme="minorEastAsia" w:eastAsiaTheme="minorEastAsia"/>
                <w:color w:val="auto"/>
                <w:sz w:val="24"/>
                <w:highlight w:val="none"/>
                <w:u w:val="single"/>
              </w:rPr>
              <w:t>第四部分 评标办法</w:t>
            </w:r>
            <w:r>
              <w:rPr>
                <w:rFonts w:hint="eastAsia" w:cs="仿宋" w:asciiTheme="minorEastAsia" w:hAnsiTheme="minorEastAsia" w:eastAsiaTheme="minorEastAsia"/>
                <w:color w:val="auto"/>
                <w:kern w:val="0"/>
                <w:sz w:val="24"/>
                <w:highlight w:val="none"/>
              </w:rPr>
              <w:t>；</w:t>
            </w:r>
          </w:p>
          <w:p w14:paraId="7FC7AAD9">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（4）是否需要随产品提交检测报告：</w:t>
            </w: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否。</w:t>
            </w:r>
          </w:p>
          <w:p w14:paraId="6367B7E8">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（5）产品送达的时间及地点：</w:t>
            </w:r>
            <w:r>
              <w:rPr>
                <w:rFonts w:hint="eastAsia" w:cs="仿宋" w:asciiTheme="majorEastAsia" w:hAnsiTheme="majorEastAsia" w:eastAsiaTheme="majorEastAsia"/>
                <w:color w:val="auto"/>
                <w:sz w:val="24"/>
                <w:highlight w:val="none"/>
                <w:u w:val="single"/>
              </w:rPr>
              <w:t>投标截止时间</w:t>
            </w:r>
            <w:r>
              <w:rPr>
                <w:rFonts w:hint="eastAsia" w:cs="仿宋" w:asciiTheme="minorEastAsia" w:hAnsiTheme="minorEastAsia" w:eastAsiaTheme="minorEastAsia"/>
                <w:color w:val="auto"/>
                <w:sz w:val="24"/>
                <w:highlight w:val="none"/>
                <w:u w:val="single"/>
              </w:rPr>
              <w:t>前（法定节假日除外）</w:t>
            </w:r>
            <w:r>
              <w:rPr>
                <w:rFonts w:hint="eastAsia" w:cs="仿宋" w:asciiTheme="minorEastAsia" w:hAnsiTheme="minorEastAsia" w:eastAsiaTheme="minorEastAsia"/>
                <w:color w:val="auto"/>
                <w:kern w:val="0"/>
                <w:sz w:val="24"/>
                <w:highlight w:val="none"/>
              </w:rPr>
              <w:t>；地点：</w:t>
            </w:r>
            <w:r>
              <w:rPr>
                <w:rFonts w:hint="eastAsia" w:cs="仿宋" w:asciiTheme="minorEastAsia" w:hAnsiTheme="minorEastAsia" w:eastAsiaTheme="minorEastAsia"/>
                <w:color w:val="auto"/>
                <w:kern w:val="0"/>
                <w:sz w:val="24"/>
                <w:highlight w:val="none"/>
                <w:u w:val="single"/>
              </w:rPr>
              <w:t>奉化区公共资源交易中心</w:t>
            </w:r>
            <w:r>
              <w:rPr>
                <w:rFonts w:hint="eastAsia" w:cs="仿宋" w:asciiTheme="minorEastAsia" w:hAnsiTheme="minorEastAsia" w:eastAsiaTheme="minorEastAsia"/>
                <w:color w:val="auto"/>
                <w:sz w:val="24"/>
                <w:highlight w:val="none"/>
                <w:u w:val="single"/>
              </w:rPr>
              <w:t>样品室</w:t>
            </w:r>
            <w:r>
              <w:rPr>
                <w:rFonts w:hint="eastAsia" w:cs="仿宋" w:asciiTheme="minorEastAsia" w:hAnsiTheme="minorEastAsia" w:eastAsiaTheme="minorEastAsia"/>
                <w:color w:val="auto"/>
                <w:kern w:val="0"/>
                <w:sz w:val="24"/>
                <w:highlight w:val="none"/>
              </w:rPr>
              <w:t>；联系人</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u w:val="single"/>
              </w:rPr>
              <w:t>丁先生</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28"/>
                <w:sz w:val="24"/>
                <w:highlight w:val="none"/>
              </w:rPr>
              <w:t>联系电话：</w:t>
            </w:r>
            <w:r>
              <w:rPr>
                <w:rFonts w:hint="eastAsia" w:cs="仿宋" w:asciiTheme="minorEastAsia" w:hAnsiTheme="minorEastAsia" w:eastAsiaTheme="minorEastAsia"/>
                <w:color w:val="auto"/>
                <w:sz w:val="24"/>
                <w:highlight w:val="none"/>
                <w:u w:val="single"/>
              </w:rPr>
              <w:t>13777265503</w:t>
            </w:r>
            <w:r>
              <w:rPr>
                <w:rFonts w:hint="eastAsia" w:cs="仿宋" w:asciiTheme="minorEastAsia" w:hAnsiTheme="minorEastAsia" w:eastAsiaTheme="minorEastAsia"/>
                <w:color w:val="auto"/>
                <w:sz w:val="24"/>
                <w:highlight w:val="none"/>
              </w:rPr>
              <w:t>。请</w:t>
            </w:r>
            <w:r>
              <w:rPr>
                <w:rFonts w:hint="eastAsia" w:cs="仿宋" w:asciiTheme="minorEastAsia" w:hAnsiTheme="minorEastAsia" w:eastAsiaTheme="minorEastAsia"/>
                <w:color w:val="auto"/>
                <w:kern w:val="0"/>
                <w:sz w:val="24"/>
                <w:highlight w:val="none"/>
                <w:lang w:val="zh-CN"/>
              </w:rPr>
              <w:t>供应商</w:t>
            </w:r>
            <w:r>
              <w:rPr>
                <w:rFonts w:hint="eastAsia" w:cs="仿宋" w:asciiTheme="minorEastAsia" w:hAnsiTheme="minorEastAsia" w:eastAsiaTheme="minorEastAsia"/>
                <w:color w:val="auto"/>
                <w:sz w:val="24"/>
                <w:highlight w:val="none"/>
              </w:rPr>
              <w:t>在上述时间内提供产品并按规定位置安装、对接、调试完毕。超过截止时间的，采购人或采购代理机构将不予接收，并将清场并封闭产品演示现场。</w:t>
            </w:r>
          </w:p>
          <w:p w14:paraId="39B9DE64">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（6）采购活动结束后，对于提供的演示产品，采购人、采购代理机构将通知投标人在规定的时间内取回，逾期未取回的，采购人、采购代理机构不负保管义务。</w:t>
            </w:r>
          </w:p>
          <w:p w14:paraId="389B9704">
            <w:pPr>
              <w:shd w:val="clear"/>
              <w:spacing w:line="360" w:lineRule="auto"/>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（7）制作、运输、安装和保管演示产品所发生的一切费用由</w:t>
            </w:r>
            <w:r>
              <w:rPr>
                <w:rFonts w:hint="eastAsia" w:cs="仿宋" w:asciiTheme="minorEastAsia" w:hAnsiTheme="minorEastAsia" w:eastAsiaTheme="minorEastAsia"/>
                <w:color w:val="auto"/>
                <w:kern w:val="0"/>
                <w:sz w:val="24"/>
                <w:highlight w:val="none"/>
                <w:lang w:val="zh-CN"/>
              </w:rPr>
              <w:t>供应商承担</w:t>
            </w:r>
            <w:r>
              <w:rPr>
                <w:rFonts w:hint="eastAsia" w:cs="仿宋" w:asciiTheme="minorEastAsia" w:hAnsiTheme="minorEastAsia" w:eastAsiaTheme="minorEastAsia"/>
                <w:color w:val="auto"/>
                <w:sz w:val="24"/>
                <w:highlight w:val="none"/>
              </w:rPr>
              <w:t>。</w:t>
            </w:r>
          </w:p>
        </w:tc>
      </w:tr>
      <w:tr w14:paraId="6C279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1805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43B952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6DD7D380">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083ED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F6476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A802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60AF5D8">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三层抽拉床</w:t>
            </w:r>
            <w:r>
              <w:rPr>
                <w:rFonts w:hint="eastAsia" w:cs="仿宋" w:asciiTheme="majorEastAsia" w:hAnsiTheme="majorEastAsia" w:eastAsiaTheme="majorEastAsia"/>
                <w:color w:val="auto"/>
                <w:sz w:val="24"/>
                <w:highlight w:val="none"/>
              </w:rPr>
              <w:t>。</w:t>
            </w:r>
          </w:p>
          <w:p w14:paraId="47B80D1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579F2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F16EE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60A00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1236F50">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详见“采购清单”</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71166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09FE65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68924E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34967F6">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22400 </w:t>
            </w:r>
            <w:r>
              <w:rPr>
                <w:rFonts w:hint="eastAsia" w:ascii="宋体" w:hAnsi="宋体" w:cs="宋体"/>
                <w:color w:val="auto"/>
                <w:sz w:val="24"/>
                <w:highlight w:val="none"/>
              </w:rPr>
              <w:t>元中标人应在本公司发出中标通知书5个工作日内向本招标公司支付中标服务费。中标服务费只收现金、银行票汇款、电汇款。</w:t>
            </w:r>
          </w:p>
        </w:tc>
      </w:tr>
      <w:bookmarkEnd w:id="9"/>
    </w:tbl>
    <w:p w14:paraId="7F22BACE">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0" w:name="第三部分"/>
      <w:bookmarkStart w:id="11" w:name="_Toc164416483"/>
      <w:r>
        <w:rPr>
          <w:rFonts w:cs="仿宋" w:asciiTheme="majorEastAsia" w:hAnsiTheme="majorEastAsia" w:eastAsiaTheme="majorEastAsia"/>
          <w:b/>
          <w:color w:val="auto"/>
          <w:sz w:val="32"/>
          <w:szCs w:val="20"/>
          <w:highlight w:val="none"/>
        </w:rPr>
        <w:br w:type="page"/>
      </w:r>
      <w:r>
        <w:rPr>
          <w:rFonts w:hint="eastAsia" w:cs="仿宋" w:asciiTheme="majorEastAsia" w:hAnsiTheme="majorEastAsia" w:eastAsiaTheme="majorEastAsia"/>
          <w:b/>
          <w:color w:val="auto"/>
          <w:sz w:val="32"/>
          <w:szCs w:val="20"/>
          <w:highlight w:val="none"/>
        </w:rPr>
        <w:t>一、总则</w:t>
      </w:r>
    </w:p>
    <w:p w14:paraId="0051082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77102B40">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68BB4EC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1714E5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2C097D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53F0249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7F1EC7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6EFB28A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2D88C70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3BB04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61F9D47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7F07B9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EA9BB3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3.2支持绿色发展</w:t>
      </w:r>
    </w:p>
    <w:p w14:paraId="716B30C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38EDD8C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5AED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7E5E9B1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1301BB93">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390672E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452531F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3630E2A1">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290AA832">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7F6A387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4BBB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312B34A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65780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636154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20DC754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5FB3A23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58A5B3F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7D619D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54868A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3A14BCA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0A8327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55EC549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3CF66E3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0A8B5E9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79A0562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46519A5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95D3B3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77D860">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75EB373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50C68DC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16921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0CBE7AD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3393B9C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50830E2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0F7A64D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29FD056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144BDB0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2D2954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70450D3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745FC96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05B7432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5E4977C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071EA6D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7657AD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5D41AA0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3CAFD5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3806B34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71D1550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45FE0FA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3D9809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418D6B1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0365B7E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3E94BE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31EB0818">
      <w:pPr>
        <w:pStyle w:val="25"/>
        <w:shd w:val="clear"/>
        <w:ind w:firstLine="560"/>
        <w:rPr>
          <w:color w:val="auto"/>
          <w:highlight w:val="none"/>
        </w:rPr>
      </w:pPr>
    </w:p>
    <w:p w14:paraId="12836C92">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7358030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6B442302">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71D421A0">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13A58DD4">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6DE84743">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521512D0">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3974D0C6">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0016B351">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6.1.6 应提交的有关格式范例； </w:t>
      </w:r>
    </w:p>
    <w:p w14:paraId="3E585FC4">
      <w:pPr>
        <w:pStyle w:val="9"/>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6.1.7附件（如有）。</w:t>
      </w:r>
    </w:p>
    <w:p w14:paraId="2699FC6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2A8BEA4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6236837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5D2A67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B8340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7DF232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749E5C26">
      <w:pPr>
        <w:pStyle w:val="25"/>
        <w:shd w:val="clear"/>
        <w:ind w:firstLine="560"/>
        <w:rPr>
          <w:color w:val="auto"/>
          <w:highlight w:val="none"/>
        </w:rPr>
      </w:pPr>
    </w:p>
    <w:p w14:paraId="6AF528FF">
      <w:pPr>
        <w:shd w:val="clear"/>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三、投标</w:t>
      </w:r>
    </w:p>
    <w:p w14:paraId="0590843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632F7F50">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57AB360F">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18BE792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2019217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5B7931D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4F9F5A3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3EDBB2D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6DE6DB7E">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29D93CF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41A14FE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3B97772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1969D3F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3BEF82D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232FE55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10F17EC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44A049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6549B39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20D2E32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4FD8A5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2939E14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14:paraId="7FB3C7FC">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0BAE36B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6AB1172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664ED91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6C164DE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4D88497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752C93E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74E5132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34E9F0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5453CFC7">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18269300">
      <w:pPr>
        <w:shd w:val="clear"/>
        <w:wordWrap w:val="0"/>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10.2</w:t>
      </w:r>
      <w:r>
        <w:rPr>
          <w:rFonts w:hint="eastAsia" w:cs="仿宋" w:asciiTheme="majorEastAsia" w:hAnsiTheme="majorEastAsia" w:eastAsiaTheme="majorEastAsia"/>
          <w:color w:val="auto"/>
          <w:kern w:val="0"/>
          <w:sz w:val="24"/>
          <w:highlight w:val="none"/>
          <w:lang w:val="zh-CN"/>
        </w:rPr>
        <w:t>供应商进行电子投标应安装客户端软件</w:t>
      </w:r>
      <w:r>
        <w:rPr>
          <w:rFonts w:hint="eastAsia" w:cs="仿宋" w:asciiTheme="majorEastAsia" w:hAnsiTheme="majorEastAsia" w:eastAsiaTheme="majorEastAsia"/>
          <w:color w:val="auto"/>
          <w:kern w:val="0"/>
          <w:sz w:val="24"/>
          <w:highlight w:val="none"/>
        </w:rPr>
        <w:t>—“乐采云</w:t>
      </w:r>
      <w:r>
        <w:rPr>
          <w:rFonts w:hint="eastAsia" w:cs="仿宋" w:asciiTheme="majorEastAsia" w:hAnsiTheme="majorEastAsia" w:eastAsiaTheme="majorEastAsia"/>
          <w:color w:val="auto"/>
          <w:kern w:val="0"/>
          <w:sz w:val="24"/>
          <w:highlight w:val="none"/>
          <w:lang w:val="zh-CN"/>
        </w:rPr>
        <w:t>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55726352">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采云电子交易客户端”需要提前申领CA数字证书，申领流程请自行前往“浙江企业采购信息服务网-下载专区-电子交易客户端-CA驱动和申领流程”进行查阅。</w:t>
      </w:r>
    </w:p>
    <w:p w14:paraId="0B5A6BB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1B28F8A3">
      <w:pPr>
        <w:pStyle w:val="41"/>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19A7A795">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574DD8CA">
      <w:pPr>
        <w:pStyle w:val="41"/>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68BE333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4894796E">
      <w:pPr>
        <w:pStyle w:val="41"/>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2B7964">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1A770AF2">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370E43E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55AE9D85">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023C018">
      <w:pPr>
        <w:pStyle w:val="41"/>
        <w:shd w:val="clear"/>
        <w:spacing w:before="0"/>
        <w:ind w:firstLine="643"/>
        <w:rPr>
          <w:rFonts w:cs="仿宋" w:asciiTheme="majorEastAsia" w:hAnsiTheme="majorEastAsia" w:eastAsiaTheme="majorEastAsia"/>
          <w:b/>
          <w:color w:val="auto"/>
          <w:sz w:val="32"/>
          <w:highlight w:val="none"/>
        </w:rPr>
      </w:pPr>
    </w:p>
    <w:p w14:paraId="7B786CC2">
      <w:pPr>
        <w:pStyle w:val="41"/>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3E2F31F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563628BC">
      <w:pPr>
        <w:pStyle w:val="36"/>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6218FD31">
      <w:pPr>
        <w:pStyle w:val="36"/>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263A2C0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19379D9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1CB0B2C7">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3879D168">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325770F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446E196E">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71C04F6C">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06CA0513">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4E7C6831">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4A1DD31B">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五、评标</w:t>
      </w:r>
    </w:p>
    <w:p w14:paraId="5D33271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2" w:name="_Toc91899903"/>
      <w:r>
        <w:rPr>
          <w:rFonts w:hint="eastAsia" w:cs="仿宋" w:asciiTheme="majorEastAsia" w:hAnsiTheme="majorEastAsia" w:eastAsiaTheme="majorEastAsia"/>
          <w:b/>
          <w:color w:val="auto"/>
          <w:sz w:val="24"/>
          <w:highlight w:val="none"/>
        </w:rPr>
        <w:t>评标委员会</w:t>
      </w:r>
    </w:p>
    <w:p w14:paraId="6031D67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43AAEEA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24430E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3279F02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15B5CEA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7A067A89">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7044C7D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4860D4B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55F6206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7CDEB9B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1CA9513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7B27F44C">
      <w:pPr>
        <w:pStyle w:val="41"/>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09A8987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00336FE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1E4A30B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22F5EA2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425698A7">
      <w:pPr>
        <w:shd w:val="clear"/>
        <w:spacing w:line="360" w:lineRule="auto"/>
        <w:rPr>
          <w:rFonts w:cs="仿宋" w:asciiTheme="majorEastAsia" w:hAnsiTheme="majorEastAsia" w:eastAsiaTheme="majorEastAsia"/>
          <w:b/>
          <w:color w:val="auto"/>
          <w:sz w:val="24"/>
          <w:highlight w:val="none"/>
        </w:rPr>
      </w:pPr>
    </w:p>
    <w:p w14:paraId="62F4F12E">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六、定 标</w:t>
      </w:r>
    </w:p>
    <w:p w14:paraId="3AC838B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637C645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4B65061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66B5977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73CDF8D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2BDDCC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4AE65A25">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70EBB3B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0095C5F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963125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14F243F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3A2D4ED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4D997BAB">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320343F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41A36FC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53B264FF">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14:paraId="019A16F9">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14:paraId="5EAE9C87">
      <w:pPr>
        <w:pStyle w:val="41"/>
        <w:shd w:val="clear"/>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14:paraId="0B76996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23.5保证金不计息。</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23.6投标人有下列情形之一的，投标保证金将不予退还：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23.6.1投标人在投标有效期内撤回投标文件的；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23.6.2未按规定提交履约保证金的；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23.6.3投标人在投标过程中弄虚作假，提供虚假材料的；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23.6.4中标人无正当理由不与招标人签订合同的；</w:t>
      </w:r>
    </w:p>
    <w:p w14:paraId="173018D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0E892288">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02EB9BEB">
      <w:pPr>
        <w:pStyle w:val="6"/>
        <w:shd w:val="clear"/>
        <w:rPr>
          <w:rFonts w:asciiTheme="majorEastAsia" w:hAnsiTheme="majorEastAsia" w:eastAsiaTheme="majorEastAsia"/>
          <w:color w:val="auto"/>
          <w:highlight w:val="none"/>
        </w:rPr>
      </w:pPr>
    </w:p>
    <w:p w14:paraId="4B395930">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4230BC5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23C97D9D">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CE944DE">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25.1电子交易平台发生故障而无法登录访问的； </w:t>
      </w:r>
    </w:p>
    <w:p w14:paraId="01A78FBF">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25.2电子交易平台应用或数据库出现错误，不能进行正常操作的；</w:t>
      </w:r>
    </w:p>
    <w:p w14:paraId="4BDEBACD">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25.3电子交易平台发现严重安全漏洞，有潜在泄密危险的；</w:t>
      </w:r>
    </w:p>
    <w:p w14:paraId="199CD51D">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25.4病毒发作导致不能进行正常操作的； </w:t>
      </w:r>
    </w:p>
    <w:p w14:paraId="423E6212">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25.5其他无法保证电子交易的公平、公正和安全的情况。</w:t>
      </w:r>
    </w:p>
    <w:p w14:paraId="5B77943C">
      <w:pPr>
        <w:shd w:val="clear"/>
        <w:tabs>
          <w:tab w:val="left" w:pos="0"/>
        </w:tabs>
        <w:spacing w:line="360" w:lineRule="auto"/>
        <w:ind w:firstLine="480"/>
        <w:rPr>
          <w:rFonts w:cs="仿宋" w:asciiTheme="majorEastAsia" w:hAnsiTheme="majorEastAsia" w:eastAsiaTheme="majorEastAsia"/>
          <w:color w:val="auto"/>
          <w:sz w:val="24"/>
          <w:highlight w:val="none"/>
        </w:rPr>
      </w:pPr>
    </w:p>
    <w:p w14:paraId="5747CCB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630CF9B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06A073D0">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88AC48">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C0F883">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0"/>
      <w:bookmarkEnd w:id="11"/>
      <w:bookmarkEnd w:id="12"/>
      <w:bookmarkStart w:id="13" w:name="_Hlt75236101"/>
      <w:bookmarkEnd w:id="13"/>
      <w:bookmarkStart w:id="14" w:name="_Hlt68072998"/>
      <w:bookmarkEnd w:id="14"/>
      <w:bookmarkStart w:id="15" w:name="_Hlt74730295"/>
      <w:bookmarkEnd w:id="15"/>
      <w:bookmarkStart w:id="16" w:name="_Hlt68403820"/>
      <w:bookmarkEnd w:id="16"/>
      <w:bookmarkStart w:id="17" w:name="_Hlt75236011"/>
      <w:bookmarkEnd w:id="17"/>
      <w:bookmarkStart w:id="18" w:name="_Hlt68072990"/>
      <w:bookmarkEnd w:id="18"/>
      <w:bookmarkStart w:id="19" w:name="_Hlt75236290"/>
      <w:bookmarkEnd w:id="19"/>
      <w:bookmarkStart w:id="20" w:name="_Hlt74707468"/>
      <w:bookmarkEnd w:id="20"/>
      <w:bookmarkStart w:id="21" w:name="_Hlt74714665"/>
      <w:bookmarkEnd w:id="21"/>
      <w:bookmarkStart w:id="22" w:name="_Hlt68057669"/>
      <w:bookmarkEnd w:id="22"/>
      <w:bookmarkStart w:id="23" w:name="_Hlt68073093"/>
      <w:bookmarkEnd w:id="23"/>
      <w:bookmarkStart w:id="24" w:name="_Hlt74729768"/>
      <w:bookmarkEnd w:id="24"/>
      <w:bookmarkStart w:id="25" w:name="第四部分"/>
    </w:p>
    <w:p w14:paraId="349B2D80">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7B20E22B">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bookmarkStart w:id="26" w:name="_Toc238282729"/>
      <w:bookmarkStart w:id="27" w:name="_Toc234496368"/>
      <w:bookmarkStart w:id="28" w:name="_Toc238060530"/>
      <w:bookmarkStart w:id="29" w:name="_Toc238302725"/>
      <w:bookmarkStart w:id="30" w:name="_Toc337648124"/>
      <w:bookmarkStart w:id="31" w:name="_Toc238060864"/>
      <w:bookmarkStart w:id="32" w:name="_Toc3177"/>
      <w:bookmarkStart w:id="33" w:name="_Toc500353170"/>
    </w:p>
    <w:bookmarkEnd w:id="26"/>
    <w:bookmarkEnd w:id="27"/>
    <w:bookmarkEnd w:id="28"/>
    <w:bookmarkEnd w:id="29"/>
    <w:bookmarkEnd w:id="30"/>
    <w:bookmarkEnd w:id="31"/>
    <w:bookmarkEnd w:id="32"/>
    <w:bookmarkEnd w:id="33"/>
    <w:p w14:paraId="33091EBB">
      <w:pPr>
        <w:shd w:val="clear"/>
        <w:snapToGrid w:val="0"/>
        <w:spacing w:line="400" w:lineRule="exact"/>
        <w:rPr>
          <w:rFonts w:ascii="宋体" w:hAnsi="宋体"/>
          <w:b/>
          <w:bCs/>
          <w:color w:val="auto"/>
          <w:sz w:val="24"/>
          <w:highlight w:val="none"/>
        </w:rPr>
      </w:pPr>
      <w:bookmarkStart w:id="34" w:name="_Toc462044159"/>
      <w:r>
        <w:rPr>
          <w:rFonts w:hint="eastAsia" w:ascii="宋体" w:hAnsi="宋体"/>
          <w:b/>
          <w:bCs/>
          <w:color w:val="auto"/>
          <w:sz w:val="24"/>
          <w:highlight w:val="none"/>
        </w:rPr>
        <w:t>一、概述</w:t>
      </w:r>
    </w:p>
    <w:p w14:paraId="3082156A">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1、本次采购的产品（服务）所涉及的产品标准、规范、验收标准、规范（如有），应符合国家有关条例及规范。如有新的标准应采纳新标准；若同一产品同时有几个标准（国家标准、行业标准、企业标准等），则按最高层次的标准执行。</w:t>
      </w:r>
    </w:p>
    <w:p w14:paraId="0045838B">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2、供应商需按招标文件的要求完成所有工作。按要求提交所需的无论其是否被明细列在合同文件中的所有资料，提供的产品必须满足招标文件中提出的相关技术要求。</w:t>
      </w:r>
    </w:p>
    <w:p w14:paraId="0C81C5C0">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3、供应商提供的货物应是无任何质量缺陷、技术成熟，符合国家现行规范/标准要求。</w:t>
      </w:r>
    </w:p>
    <w:p w14:paraId="313C14D1">
      <w:pPr>
        <w:shd w:val="clear"/>
        <w:snapToGrid w:val="0"/>
        <w:spacing w:line="400" w:lineRule="exact"/>
        <w:rPr>
          <w:rFonts w:ascii="宋体" w:hAnsi="宋体"/>
          <w:b/>
          <w:bCs/>
          <w:color w:val="auto"/>
          <w:sz w:val="24"/>
          <w:highlight w:val="none"/>
        </w:rPr>
      </w:pPr>
      <w:r>
        <w:rPr>
          <w:rFonts w:hint="eastAsia" w:ascii="宋体" w:hAnsi="宋体"/>
          <w:b/>
          <w:bCs/>
          <w:color w:val="auto"/>
          <w:sz w:val="24"/>
          <w:highlight w:val="none"/>
        </w:rPr>
        <w:t>二、采购内容及技术要求</w:t>
      </w:r>
    </w:p>
    <w:p w14:paraId="704629B6">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1、采购清单及平面图</w:t>
      </w:r>
    </w:p>
    <w:p w14:paraId="4FA95054">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详见附件一：采购清单，附件二：平面图。</w:t>
      </w:r>
    </w:p>
    <w:p w14:paraId="0A82D5A5">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2、所投产品需符合国家相关的规定。</w:t>
      </w:r>
    </w:p>
    <w:p w14:paraId="29BA8F9E">
      <w:pPr>
        <w:widowControl/>
        <w:shd w:val="clear"/>
        <w:snapToGrid w:val="0"/>
        <w:spacing w:line="400" w:lineRule="exact"/>
        <w:ind w:left="420"/>
        <w:rPr>
          <w:rFonts w:ascii="宋体" w:hAnsi="宋体"/>
          <w:bCs/>
          <w:color w:val="auto"/>
          <w:sz w:val="24"/>
          <w:highlight w:val="none"/>
        </w:rPr>
      </w:pPr>
      <w:r>
        <w:rPr>
          <w:rFonts w:hint="eastAsia" w:ascii="宋体" w:hAnsi="宋体"/>
          <w:bCs/>
          <w:color w:val="auto"/>
          <w:sz w:val="24"/>
          <w:highlight w:val="none"/>
        </w:rPr>
        <w:t>3、采购人或最终使用单位对提供的产品存在疑异，均可以委托省、市级产品质量监督机构按投标承诺进行鉴定；如果鉴定结果不符合，则要求重新整改，如整改后仍不通过，（或第一次情节特别严重的）采购人或最终使用单位有权中止合同及没收履约保证金处理,并处罚合同总价20%的违约金给予采购人补偿。（如果鉴定结果不符合的相应的检测费用由中标人承担，如鉴定结果符合要求的相应的检测费用由采购人承担。）</w:t>
      </w:r>
    </w:p>
    <w:p w14:paraId="07841FFA">
      <w:pPr>
        <w:widowControl/>
        <w:shd w:val="clear"/>
        <w:snapToGrid w:val="0"/>
        <w:spacing w:line="400" w:lineRule="exact"/>
        <w:ind w:left="420"/>
        <w:rPr>
          <w:rFonts w:ascii="宋体" w:hAnsi="宋体"/>
          <w:color w:val="auto"/>
          <w:sz w:val="24"/>
          <w:highlight w:val="none"/>
        </w:rPr>
      </w:pPr>
      <w:r>
        <w:rPr>
          <w:rFonts w:hint="eastAsia" w:ascii="宋体" w:hAnsi="宋体"/>
          <w:bCs/>
          <w:color w:val="auto"/>
          <w:sz w:val="24"/>
          <w:highlight w:val="none"/>
        </w:rPr>
        <w:t>4、本次采购的货物如涉及国家规定强制认证的，均视为供应商报价货物符合了工业品生产许可证，3C认证，环保货物认证等强制认证规定的</w:t>
      </w:r>
      <w:r>
        <w:rPr>
          <w:rFonts w:hint="eastAsia" w:ascii="宋体" w:hAnsi="宋体"/>
          <w:color w:val="auto"/>
          <w:sz w:val="24"/>
          <w:highlight w:val="none"/>
        </w:rPr>
        <w:t>。</w:t>
      </w:r>
    </w:p>
    <w:p w14:paraId="6808A610">
      <w:pPr>
        <w:shd w:val="clear"/>
        <w:snapToGrid w:val="0"/>
        <w:spacing w:line="400" w:lineRule="exact"/>
        <w:rPr>
          <w:rFonts w:hint="eastAsia" w:ascii="宋体" w:hAnsi="宋体"/>
          <w:b/>
          <w:bCs/>
          <w:color w:val="auto"/>
          <w:sz w:val="24"/>
          <w:highlight w:val="none"/>
        </w:rPr>
      </w:pPr>
      <w:r>
        <w:rPr>
          <w:rFonts w:hint="eastAsia" w:ascii="宋体" w:hAnsi="宋体"/>
          <w:b/>
          <w:bCs/>
          <w:color w:val="auto"/>
          <w:sz w:val="24"/>
          <w:highlight w:val="none"/>
        </w:rPr>
        <w:t>三、其他事项</w:t>
      </w:r>
    </w:p>
    <w:p w14:paraId="7CC727FC">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送货、安装过程中发生的费用由中标供应商负责。</w:t>
      </w:r>
    </w:p>
    <w:p w14:paraId="1E95FA25">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olor w:val="auto"/>
          <w:sz w:val="24"/>
          <w:highlight w:val="none"/>
        </w:rPr>
        <w:t>中标供应商应对采购人的维修人员提供培训，使其能对设备进行日常的维护保养及能对一般故障进行维修。</w:t>
      </w:r>
    </w:p>
    <w:p w14:paraId="05DF9B2B">
      <w:pPr>
        <w:shd w:val="clear"/>
        <w:autoSpaceDE w:val="0"/>
        <w:autoSpaceDN w:val="0"/>
        <w:adjustRightInd w:val="0"/>
        <w:spacing w:line="46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旨在提供更好的其他方式培训。</w:t>
      </w:r>
    </w:p>
    <w:p w14:paraId="5578DA98">
      <w:pPr>
        <w:shd w:val="clear"/>
        <w:snapToGrid w:val="0"/>
        <w:spacing w:line="400" w:lineRule="exact"/>
        <w:rPr>
          <w:rFonts w:ascii="宋体" w:hAnsi="宋体"/>
          <w:b/>
          <w:bCs/>
          <w:color w:val="auto"/>
          <w:sz w:val="24"/>
          <w:highlight w:val="none"/>
        </w:rPr>
      </w:pPr>
      <w:r>
        <w:rPr>
          <w:rFonts w:hint="eastAsia" w:ascii="宋体" w:hAnsi="宋体"/>
          <w:b/>
          <w:bCs/>
          <w:color w:val="auto"/>
          <w:sz w:val="24"/>
          <w:highlight w:val="none"/>
        </w:rPr>
        <w:t>四、工作范围</w:t>
      </w:r>
    </w:p>
    <w:p w14:paraId="01CAF19D">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根据招标文件，各供应商须按国家有关标准及规范完成下列工作：</w:t>
      </w:r>
    </w:p>
    <w:p w14:paraId="7C109924">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1.提供完整成套的设备；</w:t>
      </w:r>
    </w:p>
    <w:p w14:paraId="5E19DC7A">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2.产品及相关附件的提供、运输、装卸、就位、安装、调试、检验、通过验收；</w:t>
      </w:r>
    </w:p>
    <w:p w14:paraId="69D2E164">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3.完成各项调试、检验、测试工作，提供各种数据资料；直至通过验收。包括所涉及的配置和调试、维护。</w:t>
      </w:r>
    </w:p>
    <w:p w14:paraId="4DBB36D3">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4.对最终使用单位的操作人员及维修人员进行技术培训；</w:t>
      </w:r>
    </w:p>
    <w:p w14:paraId="36584F0D">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5.质保期内系统的维保及维修；</w:t>
      </w:r>
    </w:p>
    <w:p w14:paraId="46BBF25D">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6.售后服务的措施及承诺。</w:t>
      </w:r>
    </w:p>
    <w:p w14:paraId="73E14531">
      <w:pPr>
        <w:shd w:val="clear"/>
        <w:snapToGrid w:val="0"/>
        <w:spacing w:line="360" w:lineRule="auto"/>
        <w:rPr>
          <w:rFonts w:ascii="宋体" w:hAnsi="宋体"/>
          <w:b/>
          <w:bCs/>
          <w:color w:val="auto"/>
          <w:sz w:val="24"/>
          <w:highlight w:val="none"/>
        </w:rPr>
      </w:pPr>
      <w:r>
        <w:rPr>
          <w:rFonts w:hint="eastAsia" w:ascii="宋体" w:hAnsi="宋体"/>
          <w:b/>
          <w:color w:val="auto"/>
          <w:sz w:val="28"/>
          <w:szCs w:val="28"/>
          <w:highlight w:val="none"/>
        </w:rPr>
        <w:t>　</w:t>
      </w:r>
      <w:r>
        <w:rPr>
          <w:rFonts w:hint="eastAsia" w:ascii="宋体" w:hAnsi="宋体"/>
          <w:b/>
          <w:bCs/>
          <w:color w:val="auto"/>
          <w:sz w:val="24"/>
          <w:highlight w:val="none"/>
        </w:rPr>
        <w:t>五、样品</w:t>
      </w:r>
    </w:p>
    <w:p w14:paraId="1F234CA9">
      <w:pPr>
        <w:pStyle w:val="25"/>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投标人按照招标文件要求，提供二层柜（提供二层有背柜样品）（教室家具第6项）、娃娃家组合1（教室家具第12项）、三层抽拉床（教室家具第30项）的实样样品，样品尺寸允许偏差±0.2cm。</w:t>
      </w:r>
    </w:p>
    <w:p w14:paraId="3C2240E5">
      <w:pPr>
        <w:pStyle w:val="25"/>
        <w:shd w:val="clear"/>
        <w:spacing w:line="360" w:lineRule="auto"/>
        <w:ind w:firstLine="480"/>
        <w:rPr>
          <w:rFonts w:cs="宋体"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cs="宋体" w:asciiTheme="minorEastAsia" w:hAnsiTheme="minorEastAsia" w:eastAsiaTheme="minorEastAsia"/>
          <w:color w:val="auto"/>
          <w:sz w:val="24"/>
          <w:highlight w:val="none"/>
        </w:rPr>
        <w:t>所投样品须与采购清单中参数一致，</w:t>
      </w:r>
      <w:r>
        <w:rPr>
          <w:rFonts w:hint="eastAsia" w:asciiTheme="minorEastAsia" w:hAnsiTheme="minorEastAsia" w:eastAsiaTheme="minorEastAsia" w:cstheme="minorEastAsia"/>
          <w:color w:val="auto"/>
          <w:sz w:val="24"/>
          <w:highlight w:val="none"/>
        </w:rPr>
        <w:t>评标委员会按照采购文件规定的评标办法及标准对样品进行评议。如提供的样品</w:t>
      </w:r>
      <w:r>
        <w:rPr>
          <w:rFonts w:hint="eastAsia" w:cs="宋体" w:asciiTheme="minorEastAsia" w:hAnsiTheme="minorEastAsia" w:eastAsiaTheme="minorEastAsia"/>
          <w:color w:val="auto"/>
          <w:sz w:val="24"/>
          <w:highlight w:val="none"/>
        </w:rPr>
        <w:t>与采购清单中参数不一致的，对应样品不得分。</w:t>
      </w:r>
    </w:p>
    <w:p w14:paraId="423434F0">
      <w:pPr>
        <w:pStyle w:val="25"/>
        <w:shd w:val="clea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2、样品外表面上须牢固地粘贴一张写有“项目名称”、“样品名称”及“投标人名称”的标识。</w:t>
      </w:r>
    </w:p>
    <w:bookmarkEnd w:id="34"/>
    <w:p w14:paraId="73A67CD8">
      <w:pPr>
        <w:shd w:val="clear"/>
        <w:snapToGrid w:val="0"/>
        <w:spacing w:line="360" w:lineRule="auto"/>
        <w:rPr>
          <w:rFonts w:ascii="宋体" w:hAnsi="宋体"/>
          <w:b/>
          <w:bCs/>
          <w:color w:val="auto"/>
          <w:sz w:val="24"/>
          <w:highlight w:val="none"/>
        </w:rPr>
      </w:pPr>
      <w:r>
        <w:rPr>
          <w:rFonts w:hint="eastAsia" w:ascii="宋体" w:hAnsi="宋体"/>
          <w:b/>
          <w:bCs/>
          <w:color w:val="auto"/>
          <w:sz w:val="24"/>
          <w:highlight w:val="none"/>
        </w:rPr>
        <w:t>六、规划及布置要求</w:t>
      </w:r>
    </w:p>
    <w:p w14:paraId="4BDEA961">
      <w:pPr>
        <w:shd w:val="clear"/>
        <w:spacing w:line="46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供应商需结合本项目采购清单中设备配置情况及平面图，在投标文件中对家具产品提供合理的摆放布局，在设计过程中需考虑到幼童使用的适用性、安全性和合理性。</w:t>
      </w:r>
    </w:p>
    <w:p w14:paraId="114AB070">
      <w:pPr>
        <w:pStyle w:val="25"/>
        <w:shd w:val="clear"/>
        <w:ind w:firstLine="560"/>
        <w:rPr>
          <w:color w:val="auto"/>
          <w:highlight w:val="none"/>
        </w:rPr>
      </w:pPr>
    </w:p>
    <w:p w14:paraId="5E9241EA">
      <w:pPr>
        <w:shd w:val="clear"/>
        <w:snapToGrid w:val="0"/>
        <w:spacing w:line="400" w:lineRule="exact"/>
        <w:rPr>
          <w:rFonts w:ascii="宋体" w:hAnsi="宋体"/>
          <w:b/>
          <w:bCs/>
          <w:color w:val="auto"/>
          <w:sz w:val="24"/>
          <w:highlight w:val="none"/>
        </w:rPr>
      </w:pPr>
      <w:r>
        <w:rPr>
          <w:rFonts w:hint="eastAsia" w:ascii="宋体" w:hAnsi="宋体"/>
          <w:b/>
          <w:bCs/>
          <w:color w:val="auto"/>
          <w:sz w:val="24"/>
          <w:highlight w:val="none"/>
        </w:rPr>
        <w:t>七、商务要求</w:t>
      </w:r>
    </w:p>
    <w:tbl>
      <w:tblPr>
        <w:tblStyle w:val="18"/>
        <w:tblW w:w="975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39"/>
        <w:gridCol w:w="7816"/>
      </w:tblGrid>
      <w:tr w14:paraId="73990D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1939" w:type="dxa"/>
            <w:tcBorders>
              <w:top w:val="single" w:color="auto" w:sz="4" w:space="0"/>
              <w:bottom w:val="single" w:color="auto" w:sz="4" w:space="0"/>
            </w:tcBorders>
            <w:vAlign w:val="center"/>
          </w:tcPr>
          <w:p w14:paraId="29CD3464">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7816" w:type="dxa"/>
            <w:tcBorders>
              <w:top w:val="single" w:color="auto" w:sz="4" w:space="0"/>
              <w:bottom w:val="single" w:color="auto" w:sz="4" w:space="0"/>
            </w:tcBorders>
            <w:vAlign w:val="center"/>
          </w:tcPr>
          <w:p w14:paraId="3AF383F6">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r>
      <w:tr w14:paraId="71C87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22E2CC81">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7816" w:type="dxa"/>
            <w:tcBorders>
              <w:top w:val="single" w:color="auto" w:sz="4" w:space="0"/>
            </w:tcBorders>
            <w:vAlign w:val="center"/>
          </w:tcPr>
          <w:p w14:paraId="68F865FA">
            <w:pPr>
              <w:shd w:val="clear"/>
              <w:snapToGrid w:val="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、质保期：全部货物验收合格之日起二</w:t>
            </w:r>
            <w:r>
              <w:rPr>
                <w:rFonts w:ascii="宋体" w:hAnsi="宋体" w:cs="宋体"/>
                <w:color w:val="auto"/>
                <w:sz w:val="24"/>
                <w:highlight w:val="none"/>
              </w:rPr>
              <w:t>年。</w:t>
            </w:r>
          </w:p>
          <w:p w14:paraId="429E4C5F">
            <w:pPr>
              <w:shd w:val="clear"/>
              <w:snapToGrid w:val="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、国家有三包政策规定的遵循国家规定执行。</w:t>
            </w:r>
          </w:p>
        </w:tc>
      </w:tr>
      <w:tr w14:paraId="58D7B5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4FE32EAC">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售后技术</w:t>
            </w:r>
            <w:r>
              <w:rPr>
                <w:rFonts w:ascii="宋体" w:hAnsi="宋体" w:cs="宋体"/>
                <w:color w:val="auto"/>
                <w:sz w:val="24"/>
                <w:highlight w:val="none"/>
              </w:rPr>
              <w:br w:type="textWrapping"/>
            </w:r>
            <w:r>
              <w:rPr>
                <w:rFonts w:ascii="宋体" w:hAnsi="宋体" w:cs="宋体"/>
                <w:color w:val="auto"/>
                <w:sz w:val="24"/>
                <w:highlight w:val="none"/>
              </w:rPr>
              <w:t>服务要求</w:t>
            </w:r>
          </w:p>
        </w:tc>
        <w:tc>
          <w:tcPr>
            <w:tcW w:w="7816" w:type="dxa"/>
            <w:tcBorders>
              <w:top w:val="single" w:color="auto" w:sz="4" w:space="0"/>
            </w:tcBorders>
            <w:vAlign w:val="center"/>
          </w:tcPr>
          <w:p w14:paraId="6D3C3CF8">
            <w:pPr>
              <w:shd w:val="clear"/>
              <w:snapToGrid w:val="0"/>
              <w:rPr>
                <w:rFonts w:ascii="宋体" w:hAnsi="宋体" w:cs="宋体"/>
                <w:color w:val="auto"/>
                <w:sz w:val="24"/>
                <w:highlight w:val="none"/>
              </w:rPr>
            </w:pPr>
            <w:r>
              <w:rPr>
                <w:rFonts w:ascii="宋体" w:hAnsi="宋体" w:cs="宋体"/>
                <w:color w:val="auto"/>
                <w:sz w:val="24"/>
                <w:highlight w:val="none"/>
              </w:rPr>
              <w:t>如在使用过程中发生质量问题，接到要求提供服务的电话（或传真）后</w:t>
            </w:r>
            <w:r>
              <w:rPr>
                <w:rFonts w:hint="eastAsia" w:ascii="宋体" w:hAnsi="宋体" w:cs="宋体"/>
                <w:color w:val="auto"/>
                <w:sz w:val="24"/>
                <w:highlight w:val="none"/>
              </w:rPr>
              <w:t>30分钟内</w:t>
            </w:r>
            <w:r>
              <w:rPr>
                <w:rFonts w:ascii="宋体" w:hAnsi="宋体" w:cs="宋体"/>
                <w:color w:val="auto"/>
                <w:sz w:val="24"/>
                <w:highlight w:val="none"/>
              </w:rPr>
              <w:t>做出响应</w:t>
            </w:r>
            <w:r>
              <w:rPr>
                <w:rFonts w:hint="eastAsia" w:ascii="宋体" w:hAnsi="宋体" w:cs="宋体"/>
                <w:color w:val="auto"/>
                <w:sz w:val="24"/>
                <w:highlight w:val="none"/>
              </w:rPr>
              <w:t>，60分钟内派出合格的服务人员到达业主设备使用现场。一般故障修复时间≤4小时，重大故障修复时间≤12小时。规定时间内不能修复的免费提供同档次产品供甲方使用。</w:t>
            </w:r>
          </w:p>
        </w:tc>
      </w:tr>
      <w:tr w14:paraId="51D017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1939" w:type="dxa"/>
            <w:vAlign w:val="center"/>
          </w:tcPr>
          <w:p w14:paraId="0993371B">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交货期</w:t>
            </w:r>
            <w:r>
              <w:rPr>
                <w:rFonts w:ascii="宋体" w:hAnsi="宋体" w:cs="宋体"/>
                <w:color w:val="auto"/>
                <w:sz w:val="24"/>
                <w:highlight w:val="none"/>
              </w:rPr>
              <w:t>及地点</w:t>
            </w:r>
          </w:p>
        </w:tc>
        <w:tc>
          <w:tcPr>
            <w:tcW w:w="7816" w:type="dxa"/>
            <w:vAlign w:val="center"/>
          </w:tcPr>
          <w:p w14:paraId="1B8ADAC7">
            <w:pPr>
              <w:shd w:val="clear"/>
              <w:jc w:val="left"/>
              <w:rPr>
                <w:rFonts w:ascii="宋体" w:hAnsi="宋体" w:cs="宋体"/>
                <w:color w:val="auto"/>
                <w:sz w:val="24"/>
                <w:highlight w:val="none"/>
              </w:rPr>
            </w:pPr>
            <w:r>
              <w:rPr>
                <w:rFonts w:hint="eastAsia" w:ascii="宋体" w:hAnsi="宋体" w:cs="宋体"/>
                <w:color w:val="auto"/>
                <w:sz w:val="24"/>
                <w:highlight w:val="none"/>
              </w:rPr>
              <w:t>交货期：合同签订后</w:t>
            </w:r>
            <w:r>
              <w:rPr>
                <w:rFonts w:hint="eastAsia" w:cs="仿宋" w:asciiTheme="majorEastAsia" w:hAnsiTheme="majorEastAsia" w:eastAsiaTheme="majorEastAsia"/>
                <w:color w:val="auto"/>
                <w:kern w:val="0"/>
                <w:sz w:val="24"/>
                <w:highlight w:val="none"/>
              </w:rPr>
              <w:t>接到业主通知之日起</w:t>
            </w:r>
            <w:r>
              <w:rPr>
                <w:rFonts w:hint="eastAsia" w:ascii="宋体" w:hAnsi="宋体" w:cs="宋体"/>
                <w:color w:val="auto"/>
                <w:sz w:val="24"/>
                <w:highlight w:val="none"/>
              </w:rPr>
              <w:t>45日内完成供货安装完成并通过验收；</w:t>
            </w:r>
          </w:p>
          <w:p w14:paraId="22D059C9">
            <w:pPr>
              <w:shd w:val="clear"/>
              <w:jc w:val="left"/>
              <w:rPr>
                <w:rFonts w:ascii="宋体" w:hAnsi="宋体" w:cs="宋体"/>
                <w:color w:val="auto"/>
                <w:sz w:val="24"/>
                <w:highlight w:val="none"/>
              </w:rPr>
            </w:pPr>
            <w:r>
              <w:rPr>
                <w:rFonts w:ascii="宋体" w:hAnsi="宋体" w:cs="宋体"/>
                <w:color w:val="auto"/>
                <w:sz w:val="24"/>
                <w:highlight w:val="none"/>
              </w:rPr>
              <w:t>地点：业主指定地点</w:t>
            </w:r>
            <w:r>
              <w:rPr>
                <w:rFonts w:hint="eastAsia" w:ascii="宋体" w:hAnsi="宋体" w:cs="宋体"/>
                <w:color w:val="auto"/>
                <w:sz w:val="24"/>
                <w:highlight w:val="none"/>
              </w:rPr>
              <w:t>。</w:t>
            </w:r>
          </w:p>
        </w:tc>
      </w:tr>
      <w:tr w14:paraId="7FDAC1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1939" w:type="dxa"/>
            <w:vAlign w:val="center"/>
          </w:tcPr>
          <w:p w14:paraId="1584C929">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816" w:type="dxa"/>
            <w:vAlign w:val="center"/>
          </w:tcPr>
          <w:p w14:paraId="5CBA5432">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履约保证金</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2F0E81CA">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履约保证金</w:t>
            </w:r>
            <w:r>
              <w:rPr>
                <w:rFonts w:ascii="宋体" w:hAnsi="宋体" w:cs="宋体"/>
                <w:color w:val="auto"/>
                <w:sz w:val="24"/>
                <w:highlight w:val="none"/>
              </w:rPr>
              <w:t>的收取及退还：</w:t>
            </w:r>
            <w:r>
              <w:rPr>
                <w:rFonts w:hint="eastAsia" w:ascii="宋体" w:hAnsi="宋体" w:cs="宋体"/>
                <w:color w:val="auto"/>
                <w:sz w:val="24"/>
                <w:highlight w:val="none"/>
              </w:rPr>
              <w:t>按合同总金额的2.5%计收</w:t>
            </w:r>
            <w:r>
              <w:rPr>
                <w:rFonts w:ascii="宋体" w:hAnsi="宋体" w:cs="宋体"/>
                <w:color w:val="auto"/>
                <w:sz w:val="24"/>
                <w:highlight w:val="none"/>
              </w:rPr>
              <w:t>，合同履行完毕（验收合格并交付使用）后5日内无息退还。</w:t>
            </w:r>
          </w:p>
        </w:tc>
      </w:tr>
      <w:tr w14:paraId="1D354D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939" w:type="dxa"/>
            <w:vAlign w:val="center"/>
          </w:tcPr>
          <w:p w14:paraId="3A7E7074">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7816" w:type="dxa"/>
            <w:vAlign w:val="center"/>
          </w:tcPr>
          <w:p w14:paraId="5B1815A7">
            <w:pPr>
              <w:shd w:val="clear"/>
              <w:snapToGrid w:val="0"/>
              <w:rPr>
                <w:rFonts w:ascii="宋体" w:hAnsi="宋体" w:cs="宋体"/>
                <w:color w:val="auto"/>
                <w:sz w:val="24"/>
                <w:highlight w:val="none"/>
              </w:rPr>
            </w:pPr>
            <w:r>
              <w:rPr>
                <w:rFonts w:hint="eastAsia" w:ascii="宋体" w:hAnsi="宋体" w:cs="宋体"/>
                <w:color w:val="auto"/>
                <w:sz w:val="24"/>
                <w:highlight w:val="none"/>
              </w:rPr>
              <w:t>合同签订后 7个工作日内支付合同款项的 30%作为预付款；完成全部供货、安装并验收合格后支付至合同款项的 98%；</w:t>
            </w:r>
            <w:r>
              <w:rPr>
                <w:rFonts w:hint="eastAsia" w:ascii="宋体" w:hAnsi="宋体" w:cs="宋体"/>
                <w:color w:val="auto"/>
                <w:sz w:val="24"/>
                <w:highlight w:val="none"/>
                <w:lang w:eastAsia="zh-CN"/>
              </w:rPr>
              <w:t>质保期满2年后</w:t>
            </w:r>
            <w:r>
              <w:rPr>
                <w:rFonts w:hint="eastAsia" w:ascii="宋体" w:hAnsi="宋体" w:cs="宋体"/>
                <w:color w:val="auto"/>
                <w:sz w:val="24"/>
                <w:highlight w:val="none"/>
              </w:rPr>
              <w:t xml:space="preserve">且无质量问题的，支付合同剩余款项。 </w:t>
            </w:r>
          </w:p>
          <w:p w14:paraId="4B129122">
            <w:pPr>
              <w:shd w:val="clear"/>
              <w:snapToGrid w:val="0"/>
              <w:rPr>
                <w:rFonts w:ascii="宋体" w:hAnsi="宋体" w:cs="宋体"/>
                <w:color w:val="auto"/>
                <w:sz w:val="24"/>
                <w:highlight w:val="none"/>
              </w:rPr>
            </w:pPr>
            <w:r>
              <w:rPr>
                <w:rFonts w:hint="eastAsia" w:ascii="宋体" w:hAnsi="宋体" w:cs="宋体"/>
                <w:color w:val="auto"/>
                <w:sz w:val="24"/>
                <w:highlight w:val="none"/>
              </w:rPr>
              <w:t>注：以上每阶段付款前，中标人均需向采购人开具增值税专用发票，方可办理相关申报支付手续；否则由此引起的款项支付时间延长风险均由中标人自行承担。</w:t>
            </w:r>
          </w:p>
        </w:tc>
      </w:tr>
      <w:tr w14:paraId="2EA3D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939" w:type="dxa"/>
            <w:vAlign w:val="center"/>
          </w:tcPr>
          <w:p w14:paraId="0036502F">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7816" w:type="dxa"/>
            <w:vAlign w:val="center"/>
          </w:tcPr>
          <w:p w14:paraId="200E96E2">
            <w:pPr>
              <w:shd w:val="clear"/>
              <w:snapToGrid w:val="0"/>
              <w:rPr>
                <w:rFonts w:ascii="宋体" w:hAnsi="宋体" w:cs="宋体"/>
                <w:color w:val="auto"/>
                <w:sz w:val="24"/>
                <w:highlight w:val="none"/>
              </w:rPr>
            </w:pPr>
            <w:r>
              <w:rPr>
                <w:rFonts w:hint="eastAsia" w:ascii="宋体" w:hAnsi="宋体" w:cs="宋体"/>
                <w:color w:val="auto"/>
                <w:sz w:val="24"/>
                <w:highlight w:val="none"/>
              </w:rPr>
              <w:t>1、投标报价应包括完成招标文件及“采购清单”范围内的货款、标准附件、备品备件、专用工具、包装、运输、装卸、保险、税金、货到就位以及保管、安装、系统所需要配件、辅助材料、调试、验收、保修等一切税金和费用。</w:t>
            </w:r>
          </w:p>
          <w:p w14:paraId="432C6581">
            <w:pPr>
              <w:shd w:val="clear"/>
              <w:snapToGrid w:val="0"/>
              <w:rPr>
                <w:rFonts w:ascii="宋体" w:hAnsi="宋体" w:cs="宋体"/>
                <w:color w:val="auto"/>
                <w:sz w:val="24"/>
                <w:highlight w:val="none"/>
              </w:rPr>
            </w:pPr>
            <w:r>
              <w:rPr>
                <w:rFonts w:hint="eastAsia" w:ascii="宋体" w:hAnsi="宋体" w:cs="宋体"/>
                <w:color w:val="auto"/>
                <w:sz w:val="24"/>
                <w:highlight w:val="none"/>
              </w:rPr>
              <w:t>2、中标人应考虑交货期间内材料等价格上涨因素，中标后的价格将不予调整。</w:t>
            </w:r>
          </w:p>
          <w:p w14:paraId="12E22011">
            <w:pPr>
              <w:shd w:val="clear"/>
              <w:snapToGrid w:val="0"/>
              <w:rPr>
                <w:rFonts w:ascii="宋体" w:hAnsi="宋体" w:cs="宋体"/>
                <w:color w:val="auto"/>
                <w:sz w:val="24"/>
                <w:highlight w:val="none"/>
              </w:rPr>
            </w:pPr>
            <w:r>
              <w:rPr>
                <w:rFonts w:hint="eastAsia" w:ascii="宋体" w:hAnsi="宋体" w:cs="宋体"/>
                <w:color w:val="auto"/>
                <w:sz w:val="24"/>
                <w:highlight w:val="none"/>
              </w:rPr>
              <w:t>3、投标人须提供保证货物在验收合格后保修期内正常使用所必需的辅助材料、人员服务费用和检查、维护、保养费用等，其价格含在总价中。</w:t>
            </w:r>
          </w:p>
        </w:tc>
      </w:tr>
      <w:tr w14:paraId="2B95AF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939" w:type="dxa"/>
            <w:vAlign w:val="center"/>
          </w:tcPr>
          <w:p w14:paraId="32A38023">
            <w:pPr>
              <w:widowControl/>
              <w:shd w:val="clear"/>
              <w:spacing w:line="0" w:lineRule="atLeast"/>
              <w:jc w:val="center"/>
              <w:rPr>
                <w:rFonts w:ascii="宋体" w:hAnsi="宋体" w:cs="宋体"/>
                <w:color w:val="auto"/>
                <w:sz w:val="24"/>
                <w:highlight w:val="none"/>
              </w:rPr>
            </w:pPr>
            <w:r>
              <w:rPr>
                <w:rFonts w:hint="eastAsia" w:ascii="宋体" w:hAnsi="宋体" w:cs="宋体"/>
                <w:color w:val="auto"/>
                <w:sz w:val="24"/>
                <w:highlight w:val="none"/>
              </w:rPr>
              <w:t>项目质量保证</w:t>
            </w:r>
          </w:p>
        </w:tc>
        <w:tc>
          <w:tcPr>
            <w:tcW w:w="7816" w:type="dxa"/>
            <w:vAlign w:val="center"/>
          </w:tcPr>
          <w:p w14:paraId="2F8FE60A">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1、本项目所涉及的产品、设计、服务均应符合采购文件以及国家相关 </w:t>
            </w:r>
          </w:p>
          <w:p w14:paraId="07087595">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标准和规定。 </w:t>
            </w:r>
          </w:p>
          <w:p w14:paraId="2110D421">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2、供应商保证所供的产品必须是出厂原装合格产品，如发生所供产品 </w:t>
            </w:r>
          </w:p>
          <w:p w14:paraId="7ED0A20C">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与合同不符，采购人有权拒收或退货，由此产生的一切责任和后果由 </w:t>
            </w:r>
          </w:p>
          <w:p w14:paraId="08261814">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供应商承担。在所供商品交付时，供应商必须向采购人提供产品说明 </w:t>
            </w:r>
          </w:p>
          <w:p w14:paraId="5A1BB5BD">
            <w:pPr>
              <w:shd w:val="clear"/>
              <w:snapToGrid w:val="0"/>
              <w:rPr>
                <w:rFonts w:ascii="宋体" w:hAnsi="宋体" w:cs="宋体"/>
                <w:color w:val="auto"/>
                <w:sz w:val="24"/>
                <w:highlight w:val="none"/>
              </w:rPr>
            </w:pPr>
            <w:r>
              <w:rPr>
                <w:rFonts w:hint="eastAsia" w:ascii="宋体" w:hAnsi="宋体" w:cs="宋体"/>
                <w:color w:val="auto"/>
                <w:sz w:val="24"/>
                <w:highlight w:val="none"/>
              </w:rPr>
              <w:t>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、质量保证书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、保修卡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等必须具备的相关资料和必备附件。 </w:t>
            </w:r>
          </w:p>
          <w:p w14:paraId="3A9427B9">
            <w:pPr>
              <w:shd w:val="clear"/>
              <w:snapToGrid w:val="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、安全要求：合同履约过程中，供应商须做好相应的安全保护措施， </w:t>
            </w:r>
          </w:p>
          <w:p w14:paraId="6E46E76E">
            <w:pPr>
              <w:shd w:val="clear"/>
              <w:snapToGrid w:val="0"/>
              <w:rPr>
                <w:rFonts w:ascii="宋体" w:hAnsi="宋体" w:cs="宋体"/>
                <w:color w:val="auto"/>
                <w:sz w:val="24"/>
                <w:highlight w:val="none"/>
              </w:rPr>
            </w:pPr>
            <w:r>
              <w:rPr>
                <w:rFonts w:hint="eastAsia" w:ascii="宋体" w:hAnsi="宋体" w:cs="宋体"/>
                <w:color w:val="auto"/>
                <w:sz w:val="24"/>
                <w:highlight w:val="none"/>
              </w:rPr>
              <w:t>保证作业安全，由此产生的安全责任及费用均由供应商负责。</w:t>
            </w:r>
          </w:p>
        </w:tc>
      </w:tr>
      <w:tr w14:paraId="26CE50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1939" w:type="dxa"/>
            <w:vAlign w:val="center"/>
          </w:tcPr>
          <w:p w14:paraId="7592FF09">
            <w:pPr>
              <w:widowControl/>
              <w:shd w:val="clear"/>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验收要求</w:t>
            </w:r>
          </w:p>
        </w:tc>
        <w:tc>
          <w:tcPr>
            <w:tcW w:w="7816" w:type="dxa"/>
            <w:vAlign w:val="center"/>
          </w:tcPr>
          <w:p w14:paraId="4F23464E">
            <w:pPr>
              <w:shd w:val="clea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所投产品</w:t>
            </w:r>
            <w:r>
              <w:rPr>
                <w:rFonts w:hint="eastAsia" w:ascii="宋体" w:hAnsi="宋体" w:cs="宋体"/>
                <w:color w:val="auto"/>
                <w:sz w:val="24"/>
                <w:highlight w:val="none"/>
              </w:rPr>
              <w:t>满足招投标文件中所有相关性能指标要求</w:t>
            </w:r>
            <w:r>
              <w:rPr>
                <w:rFonts w:hint="eastAsia" w:ascii="宋体" w:hAnsi="宋体" w:cs="宋体"/>
                <w:color w:val="auto"/>
                <w:sz w:val="24"/>
                <w:highlight w:val="none"/>
                <w:lang w:eastAsia="zh-CN"/>
              </w:rPr>
              <w:t>。</w:t>
            </w:r>
          </w:p>
        </w:tc>
      </w:tr>
      <w:tr w14:paraId="19050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939" w:type="dxa"/>
            <w:vAlign w:val="center"/>
          </w:tcPr>
          <w:p w14:paraId="38D854A5">
            <w:pPr>
              <w:shd w:val="clear"/>
              <w:jc w:val="center"/>
              <w:rPr>
                <w:rFonts w:ascii="宋体" w:hAnsi="宋体" w:cs="宋体"/>
                <w:color w:val="auto"/>
                <w:sz w:val="24"/>
                <w:highlight w:val="none"/>
              </w:rPr>
            </w:pPr>
            <w:r>
              <w:rPr>
                <w:rFonts w:hint="eastAsia" w:ascii="宋体" w:hAnsi="宋体" w:cs="宋体"/>
                <w:color w:val="auto"/>
                <w:kern w:val="1"/>
                <w:sz w:val="24"/>
                <w:highlight w:val="none"/>
              </w:rPr>
              <w:t>合同终止</w:t>
            </w:r>
          </w:p>
        </w:tc>
        <w:tc>
          <w:tcPr>
            <w:tcW w:w="7816" w:type="dxa"/>
            <w:vAlign w:val="center"/>
          </w:tcPr>
          <w:p w14:paraId="5285107A">
            <w:pPr>
              <w:shd w:val="clear"/>
              <w:rPr>
                <w:rFonts w:ascii="宋体" w:hAnsi="宋体" w:cs="宋体"/>
                <w:color w:val="auto"/>
                <w:kern w:val="1"/>
                <w:sz w:val="24"/>
                <w:highlight w:val="none"/>
              </w:rPr>
            </w:pPr>
            <w:r>
              <w:rPr>
                <w:rFonts w:hint="eastAsia" w:ascii="宋体" w:hAnsi="宋体" w:cs="宋体"/>
                <w:color w:val="auto"/>
                <w:kern w:val="1"/>
                <w:sz w:val="24"/>
                <w:highlight w:val="none"/>
              </w:rPr>
              <w:t>1、未能使合同货物达到合同附件规定的技术性能和指标的；</w:t>
            </w:r>
          </w:p>
          <w:p w14:paraId="0DEE162A">
            <w:pPr>
              <w:shd w:val="clear"/>
              <w:rPr>
                <w:rFonts w:ascii="宋体" w:hAnsi="宋体" w:cs="宋体"/>
                <w:color w:val="auto"/>
                <w:kern w:val="1"/>
                <w:sz w:val="24"/>
                <w:highlight w:val="none"/>
              </w:rPr>
            </w:pPr>
            <w:r>
              <w:rPr>
                <w:rFonts w:hint="eastAsia" w:ascii="宋体" w:hAnsi="宋体" w:cs="宋体"/>
                <w:color w:val="auto"/>
                <w:kern w:val="1"/>
                <w:sz w:val="24"/>
                <w:highlight w:val="none"/>
              </w:rPr>
              <w:t>2、未能在合同规定的期限（或采购人同意延长的最终期限）内提供全部或部分货物的；</w:t>
            </w:r>
          </w:p>
          <w:p w14:paraId="0BAF950B">
            <w:pPr>
              <w:shd w:val="clear"/>
              <w:rPr>
                <w:rFonts w:ascii="宋体" w:hAnsi="宋体" w:cs="宋体"/>
                <w:color w:val="auto"/>
                <w:sz w:val="24"/>
                <w:highlight w:val="none"/>
              </w:rPr>
            </w:pPr>
            <w:r>
              <w:rPr>
                <w:rFonts w:hint="eastAsia" w:ascii="宋体" w:hAnsi="宋体" w:cs="宋体"/>
                <w:color w:val="auto"/>
                <w:kern w:val="1"/>
                <w:sz w:val="24"/>
                <w:highlight w:val="none"/>
              </w:rPr>
              <w:t>3、未能履行合同规定的其它义务。</w:t>
            </w:r>
          </w:p>
        </w:tc>
      </w:tr>
    </w:tbl>
    <w:p w14:paraId="2C96DACC">
      <w:pPr>
        <w:widowControl/>
        <w:shd w:val="clear"/>
        <w:jc w:val="center"/>
        <w:rPr>
          <w:rFonts w:cs="仿宋" w:asciiTheme="majorEastAsia" w:hAnsiTheme="majorEastAsia" w:eastAsiaTheme="majorEastAsia"/>
          <w:b/>
          <w:color w:val="auto"/>
          <w:sz w:val="36"/>
          <w:szCs w:val="36"/>
          <w:highlight w:val="none"/>
        </w:rPr>
      </w:pPr>
      <w:r>
        <w:rPr>
          <w:color w:val="auto"/>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35" w:name="_Toc184312095"/>
      <w:bookmarkEnd w:id="35"/>
      <w:bookmarkStart w:id="36" w:name="_Toc184310328"/>
      <w:bookmarkEnd w:id="36"/>
      <w:bookmarkStart w:id="37" w:name="_Toc184310314"/>
      <w:bookmarkEnd w:id="37"/>
      <w:bookmarkStart w:id="38" w:name="_Toc184312102"/>
      <w:bookmarkEnd w:id="38"/>
      <w:bookmarkStart w:id="39" w:name="_Toc184314445"/>
      <w:bookmarkEnd w:id="39"/>
      <w:bookmarkStart w:id="40" w:name="_Toc184314419"/>
      <w:bookmarkEnd w:id="40"/>
      <w:bookmarkStart w:id="41" w:name="_Toc184312129"/>
      <w:bookmarkEnd w:id="41"/>
      <w:bookmarkStart w:id="42" w:name="_Toc184314436"/>
      <w:bookmarkEnd w:id="42"/>
      <w:bookmarkStart w:id="43" w:name="_Toc184313254"/>
      <w:bookmarkEnd w:id="43"/>
      <w:bookmarkStart w:id="44" w:name="_Toc184308053"/>
      <w:bookmarkEnd w:id="44"/>
      <w:bookmarkStart w:id="45" w:name="_Toc184314451"/>
      <w:bookmarkEnd w:id="45"/>
      <w:bookmarkStart w:id="46" w:name="_Toc184313307"/>
      <w:bookmarkEnd w:id="46"/>
      <w:bookmarkStart w:id="47" w:name="_Toc184313283"/>
      <w:bookmarkEnd w:id="47"/>
      <w:bookmarkStart w:id="48" w:name="_Toc184312098"/>
      <w:bookmarkEnd w:id="48"/>
      <w:bookmarkStart w:id="49" w:name="_Toc184314458"/>
      <w:bookmarkEnd w:id="49"/>
      <w:bookmarkStart w:id="50" w:name="_Toc184312136"/>
      <w:bookmarkEnd w:id="50"/>
      <w:bookmarkStart w:id="51" w:name="_Toc184308091"/>
      <w:bookmarkEnd w:id="51"/>
      <w:bookmarkStart w:id="52" w:name="_Toc184313257"/>
      <w:bookmarkEnd w:id="52"/>
      <w:bookmarkStart w:id="53" w:name="_Toc184314420"/>
      <w:bookmarkEnd w:id="53"/>
      <w:bookmarkStart w:id="54" w:name="_Toc184308040"/>
      <w:bookmarkEnd w:id="54"/>
      <w:bookmarkStart w:id="55" w:name="_Toc184310305"/>
      <w:bookmarkEnd w:id="55"/>
      <w:bookmarkStart w:id="56" w:name="_Toc184312126"/>
      <w:bookmarkEnd w:id="56"/>
      <w:bookmarkStart w:id="57" w:name="_Toc184312096"/>
      <w:bookmarkEnd w:id="57"/>
      <w:bookmarkStart w:id="58" w:name="_Toc184308084"/>
      <w:bookmarkEnd w:id="58"/>
      <w:bookmarkStart w:id="59" w:name="_Toc184313250"/>
      <w:bookmarkEnd w:id="59"/>
      <w:bookmarkStart w:id="60" w:name="_Toc184308057"/>
      <w:bookmarkEnd w:id="60"/>
      <w:bookmarkStart w:id="61" w:name="_Toc184312081"/>
      <w:bookmarkEnd w:id="61"/>
      <w:bookmarkStart w:id="62" w:name="_Toc184310312"/>
      <w:bookmarkEnd w:id="62"/>
      <w:bookmarkStart w:id="63" w:name="_Toc184308066"/>
      <w:bookmarkEnd w:id="63"/>
      <w:bookmarkStart w:id="64" w:name="_Toc184314478"/>
      <w:bookmarkEnd w:id="64"/>
      <w:bookmarkStart w:id="65" w:name="_Toc184312103"/>
      <w:bookmarkEnd w:id="65"/>
      <w:bookmarkStart w:id="66" w:name="_Toc184314432"/>
      <w:bookmarkEnd w:id="66"/>
      <w:bookmarkStart w:id="67" w:name="_Toc184310299"/>
      <w:bookmarkEnd w:id="67"/>
      <w:bookmarkStart w:id="68" w:name="_Toc184314413"/>
      <w:bookmarkEnd w:id="68"/>
      <w:bookmarkStart w:id="69" w:name="_Toc184308075"/>
      <w:bookmarkEnd w:id="69"/>
      <w:bookmarkStart w:id="70" w:name="_Toc184312115"/>
      <w:bookmarkEnd w:id="70"/>
      <w:bookmarkStart w:id="71" w:name="_Toc184313248"/>
      <w:bookmarkEnd w:id="71"/>
      <w:bookmarkStart w:id="72" w:name="_Toc184314434"/>
      <w:bookmarkEnd w:id="72"/>
      <w:bookmarkStart w:id="73" w:name="_Toc184312089"/>
      <w:bookmarkEnd w:id="73"/>
      <w:bookmarkStart w:id="74" w:name="_Toc184310315"/>
      <w:bookmarkEnd w:id="74"/>
      <w:bookmarkStart w:id="75" w:name="_Toc184312114"/>
      <w:bookmarkEnd w:id="75"/>
      <w:bookmarkStart w:id="76" w:name="_Toc184312133"/>
      <w:bookmarkEnd w:id="76"/>
      <w:bookmarkStart w:id="77" w:name="_Toc184314456"/>
      <w:bookmarkEnd w:id="77"/>
      <w:bookmarkStart w:id="78" w:name="_Toc184310274"/>
      <w:bookmarkEnd w:id="78"/>
      <w:bookmarkStart w:id="79" w:name="_Toc184314426"/>
      <w:bookmarkEnd w:id="79"/>
      <w:bookmarkStart w:id="80" w:name="_Toc184312135"/>
      <w:bookmarkEnd w:id="80"/>
      <w:bookmarkStart w:id="81" w:name="_Toc184314441"/>
      <w:bookmarkEnd w:id="81"/>
      <w:bookmarkStart w:id="82" w:name="_Toc184308076"/>
      <w:bookmarkEnd w:id="82"/>
      <w:bookmarkStart w:id="83" w:name="_Toc184314440"/>
      <w:bookmarkEnd w:id="83"/>
      <w:bookmarkStart w:id="84" w:name="_Toc184310341"/>
      <w:bookmarkEnd w:id="84"/>
      <w:bookmarkStart w:id="85" w:name="_Toc184310310"/>
      <w:bookmarkEnd w:id="85"/>
      <w:bookmarkStart w:id="86" w:name="_Toc184312086"/>
      <w:bookmarkEnd w:id="86"/>
      <w:bookmarkStart w:id="87" w:name="_Toc184310320"/>
      <w:bookmarkEnd w:id="87"/>
      <w:bookmarkStart w:id="88" w:name="_Toc184308069"/>
      <w:bookmarkEnd w:id="88"/>
      <w:bookmarkStart w:id="89" w:name="_Toc184312125"/>
      <w:bookmarkEnd w:id="89"/>
      <w:bookmarkStart w:id="90" w:name="_Toc184314471"/>
      <w:bookmarkEnd w:id="90"/>
      <w:bookmarkStart w:id="91" w:name="_Toc184312139"/>
      <w:bookmarkEnd w:id="91"/>
      <w:bookmarkStart w:id="92" w:name="_Toc184310277"/>
      <w:bookmarkEnd w:id="92"/>
      <w:bookmarkStart w:id="93" w:name="_Toc184310294"/>
      <w:bookmarkEnd w:id="93"/>
      <w:bookmarkStart w:id="94" w:name="_Toc184313286"/>
      <w:bookmarkEnd w:id="94"/>
      <w:bookmarkStart w:id="95" w:name="_Toc184312097"/>
      <w:bookmarkEnd w:id="95"/>
      <w:bookmarkStart w:id="96" w:name="_Toc184312107"/>
      <w:bookmarkEnd w:id="96"/>
      <w:bookmarkStart w:id="97" w:name="_Toc184312091"/>
      <w:bookmarkEnd w:id="97"/>
      <w:bookmarkStart w:id="98" w:name="_Toc184314470"/>
      <w:bookmarkEnd w:id="98"/>
      <w:bookmarkStart w:id="99" w:name="_Toc184313259"/>
      <w:bookmarkEnd w:id="99"/>
      <w:bookmarkStart w:id="100" w:name="_Toc184308085"/>
      <w:bookmarkEnd w:id="100"/>
      <w:bookmarkStart w:id="101" w:name="_Toc184312111"/>
      <w:bookmarkEnd w:id="101"/>
      <w:bookmarkStart w:id="102" w:name="_Toc184312070"/>
      <w:bookmarkEnd w:id="102"/>
      <w:bookmarkStart w:id="103" w:name="_Toc184308063"/>
      <w:bookmarkEnd w:id="103"/>
      <w:bookmarkStart w:id="104" w:name="_Toc184314438"/>
      <w:bookmarkEnd w:id="104"/>
      <w:bookmarkStart w:id="105" w:name="_Toc184314449"/>
      <w:bookmarkEnd w:id="105"/>
      <w:bookmarkStart w:id="106" w:name="_Toc184313258"/>
      <w:bookmarkEnd w:id="106"/>
      <w:bookmarkStart w:id="107" w:name="_Toc184308071"/>
      <w:bookmarkEnd w:id="107"/>
      <w:bookmarkStart w:id="108" w:name="_Toc184312101"/>
      <w:bookmarkEnd w:id="108"/>
      <w:bookmarkStart w:id="109" w:name="_Toc184308041"/>
      <w:bookmarkEnd w:id="109"/>
      <w:bookmarkStart w:id="110" w:name="_Toc184313278"/>
      <w:bookmarkEnd w:id="110"/>
      <w:bookmarkStart w:id="111" w:name="_Toc184308047"/>
      <w:bookmarkEnd w:id="111"/>
      <w:bookmarkStart w:id="112" w:name="_Toc184312130"/>
      <w:bookmarkEnd w:id="112"/>
      <w:bookmarkStart w:id="113" w:name="_Toc184308081"/>
      <w:bookmarkEnd w:id="113"/>
      <w:bookmarkStart w:id="114" w:name="_Toc184308090"/>
      <w:bookmarkEnd w:id="114"/>
      <w:bookmarkStart w:id="115" w:name="_Toc184308096"/>
      <w:bookmarkEnd w:id="115"/>
      <w:bookmarkStart w:id="116" w:name="_Toc184314476"/>
      <w:bookmarkEnd w:id="116"/>
      <w:bookmarkStart w:id="117" w:name="_Toc184314463"/>
      <w:bookmarkEnd w:id="117"/>
      <w:bookmarkStart w:id="118" w:name="_Toc184308100"/>
      <w:bookmarkEnd w:id="118"/>
      <w:bookmarkStart w:id="119" w:name="_Toc184314473"/>
      <w:bookmarkEnd w:id="119"/>
      <w:bookmarkStart w:id="120" w:name="_Toc184314414"/>
      <w:bookmarkEnd w:id="120"/>
      <w:bookmarkStart w:id="121" w:name="_Toc184310313"/>
      <w:bookmarkEnd w:id="121"/>
      <w:bookmarkStart w:id="122" w:name="_Toc184313306"/>
      <w:bookmarkEnd w:id="122"/>
      <w:bookmarkStart w:id="123" w:name="_Toc184312069"/>
      <w:bookmarkEnd w:id="123"/>
      <w:bookmarkStart w:id="124" w:name="_Toc184312073"/>
      <w:bookmarkEnd w:id="124"/>
      <w:bookmarkStart w:id="125" w:name="_Toc184312116"/>
      <w:bookmarkEnd w:id="125"/>
      <w:bookmarkStart w:id="126" w:name="_Toc184308054"/>
      <w:bookmarkEnd w:id="126"/>
      <w:bookmarkStart w:id="127" w:name="_Toc184314469"/>
      <w:bookmarkEnd w:id="127"/>
      <w:bookmarkStart w:id="128" w:name="_Toc184314415"/>
      <w:bookmarkEnd w:id="128"/>
      <w:bookmarkStart w:id="129" w:name="_Toc184308093"/>
      <w:bookmarkEnd w:id="129"/>
      <w:bookmarkStart w:id="130" w:name="_Toc184313265"/>
      <w:bookmarkEnd w:id="130"/>
      <w:bookmarkStart w:id="131" w:name="_Toc184310291"/>
      <w:bookmarkEnd w:id="131"/>
      <w:bookmarkStart w:id="132" w:name="_Toc184312083"/>
      <w:bookmarkEnd w:id="132"/>
      <w:bookmarkStart w:id="133" w:name="_Toc184314410"/>
      <w:bookmarkEnd w:id="133"/>
      <w:bookmarkStart w:id="134" w:name="_Toc184313238"/>
      <w:bookmarkEnd w:id="134"/>
      <w:bookmarkStart w:id="135" w:name="_Toc184312123"/>
      <w:bookmarkEnd w:id="135"/>
      <w:bookmarkStart w:id="136" w:name="_Toc184312077"/>
      <w:bookmarkEnd w:id="136"/>
      <w:bookmarkStart w:id="137" w:name="_Toc184313260"/>
      <w:bookmarkEnd w:id="137"/>
      <w:bookmarkStart w:id="138" w:name="_Toc184313293"/>
      <w:bookmarkEnd w:id="138"/>
      <w:bookmarkStart w:id="139" w:name="_Toc184314433"/>
      <w:bookmarkEnd w:id="139"/>
      <w:bookmarkStart w:id="140" w:name="_Toc184314439"/>
      <w:bookmarkEnd w:id="140"/>
      <w:bookmarkStart w:id="141" w:name="_Toc184314457"/>
      <w:bookmarkEnd w:id="141"/>
      <w:bookmarkStart w:id="142" w:name="_Toc184314446"/>
      <w:bookmarkEnd w:id="142"/>
      <w:bookmarkStart w:id="143" w:name="_Toc184310309"/>
      <w:bookmarkEnd w:id="143"/>
      <w:bookmarkStart w:id="144" w:name="_Toc184308094"/>
      <w:bookmarkEnd w:id="144"/>
      <w:bookmarkStart w:id="145" w:name="_Toc184313243"/>
      <w:bookmarkEnd w:id="145"/>
      <w:bookmarkStart w:id="146" w:name="_Toc184308055"/>
      <w:bookmarkEnd w:id="146"/>
      <w:bookmarkStart w:id="147" w:name="_Toc184308042"/>
      <w:bookmarkEnd w:id="147"/>
      <w:bookmarkStart w:id="148" w:name="_Toc184310279"/>
      <w:bookmarkEnd w:id="148"/>
      <w:bookmarkStart w:id="149" w:name="_Toc184310295"/>
      <w:bookmarkEnd w:id="149"/>
      <w:bookmarkStart w:id="150" w:name="_Toc184312120"/>
      <w:bookmarkEnd w:id="150"/>
      <w:bookmarkStart w:id="151" w:name="_Toc184310308"/>
      <w:bookmarkEnd w:id="151"/>
      <w:bookmarkStart w:id="152" w:name="_Toc184313242"/>
      <w:bookmarkEnd w:id="152"/>
      <w:bookmarkStart w:id="153" w:name="_Toc184312113"/>
      <w:bookmarkEnd w:id="153"/>
      <w:bookmarkStart w:id="154" w:name="_Toc184308052"/>
      <w:bookmarkEnd w:id="154"/>
      <w:bookmarkStart w:id="155" w:name="_Toc184312076"/>
      <w:bookmarkEnd w:id="155"/>
      <w:bookmarkStart w:id="156" w:name="_Toc184310285"/>
      <w:bookmarkEnd w:id="156"/>
      <w:bookmarkStart w:id="157" w:name="_Toc184308077"/>
      <w:bookmarkEnd w:id="157"/>
      <w:bookmarkStart w:id="158" w:name="_Toc184312132"/>
      <w:bookmarkEnd w:id="158"/>
      <w:bookmarkStart w:id="159" w:name="_Toc184310303"/>
      <w:bookmarkEnd w:id="159"/>
      <w:bookmarkStart w:id="160" w:name="_Toc184310278"/>
      <w:bookmarkEnd w:id="160"/>
      <w:bookmarkStart w:id="161" w:name="_Toc184314450"/>
      <w:bookmarkEnd w:id="161"/>
      <w:bookmarkStart w:id="162" w:name="_Toc184314447"/>
      <w:bookmarkEnd w:id="162"/>
      <w:bookmarkStart w:id="163" w:name="_Toc184308073"/>
      <w:bookmarkEnd w:id="163"/>
      <w:bookmarkStart w:id="164" w:name="_Toc184308107"/>
      <w:bookmarkEnd w:id="164"/>
      <w:bookmarkStart w:id="165" w:name="_Toc184314477"/>
      <w:bookmarkEnd w:id="165"/>
      <w:bookmarkStart w:id="166" w:name="_Toc184310282"/>
      <w:bookmarkEnd w:id="166"/>
      <w:bookmarkStart w:id="167" w:name="_Toc184313301"/>
      <w:bookmarkEnd w:id="167"/>
      <w:bookmarkStart w:id="168" w:name="_Toc184310317"/>
      <w:bookmarkEnd w:id="168"/>
      <w:bookmarkStart w:id="169" w:name="_Toc184310276"/>
      <w:bookmarkEnd w:id="169"/>
      <w:bookmarkStart w:id="170" w:name="_Toc184308043"/>
      <w:bookmarkEnd w:id="170"/>
      <w:bookmarkStart w:id="171" w:name="_Toc184310296"/>
      <w:bookmarkEnd w:id="171"/>
      <w:bookmarkStart w:id="172" w:name="_Toc184314416"/>
      <w:bookmarkEnd w:id="172"/>
      <w:bookmarkStart w:id="173" w:name="_Toc184310332"/>
      <w:bookmarkEnd w:id="173"/>
      <w:bookmarkStart w:id="174" w:name="_Toc184314431"/>
      <w:bookmarkEnd w:id="174"/>
      <w:bookmarkStart w:id="175" w:name="_Toc184313276"/>
      <w:bookmarkEnd w:id="175"/>
      <w:bookmarkStart w:id="176" w:name="_Toc184314425"/>
      <w:bookmarkEnd w:id="176"/>
      <w:bookmarkStart w:id="177" w:name="_Toc184312134"/>
      <w:bookmarkEnd w:id="177"/>
      <w:bookmarkStart w:id="178" w:name="_Toc184310301"/>
      <w:bookmarkEnd w:id="178"/>
      <w:bookmarkStart w:id="179" w:name="_Toc184313304"/>
      <w:bookmarkEnd w:id="179"/>
      <w:bookmarkStart w:id="180" w:name="_Toc184312074"/>
      <w:bookmarkEnd w:id="180"/>
      <w:bookmarkStart w:id="181" w:name="_Toc184313251"/>
      <w:bookmarkEnd w:id="181"/>
      <w:bookmarkStart w:id="182" w:name="_Toc184313298"/>
      <w:bookmarkEnd w:id="182"/>
      <w:bookmarkStart w:id="183" w:name="_Toc184312090"/>
      <w:bookmarkEnd w:id="183"/>
      <w:bookmarkStart w:id="184" w:name="_Toc184308108"/>
      <w:bookmarkEnd w:id="184"/>
      <w:bookmarkStart w:id="185" w:name="_Toc184308104"/>
      <w:bookmarkEnd w:id="185"/>
      <w:bookmarkStart w:id="186" w:name="_Toc184314468"/>
      <w:bookmarkEnd w:id="186"/>
      <w:bookmarkStart w:id="187" w:name="_Toc184310324"/>
      <w:bookmarkEnd w:id="187"/>
      <w:bookmarkStart w:id="188" w:name="_Toc184310284"/>
      <w:bookmarkEnd w:id="188"/>
      <w:bookmarkStart w:id="189" w:name="_Toc184312099"/>
      <w:bookmarkEnd w:id="189"/>
      <w:bookmarkStart w:id="190" w:name="_Toc184313252"/>
      <w:bookmarkEnd w:id="190"/>
      <w:bookmarkStart w:id="191" w:name="_Toc184310298"/>
      <w:bookmarkEnd w:id="191"/>
      <w:bookmarkStart w:id="192" w:name="_Toc184314480"/>
      <w:bookmarkEnd w:id="192"/>
      <w:bookmarkStart w:id="193" w:name="_Toc184312110"/>
      <w:bookmarkEnd w:id="193"/>
      <w:bookmarkStart w:id="194" w:name="_Toc184313277"/>
      <w:bookmarkEnd w:id="194"/>
      <w:bookmarkStart w:id="195" w:name="_Toc184308060"/>
      <w:bookmarkEnd w:id="195"/>
      <w:bookmarkStart w:id="196" w:name="_Toc184313294"/>
      <w:bookmarkEnd w:id="196"/>
      <w:bookmarkStart w:id="197" w:name="_Toc184310323"/>
      <w:bookmarkEnd w:id="197"/>
      <w:bookmarkStart w:id="198" w:name="_Toc184314421"/>
      <w:bookmarkEnd w:id="198"/>
      <w:bookmarkStart w:id="199" w:name="_Toc184313302"/>
      <w:bookmarkEnd w:id="199"/>
      <w:bookmarkStart w:id="200" w:name="_Toc184314442"/>
      <w:bookmarkEnd w:id="200"/>
      <w:bookmarkStart w:id="201" w:name="_Toc184314423"/>
      <w:bookmarkEnd w:id="201"/>
      <w:bookmarkStart w:id="202" w:name="_Toc184313239"/>
      <w:bookmarkEnd w:id="202"/>
      <w:bookmarkStart w:id="203" w:name="_Toc184314429"/>
      <w:bookmarkEnd w:id="203"/>
      <w:bookmarkStart w:id="204" w:name="_Toc184314448"/>
      <w:bookmarkEnd w:id="204"/>
      <w:bookmarkStart w:id="205" w:name="_Toc184312121"/>
      <w:bookmarkEnd w:id="205"/>
      <w:bookmarkStart w:id="206" w:name="_Toc184313299"/>
      <w:bookmarkEnd w:id="206"/>
      <w:bookmarkStart w:id="207" w:name="_Toc184312118"/>
      <w:bookmarkEnd w:id="207"/>
      <w:bookmarkStart w:id="208" w:name="_Toc184312124"/>
      <w:bookmarkEnd w:id="208"/>
      <w:bookmarkStart w:id="209" w:name="_Toc184313269"/>
      <w:bookmarkEnd w:id="209"/>
      <w:bookmarkStart w:id="210" w:name="_Toc184312080"/>
      <w:bookmarkEnd w:id="210"/>
      <w:bookmarkStart w:id="211" w:name="_Toc184310343"/>
      <w:bookmarkEnd w:id="211"/>
      <w:bookmarkStart w:id="212" w:name="_Toc184313284"/>
      <w:bookmarkEnd w:id="212"/>
      <w:bookmarkStart w:id="213" w:name="_Toc184313296"/>
      <w:bookmarkEnd w:id="213"/>
      <w:bookmarkStart w:id="214" w:name="_Toc184314417"/>
      <w:bookmarkEnd w:id="214"/>
      <w:bookmarkStart w:id="215" w:name="_Toc184308080"/>
      <w:bookmarkEnd w:id="215"/>
      <w:bookmarkStart w:id="216" w:name="_Toc184312109"/>
      <w:bookmarkEnd w:id="216"/>
      <w:bookmarkStart w:id="217" w:name="_Toc184308095"/>
      <w:bookmarkEnd w:id="217"/>
      <w:bookmarkStart w:id="218" w:name="_Toc184313289"/>
      <w:bookmarkEnd w:id="218"/>
      <w:bookmarkStart w:id="219" w:name="_Toc184310286"/>
      <w:bookmarkEnd w:id="219"/>
      <w:bookmarkStart w:id="220" w:name="_Toc184313270"/>
      <w:bookmarkEnd w:id="220"/>
      <w:bookmarkStart w:id="221" w:name="_Toc184310293"/>
      <w:bookmarkEnd w:id="221"/>
      <w:bookmarkStart w:id="222" w:name="_Toc184313261"/>
      <w:bookmarkEnd w:id="222"/>
      <w:bookmarkStart w:id="223" w:name="_Toc184312084"/>
      <w:bookmarkEnd w:id="223"/>
      <w:bookmarkStart w:id="224" w:name="_Toc184308058"/>
      <w:bookmarkEnd w:id="224"/>
      <w:bookmarkStart w:id="225" w:name="_Toc184314452"/>
      <w:bookmarkEnd w:id="225"/>
      <w:bookmarkStart w:id="226" w:name="_Toc184312085"/>
      <w:bookmarkEnd w:id="226"/>
      <w:bookmarkStart w:id="227" w:name="_Toc184308051"/>
      <w:bookmarkEnd w:id="227"/>
      <w:bookmarkStart w:id="228" w:name="_Toc184312117"/>
      <w:bookmarkEnd w:id="228"/>
      <w:bookmarkStart w:id="229" w:name="_Toc184313288"/>
      <w:bookmarkEnd w:id="229"/>
      <w:bookmarkStart w:id="230" w:name="_Toc184310340"/>
      <w:bookmarkEnd w:id="230"/>
      <w:bookmarkStart w:id="231" w:name="_Toc184314453"/>
      <w:bookmarkEnd w:id="231"/>
      <w:bookmarkStart w:id="232" w:name="_Toc184313300"/>
      <w:bookmarkEnd w:id="232"/>
      <w:bookmarkStart w:id="233" w:name="_Toc184313256"/>
      <w:bookmarkEnd w:id="233"/>
      <w:bookmarkStart w:id="234" w:name="_Toc184310339"/>
      <w:bookmarkEnd w:id="234"/>
      <w:bookmarkStart w:id="235" w:name="_Toc184312108"/>
      <w:bookmarkEnd w:id="235"/>
      <w:bookmarkStart w:id="236" w:name="_Toc184313263"/>
      <w:bookmarkEnd w:id="236"/>
      <w:bookmarkStart w:id="237" w:name="_Toc184310311"/>
      <w:bookmarkEnd w:id="237"/>
      <w:bookmarkStart w:id="238" w:name="_Toc184310330"/>
      <w:bookmarkEnd w:id="238"/>
      <w:bookmarkStart w:id="239" w:name="_Toc184310338"/>
      <w:bookmarkEnd w:id="239"/>
      <w:bookmarkStart w:id="240" w:name="_Toc184310300"/>
      <w:bookmarkEnd w:id="240"/>
      <w:bookmarkStart w:id="241" w:name="_Toc184313290"/>
      <w:bookmarkEnd w:id="241"/>
      <w:bookmarkStart w:id="242" w:name="_Toc184314455"/>
      <w:bookmarkEnd w:id="242"/>
      <w:bookmarkStart w:id="243" w:name="_Toc184313297"/>
      <w:bookmarkEnd w:id="243"/>
      <w:bookmarkStart w:id="244" w:name="_Toc184314460"/>
      <w:bookmarkEnd w:id="244"/>
      <w:bookmarkStart w:id="245" w:name="_Toc184310283"/>
      <w:bookmarkEnd w:id="245"/>
      <w:bookmarkStart w:id="246" w:name="_Toc184312094"/>
      <w:bookmarkEnd w:id="246"/>
      <w:bookmarkStart w:id="247" w:name="_Toc184308056"/>
      <w:bookmarkEnd w:id="247"/>
      <w:bookmarkStart w:id="248" w:name="_Toc184308087"/>
      <w:bookmarkEnd w:id="248"/>
      <w:bookmarkStart w:id="249" w:name="_Toc184310275"/>
      <w:bookmarkEnd w:id="249"/>
      <w:bookmarkStart w:id="250" w:name="_Toc184312071"/>
      <w:bookmarkEnd w:id="250"/>
      <w:bookmarkStart w:id="251" w:name="_Toc184314475"/>
      <w:bookmarkEnd w:id="251"/>
      <w:bookmarkStart w:id="252" w:name="_Toc184310302"/>
      <w:bookmarkEnd w:id="252"/>
      <w:bookmarkStart w:id="253" w:name="_Toc184314430"/>
      <w:bookmarkEnd w:id="253"/>
      <w:bookmarkStart w:id="254" w:name="_Toc184313309"/>
      <w:bookmarkEnd w:id="254"/>
      <w:bookmarkStart w:id="255" w:name="_Toc184310342"/>
      <w:bookmarkEnd w:id="255"/>
      <w:bookmarkStart w:id="256" w:name="_Toc184314459"/>
      <w:bookmarkEnd w:id="256"/>
      <w:bookmarkStart w:id="257" w:name="_Toc184312079"/>
      <w:bookmarkEnd w:id="257"/>
      <w:bookmarkStart w:id="258" w:name="_Toc184313285"/>
      <w:bookmarkEnd w:id="258"/>
      <w:bookmarkStart w:id="259" w:name="_Toc184310334"/>
      <w:bookmarkEnd w:id="259"/>
      <w:bookmarkStart w:id="260" w:name="_Toc184313244"/>
      <w:bookmarkEnd w:id="260"/>
      <w:bookmarkStart w:id="261" w:name="_Toc184312078"/>
      <w:bookmarkEnd w:id="261"/>
      <w:bookmarkStart w:id="262" w:name="_Toc184310336"/>
      <w:bookmarkEnd w:id="262"/>
      <w:bookmarkStart w:id="263" w:name="_Toc184313292"/>
      <w:bookmarkEnd w:id="263"/>
      <w:bookmarkStart w:id="264" w:name="_Toc184313246"/>
      <w:bookmarkEnd w:id="264"/>
      <w:bookmarkStart w:id="265" w:name="_Toc184308062"/>
      <w:bookmarkEnd w:id="265"/>
      <w:bookmarkStart w:id="266" w:name="_Toc184312093"/>
      <w:bookmarkEnd w:id="266"/>
      <w:bookmarkStart w:id="267" w:name="_Toc184310329"/>
      <w:bookmarkEnd w:id="267"/>
      <w:bookmarkStart w:id="268" w:name="_Toc184310306"/>
      <w:bookmarkEnd w:id="268"/>
      <w:bookmarkStart w:id="269" w:name="_Toc184308050"/>
      <w:bookmarkEnd w:id="269"/>
      <w:bookmarkStart w:id="270" w:name="_Toc184310326"/>
      <w:bookmarkEnd w:id="270"/>
      <w:bookmarkStart w:id="271" w:name="_Toc184310318"/>
      <w:bookmarkEnd w:id="271"/>
      <w:bookmarkStart w:id="272" w:name="_Toc184313255"/>
      <w:bookmarkEnd w:id="272"/>
      <w:bookmarkStart w:id="273" w:name="_Toc184312088"/>
      <w:bookmarkEnd w:id="273"/>
      <w:bookmarkStart w:id="274" w:name="_Toc184308092"/>
      <w:bookmarkEnd w:id="274"/>
      <w:bookmarkStart w:id="275" w:name="_Toc184312087"/>
      <w:bookmarkEnd w:id="275"/>
      <w:bookmarkStart w:id="276" w:name="_Toc184308098"/>
      <w:bookmarkEnd w:id="276"/>
      <w:bookmarkStart w:id="277" w:name="_Toc184312128"/>
      <w:bookmarkEnd w:id="277"/>
      <w:bookmarkStart w:id="278" w:name="_Toc184308070"/>
      <w:bookmarkEnd w:id="278"/>
      <w:bookmarkStart w:id="279" w:name="_Toc184313282"/>
      <w:bookmarkEnd w:id="279"/>
      <w:bookmarkStart w:id="280" w:name="_Toc184314435"/>
      <w:bookmarkEnd w:id="280"/>
      <w:bookmarkStart w:id="281" w:name="_Toc184312100"/>
      <w:bookmarkEnd w:id="281"/>
      <w:bookmarkStart w:id="282" w:name="_Toc184308061"/>
      <w:bookmarkEnd w:id="282"/>
      <w:bookmarkStart w:id="283" w:name="_Toc184313305"/>
      <w:bookmarkEnd w:id="283"/>
      <w:bookmarkStart w:id="284" w:name="_Toc184313295"/>
      <w:bookmarkEnd w:id="284"/>
      <w:bookmarkStart w:id="285" w:name="_Toc184312122"/>
      <w:bookmarkEnd w:id="285"/>
      <w:bookmarkStart w:id="286" w:name="_Toc184313247"/>
      <w:bookmarkEnd w:id="286"/>
      <w:bookmarkStart w:id="287" w:name="_Toc184310316"/>
      <w:bookmarkEnd w:id="287"/>
      <w:bookmarkStart w:id="288" w:name="_Toc184308046"/>
      <w:bookmarkEnd w:id="288"/>
      <w:bookmarkStart w:id="289" w:name="_Toc184314462"/>
      <w:bookmarkEnd w:id="289"/>
      <w:bookmarkStart w:id="290" w:name="_Toc184314467"/>
      <w:bookmarkEnd w:id="290"/>
      <w:bookmarkStart w:id="291" w:name="_Toc184310321"/>
      <w:bookmarkEnd w:id="291"/>
      <w:bookmarkStart w:id="292" w:name="_Toc184308037"/>
      <w:bookmarkEnd w:id="292"/>
      <w:bookmarkStart w:id="293" w:name="_Toc184308097"/>
      <w:bookmarkEnd w:id="293"/>
      <w:bookmarkStart w:id="294" w:name="_Toc184314422"/>
      <w:bookmarkEnd w:id="294"/>
      <w:bookmarkStart w:id="295" w:name="_Toc184313268"/>
      <w:bookmarkEnd w:id="295"/>
      <w:bookmarkStart w:id="296" w:name="_Toc184308059"/>
      <w:bookmarkEnd w:id="296"/>
      <w:bookmarkStart w:id="297" w:name="_Toc184314481"/>
      <w:bookmarkEnd w:id="297"/>
      <w:bookmarkStart w:id="298" w:name="_Toc184308065"/>
      <w:bookmarkEnd w:id="298"/>
      <w:bookmarkStart w:id="299" w:name="_Toc184312105"/>
      <w:bookmarkEnd w:id="299"/>
      <w:bookmarkStart w:id="300" w:name="_Toc184313241"/>
      <w:bookmarkEnd w:id="300"/>
      <w:bookmarkStart w:id="301" w:name="_Toc184308082"/>
      <w:bookmarkEnd w:id="301"/>
      <w:bookmarkStart w:id="302" w:name="_Toc184314466"/>
      <w:bookmarkEnd w:id="302"/>
      <w:bookmarkStart w:id="303" w:name="_Toc184314474"/>
      <w:bookmarkEnd w:id="303"/>
      <w:bookmarkStart w:id="304" w:name="_Toc184308072"/>
      <w:bookmarkEnd w:id="304"/>
      <w:bookmarkStart w:id="305" w:name="_Toc184314427"/>
      <w:bookmarkEnd w:id="305"/>
      <w:bookmarkStart w:id="306" w:name="_Toc184313271"/>
      <w:bookmarkEnd w:id="306"/>
      <w:bookmarkStart w:id="307" w:name="_Toc184314437"/>
      <w:bookmarkEnd w:id="307"/>
      <w:bookmarkStart w:id="308" w:name="_Toc184308038"/>
      <w:bookmarkEnd w:id="308"/>
      <w:bookmarkStart w:id="309" w:name="_Toc184312072"/>
      <w:bookmarkEnd w:id="309"/>
      <w:bookmarkStart w:id="310" w:name="_Toc184314465"/>
      <w:bookmarkEnd w:id="310"/>
      <w:bookmarkStart w:id="311" w:name="_Toc184313245"/>
      <w:bookmarkEnd w:id="311"/>
      <w:bookmarkStart w:id="312" w:name="_Toc184310273"/>
      <w:bookmarkEnd w:id="312"/>
      <w:bookmarkStart w:id="313" w:name="_Toc184310280"/>
      <w:bookmarkEnd w:id="313"/>
      <w:bookmarkStart w:id="314" w:name="_Toc184313308"/>
      <w:bookmarkEnd w:id="314"/>
      <w:bookmarkStart w:id="315" w:name="_Toc184313280"/>
      <w:bookmarkEnd w:id="315"/>
      <w:bookmarkStart w:id="316" w:name="_Toc184310287"/>
      <w:bookmarkEnd w:id="316"/>
      <w:bookmarkStart w:id="317" w:name="_Toc184308039"/>
      <w:bookmarkEnd w:id="317"/>
      <w:bookmarkStart w:id="318" w:name="_Toc184312075"/>
      <w:bookmarkEnd w:id="318"/>
      <w:bookmarkStart w:id="319" w:name="_Toc184308067"/>
      <w:bookmarkEnd w:id="319"/>
      <w:bookmarkStart w:id="320" w:name="_Toc184308064"/>
      <w:bookmarkEnd w:id="320"/>
      <w:bookmarkStart w:id="321" w:name="_Toc184312067"/>
      <w:bookmarkEnd w:id="321"/>
      <w:bookmarkStart w:id="322" w:name="_Toc184308105"/>
      <w:bookmarkEnd w:id="322"/>
      <w:bookmarkStart w:id="323" w:name="_Toc184313291"/>
      <w:bookmarkEnd w:id="323"/>
      <w:bookmarkStart w:id="324" w:name="_Toc184308048"/>
      <w:bookmarkEnd w:id="324"/>
      <w:bookmarkStart w:id="325" w:name="_Toc184313273"/>
      <w:bookmarkEnd w:id="325"/>
      <w:bookmarkStart w:id="326" w:name="_Toc184310331"/>
      <w:bookmarkEnd w:id="326"/>
      <w:bookmarkStart w:id="327" w:name="_Toc184310319"/>
      <w:bookmarkEnd w:id="327"/>
      <w:bookmarkStart w:id="328" w:name="_Toc184308044"/>
      <w:bookmarkEnd w:id="328"/>
      <w:bookmarkStart w:id="329" w:name="_Toc184313262"/>
      <w:bookmarkEnd w:id="329"/>
      <w:bookmarkStart w:id="330" w:name="_Toc184313253"/>
      <w:bookmarkEnd w:id="330"/>
      <w:bookmarkStart w:id="331" w:name="_Toc184308101"/>
      <w:bookmarkEnd w:id="331"/>
      <w:bookmarkStart w:id="332" w:name="_Toc184308068"/>
      <w:bookmarkEnd w:id="332"/>
      <w:bookmarkStart w:id="333" w:name="_Toc184314472"/>
      <w:bookmarkEnd w:id="333"/>
      <w:bookmarkStart w:id="334" w:name="_Toc184312106"/>
      <w:bookmarkEnd w:id="334"/>
      <w:bookmarkStart w:id="335" w:name="_Toc184310327"/>
      <w:bookmarkEnd w:id="335"/>
      <w:bookmarkStart w:id="336" w:name="_Toc184314482"/>
      <w:bookmarkEnd w:id="336"/>
      <w:bookmarkStart w:id="337" w:name="_Toc184310335"/>
      <w:bookmarkEnd w:id="337"/>
      <w:bookmarkStart w:id="338" w:name="_Toc184312138"/>
      <w:bookmarkEnd w:id="338"/>
      <w:bookmarkStart w:id="339" w:name="_Toc184314464"/>
      <w:bookmarkEnd w:id="339"/>
      <w:bookmarkStart w:id="340" w:name="_Toc184308049"/>
      <w:bookmarkEnd w:id="340"/>
      <w:bookmarkStart w:id="341" w:name="_Toc184314418"/>
      <w:bookmarkEnd w:id="341"/>
      <w:bookmarkStart w:id="342" w:name="_Toc184313267"/>
      <w:bookmarkEnd w:id="342"/>
      <w:bookmarkStart w:id="343" w:name="_Toc184312119"/>
      <w:bookmarkEnd w:id="343"/>
      <w:bookmarkStart w:id="344" w:name="_Toc184312068"/>
      <w:bookmarkEnd w:id="344"/>
      <w:bookmarkStart w:id="345" w:name="_Toc184312104"/>
      <w:bookmarkEnd w:id="345"/>
      <w:bookmarkStart w:id="346" w:name="_Toc184313303"/>
      <w:bookmarkEnd w:id="346"/>
      <w:bookmarkStart w:id="347" w:name="_Toc184308088"/>
      <w:bookmarkEnd w:id="347"/>
      <w:bookmarkStart w:id="348" w:name="_Toc184310281"/>
      <w:bookmarkEnd w:id="348"/>
      <w:bookmarkStart w:id="349" w:name="_Toc184314443"/>
      <w:bookmarkEnd w:id="349"/>
      <w:bookmarkStart w:id="350" w:name="_Toc184308103"/>
      <w:bookmarkEnd w:id="350"/>
      <w:bookmarkStart w:id="351" w:name="_Toc184313240"/>
      <w:bookmarkEnd w:id="351"/>
      <w:bookmarkStart w:id="352" w:name="_Toc184314424"/>
      <w:bookmarkEnd w:id="352"/>
      <w:bookmarkStart w:id="353" w:name="_Toc184310325"/>
      <w:bookmarkEnd w:id="353"/>
      <w:bookmarkStart w:id="354" w:name="_Toc184310304"/>
      <w:bookmarkEnd w:id="354"/>
      <w:bookmarkStart w:id="355" w:name="_Toc184313249"/>
      <w:bookmarkEnd w:id="355"/>
      <w:bookmarkStart w:id="356" w:name="_Toc184308086"/>
      <w:bookmarkEnd w:id="356"/>
      <w:bookmarkStart w:id="357" w:name="_Toc184308036"/>
      <w:bookmarkEnd w:id="357"/>
      <w:bookmarkStart w:id="358" w:name="_Toc184310290"/>
      <w:bookmarkEnd w:id="358"/>
      <w:bookmarkStart w:id="359" w:name="_Toc184314479"/>
      <w:bookmarkEnd w:id="359"/>
      <w:bookmarkStart w:id="360" w:name="_Toc184310292"/>
      <w:bookmarkEnd w:id="360"/>
      <w:bookmarkStart w:id="361" w:name="_Toc184310322"/>
      <w:bookmarkEnd w:id="361"/>
      <w:bookmarkStart w:id="362" w:name="_Toc184310289"/>
      <w:bookmarkEnd w:id="362"/>
      <w:bookmarkStart w:id="363" w:name="_Toc184310297"/>
      <w:bookmarkEnd w:id="363"/>
      <w:bookmarkStart w:id="364" w:name="_Toc184314412"/>
      <w:bookmarkEnd w:id="364"/>
      <w:bookmarkStart w:id="365" w:name="_Toc184310344"/>
      <w:bookmarkEnd w:id="365"/>
      <w:bookmarkStart w:id="366" w:name="_Toc184310272"/>
      <w:bookmarkEnd w:id="366"/>
      <w:bookmarkStart w:id="367" w:name="_Toc184308078"/>
      <w:bookmarkEnd w:id="367"/>
      <w:bookmarkStart w:id="368" w:name="_Toc184314428"/>
      <w:bookmarkEnd w:id="368"/>
      <w:bookmarkStart w:id="369" w:name="_Toc184308102"/>
      <w:bookmarkEnd w:id="369"/>
      <w:bookmarkStart w:id="370" w:name="_Toc184308074"/>
      <w:bookmarkEnd w:id="370"/>
      <w:bookmarkStart w:id="371" w:name="_Toc184308045"/>
      <w:bookmarkEnd w:id="371"/>
      <w:bookmarkStart w:id="372" w:name="_Toc184314411"/>
      <w:bookmarkEnd w:id="372"/>
      <w:bookmarkStart w:id="373" w:name="_Toc184310337"/>
      <w:bookmarkEnd w:id="373"/>
      <w:bookmarkStart w:id="374" w:name="_Toc184310307"/>
      <w:bookmarkEnd w:id="374"/>
      <w:bookmarkStart w:id="375" w:name="_Toc184310288"/>
      <w:bookmarkEnd w:id="375"/>
      <w:bookmarkStart w:id="376" w:name="_Toc184313275"/>
      <w:bookmarkEnd w:id="376"/>
      <w:bookmarkStart w:id="377" w:name="_Toc184308089"/>
      <w:bookmarkEnd w:id="377"/>
      <w:bookmarkStart w:id="378" w:name="_Toc184314461"/>
      <w:bookmarkEnd w:id="378"/>
      <w:bookmarkStart w:id="379" w:name="_Toc184308099"/>
      <w:bookmarkEnd w:id="379"/>
      <w:bookmarkStart w:id="380" w:name="_Toc184312137"/>
      <w:bookmarkEnd w:id="380"/>
      <w:bookmarkStart w:id="381" w:name="_Toc184313266"/>
      <w:bookmarkEnd w:id="381"/>
      <w:bookmarkStart w:id="382" w:name="_Toc184312082"/>
      <w:bookmarkEnd w:id="382"/>
      <w:bookmarkStart w:id="383" w:name="_Toc184313272"/>
      <w:bookmarkEnd w:id="383"/>
      <w:bookmarkStart w:id="384" w:name="_Toc184313274"/>
      <w:bookmarkEnd w:id="384"/>
      <w:bookmarkStart w:id="385" w:name="_Toc184308083"/>
      <w:bookmarkEnd w:id="385"/>
      <w:bookmarkStart w:id="386" w:name="_Toc184312131"/>
      <w:bookmarkEnd w:id="386"/>
      <w:bookmarkStart w:id="387" w:name="_Toc184308079"/>
      <w:bookmarkEnd w:id="387"/>
      <w:bookmarkStart w:id="388" w:name="_Toc184314454"/>
      <w:bookmarkEnd w:id="388"/>
      <w:bookmarkStart w:id="389" w:name="_Toc184313279"/>
      <w:bookmarkEnd w:id="389"/>
      <w:bookmarkStart w:id="390" w:name="_Toc184312092"/>
      <w:bookmarkEnd w:id="390"/>
      <w:bookmarkStart w:id="391" w:name="_Toc184308106"/>
      <w:bookmarkEnd w:id="391"/>
      <w:bookmarkStart w:id="392" w:name="_Toc184312127"/>
      <w:bookmarkEnd w:id="392"/>
      <w:bookmarkStart w:id="393" w:name="_Toc184313264"/>
      <w:bookmarkEnd w:id="393"/>
      <w:bookmarkStart w:id="394" w:name="_Toc184312112"/>
      <w:bookmarkEnd w:id="394"/>
      <w:bookmarkStart w:id="395" w:name="_Toc184310333"/>
      <w:bookmarkEnd w:id="395"/>
      <w:bookmarkStart w:id="396" w:name="_Toc184313281"/>
      <w:bookmarkEnd w:id="396"/>
      <w:bookmarkStart w:id="397" w:name="_Toc184313310"/>
      <w:bookmarkEnd w:id="397"/>
      <w:bookmarkStart w:id="398" w:name="_Toc184313287"/>
      <w:bookmarkEnd w:id="398"/>
      <w:bookmarkStart w:id="399" w:name="_Toc184314444"/>
      <w:bookmarkEnd w:id="399"/>
      <w:r>
        <w:rPr>
          <w:rFonts w:hint="eastAsia" w:cs="仿宋" w:asciiTheme="majorEastAsia" w:hAnsiTheme="majorEastAsia" w:eastAsiaTheme="majorEastAsia"/>
          <w:b/>
          <w:color w:val="auto"/>
          <w:sz w:val="36"/>
          <w:szCs w:val="36"/>
          <w:highlight w:val="none"/>
        </w:rPr>
        <w:t>评标办法</w:t>
      </w:r>
    </w:p>
    <w:p w14:paraId="09B8B3F6">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163"/>
      </w:tblGrid>
      <w:tr w14:paraId="16A9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0" w:type="dxa"/>
            <w:gridSpan w:val="2"/>
          </w:tcPr>
          <w:p w14:paraId="1A36EE43">
            <w:pPr>
              <w:shd w:val="clear"/>
              <w:rPr>
                <w:rFonts w:ascii="宋体" w:hAnsi="宋体"/>
                <w:color w:val="auto"/>
                <w:szCs w:val="21"/>
                <w:highlight w:val="none"/>
              </w:rPr>
            </w:pPr>
            <w:r>
              <w:rPr>
                <w:rFonts w:hint="eastAsia" w:ascii="宋体" w:hAnsi="宋体"/>
                <w:color w:val="auto"/>
                <w:szCs w:val="21"/>
                <w:highlight w:val="none"/>
              </w:rPr>
              <w:t>总分100                                             得分</w:t>
            </w:r>
          </w:p>
        </w:tc>
      </w:tr>
      <w:tr w14:paraId="032F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47" w:type="dxa"/>
            <w:vMerge w:val="restart"/>
            <w:vAlign w:val="center"/>
          </w:tcPr>
          <w:p w14:paraId="5C2A1A02">
            <w:pPr>
              <w:shd w:val="clear"/>
              <w:rPr>
                <w:rFonts w:ascii="宋体" w:hAnsi="宋体"/>
                <w:color w:val="auto"/>
                <w:szCs w:val="21"/>
                <w:highlight w:val="none"/>
              </w:rPr>
            </w:pPr>
            <w:r>
              <w:rPr>
                <w:rFonts w:hint="eastAsia" w:ascii="宋体" w:hAnsi="宋体"/>
                <w:color w:val="auto"/>
                <w:szCs w:val="21"/>
                <w:highlight w:val="none"/>
              </w:rPr>
              <w:t>商务技术分60</w:t>
            </w:r>
          </w:p>
          <w:p w14:paraId="14A1FB7D">
            <w:pPr>
              <w:shd w:val="clear"/>
              <w:rPr>
                <w:rFonts w:ascii="宋体" w:hAnsi="宋体"/>
                <w:color w:val="auto"/>
                <w:szCs w:val="21"/>
                <w:highlight w:val="none"/>
              </w:rPr>
            </w:pPr>
            <w:r>
              <w:rPr>
                <w:rFonts w:hint="eastAsia" w:ascii="宋体" w:hAnsi="宋体"/>
                <w:color w:val="auto"/>
                <w:szCs w:val="21"/>
                <w:highlight w:val="none"/>
              </w:rPr>
              <w:t>分</w:t>
            </w:r>
          </w:p>
          <w:p w14:paraId="5DF0C21A">
            <w:pPr>
              <w:shd w:val="clear"/>
              <w:rPr>
                <w:rFonts w:ascii="宋体" w:hAnsi="宋体"/>
                <w:color w:val="auto"/>
                <w:szCs w:val="21"/>
                <w:highlight w:val="none"/>
              </w:rPr>
            </w:pPr>
          </w:p>
        </w:tc>
        <w:tc>
          <w:tcPr>
            <w:tcW w:w="9163" w:type="dxa"/>
          </w:tcPr>
          <w:p w14:paraId="2C071704">
            <w:pPr>
              <w:shd w:val="clear"/>
              <w:rPr>
                <w:rFonts w:ascii="宋体" w:hAnsi="宋体"/>
                <w:color w:val="auto"/>
                <w:szCs w:val="21"/>
                <w:highlight w:val="none"/>
              </w:rPr>
            </w:pPr>
            <w:r>
              <w:rPr>
                <w:rFonts w:hint="eastAsia" w:ascii="宋体" w:hAnsi="宋体"/>
                <w:color w:val="auto"/>
                <w:szCs w:val="21"/>
                <w:highlight w:val="none"/>
              </w:rPr>
              <w:t>一、技术参数响应情况（15分）</w:t>
            </w:r>
          </w:p>
          <w:p w14:paraId="4F806B18">
            <w:pPr>
              <w:shd w:val="clear"/>
              <w:rPr>
                <w:rFonts w:ascii="宋体" w:hAnsi="宋体"/>
                <w:color w:val="auto"/>
                <w:szCs w:val="21"/>
                <w:highlight w:val="none"/>
              </w:rPr>
            </w:pPr>
            <w:r>
              <w:rPr>
                <w:rFonts w:hint="eastAsia" w:ascii="宋体" w:hAnsi="宋体"/>
                <w:color w:val="auto"/>
                <w:szCs w:val="21"/>
                <w:highlight w:val="none"/>
              </w:rPr>
              <w:t>根据投标人所投产品对招标文件采购需求及采购清单的响应情况:完全符合招标要求的得15分；一般技术参数负偏离的每条扣1分；参数中标★的技术参数负偏离的每条扣2分；扣完为止。</w:t>
            </w:r>
            <w:r>
              <w:rPr>
                <w:rFonts w:hint="eastAsia" w:ascii="宋体" w:hAnsi="宋体"/>
                <w:color w:val="auto"/>
                <w:szCs w:val="21"/>
                <w:highlight w:val="none"/>
                <w:lang w:val="en-US" w:eastAsia="zh-CN"/>
              </w:rPr>
              <w:t>招标</w:t>
            </w:r>
            <w:r>
              <w:rPr>
                <w:rFonts w:hint="eastAsia" w:ascii="宋体" w:hAnsi="宋体"/>
                <w:color w:val="auto"/>
                <w:szCs w:val="21"/>
                <w:highlight w:val="none"/>
              </w:rPr>
              <w:t>文件及采购清单中如要求提供相关证明材料的，未提供或提供未能满足要求的视为负偏离。</w:t>
            </w:r>
            <w:r>
              <w:rPr>
                <w:rFonts w:hint="eastAsia" w:ascii="宋体" w:hAnsi="宋体" w:cs="宋体"/>
                <w:color w:val="auto"/>
                <w:szCs w:val="21"/>
                <w:highlight w:val="none"/>
              </w:rPr>
              <w:t>同一技术参数负偏离的，不重复扣分。</w:t>
            </w:r>
          </w:p>
          <w:p w14:paraId="35B1CDD3">
            <w:pPr>
              <w:shd w:val="clear"/>
              <w:rPr>
                <w:rFonts w:ascii="宋体" w:hAnsi="宋体"/>
                <w:color w:val="auto"/>
                <w:szCs w:val="21"/>
                <w:highlight w:val="none"/>
              </w:rPr>
            </w:pPr>
            <w:r>
              <w:rPr>
                <w:rFonts w:hint="eastAsia" w:ascii="宋体" w:hAnsi="宋体" w:cs="宋体"/>
                <w:color w:val="auto"/>
                <w:highlight w:val="none"/>
              </w:rPr>
              <w:t>注：关于上述负偏离一条的定义：采购文件 第三部分 采购需求</w:t>
            </w:r>
            <w:r>
              <w:rPr>
                <w:rFonts w:hint="eastAsia" w:ascii="宋体" w:hAnsi="宋体"/>
                <w:color w:val="auto"/>
                <w:szCs w:val="21"/>
                <w:highlight w:val="none"/>
              </w:rPr>
              <w:t>及采购清单</w:t>
            </w:r>
            <w:r>
              <w:rPr>
                <w:rFonts w:hint="eastAsia" w:ascii="宋体" w:hAnsi="宋体" w:cs="宋体"/>
                <w:color w:val="auto"/>
                <w:highlight w:val="none"/>
              </w:rPr>
              <w:t>中的最小序号为一条。</w:t>
            </w:r>
          </w:p>
        </w:tc>
      </w:tr>
      <w:tr w14:paraId="5650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47" w:type="dxa"/>
            <w:vMerge w:val="continue"/>
          </w:tcPr>
          <w:p w14:paraId="46F5484A">
            <w:pPr>
              <w:shd w:val="clear"/>
              <w:rPr>
                <w:rFonts w:ascii="宋体" w:hAnsi="宋体"/>
                <w:color w:val="auto"/>
                <w:szCs w:val="21"/>
                <w:highlight w:val="none"/>
              </w:rPr>
            </w:pPr>
          </w:p>
        </w:tc>
        <w:tc>
          <w:tcPr>
            <w:tcW w:w="9163" w:type="dxa"/>
          </w:tcPr>
          <w:p w14:paraId="12F79AC7">
            <w:pPr>
              <w:shd w:val="clear"/>
              <w:rPr>
                <w:rFonts w:ascii="宋体" w:hAnsi="宋体" w:cs="宋体"/>
                <w:color w:val="auto"/>
                <w:szCs w:val="21"/>
                <w:highlight w:val="none"/>
              </w:rPr>
            </w:pPr>
            <w:r>
              <w:rPr>
                <w:rFonts w:hint="eastAsia" w:ascii="宋体" w:hAnsi="宋体" w:cs="宋体"/>
                <w:color w:val="auto"/>
                <w:szCs w:val="21"/>
                <w:highlight w:val="none"/>
              </w:rPr>
              <w:t>二、样品（12分）</w:t>
            </w:r>
          </w:p>
          <w:p w14:paraId="2121011A">
            <w:pPr>
              <w:shd w:val="clear"/>
              <w:rPr>
                <w:color w:val="auto"/>
                <w:szCs w:val="21"/>
                <w:highlight w:val="none"/>
              </w:rPr>
            </w:pPr>
            <w:r>
              <w:rPr>
                <w:rFonts w:hint="eastAsia"/>
                <w:color w:val="auto"/>
                <w:szCs w:val="21"/>
                <w:highlight w:val="none"/>
              </w:rPr>
              <w:t>对投标人提供的二层柜（提供二层有背柜样品）、娃娃家组合1、三层抽拉床样品进行评议：</w:t>
            </w:r>
          </w:p>
          <w:p w14:paraId="031FD464">
            <w:pPr>
              <w:shd w:val="clear"/>
              <w:rPr>
                <w:color w:val="auto"/>
                <w:szCs w:val="21"/>
                <w:highlight w:val="none"/>
              </w:rPr>
            </w:pPr>
            <w:r>
              <w:rPr>
                <w:rFonts w:hint="eastAsia"/>
                <w:color w:val="auto"/>
                <w:szCs w:val="21"/>
                <w:highlight w:val="none"/>
              </w:rPr>
              <w:t>1、二层柜（提供二层有背柜样品）（4分）</w:t>
            </w:r>
          </w:p>
          <w:p w14:paraId="1C8564BA">
            <w:pPr>
              <w:shd w:val="clear"/>
              <w:rPr>
                <w:color w:val="auto"/>
                <w:szCs w:val="21"/>
                <w:highlight w:val="none"/>
              </w:rPr>
            </w:pPr>
            <w:r>
              <w:rPr>
                <w:rFonts w:hint="eastAsia"/>
                <w:color w:val="auto"/>
                <w:szCs w:val="21"/>
                <w:highlight w:val="none"/>
              </w:rPr>
              <w:t>样品连接牢固，无过大缝隙的得0.5分；拼接严密平整，无脱胶、明显透胶的得0.5分；背板种子标本齐全的得0.5分；背板种子标本与图案相对应的得0.5分；安装扎实，五漏钉、透钉等安全隐患的得0.5分；样品的成熟性高、可维护性高的得0.5分；造型美观、符合幼儿使用的得0.5分；加工工艺高超，制作精良的得0.5分，不符合的对应项不得分，共4分。</w:t>
            </w:r>
          </w:p>
          <w:p w14:paraId="1B0F27C4">
            <w:pPr>
              <w:shd w:val="clear"/>
              <w:rPr>
                <w:color w:val="auto"/>
                <w:szCs w:val="21"/>
                <w:highlight w:val="none"/>
              </w:rPr>
            </w:pPr>
            <w:r>
              <w:rPr>
                <w:rFonts w:hint="eastAsia"/>
                <w:color w:val="auto"/>
                <w:szCs w:val="21"/>
                <w:highlight w:val="none"/>
              </w:rPr>
              <w:t>2、娃娃家组合1（4分）</w:t>
            </w:r>
          </w:p>
          <w:p w14:paraId="3A6DF705">
            <w:pPr>
              <w:shd w:val="clear"/>
              <w:rPr>
                <w:color w:val="auto"/>
                <w:szCs w:val="21"/>
                <w:highlight w:val="none"/>
              </w:rPr>
            </w:pPr>
            <w:r>
              <w:rPr>
                <w:rFonts w:hint="eastAsia"/>
                <w:color w:val="auto"/>
                <w:szCs w:val="21"/>
                <w:highlight w:val="none"/>
              </w:rPr>
              <w:t>样品连接牢固，无过大缝隙的得0.5分；拼接严密平整，无脱胶、明显透胶的得0.5分；使用方便、移动灵活的得0.5分；高脚稳定性高、无晃动的得0.5分；安装扎实，五漏钉、透钉等安全隐患的得0.5分；样品的成熟性高、可维护性高的得0.5分；造型美观、符合幼儿使用的得0.5分；加工工艺高超，制作精良的得0.5分，不符合的对应项不得分，共4分。</w:t>
            </w:r>
          </w:p>
          <w:p w14:paraId="24F1D8D2">
            <w:pPr>
              <w:shd w:val="clear"/>
              <w:rPr>
                <w:color w:val="auto"/>
                <w:szCs w:val="21"/>
                <w:highlight w:val="none"/>
              </w:rPr>
            </w:pPr>
            <w:r>
              <w:rPr>
                <w:rFonts w:hint="eastAsia"/>
                <w:color w:val="auto"/>
                <w:szCs w:val="21"/>
                <w:highlight w:val="none"/>
              </w:rPr>
              <w:t>3、三层抽拉床（4分）</w:t>
            </w:r>
          </w:p>
          <w:p w14:paraId="75DC37A7">
            <w:pPr>
              <w:shd w:val="clear"/>
              <w:rPr>
                <w:color w:val="auto"/>
                <w:highlight w:val="none"/>
              </w:rPr>
            </w:pPr>
            <w:r>
              <w:rPr>
                <w:rFonts w:hint="eastAsia"/>
                <w:color w:val="auto"/>
                <w:szCs w:val="21"/>
                <w:highlight w:val="none"/>
              </w:rPr>
              <w:t>样品连接牢固，无过大缝隙的得0.5分；拼接严密平整，无脱胶、明显透胶的得0.5分；抽拉使用方便、灵活性高的得0.5分；幼儿上床位置设计合理、安全性高的得0.5分；安装扎实，五漏钉、透钉等安全隐患的得0.5分；样品的舒适性高、成熟性高、可维护性高的得0.5分；上床的扶手安全光滑有弧度、符合幼儿使用的得0.5分；加工工艺高超，制作精良的得0.5分，不符合的对应项不得分，共4分。</w:t>
            </w:r>
          </w:p>
          <w:p w14:paraId="27257003">
            <w:pPr>
              <w:shd w:val="clear"/>
              <w:rPr>
                <w:rFonts w:ascii="宋体" w:hAnsi="宋体"/>
                <w:color w:val="auto"/>
                <w:szCs w:val="21"/>
                <w:highlight w:val="none"/>
              </w:rPr>
            </w:pPr>
            <w:r>
              <w:rPr>
                <w:rFonts w:hint="eastAsia"/>
                <w:color w:val="auto"/>
                <w:szCs w:val="21"/>
                <w:highlight w:val="none"/>
              </w:rPr>
              <w:t>注：所投样品须与采购清单中参数要求一致，不一致的对应产品不得分。</w:t>
            </w:r>
          </w:p>
        </w:tc>
      </w:tr>
      <w:tr w14:paraId="7CE6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47" w:type="dxa"/>
            <w:vMerge w:val="continue"/>
          </w:tcPr>
          <w:p w14:paraId="56EF7D1C">
            <w:pPr>
              <w:shd w:val="clear"/>
              <w:rPr>
                <w:rFonts w:ascii="宋体" w:hAnsi="宋体"/>
                <w:color w:val="auto"/>
                <w:szCs w:val="21"/>
                <w:highlight w:val="none"/>
              </w:rPr>
            </w:pPr>
          </w:p>
        </w:tc>
        <w:tc>
          <w:tcPr>
            <w:tcW w:w="9163" w:type="dxa"/>
          </w:tcPr>
          <w:p w14:paraId="4CE73EA6">
            <w:pPr>
              <w:shd w:val="clear"/>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三、规划及布置方案（12分）</w:t>
            </w:r>
          </w:p>
          <w:p w14:paraId="244FF026">
            <w:pPr>
              <w:shd w:val="clear"/>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1、投标人根据项目实际情况，结合本项目采购清单中设备配置情况及平面图，提供托班家具产品摆放布局图和效果图，对设备布局的合理性、效果展示的美观性、幼童的适用性进行评议，每符合一项得1分，有所欠缺的对应项得0.5分，未提供或不符合的对应项不得分，共3分。</w:t>
            </w:r>
          </w:p>
          <w:p w14:paraId="491085DD">
            <w:pPr>
              <w:shd w:val="clear"/>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2、投标人根据项目实际情况，结合本项目采购清单中设备配置情况及平面图，提供小班家具产品摆放布局图和效果图，对设备布局的合理性、效果展示的美观性、幼童的适用性进行评议，每符合一项得1分，有所欠缺的对应项得0.5分，未提供或不符合的对应项不得分，共3分。</w:t>
            </w:r>
          </w:p>
          <w:p w14:paraId="6F7291A4">
            <w:pPr>
              <w:shd w:val="clear"/>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3、投标人根据项目实际情况，结合本项目采购清单中设备配置情况及平面图，提供中班家具产品摆放布局图和效果图，对设备布局的合理性、效果展示的美观性、幼童的适用性进行评议，每符合一项得1分，有所欠缺的对应项得0.5分，未提供或不符合的对应项不得分，共3分。</w:t>
            </w:r>
          </w:p>
          <w:p w14:paraId="0EAB22F1">
            <w:pPr>
              <w:shd w:val="clear"/>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4、投标人根据项目实际情况，结合本项目采购清单中设备配置情况及平面图，提供大班家具产品摆放布局图和效果图，对设备布局的合理性、效果展示的美观性、幼童的适用性进行评议，每符合一项得1分，有所欠缺的对应项得0.5分，未提供或不符合的对应项不得分，共3分。</w:t>
            </w:r>
          </w:p>
          <w:p w14:paraId="06F8A932">
            <w:pPr>
              <w:pStyle w:val="25"/>
              <w:shd w:val="clear"/>
              <w:ind w:firstLine="0" w:firstLineChars="0"/>
              <w:rPr>
                <w:color w:val="auto"/>
                <w:highlight w:val="none"/>
              </w:rPr>
            </w:pPr>
            <w:r>
              <w:rPr>
                <w:rFonts w:hint="eastAsia" w:ascii="宋体" w:hAnsi="宋体" w:eastAsia="宋体" w:cs="宋体"/>
                <w:color w:val="auto"/>
                <w:kern w:val="0"/>
                <w:sz w:val="21"/>
                <w:szCs w:val="21"/>
                <w:highlight w:val="none"/>
              </w:rPr>
              <w:t>注：投标文件中效果图须包含前、后、左、右、俯视五种视面图，未提供或提供不全的对应项不得分。</w:t>
            </w:r>
          </w:p>
        </w:tc>
      </w:tr>
      <w:tr w14:paraId="19E1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7" w:type="dxa"/>
            <w:vMerge w:val="continue"/>
          </w:tcPr>
          <w:p w14:paraId="567E8B8A">
            <w:pPr>
              <w:shd w:val="clear"/>
              <w:rPr>
                <w:rFonts w:ascii="宋体" w:hAnsi="宋体"/>
                <w:color w:val="auto"/>
                <w:szCs w:val="21"/>
                <w:highlight w:val="none"/>
              </w:rPr>
            </w:pPr>
          </w:p>
        </w:tc>
        <w:tc>
          <w:tcPr>
            <w:tcW w:w="9163" w:type="dxa"/>
          </w:tcPr>
          <w:p w14:paraId="1C3F4F1D">
            <w:pPr>
              <w:pStyle w:val="25"/>
              <w:shd w:val="clear"/>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四、产品演示（5分）</w:t>
            </w:r>
          </w:p>
          <w:p w14:paraId="4B30C138">
            <w:pPr>
              <w:shd w:val="clear"/>
              <w:rPr>
                <w:color w:val="auto"/>
                <w:highlight w:val="none"/>
              </w:rPr>
            </w:pPr>
            <w:r>
              <w:rPr>
                <w:rFonts w:hint="eastAsia"/>
                <w:color w:val="auto"/>
                <w:highlight w:val="none"/>
              </w:rPr>
              <w:t>投标人对助教机器人（多功能教室第152项）以下功能进行演示，由评审小组根据演示结果进行评议：</w:t>
            </w:r>
          </w:p>
          <w:p w14:paraId="558FAD23">
            <w:pPr>
              <w:shd w:val="clear"/>
              <w:jc w:val="left"/>
              <w:rPr>
                <w:rFonts w:ascii="Times New Roman" w:hAnsi="Times New Roman"/>
                <w:color w:val="auto"/>
                <w:highlight w:val="none"/>
              </w:rPr>
            </w:pPr>
            <w:r>
              <w:rPr>
                <w:rFonts w:hint="eastAsia" w:ascii="Times New Roman" w:hAnsi="Times New Roman"/>
                <w:color w:val="auto"/>
                <w:highlight w:val="none"/>
              </w:rPr>
              <w:t>1、可通过后台便捷上传个性化课件，并智能设置教学机器人的互动节点。</w:t>
            </w:r>
          </w:p>
          <w:p w14:paraId="5C9BE96B">
            <w:pPr>
              <w:shd w:val="clear"/>
              <w:jc w:val="left"/>
              <w:rPr>
                <w:rFonts w:ascii="Times New Roman" w:hAnsi="Times New Roman"/>
                <w:color w:val="auto"/>
                <w:highlight w:val="none"/>
              </w:rPr>
            </w:pPr>
            <w:r>
              <w:rPr>
                <w:rFonts w:hint="eastAsia" w:ascii="Times New Roman" w:hAnsi="Times New Roman"/>
                <w:color w:val="auto"/>
                <w:highlight w:val="none"/>
              </w:rPr>
              <w:t>2、具有语音唤醒，人机互动功能。</w:t>
            </w:r>
          </w:p>
          <w:p w14:paraId="1D330EA0">
            <w:pPr>
              <w:shd w:val="clear"/>
              <w:jc w:val="left"/>
              <w:rPr>
                <w:rFonts w:ascii="Times New Roman" w:hAnsi="Times New Roman"/>
                <w:color w:val="auto"/>
                <w:highlight w:val="none"/>
              </w:rPr>
            </w:pPr>
            <w:r>
              <w:rPr>
                <w:rFonts w:hint="eastAsia" w:ascii="Times New Roman" w:hAnsi="Times New Roman"/>
                <w:color w:val="auto"/>
                <w:highlight w:val="none"/>
              </w:rPr>
              <w:t>3、具有大语言模型的测评功能。</w:t>
            </w:r>
          </w:p>
          <w:p w14:paraId="3619CB0E">
            <w:pPr>
              <w:shd w:val="clear"/>
              <w:jc w:val="left"/>
              <w:rPr>
                <w:rFonts w:ascii="Times New Roman" w:hAnsi="Times New Roman"/>
                <w:color w:val="auto"/>
                <w:highlight w:val="none"/>
              </w:rPr>
            </w:pPr>
            <w:r>
              <w:rPr>
                <w:rFonts w:hint="eastAsia" w:ascii="Times New Roman" w:hAnsi="Times New Roman"/>
                <w:color w:val="auto"/>
                <w:highlight w:val="none"/>
              </w:rPr>
              <w:t>4、搭载摄像头，具有图像识别技术，完成课堂中图卡识别功能。</w:t>
            </w:r>
          </w:p>
          <w:p w14:paraId="333F33CD">
            <w:pPr>
              <w:shd w:val="clear"/>
              <w:jc w:val="left"/>
              <w:rPr>
                <w:rFonts w:ascii="Times New Roman" w:hAnsi="Times New Roman"/>
                <w:color w:val="auto"/>
                <w:highlight w:val="none"/>
              </w:rPr>
            </w:pPr>
            <w:r>
              <w:rPr>
                <w:rFonts w:hint="eastAsia" w:ascii="Times New Roman" w:hAnsi="Times New Roman"/>
                <w:color w:val="auto"/>
                <w:highlight w:val="none"/>
              </w:rPr>
              <w:t>5、具有舞蹈、音乐、文字转语音输出功能。</w:t>
            </w:r>
          </w:p>
          <w:p w14:paraId="7CC63579">
            <w:pPr>
              <w:shd w:val="clear"/>
              <w:rPr>
                <w:rFonts w:cs="宋体"/>
                <w:color w:val="auto"/>
                <w:szCs w:val="21"/>
                <w:highlight w:val="none"/>
              </w:rPr>
            </w:pPr>
            <w:r>
              <w:rPr>
                <w:rFonts w:hint="eastAsia" w:cs="宋体"/>
                <w:color w:val="auto"/>
                <w:szCs w:val="21"/>
                <w:highlight w:val="none"/>
              </w:rPr>
              <w:t>以上功能每实现一项得1分，未提供或演示不成功或演示内容不全的对应项不得分，共5分。</w:t>
            </w:r>
          </w:p>
          <w:p w14:paraId="7C7C64D1">
            <w:pPr>
              <w:shd w:val="clear"/>
              <w:rPr>
                <w:rFonts w:eastAsiaTheme="minorEastAsia"/>
                <w:color w:val="auto"/>
                <w:highlight w:val="none"/>
              </w:rPr>
            </w:pPr>
            <w:r>
              <w:rPr>
                <w:rFonts w:hint="eastAsia" w:ascii="宋体" w:hAnsi="宋体" w:cs="宋体"/>
                <w:color w:val="auto"/>
                <w:kern w:val="0"/>
                <w:szCs w:val="21"/>
                <w:highlight w:val="none"/>
              </w:rPr>
              <w:t>注：投标人需在投标截止时间前提供相关演示设备并完成设备测试工作，超过截止时间的，采购人或采购代理机构将不予接收，并将清场并封闭现场。演示具体要求详见第二部分投标须知。</w:t>
            </w:r>
            <w:r>
              <w:rPr>
                <w:rFonts w:hint="eastAsia" w:asciiTheme="minorEastAsia" w:hAnsiTheme="minorEastAsia" w:eastAsiaTheme="minorEastAsia" w:cstheme="minorEastAsia"/>
                <w:color w:val="auto"/>
                <w:szCs w:val="21"/>
                <w:highlight w:val="none"/>
              </w:rPr>
              <w:t>未提供产品演示的不得分。</w:t>
            </w:r>
          </w:p>
        </w:tc>
      </w:tr>
      <w:tr w14:paraId="628D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47" w:type="dxa"/>
            <w:vMerge w:val="continue"/>
          </w:tcPr>
          <w:p w14:paraId="2196D040">
            <w:pPr>
              <w:shd w:val="clear"/>
              <w:rPr>
                <w:rFonts w:ascii="宋体" w:hAnsi="宋体"/>
                <w:color w:val="auto"/>
                <w:szCs w:val="21"/>
                <w:highlight w:val="none"/>
              </w:rPr>
            </w:pPr>
          </w:p>
        </w:tc>
        <w:tc>
          <w:tcPr>
            <w:tcW w:w="9163" w:type="dxa"/>
            <w:vAlign w:val="center"/>
          </w:tcPr>
          <w:p w14:paraId="5099B86D">
            <w:pPr>
              <w:shd w:val="clear"/>
              <w:rPr>
                <w:rFonts w:ascii="宋体" w:hAnsi="宋体"/>
                <w:color w:val="auto"/>
                <w:szCs w:val="21"/>
                <w:highlight w:val="none"/>
              </w:rPr>
            </w:pPr>
            <w:r>
              <w:rPr>
                <w:rFonts w:hint="eastAsia" w:ascii="宋体" w:hAnsi="宋体"/>
                <w:color w:val="auto"/>
                <w:szCs w:val="21"/>
                <w:highlight w:val="none"/>
              </w:rPr>
              <w:t>五、工期计划（4分）</w:t>
            </w:r>
          </w:p>
          <w:p w14:paraId="28C14055">
            <w:pPr>
              <w:shd w:val="clear"/>
              <w:spacing w:line="300" w:lineRule="exact"/>
              <w:rPr>
                <w:color w:val="auto"/>
                <w:highlight w:val="none"/>
              </w:rPr>
            </w:pPr>
            <w:r>
              <w:rPr>
                <w:rFonts w:ascii="宋体" w:hAnsi="宋体"/>
                <w:color w:val="auto"/>
                <w:szCs w:val="21"/>
                <w:highlight w:val="none"/>
              </w:rPr>
              <w:t>投标人提供</w:t>
            </w:r>
            <w:r>
              <w:rPr>
                <w:rFonts w:hint="eastAsia" w:ascii="宋体" w:hAnsi="宋体"/>
                <w:color w:val="auto"/>
                <w:szCs w:val="21"/>
                <w:highlight w:val="none"/>
              </w:rPr>
              <w:t>的针对本项目的工期计划详细可行</w:t>
            </w:r>
            <w:r>
              <w:rPr>
                <w:rFonts w:ascii="宋体" w:hAnsi="宋体"/>
                <w:color w:val="auto"/>
                <w:szCs w:val="21"/>
                <w:highlight w:val="none"/>
              </w:rPr>
              <w:t>的得</w:t>
            </w:r>
            <w:r>
              <w:rPr>
                <w:rFonts w:hint="eastAsia" w:ascii="宋体" w:hAnsi="宋体"/>
                <w:color w:val="auto"/>
                <w:szCs w:val="21"/>
                <w:highlight w:val="none"/>
              </w:rPr>
              <w:t>2分；工期最大限度有利于采购人且可行（工期不得超出采购文件要求）</w:t>
            </w:r>
            <w:r>
              <w:rPr>
                <w:rFonts w:hint="eastAsia"/>
                <w:color w:val="auto"/>
                <w:highlight w:val="none"/>
              </w:rPr>
              <w:t>的</w:t>
            </w:r>
            <w:r>
              <w:rPr>
                <w:rFonts w:hint="eastAsia" w:ascii="宋体" w:hAnsi="宋体"/>
                <w:color w:val="auto"/>
                <w:szCs w:val="21"/>
                <w:highlight w:val="none"/>
              </w:rPr>
              <w:t>得2</w:t>
            </w:r>
            <w:r>
              <w:rPr>
                <w:rFonts w:hint="eastAsia"/>
                <w:color w:val="auto"/>
                <w:highlight w:val="none"/>
              </w:rPr>
              <w:t>分；</w:t>
            </w:r>
            <w:r>
              <w:rPr>
                <w:rFonts w:hint="eastAsia" w:ascii="宋体" w:hAnsi="宋体"/>
                <w:color w:val="auto"/>
                <w:szCs w:val="21"/>
                <w:highlight w:val="none"/>
              </w:rPr>
              <w:t>以上各项内容有所欠缺的对应项得1分，未提供或不符合的对应项不得分，共4分。</w:t>
            </w:r>
          </w:p>
        </w:tc>
      </w:tr>
      <w:tr w14:paraId="1FDF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47" w:type="dxa"/>
            <w:vMerge w:val="continue"/>
          </w:tcPr>
          <w:p w14:paraId="1DB170CB">
            <w:pPr>
              <w:shd w:val="clear"/>
              <w:rPr>
                <w:rFonts w:ascii="宋体" w:hAnsi="宋体"/>
                <w:color w:val="auto"/>
                <w:szCs w:val="21"/>
                <w:highlight w:val="none"/>
              </w:rPr>
            </w:pPr>
          </w:p>
        </w:tc>
        <w:tc>
          <w:tcPr>
            <w:tcW w:w="9163" w:type="dxa"/>
            <w:vAlign w:val="center"/>
          </w:tcPr>
          <w:p w14:paraId="5BF3DEC9">
            <w:pPr>
              <w:shd w:val="clear"/>
              <w:rPr>
                <w:rFonts w:ascii="宋体" w:hAnsi="宋体"/>
                <w:color w:val="auto"/>
                <w:szCs w:val="21"/>
                <w:highlight w:val="none"/>
              </w:rPr>
            </w:pPr>
            <w:r>
              <w:rPr>
                <w:rFonts w:hint="eastAsia" w:ascii="宋体" w:hAnsi="宋体"/>
                <w:color w:val="auto"/>
                <w:szCs w:val="21"/>
                <w:highlight w:val="none"/>
              </w:rPr>
              <w:t>六、认证证书（3分）</w:t>
            </w:r>
          </w:p>
          <w:p w14:paraId="3CFD1E2F">
            <w:pPr>
              <w:shd w:val="clear"/>
              <w:rPr>
                <w:color w:val="auto"/>
                <w:highlight w:val="none"/>
              </w:rPr>
            </w:pPr>
            <w:r>
              <w:rPr>
                <w:rFonts w:hint="eastAsia"/>
                <w:color w:val="auto"/>
                <w:highlight w:val="none"/>
              </w:rPr>
              <w:t>1.所投产品制造商具有有效期内的家具阻燃等级认证证书且认证单元为硬质家具的得1分，具有有效期内的家具阻燃等级认证证书且认证单元为软质家具的得1分，本项最多得2分。</w:t>
            </w:r>
          </w:p>
          <w:p w14:paraId="07C09478">
            <w:pPr>
              <w:shd w:val="clear"/>
              <w:rPr>
                <w:color w:val="auto"/>
                <w:highlight w:val="none"/>
              </w:rPr>
            </w:pPr>
            <w:r>
              <w:rPr>
                <w:rFonts w:hint="eastAsia"/>
                <w:color w:val="auto"/>
                <w:highlight w:val="none"/>
              </w:rPr>
              <w:t>2.所投产品制造商同时具有有效期内的质量管理体系认证证书、环境管理体系认证证书、职业健康安全管理证书且认证范围含：木质家具(幼儿家具、办公家具、校用家具、软体家具)的研发设计、生产和销售，玩具、教学具、教学用品、无动力游乐设备、户外健身器材的销售的得1分。</w:t>
            </w:r>
          </w:p>
          <w:p w14:paraId="3BD235AB">
            <w:pPr>
              <w:shd w:val="clear"/>
              <w:rPr>
                <w:rFonts w:ascii="宋体" w:hAnsi="宋体" w:cs="宋体"/>
                <w:color w:val="auto"/>
                <w:szCs w:val="21"/>
                <w:highlight w:val="none"/>
              </w:rPr>
            </w:pPr>
            <w:r>
              <w:rPr>
                <w:rFonts w:hint="eastAsia"/>
                <w:color w:val="auto"/>
                <w:highlight w:val="none"/>
              </w:rPr>
              <w:t>注：投标文件中提供相关证书等证明材料复印件，未提供或认证内容不符的对应项不得分。</w:t>
            </w:r>
          </w:p>
        </w:tc>
      </w:tr>
      <w:tr w14:paraId="1935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7" w:type="dxa"/>
            <w:vMerge w:val="continue"/>
          </w:tcPr>
          <w:p w14:paraId="45849EFD">
            <w:pPr>
              <w:shd w:val="clear"/>
              <w:rPr>
                <w:rFonts w:ascii="宋体" w:hAnsi="宋体"/>
                <w:color w:val="auto"/>
                <w:szCs w:val="21"/>
                <w:highlight w:val="none"/>
              </w:rPr>
            </w:pPr>
          </w:p>
        </w:tc>
        <w:tc>
          <w:tcPr>
            <w:tcW w:w="9163" w:type="dxa"/>
            <w:vAlign w:val="center"/>
          </w:tcPr>
          <w:p w14:paraId="6D939744">
            <w:pPr>
              <w:shd w:val="clear"/>
              <w:rPr>
                <w:rFonts w:ascii="宋体" w:hAnsi="宋体"/>
                <w:color w:val="auto"/>
                <w:szCs w:val="21"/>
                <w:highlight w:val="none"/>
              </w:rPr>
            </w:pPr>
            <w:r>
              <w:rPr>
                <w:rFonts w:hint="eastAsia" w:ascii="宋体" w:hAnsi="宋体"/>
                <w:color w:val="auto"/>
                <w:szCs w:val="21"/>
                <w:highlight w:val="none"/>
              </w:rPr>
              <w:t>七、</w:t>
            </w:r>
            <w:r>
              <w:rPr>
                <w:rFonts w:hint="eastAsia" w:ascii="宋体" w:hAnsi="宋体" w:cs="宋体"/>
                <w:color w:val="auto"/>
                <w:szCs w:val="21"/>
                <w:highlight w:val="none"/>
              </w:rPr>
              <w:t>安装调试方案</w:t>
            </w:r>
            <w:r>
              <w:rPr>
                <w:rFonts w:hint="eastAsia" w:ascii="宋体" w:hAnsi="宋体"/>
                <w:color w:val="auto"/>
                <w:szCs w:val="21"/>
                <w:highlight w:val="none"/>
              </w:rPr>
              <w:t>（3分）</w:t>
            </w:r>
          </w:p>
          <w:p w14:paraId="4B5369B1">
            <w:pPr>
              <w:shd w:val="clear"/>
              <w:rPr>
                <w:color w:val="auto"/>
                <w:highlight w:val="none"/>
              </w:rPr>
            </w:pPr>
            <w:r>
              <w:rPr>
                <w:color w:val="auto"/>
                <w:highlight w:val="none"/>
              </w:rPr>
              <w:t>投标人</w:t>
            </w:r>
            <w:r>
              <w:rPr>
                <w:rFonts w:hint="eastAsia"/>
                <w:color w:val="auto"/>
                <w:highlight w:val="none"/>
              </w:rPr>
              <w:t>针对本项目提供的</w:t>
            </w:r>
            <w:r>
              <w:rPr>
                <w:rFonts w:hint="eastAsia" w:ascii="宋体" w:hAnsi="宋体" w:cs="宋体"/>
                <w:color w:val="auto"/>
                <w:szCs w:val="21"/>
                <w:highlight w:val="none"/>
              </w:rPr>
              <w:t>安装调试方案人员安排合理的得1分，调试方案详细可行的得1分，验收方案能够确保顺利通过验收的得1分，以上各项内容有所欠缺的对应项得0.5分，</w:t>
            </w:r>
            <w:r>
              <w:rPr>
                <w:rFonts w:hint="eastAsia" w:ascii="宋体" w:hAnsi="宋体"/>
                <w:color w:val="auto"/>
                <w:szCs w:val="21"/>
                <w:highlight w:val="none"/>
              </w:rPr>
              <w:t>未提供或不符合的对应项不得分，</w:t>
            </w:r>
            <w:r>
              <w:rPr>
                <w:rFonts w:hint="eastAsia" w:ascii="宋体" w:hAnsi="宋体" w:cs="宋体"/>
                <w:color w:val="auto"/>
                <w:szCs w:val="21"/>
                <w:highlight w:val="none"/>
              </w:rPr>
              <w:t>共3分。</w:t>
            </w:r>
          </w:p>
        </w:tc>
      </w:tr>
      <w:tr w14:paraId="0831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47" w:type="dxa"/>
            <w:vMerge w:val="continue"/>
          </w:tcPr>
          <w:p w14:paraId="6C880BFF">
            <w:pPr>
              <w:shd w:val="clear"/>
              <w:rPr>
                <w:rFonts w:ascii="宋体" w:hAnsi="宋体"/>
                <w:color w:val="auto"/>
                <w:szCs w:val="21"/>
                <w:highlight w:val="none"/>
              </w:rPr>
            </w:pPr>
          </w:p>
        </w:tc>
        <w:tc>
          <w:tcPr>
            <w:tcW w:w="9163" w:type="dxa"/>
          </w:tcPr>
          <w:p w14:paraId="3CC7D14F">
            <w:pPr>
              <w:shd w:val="clear"/>
              <w:rPr>
                <w:color w:val="auto"/>
                <w:highlight w:val="none"/>
              </w:rPr>
            </w:pPr>
            <w:r>
              <w:rPr>
                <w:rFonts w:hint="eastAsia" w:ascii="宋体" w:hAnsi="宋体"/>
                <w:color w:val="auto"/>
                <w:szCs w:val="21"/>
                <w:highlight w:val="none"/>
              </w:rPr>
              <w:t>八、</w:t>
            </w:r>
            <w:r>
              <w:rPr>
                <w:rFonts w:hint="eastAsia"/>
                <w:color w:val="auto"/>
                <w:highlight w:val="none"/>
              </w:rPr>
              <w:t>售后服务能力（</w:t>
            </w:r>
            <w:r>
              <w:rPr>
                <w:rFonts w:hint="eastAsia" w:ascii="宋体" w:hAnsi="宋体"/>
                <w:color w:val="auto"/>
                <w:szCs w:val="21"/>
                <w:highlight w:val="none"/>
              </w:rPr>
              <w:t>5分</w:t>
            </w:r>
            <w:r>
              <w:rPr>
                <w:rFonts w:hint="eastAsia"/>
                <w:color w:val="auto"/>
                <w:highlight w:val="none"/>
              </w:rPr>
              <w:t>）</w:t>
            </w:r>
          </w:p>
          <w:p w14:paraId="7A7AD141">
            <w:pPr>
              <w:shd w:val="clear"/>
              <w:spacing w:line="300" w:lineRule="exact"/>
              <w:rPr>
                <w:color w:val="auto"/>
                <w:highlight w:val="none"/>
              </w:rPr>
            </w:pPr>
            <w:r>
              <w:rPr>
                <w:rFonts w:hint="eastAsia"/>
                <w:color w:val="auto"/>
                <w:highlight w:val="none"/>
              </w:rPr>
              <w:t>对投标单位针对本项目的售后服务能力，包括售后服务内容、服务承诺进行评议，方案内容详细完整的得1分，售后服务承诺最大限度有利于采购人（不得超出采购文件要求）的得1分，响应时间保障方案可靠性强、可行性强的得1分，售后服务响应积极，材料支撑有力的得1分，仓库备品备件充足的得1分，以上各项内容有所欠缺的对应项得0.5分，</w:t>
            </w:r>
            <w:r>
              <w:rPr>
                <w:rFonts w:hint="eastAsia" w:ascii="宋体" w:hAnsi="宋体"/>
                <w:color w:val="auto"/>
                <w:szCs w:val="21"/>
                <w:highlight w:val="none"/>
              </w:rPr>
              <w:t>未提供或不符合的对应项不得分，</w:t>
            </w:r>
            <w:r>
              <w:rPr>
                <w:rFonts w:hint="eastAsia"/>
                <w:color w:val="auto"/>
                <w:highlight w:val="none"/>
              </w:rPr>
              <w:t>共5分。</w:t>
            </w:r>
          </w:p>
          <w:p w14:paraId="616D0B7B">
            <w:pPr>
              <w:shd w:val="clear"/>
              <w:rPr>
                <w:rFonts w:ascii="宋体" w:hAnsi="宋体"/>
                <w:color w:val="auto"/>
                <w:szCs w:val="21"/>
                <w:highlight w:val="none"/>
              </w:rPr>
            </w:pPr>
            <w:r>
              <w:rPr>
                <w:rFonts w:hint="eastAsia"/>
                <w:color w:val="auto"/>
                <w:highlight w:val="none"/>
              </w:rPr>
              <w:t>注：投标文件中提供相关方案及支撑性材料等证明资料。</w:t>
            </w:r>
          </w:p>
        </w:tc>
      </w:tr>
      <w:tr w14:paraId="78AF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47" w:type="dxa"/>
            <w:vMerge w:val="continue"/>
          </w:tcPr>
          <w:p w14:paraId="460D19BB">
            <w:pPr>
              <w:shd w:val="clear"/>
              <w:rPr>
                <w:rFonts w:ascii="宋体" w:hAnsi="宋体"/>
                <w:color w:val="auto"/>
                <w:szCs w:val="21"/>
                <w:highlight w:val="none"/>
              </w:rPr>
            </w:pPr>
          </w:p>
        </w:tc>
        <w:tc>
          <w:tcPr>
            <w:tcW w:w="9163" w:type="dxa"/>
          </w:tcPr>
          <w:p w14:paraId="657E6D4F">
            <w:pPr>
              <w:shd w:val="clear"/>
              <w:rPr>
                <w:rFonts w:ascii="宋体" w:hAnsi="宋体"/>
                <w:color w:val="auto"/>
                <w:szCs w:val="21"/>
                <w:highlight w:val="none"/>
              </w:rPr>
            </w:pPr>
            <w:r>
              <w:rPr>
                <w:rFonts w:hint="eastAsia" w:ascii="宋体" w:hAnsi="宋体"/>
                <w:color w:val="auto"/>
                <w:szCs w:val="21"/>
                <w:highlight w:val="none"/>
              </w:rPr>
              <w:t>九、政府采购政策加分（1分）</w:t>
            </w:r>
          </w:p>
          <w:p w14:paraId="586F78DC">
            <w:pPr>
              <w:shd w:val="clear"/>
              <w:rPr>
                <w:rFonts w:ascii="宋体" w:hAnsi="宋体"/>
                <w:color w:val="auto"/>
                <w:szCs w:val="21"/>
                <w:highlight w:val="none"/>
              </w:rPr>
            </w:pPr>
            <w:r>
              <w:rPr>
                <w:rFonts w:hint="eastAsia" w:ascii="宋体" w:hAnsi="宋体"/>
                <w:color w:val="auto"/>
                <w:szCs w:val="21"/>
                <w:highlight w:val="none"/>
              </w:rPr>
              <w:t>（1）投标人是国家认定的少数民族地区企业的加0.5分。</w:t>
            </w:r>
          </w:p>
          <w:p w14:paraId="1AC28056">
            <w:pPr>
              <w:shd w:val="clear"/>
              <w:rPr>
                <w:color w:val="auto"/>
                <w:highlight w:val="none"/>
              </w:rPr>
            </w:pPr>
            <w:r>
              <w:rPr>
                <w:rFonts w:hint="eastAsia" w:ascii="宋体" w:hAnsi="宋体"/>
                <w:color w:val="auto"/>
                <w:szCs w:val="21"/>
                <w:highlight w:val="none"/>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3266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47" w:type="dxa"/>
            <w:vAlign w:val="center"/>
          </w:tcPr>
          <w:p w14:paraId="041B7015">
            <w:pPr>
              <w:shd w:val="clear"/>
              <w:rPr>
                <w:rFonts w:ascii="宋体" w:hAnsi="宋体"/>
                <w:color w:val="auto"/>
                <w:szCs w:val="21"/>
                <w:highlight w:val="none"/>
              </w:rPr>
            </w:pPr>
            <w:r>
              <w:rPr>
                <w:rFonts w:hint="eastAsia" w:ascii="宋体" w:hAnsi="宋体"/>
                <w:color w:val="auto"/>
                <w:szCs w:val="21"/>
                <w:highlight w:val="none"/>
              </w:rPr>
              <w:t>报价分40分</w:t>
            </w:r>
          </w:p>
        </w:tc>
        <w:tc>
          <w:tcPr>
            <w:tcW w:w="9163" w:type="dxa"/>
            <w:vAlign w:val="center"/>
          </w:tcPr>
          <w:p w14:paraId="5313321B">
            <w:pPr>
              <w:shd w:val="clear"/>
              <w:rPr>
                <w:rFonts w:ascii="宋体" w:hAnsi="宋体"/>
                <w:color w:val="auto"/>
                <w:szCs w:val="21"/>
                <w:highlight w:val="none"/>
              </w:rPr>
            </w:pPr>
            <w:r>
              <w:rPr>
                <w:rFonts w:hint="eastAsia" w:ascii="宋体" w:hAnsi="宋体"/>
                <w:color w:val="auto"/>
                <w:szCs w:val="21"/>
                <w:highlight w:val="none"/>
              </w:rPr>
              <w:t>满足采购文件要求且参与评审价格最低为评标基准价，其价格分为满分，其余投标人的价格分以下列公式计算：</w:t>
            </w:r>
          </w:p>
          <w:p w14:paraId="6CFB32D9">
            <w:pPr>
              <w:shd w:val="clear"/>
              <w:rPr>
                <w:rFonts w:ascii="宋体" w:hAnsi="宋体"/>
                <w:color w:val="auto"/>
                <w:szCs w:val="21"/>
                <w:highlight w:val="none"/>
              </w:rPr>
            </w:pPr>
            <w:r>
              <w:rPr>
                <w:rFonts w:hint="eastAsia" w:ascii="宋体" w:hAnsi="宋体"/>
                <w:color w:val="auto"/>
                <w:szCs w:val="21"/>
                <w:highlight w:val="none"/>
              </w:rPr>
              <w:t>投标报价得分=（评标基准价/参与评审的价格）×价格权值×100。</w:t>
            </w:r>
          </w:p>
          <w:p w14:paraId="670612DD">
            <w:pPr>
              <w:shd w:val="clear"/>
              <w:rPr>
                <w:rFonts w:ascii="宋体" w:hAnsi="宋体"/>
                <w:color w:val="auto"/>
                <w:szCs w:val="21"/>
                <w:highlight w:val="none"/>
              </w:rPr>
            </w:pPr>
            <w:r>
              <w:rPr>
                <w:rFonts w:hint="eastAsia" w:ascii="宋体" w:hAnsi="宋体"/>
                <w:color w:val="auto"/>
                <w:szCs w:val="21"/>
                <w:highlight w:val="none"/>
              </w:rPr>
              <w:t>参与评审价格=投标价格×（1-小微企业价格扣除优惠值10%）</w:t>
            </w:r>
          </w:p>
        </w:tc>
      </w:tr>
    </w:tbl>
    <w:p w14:paraId="5D8C363A">
      <w:pPr>
        <w:widowControl/>
        <w:shd w:val="clear"/>
        <w:jc w:val="left"/>
        <w:rPr>
          <w:rFonts w:cs="仿宋" w:asciiTheme="majorEastAsia" w:hAnsiTheme="majorEastAsia" w:eastAsiaTheme="majorEastAsia"/>
          <w:color w:val="auto"/>
          <w:sz w:val="20"/>
          <w:szCs w:val="20"/>
          <w:highlight w:val="none"/>
        </w:rPr>
      </w:pPr>
    </w:p>
    <w:p w14:paraId="3CFAF287">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756A1567">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0ADAB3D4">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3937E075">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6297269">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191BDBEF">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307622C8">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1480732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1BC2D424">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2502BF5B">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0343051D">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4330F9B9">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29E5E50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09115D6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63D5B9D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3BA1E13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5AA957E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275ED0E8">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16C76CC0">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0B49059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35A9CAA8">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7E2216">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5817E6F2">
      <w:pPr>
        <w:pStyle w:val="41"/>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195963AD">
      <w:pPr>
        <w:pStyle w:val="7"/>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7B5A9B6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32C5EEB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6B3B606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ADD27B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100CA8D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25FBD36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107B38E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609D7648">
      <w:pPr>
        <w:shd w:val="clear"/>
        <w:spacing w:line="360" w:lineRule="auto"/>
        <w:ind w:firstLine="480" w:firstLineChars="200"/>
        <w:rPr>
          <w:color w:val="auto"/>
          <w:highlight w:val="none"/>
        </w:rPr>
      </w:pPr>
      <w:r>
        <w:rPr>
          <w:rFonts w:hint="eastAsia" w:cs="仿宋" w:asciiTheme="majorEastAsia" w:hAnsiTheme="majorEastAsia" w:eastAsiaTheme="majorEastAsia"/>
          <w:color w:val="auto"/>
          <w:kern w:val="0"/>
          <w:sz w:val="24"/>
          <w:highlight w:val="none"/>
        </w:rPr>
        <w:t>4.2.3.3投标代表人未能出具身份证明或与法定代表人授权委托人身份不符的；</w:t>
      </w:r>
    </w:p>
    <w:p w14:paraId="7972D69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投标文件格式不规范、项目不齐全或者内容虚假的；</w:t>
      </w:r>
    </w:p>
    <w:p w14:paraId="3BB0BAF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7CB02F7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6DF2C4B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1817D6B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55BD0CF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13322B8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47A36DF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0CA440D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4D39BA8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2C14F1E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 xml:space="preserve"> / </w:t>
      </w:r>
      <w:r>
        <w:rPr>
          <w:rFonts w:hint="eastAsia" w:cs="仿宋" w:asciiTheme="majorEastAsia" w:hAnsiTheme="majorEastAsia" w:eastAsiaTheme="majorEastAsia"/>
          <w:color w:val="auto"/>
          <w:kern w:val="0"/>
          <w:sz w:val="24"/>
          <w:highlight w:val="none"/>
        </w:rPr>
        <w:t>项（含）以上的，；</w:t>
      </w:r>
    </w:p>
    <w:p w14:paraId="18A9DD1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253907E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5E59C2B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3D7612D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0187FE7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46AC52F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1B74B69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180DC5B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206BCE7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0EEC138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r>
        <w:rPr>
          <w:rFonts w:hint="eastAsia" w:ascii="宋体" w:hAnsi="宋体" w:cs="仿宋"/>
          <w:color w:val="auto"/>
          <w:kern w:val="0"/>
          <w:sz w:val="24"/>
          <w:highlight w:val="none"/>
          <w:lang w:val="en-US" w:eastAsia="zh-CN"/>
        </w:rPr>
        <w:t>不同供应商的电子投标（响应）文件上传计算机的网卡MAC地址或硬盘序列号等硬件信息相同的；</w:t>
      </w:r>
    </w:p>
    <w:p w14:paraId="3F14059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7F212FEA">
      <w:pPr>
        <w:pStyle w:val="7"/>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1C161B7D">
      <w:pPr>
        <w:pStyle w:val="7"/>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02EE4249">
      <w:pPr>
        <w:pStyle w:val="7"/>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0CDD1760">
      <w:pPr>
        <w:pStyle w:val="7"/>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1392AB82">
      <w:pPr>
        <w:pStyle w:val="7"/>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051EEDD3">
      <w:pPr>
        <w:pStyle w:val="7"/>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2ABC8130">
      <w:pPr>
        <w:pStyle w:val="7"/>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0411BF">
      <w:pPr>
        <w:pStyle w:val="7"/>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5F1E7F10">
      <w:pPr>
        <w:pStyle w:val="7"/>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0039F7B3">
      <w:pPr>
        <w:pStyle w:val="7"/>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604144A5">
      <w:pPr>
        <w:pStyle w:val="7"/>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658E194D">
      <w:pPr>
        <w:pStyle w:val="7"/>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2A3F7C4B">
      <w:pPr>
        <w:pStyle w:val="7"/>
        <w:shd w:val="clear"/>
        <w:adjustRightInd w:val="0"/>
        <w:snapToGrid w:val="0"/>
        <w:spacing w:line="360" w:lineRule="auto"/>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5"/>
      <w:bookmarkStart w:id="400" w:name="第五部分"/>
      <w:bookmarkStart w:id="401" w:name="_Toc86217003"/>
      <w:r>
        <w:rPr>
          <w:rFonts w:hint="eastAsia" w:cs="仿宋" w:asciiTheme="majorEastAsia" w:hAnsiTheme="majorEastAsia" w:eastAsiaTheme="majorEastAsia"/>
          <w:b/>
          <w:color w:val="auto"/>
          <w:sz w:val="36"/>
          <w:szCs w:val="36"/>
          <w:highlight w:val="none"/>
        </w:rPr>
        <w:br w:type="page"/>
      </w:r>
    </w:p>
    <w:p w14:paraId="6B429AD8">
      <w:pPr>
        <w:pStyle w:val="7"/>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拟签订的合同文本</w:t>
      </w:r>
    </w:p>
    <w:p w14:paraId="0C4B15B6">
      <w:pPr>
        <w:shd w:val="clear"/>
        <w:spacing w:line="360" w:lineRule="auto"/>
        <w:jc w:val="center"/>
        <w:rPr>
          <w:rFonts w:ascii="仿宋" w:hAnsi="仿宋" w:eastAsia="仿宋" w:cs="仿宋"/>
          <w:b/>
          <w:color w:val="auto"/>
          <w:sz w:val="36"/>
          <w:szCs w:val="36"/>
          <w:highlight w:val="none"/>
        </w:rPr>
      </w:pPr>
    </w:p>
    <w:p w14:paraId="3D86047F">
      <w:pPr>
        <w:shd w:val="clear"/>
        <w:spacing w:line="360" w:lineRule="auto"/>
        <w:jc w:val="center"/>
        <w:rPr>
          <w:rFonts w:ascii="仿宋" w:hAnsi="仿宋" w:eastAsia="仿宋" w:cs="仿宋"/>
          <w:b/>
          <w:color w:val="auto"/>
          <w:sz w:val="36"/>
          <w:szCs w:val="36"/>
          <w:highlight w:val="none"/>
        </w:rPr>
      </w:pPr>
    </w:p>
    <w:p w14:paraId="490862D2">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48A20E9">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147E71B3">
      <w:pPr>
        <w:pStyle w:val="42"/>
        <w:shd w:val="clear"/>
        <w:ind w:left="0" w:leftChars="0" w:firstLine="0" w:firstLineChars="0"/>
        <w:rPr>
          <w:rFonts w:ascii="仿宋" w:hAnsi="仿宋" w:eastAsia="仿宋" w:cs="仿宋"/>
          <w:color w:val="auto"/>
          <w:szCs w:val="24"/>
          <w:highlight w:val="none"/>
        </w:rPr>
      </w:pPr>
    </w:p>
    <w:p w14:paraId="3BF0E738">
      <w:pPr>
        <w:pStyle w:val="42"/>
        <w:shd w:val="clear"/>
        <w:rPr>
          <w:rFonts w:ascii="仿宋" w:hAnsi="仿宋" w:eastAsia="仿宋" w:cs="仿宋"/>
          <w:color w:val="auto"/>
          <w:szCs w:val="24"/>
          <w:highlight w:val="none"/>
        </w:rPr>
      </w:pPr>
    </w:p>
    <w:p w14:paraId="30265891">
      <w:pPr>
        <w:shd w:val="clear"/>
        <w:spacing w:before="120" w:line="360" w:lineRule="auto"/>
        <w:rPr>
          <w:rFonts w:ascii="仿宋" w:hAnsi="仿宋" w:eastAsia="仿宋" w:cs="仿宋"/>
          <w:color w:val="auto"/>
          <w:sz w:val="24"/>
          <w:highlight w:val="none"/>
        </w:rPr>
      </w:pPr>
    </w:p>
    <w:p w14:paraId="6F5C9B5B">
      <w:pPr>
        <w:shd w:val="clear"/>
        <w:spacing w:before="120" w:line="360" w:lineRule="auto"/>
        <w:ind w:left="960"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奉化区江口街道园中村改造安置房建设工程（二期）配套幼儿园整体设备项目   </w:t>
      </w:r>
    </w:p>
    <w:p w14:paraId="37D46C9A">
      <w:pPr>
        <w:pStyle w:val="34"/>
        <w:shd w:val="clear"/>
        <w:spacing w:before="12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78B105DD">
      <w:pPr>
        <w:pStyle w:val="34"/>
        <w:shd w:val="clear"/>
        <w:spacing w:before="120"/>
        <w:rPr>
          <w:rFonts w:ascii="仿宋" w:hAnsi="仿宋" w:eastAsia="仿宋" w:cs="仿宋"/>
          <w:color w:val="auto"/>
          <w:szCs w:val="24"/>
          <w:highlight w:val="none"/>
        </w:rPr>
      </w:pPr>
    </w:p>
    <w:p w14:paraId="04FF9AB4">
      <w:pPr>
        <w:shd w:val="clear"/>
        <w:spacing w:line="360" w:lineRule="auto"/>
        <w:rPr>
          <w:rFonts w:ascii="仿宋" w:hAnsi="仿宋" w:eastAsia="仿宋" w:cs="仿宋"/>
          <w:color w:val="auto"/>
          <w:sz w:val="24"/>
          <w:highlight w:val="none"/>
        </w:rPr>
      </w:pPr>
    </w:p>
    <w:p w14:paraId="6B7294F1">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宁波市奉化区教育发展投资有限责任公司   </w:t>
      </w:r>
    </w:p>
    <w:p w14:paraId="29C123DA">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AD0DFA9">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569A919">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558C6D8">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宁波市奉化区教育发展投资有限责任公司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奉化区江口街道园中村改造安置房建设工程（二期）配套幼儿园整体设备项目</w:t>
      </w:r>
      <w:r>
        <w:rPr>
          <w:rFonts w:hint="eastAsia" w:ascii="仿宋" w:hAnsi="仿宋" w:eastAsia="仿宋" w:cs="仿宋"/>
          <w:color w:val="auto"/>
          <w:sz w:val="24"/>
          <w:highlight w:val="none"/>
          <w:lang w:val="zh-CN"/>
        </w:rPr>
        <w:t>进行了采购。经</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评审小组</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24135A5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宁波市奉化区教育发展投资有限责任公司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C4C4A28">
      <w:pPr>
        <w:shd w:val="clear"/>
        <w:adjustRightInd w:val="0"/>
        <w:spacing w:line="360" w:lineRule="auto"/>
        <w:ind w:firstLine="482" w:firstLineChars="200"/>
        <w:outlineLvl w:val="0"/>
        <w:rPr>
          <w:rFonts w:ascii="仿宋" w:hAnsi="仿宋" w:eastAsia="仿宋" w:cs="仿宋"/>
          <w:b/>
          <w:color w:val="auto"/>
          <w:sz w:val="24"/>
          <w:highlight w:val="none"/>
        </w:rPr>
      </w:pPr>
      <w:bookmarkStart w:id="402" w:name="_Toc2232"/>
      <w:bookmarkStart w:id="403" w:name="_Toc24059"/>
      <w:bookmarkStart w:id="404" w:name="_Toc3029"/>
      <w:r>
        <w:rPr>
          <w:rFonts w:hint="eastAsia" w:ascii="仿宋" w:hAnsi="仿宋" w:eastAsia="仿宋" w:cs="仿宋"/>
          <w:b/>
          <w:color w:val="auto"/>
          <w:sz w:val="24"/>
          <w:highlight w:val="none"/>
        </w:rPr>
        <w:t>1 定义</w:t>
      </w:r>
    </w:p>
    <w:p w14:paraId="2AE62B1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EA12C3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79782A7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25269A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2476681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6EB7C5C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6BB009D">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“现场”系指合同约定货物将要运至或者安装的地点。</w:t>
      </w:r>
    </w:p>
    <w:p w14:paraId="47D3E8F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bookmarkEnd w:id="402"/>
      <w:bookmarkEnd w:id="403"/>
      <w:bookmarkEnd w:id="404"/>
    </w:p>
    <w:p w14:paraId="2F750D5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AF0B76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本合同及其补充合同、变更协议；</w:t>
      </w:r>
    </w:p>
    <w:p w14:paraId="04A08EA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75E3508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281473B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1262F9D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1E9A5733">
      <w:pPr>
        <w:shd w:val="clear"/>
        <w:adjustRightInd w:val="0"/>
        <w:spacing w:line="360" w:lineRule="auto"/>
        <w:ind w:firstLine="482" w:firstLineChars="200"/>
        <w:outlineLvl w:val="0"/>
        <w:rPr>
          <w:rFonts w:ascii="仿宋" w:hAnsi="仿宋" w:eastAsia="仿宋" w:cs="仿宋"/>
          <w:b/>
          <w:color w:val="auto"/>
          <w:sz w:val="24"/>
          <w:highlight w:val="none"/>
        </w:rPr>
      </w:pPr>
      <w:bookmarkStart w:id="405" w:name="_Toc27126"/>
      <w:bookmarkStart w:id="406" w:name="_Toc24300"/>
      <w:bookmarkStart w:id="407" w:name="_Toc21295"/>
      <w:r>
        <w:rPr>
          <w:rFonts w:hint="eastAsia" w:ascii="仿宋" w:hAnsi="仿宋" w:eastAsia="仿宋" w:cs="仿宋"/>
          <w:b/>
          <w:color w:val="auto"/>
          <w:sz w:val="24"/>
          <w:highlight w:val="none"/>
        </w:rPr>
        <w:t>3 货物</w:t>
      </w:r>
      <w:bookmarkEnd w:id="405"/>
      <w:bookmarkEnd w:id="406"/>
      <w:bookmarkEnd w:id="407"/>
    </w:p>
    <w:tbl>
      <w:tblPr>
        <w:tblStyle w:val="1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2089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6FDDDCA">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38E2AAB">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6D30A482">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C041360">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581B483A">
            <w:pPr>
              <w:pStyle w:val="38"/>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74F8BCC1">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w:t>
            </w:r>
          </w:p>
        </w:tc>
      </w:tr>
      <w:tr w14:paraId="0622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A77B929">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A65AA5A">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4E5B4B4">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08CBFF8">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AEA7B57">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B73BB10">
            <w:pPr>
              <w:pStyle w:val="38"/>
              <w:shd w:val="clear"/>
              <w:spacing w:line="360" w:lineRule="auto"/>
              <w:ind w:firstLine="200"/>
              <w:jc w:val="center"/>
              <w:rPr>
                <w:rFonts w:ascii="仿宋" w:hAnsi="仿宋" w:eastAsia="仿宋" w:cs="仿宋"/>
                <w:color w:val="auto"/>
                <w:sz w:val="24"/>
                <w:szCs w:val="24"/>
                <w:highlight w:val="none"/>
              </w:rPr>
            </w:pPr>
          </w:p>
        </w:tc>
      </w:tr>
      <w:tr w14:paraId="5D3A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084DA12">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0566CA8">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7370F14">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85013D8">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43972CD">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2253055">
            <w:pPr>
              <w:pStyle w:val="38"/>
              <w:shd w:val="clear"/>
              <w:spacing w:line="360" w:lineRule="auto"/>
              <w:ind w:firstLine="200"/>
              <w:jc w:val="center"/>
              <w:rPr>
                <w:rFonts w:ascii="仿宋" w:hAnsi="仿宋" w:eastAsia="仿宋" w:cs="仿宋"/>
                <w:color w:val="auto"/>
                <w:sz w:val="24"/>
                <w:szCs w:val="24"/>
                <w:highlight w:val="none"/>
              </w:rPr>
            </w:pPr>
          </w:p>
        </w:tc>
      </w:tr>
      <w:tr w14:paraId="5018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583B0E4">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E5BFE5F">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E7DA2A9">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D5A4F6C">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6114052D">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C6EC73C">
            <w:pPr>
              <w:pStyle w:val="38"/>
              <w:shd w:val="clear"/>
              <w:spacing w:line="360" w:lineRule="auto"/>
              <w:ind w:firstLine="200"/>
              <w:jc w:val="center"/>
              <w:rPr>
                <w:rFonts w:ascii="仿宋" w:hAnsi="仿宋" w:eastAsia="仿宋" w:cs="仿宋"/>
                <w:color w:val="auto"/>
                <w:sz w:val="24"/>
                <w:szCs w:val="24"/>
                <w:highlight w:val="none"/>
              </w:rPr>
            </w:pPr>
          </w:p>
        </w:tc>
      </w:tr>
      <w:tr w14:paraId="5BF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39300D1">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E1C75AA">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08767CF">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D51E7D0">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43D88FA5">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64CB6B">
            <w:pPr>
              <w:pStyle w:val="38"/>
              <w:shd w:val="clear"/>
              <w:spacing w:line="360" w:lineRule="auto"/>
              <w:ind w:firstLine="200"/>
              <w:jc w:val="center"/>
              <w:rPr>
                <w:rFonts w:ascii="仿宋" w:hAnsi="仿宋" w:eastAsia="仿宋" w:cs="仿宋"/>
                <w:color w:val="auto"/>
                <w:sz w:val="24"/>
                <w:szCs w:val="24"/>
                <w:highlight w:val="none"/>
              </w:rPr>
            </w:pPr>
          </w:p>
        </w:tc>
      </w:tr>
    </w:tbl>
    <w:p w14:paraId="14167E5A">
      <w:pPr>
        <w:pStyle w:val="25"/>
        <w:shd w:val="clear"/>
        <w:ind w:firstLine="560"/>
        <w:rPr>
          <w:color w:val="auto"/>
          <w:highlight w:val="none"/>
        </w:rPr>
      </w:pPr>
    </w:p>
    <w:p w14:paraId="5587A101">
      <w:pPr>
        <w:shd w:val="clear"/>
        <w:adjustRightInd w:val="0"/>
        <w:spacing w:line="360" w:lineRule="auto"/>
        <w:ind w:firstLine="482" w:firstLineChars="200"/>
        <w:outlineLvl w:val="0"/>
        <w:rPr>
          <w:rFonts w:ascii="仿宋" w:hAnsi="仿宋" w:eastAsia="仿宋" w:cs="仿宋"/>
          <w:b/>
          <w:color w:val="auto"/>
          <w:sz w:val="24"/>
          <w:highlight w:val="none"/>
        </w:rPr>
      </w:pPr>
      <w:bookmarkStart w:id="408" w:name="_Toc23292"/>
      <w:bookmarkStart w:id="409" w:name="_Toc21631"/>
      <w:bookmarkStart w:id="410" w:name="_Toc21551"/>
      <w:r>
        <w:rPr>
          <w:rFonts w:hint="eastAsia" w:ascii="仿宋" w:hAnsi="仿宋" w:eastAsia="仿宋" w:cs="仿宋"/>
          <w:b/>
          <w:color w:val="auto"/>
          <w:sz w:val="24"/>
          <w:highlight w:val="none"/>
        </w:rPr>
        <w:t>4 价款</w:t>
      </w:r>
      <w:bookmarkEnd w:id="408"/>
      <w:bookmarkEnd w:id="409"/>
      <w:bookmarkEnd w:id="410"/>
    </w:p>
    <w:p w14:paraId="0FFA4C0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EBA74ED">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29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5CCD2F">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AF2DF2E">
            <w:pPr>
              <w:pStyle w:val="38"/>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8E96CA">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D18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7AE202">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D5D322">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39100C">
            <w:pPr>
              <w:pStyle w:val="38"/>
              <w:shd w:val="clear"/>
              <w:spacing w:line="360" w:lineRule="auto"/>
              <w:ind w:firstLine="200"/>
              <w:jc w:val="center"/>
              <w:rPr>
                <w:rFonts w:ascii="仿宋" w:hAnsi="仿宋" w:eastAsia="仿宋" w:cs="仿宋"/>
                <w:color w:val="auto"/>
                <w:sz w:val="24"/>
                <w:szCs w:val="24"/>
                <w:highlight w:val="none"/>
              </w:rPr>
            </w:pPr>
          </w:p>
        </w:tc>
      </w:tr>
      <w:tr w14:paraId="55C3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178D00">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4DC0B9">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A421D64">
            <w:pPr>
              <w:pStyle w:val="38"/>
              <w:shd w:val="clear"/>
              <w:spacing w:line="360" w:lineRule="auto"/>
              <w:ind w:firstLine="200"/>
              <w:jc w:val="center"/>
              <w:rPr>
                <w:rFonts w:ascii="仿宋" w:hAnsi="仿宋" w:eastAsia="仿宋" w:cs="仿宋"/>
                <w:color w:val="auto"/>
                <w:sz w:val="24"/>
                <w:szCs w:val="24"/>
                <w:highlight w:val="none"/>
              </w:rPr>
            </w:pPr>
          </w:p>
        </w:tc>
      </w:tr>
      <w:tr w14:paraId="2403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9891E5">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681B6D">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361AC5">
            <w:pPr>
              <w:pStyle w:val="38"/>
              <w:shd w:val="clear"/>
              <w:spacing w:line="360" w:lineRule="auto"/>
              <w:ind w:firstLine="200"/>
              <w:jc w:val="center"/>
              <w:rPr>
                <w:rFonts w:ascii="仿宋" w:hAnsi="仿宋" w:eastAsia="仿宋" w:cs="仿宋"/>
                <w:color w:val="auto"/>
                <w:sz w:val="24"/>
                <w:szCs w:val="24"/>
                <w:highlight w:val="none"/>
              </w:rPr>
            </w:pPr>
          </w:p>
        </w:tc>
      </w:tr>
      <w:tr w14:paraId="7B9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69EAD9">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A9C93C5">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90EFEE">
            <w:pPr>
              <w:pStyle w:val="38"/>
              <w:shd w:val="clear"/>
              <w:spacing w:line="360" w:lineRule="auto"/>
              <w:ind w:firstLine="200"/>
              <w:jc w:val="center"/>
              <w:rPr>
                <w:rFonts w:ascii="仿宋" w:hAnsi="仿宋" w:eastAsia="仿宋" w:cs="仿宋"/>
                <w:color w:val="auto"/>
                <w:sz w:val="24"/>
                <w:szCs w:val="24"/>
                <w:highlight w:val="none"/>
              </w:rPr>
            </w:pPr>
          </w:p>
        </w:tc>
      </w:tr>
      <w:tr w14:paraId="4844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7777D4D">
            <w:pPr>
              <w:pStyle w:val="38"/>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72F75F4">
            <w:pPr>
              <w:pStyle w:val="38"/>
              <w:shd w:val="clear"/>
              <w:spacing w:line="360" w:lineRule="auto"/>
              <w:ind w:firstLine="200"/>
              <w:jc w:val="center"/>
              <w:rPr>
                <w:rFonts w:ascii="仿宋" w:hAnsi="仿宋" w:eastAsia="仿宋" w:cs="仿宋"/>
                <w:color w:val="auto"/>
                <w:sz w:val="24"/>
                <w:szCs w:val="24"/>
                <w:highlight w:val="none"/>
              </w:rPr>
            </w:pPr>
          </w:p>
        </w:tc>
      </w:tr>
    </w:tbl>
    <w:p w14:paraId="070E466A">
      <w:pPr>
        <w:shd w:val="clear"/>
        <w:adjustRightInd w:val="0"/>
        <w:spacing w:line="360" w:lineRule="auto"/>
        <w:ind w:firstLine="482" w:firstLineChars="200"/>
        <w:outlineLvl w:val="0"/>
        <w:rPr>
          <w:rFonts w:ascii="仿宋" w:hAnsi="仿宋" w:eastAsia="仿宋" w:cs="仿宋"/>
          <w:b/>
          <w:color w:val="auto"/>
          <w:sz w:val="24"/>
          <w:highlight w:val="none"/>
        </w:rPr>
      </w:pPr>
      <w:bookmarkStart w:id="411" w:name="_Toc22618"/>
      <w:bookmarkStart w:id="412" w:name="_Toc1814"/>
      <w:bookmarkStart w:id="413" w:name="_Toc10340"/>
      <w:r>
        <w:rPr>
          <w:rFonts w:hint="eastAsia" w:ascii="仿宋" w:hAnsi="仿宋" w:eastAsia="仿宋" w:cs="仿宋"/>
          <w:b/>
          <w:color w:val="auto"/>
          <w:sz w:val="24"/>
          <w:highlight w:val="none"/>
        </w:rPr>
        <w:t>5 付款</w:t>
      </w:r>
      <w:bookmarkEnd w:id="411"/>
      <w:bookmarkEnd w:id="412"/>
      <w:bookmarkEnd w:id="413"/>
      <w:r>
        <w:rPr>
          <w:rFonts w:hint="eastAsia" w:ascii="仿宋" w:hAnsi="仿宋" w:eastAsia="仿宋" w:cs="仿宋"/>
          <w:b/>
          <w:color w:val="auto"/>
          <w:sz w:val="24"/>
          <w:highlight w:val="none"/>
        </w:rPr>
        <w:t>方式、时间和条件</w:t>
      </w:r>
    </w:p>
    <w:p w14:paraId="4C00CC1E">
      <w:pPr>
        <w:pStyle w:val="37"/>
        <w:shd w:val="clear"/>
        <w:spacing w:before="0" w:beforeAutospacing="0" w:after="0" w:afterAutospacing="0" w:line="360" w:lineRule="auto"/>
        <w:ind w:firstLine="480"/>
        <w:rPr>
          <w:rFonts w:ascii="仿宋" w:hAnsi="仿宋" w:eastAsia="仿宋" w:cs="仿宋"/>
          <w:color w:val="auto"/>
          <w:kern w:val="2"/>
          <w:highlight w:val="none"/>
          <w:u w:val="single"/>
        </w:rPr>
      </w:pPr>
      <w:bookmarkStart w:id="414" w:name="_Toc19304"/>
      <w:bookmarkStart w:id="415" w:name="_Toc2846"/>
      <w:bookmarkStart w:id="416" w:name="_Toc32071"/>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r>
        <w:rPr>
          <w:rFonts w:hint="eastAsia" w:ascii="仿宋" w:hAnsi="仿宋" w:eastAsia="仿宋" w:cs="仿宋"/>
          <w:color w:val="auto"/>
          <w:kern w:val="2"/>
          <w:highlight w:val="none"/>
          <w:u w:val="single"/>
        </w:rPr>
        <w:t xml:space="preserve"> 合同签订后 7个工作日内支付合同款项的 30%作为预付款；完成全部供货、安装并验收合格后支付至合同款项的 98%；</w:t>
      </w:r>
      <w:r>
        <w:rPr>
          <w:rFonts w:hint="eastAsia" w:ascii="仿宋" w:hAnsi="仿宋" w:eastAsia="仿宋" w:cs="仿宋"/>
          <w:color w:val="auto"/>
          <w:kern w:val="2"/>
          <w:highlight w:val="none"/>
          <w:u w:val="single"/>
          <w:lang w:eastAsia="zh-CN"/>
        </w:rPr>
        <w:t>质保期满2年后</w:t>
      </w:r>
      <w:r>
        <w:rPr>
          <w:rFonts w:hint="eastAsia" w:ascii="仿宋" w:hAnsi="仿宋" w:eastAsia="仿宋" w:cs="仿宋"/>
          <w:color w:val="auto"/>
          <w:kern w:val="2"/>
          <w:highlight w:val="none"/>
          <w:u w:val="single"/>
        </w:rPr>
        <w:t xml:space="preserve">且无质量问题的，支付合同剩余款项。 </w:t>
      </w:r>
    </w:p>
    <w:p w14:paraId="1849CF83">
      <w:pPr>
        <w:pStyle w:val="37"/>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color w:val="auto"/>
          <w:kern w:val="2"/>
          <w:highlight w:val="none"/>
          <w:u w:val="single"/>
        </w:rPr>
        <w:t xml:space="preserve">注：以上每阶段付款前，中标人均需向采购人开具增值税专用发票，方可办理相关申报支付手续；否则由此引起的款项支付时间延长风险均由中标人自行承担。 </w:t>
      </w:r>
      <w:r>
        <w:rPr>
          <w:rFonts w:hint="eastAsia" w:ascii="仿宋" w:hAnsi="仿宋" w:eastAsia="仿宋" w:cs="仿宋"/>
          <w:b/>
          <w:bCs/>
          <w:i/>
          <w:iCs/>
          <w:color w:val="auto"/>
          <w:kern w:val="2"/>
          <w:highlight w:val="none"/>
          <w:u w:val="single"/>
        </w:rPr>
        <w:t xml:space="preserve"> </w:t>
      </w:r>
    </w:p>
    <w:p w14:paraId="669A3501">
      <w:pPr>
        <w:pStyle w:val="37"/>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314B5F9C">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16D72074">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170ADB6">
      <w:pPr>
        <w:shd w:val="clear"/>
        <w:autoSpaceDE w:val="0"/>
        <w:autoSpaceDN w:val="0"/>
        <w:spacing w:line="360" w:lineRule="auto"/>
        <w:ind w:left="1470" w:leftChars="700"/>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8A59FF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货物交付期限、地点</w:t>
      </w:r>
      <w:bookmarkEnd w:id="414"/>
      <w:bookmarkEnd w:id="415"/>
      <w:bookmarkEnd w:id="416"/>
    </w:p>
    <w:p w14:paraId="1828B338">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交付期限：</w:t>
      </w:r>
      <w:r>
        <w:rPr>
          <w:rFonts w:hint="eastAsia" w:ascii="仿宋" w:hAnsi="仿宋" w:eastAsia="仿宋" w:cs="仿宋"/>
          <w:b/>
          <w:i/>
          <w:color w:val="auto"/>
          <w:highlight w:val="none"/>
          <w:u w:val="single"/>
        </w:rPr>
        <w:t xml:space="preserve">                               </w:t>
      </w:r>
      <w:r>
        <w:rPr>
          <w:rFonts w:hint="eastAsia" w:ascii="仿宋" w:hAnsi="仿宋" w:eastAsia="仿宋" w:cs="仿宋"/>
          <w:bCs/>
          <w:iCs/>
          <w:color w:val="auto"/>
          <w:highlight w:val="none"/>
          <w:u w:val="single"/>
        </w:rPr>
        <w:t xml:space="preserve"> </w:t>
      </w:r>
      <w:r>
        <w:rPr>
          <w:rFonts w:hint="eastAsia" w:ascii="仿宋" w:hAnsi="仿宋" w:eastAsia="仿宋" w:cs="仿宋"/>
          <w:b/>
          <w:i/>
          <w:color w:val="auto"/>
          <w:highlight w:val="none"/>
          <w:u w:val="single"/>
        </w:rPr>
        <w:t xml:space="preserve"> </w:t>
      </w:r>
    </w:p>
    <w:p w14:paraId="408382CB">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交付地点：</w:t>
      </w:r>
      <w:r>
        <w:rPr>
          <w:rFonts w:hint="eastAsia" w:ascii="仿宋" w:hAnsi="仿宋" w:eastAsia="仿宋" w:cs="仿宋"/>
          <w:b/>
          <w:i/>
          <w:color w:val="auto"/>
          <w:highlight w:val="none"/>
          <w:u w:val="single"/>
        </w:rPr>
        <w:t xml:space="preserve">        </w:t>
      </w:r>
      <w:r>
        <w:rPr>
          <w:rFonts w:hint="eastAsia" w:ascii="仿宋" w:hAnsi="仿宋" w:eastAsia="仿宋" w:cs="仿宋"/>
          <w:bCs/>
          <w:iCs/>
          <w:color w:val="auto"/>
          <w:highlight w:val="none"/>
          <w:u w:val="single"/>
        </w:rPr>
        <w:t>业主指定地点。</w:t>
      </w:r>
      <w:r>
        <w:rPr>
          <w:rFonts w:hint="eastAsia" w:ascii="仿宋" w:hAnsi="仿宋" w:eastAsia="仿宋" w:cs="仿宋"/>
          <w:b/>
          <w:i/>
          <w:color w:val="auto"/>
          <w:highlight w:val="none"/>
          <w:u w:val="single"/>
        </w:rPr>
        <w:t xml:space="preserve">           </w:t>
      </w:r>
    </w:p>
    <w:p w14:paraId="45FBDF0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22EFB78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BBC981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B12F54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CE3E61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8.2具有知识产权的计算机软件等货物的知识产权归属，除合同另有规定外，归甲方所有。</w:t>
      </w:r>
    </w:p>
    <w:p w14:paraId="79BDDA9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626CF47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9320E6">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C510FD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w:t>
      </w:r>
    </w:p>
    <w:p w14:paraId="43786A1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日内提交合同金额2.5%的履约保证金。</w:t>
      </w:r>
    </w:p>
    <w:p w14:paraId="2958221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3AA2FB2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B98CD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履约检查和问题反馈</w:t>
      </w:r>
    </w:p>
    <w:p w14:paraId="16F9DEC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6B431B7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386F37F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检验和验收</w:t>
      </w:r>
    </w:p>
    <w:p w14:paraId="5FB24840">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个工作日内组织验收，并可依法邀请相关方参加，验收应出具验收书。</w:t>
      </w:r>
    </w:p>
    <w:p w14:paraId="755391E0">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81FF2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0141351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52C1E91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2C657B4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23054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质量保证及售后服务</w:t>
      </w:r>
    </w:p>
    <w:p w14:paraId="32152FE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16C1066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4E803F5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 质保期：</w:t>
      </w:r>
    </w:p>
    <w:p w14:paraId="5F88566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售后技术服务：</w:t>
      </w:r>
    </w:p>
    <w:p w14:paraId="0446B29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货物交付</w:t>
      </w:r>
    </w:p>
    <w:p w14:paraId="7905BAA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货物所有权：乙方自货物交付起，甲方获得该货物的所有权，对该货物享有占有、使用、收益和处分的权利。</w:t>
      </w:r>
    </w:p>
    <w:p w14:paraId="5B310E0F">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15.2 货物交付：交付方式：</w:t>
      </w:r>
      <w:r>
        <w:rPr>
          <w:rFonts w:hint="eastAsia" w:ascii="仿宋" w:hAnsi="仿宋" w:eastAsia="仿宋" w:cs="仿宋"/>
          <w:color w:val="auto"/>
          <w:sz w:val="24"/>
          <w:highlight w:val="none"/>
          <w:u w:val="single"/>
        </w:rPr>
        <w:t>现实交付</w:t>
      </w:r>
      <w:r>
        <w:rPr>
          <w:rFonts w:hint="eastAsia" w:ascii="仿宋" w:hAnsi="仿宋" w:eastAsia="仿宋" w:cs="仿宋"/>
          <w:color w:val="auto"/>
          <w:sz w:val="24"/>
          <w:highlight w:val="none"/>
        </w:rPr>
        <w:t>，如果该货物有从物（附件）应与货物一并交付。交付地点：</w:t>
      </w:r>
      <w:r>
        <w:rPr>
          <w:rFonts w:hint="eastAsia" w:ascii="仿宋" w:hAnsi="仿宋" w:eastAsia="仿宋" w:cs="仿宋"/>
          <w:color w:val="auto"/>
          <w:sz w:val="24"/>
          <w:highlight w:val="none"/>
          <w:u w:val="single"/>
        </w:rPr>
        <w:t>甲方指定地点</w:t>
      </w:r>
      <w:r>
        <w:rPr>
          <w:rFonts w:hint="eastAsia" w:ascii="仿宋" w:hAnsi="仿宋" w:eastAsia="仿宋" w:cs="仿宋"/>
          <w:color w:val="auto"/>
          <w:sz w:val="24"/>
          <w:highlight w:val="none"/>
        </w:rPr>
        <w:t>。</w:t>
      </w:r>
    </w:p>
    <w:p w14:paraId="338864D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货物瑕疵担保责任</w:t>
      </w:r>
    </w:p>
    <w:p w14:paraId="7DD0F85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15.3.1乙方保证所提供的货物不受其他人追夺和不存在没有被告知的权利负担。</w:t>
      </w:r>
    </w:p>
    <w:p w14:paraId="154DBCB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15.3.2乙方保证在本合同有效期内，所提供的产品无质量瑕疵或质量不符合本合同及其它相关文件中规定的要求，均是正规生产厂家生产并获得市场准入的正规产品。</w:t>
      </w:r>
    </w:p>
    <w:p w14:paraId="20244AE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15.3.3如果甲方发现提供的产品存在质量瑕疵或质量不符合规定的要求，甲方有权要求乙方在规定的时间内进行维修或更换，并由乙方承担相应的费用。</w:t>
      </w:r>
    </w:p>
    <w:p w14:paraId="1D0E7A2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15.3.4在质量瑕疵或质量不符合规定的情况下，乙方应对甲方承担相应的赔偿责任。</w:t>
      </w:r>
    </w:p>
    <w:p w14:paraId="7D4518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15.3.5乙方应当在规定的时间内对甲方提出的投诉或索赔做出及时回复。</w:t>
      </w:r>
    </w:p>
    <w:p w14:paraId="6545BF1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15.3.6如果主要货物存在瑕疵需解除合同，其效力及于从物（附件），如果从物有瑕疵但不及主物使用的，则合同解除效力不及主物；如果交付货物为数物的其中一物有瑕疵，甲方就有瑕疵的部分解除合同；如果分批交付货物的某批货物存在瑕疵，甲方就该批货物解除合同，但如果各批交付的货物是互有联系的，甲方则可以就该批以及以后各批货物解除合同。</w:t>
      </w:r>
    </w:p>
    <w:p w14:paraId="10F565B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15.3.7乙方应保证在本合同有效期内提供有效的售后服务，并负责更换或调整相关产品。</w:t>
      </w:r>
    </w:p>
    <w:p w14:paraId="5BECA2A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 货物风险承担</w:t>
      </w:r>
    </w:p>
    <w:p w14:paraId="3BF934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15.4.1甲方亲自提取标的物的，乙方将标的物置于约定或法定地点时起，风险由甲方承担。</w:t>
      </w:r>
    </w:p>
    <w:p w14:paraId="471D4CB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15.4.2乙方出卖交由承运人运输的在途标的物，除当事人另有约定外，自合同成立时起，在途风险由甲方承担。乙方在合同成立时知道或者应当知道标的物已经毁损、灭失却未告知甲方的，由乙方负担风险。</w:t>
      </w:r>
    </w:p>
    <w:p w14:paraId="604862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15.4.3对于需要运输的标的物，没有约定交付地点或约定不明确的，自乙方将标的物交付给第一承运人起，风险由甲方承担。“标的物需要运输的”是指标的物由乙方负责办理托运，承运人系独立于合同当事人之外的运输业者的情形。</w:t>
      </w:r>
    </w:p>
    <w:p w14:paraId="78AAD27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15.4.4甲方受领迟延的，自迟延成立时起由甲方负担标的物风险。</w:t>
      </w:r>
    </w:p>
    <w:p w14:paraId="1B0F530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15.4.5乙方按照约定未交付有关标的物的单证和资料的，不影响风险的转移。</w:t>
      </w:r>
    </w:p>
    <w:p w14:paraId="4CBECE2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15.4.6因标的物质量不符合要求致使不能实现合同目的，甲方拒绝接受标的物或者解除合同的，风险由乙方承担。</w:t>
      </w:r>
    </w:p>
    <w:p w14:paraId="1E113E3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15.4.7风险由甲方承担的，不影响因乙方违约、甲方要求其承担违约责任的权利。</w:t>
      </w:r>
    </w:p>
    <w:p w14:paraId="1B32469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15.4.8甲乙双方对风险负担没有约定，标的物为种类物，乙方未以装运单据、加盖标记、通知甲方等可识别的方式清楚地将标的物特定于合同，甲方不负担风险。</w:t>
      </w:r>
    </w:p>
    <w:p w14:paraId="1DE320B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7FAC76B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69E4F4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7C885F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168C4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709CA55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本合同不允许转让。</w:t>
      </w:r>
    </w:p>
    <w:p w14:paraId="2B62C0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本合同不允许分包。但采购文件允许且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DA3BBD">
      <w:pPr>
        <w:shd w:val="clear"/>
        <w:spacing w:line="360" w:lineRule="auto"/>
        <w:ind w:firstLine="482" w:firstLineChars="200"/>
        <w:outlineLvl w:val="0"/>
        <w:rPr>
          <w:rFonts w:ascii="仿宋" w:hAnsi="仿宋" w:eastAsia="仿宋" w:cs="仿宋"/>
          <w:b/>
          <w:color w:val="auto"/>
          <w:sz w:val="24"/>
          <w:highlight w:val="none"/>
        </w:rPr>
      </w:pPr>
      <w:bookmarkStart w:id="417" w:name="_Toc19554"/>
      <w:bookmarkStart w:id="418" w:name="_Toc21423"/>
      <w:bookmarkStart w:id="419" w:name="_Toc27250"/>
      <w:r>
        <w:rPr>
          <w:rFonts w:hint="eastAsia" w:ascii="仿宋" w:hAnsi="仿宋" w:eastAsia="仿宋" w:cs="仿宋"/>
          <w:b/>
          <w:color w:val="auto"/>
          <w:sz w:val="24"/>
          <w:highlight w:val="none"/>
        </w:rPr>
        <w:t>19 违约责任</w:t>
      </w:r>
      <w:bookmarkEnd w:id="417"/>
      <w:bookmarkEnd w:id="418"/>
      <w:bookmarkEnd w:id="419"/>
    </w:p>
    <w:p w14:paraId="4B2E526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%；迟延交付货物的违约金计算数额达到前述最高限额之日起，甲方有权在要求乙方支付违约金的同时，书面通知乙方并解除本合同；</w:t>
      </w:r>
    </w:p>
    <w:p w14:paraId="67F3006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560F95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4DB4F63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3DEA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14EF6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1FB7DCE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4FB8E3D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2153331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0E20DEE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5468BA7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7034B0C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772AC3F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4582A3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3B4BB6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861796">
      <w:pPr>
        <w:shd w:val="clear"/>
        <w:spacing w:line="360" w:lineRule="auto"/>
        <w:ind w:firstLine="482" w:firstLineChars="200"/>
        <w:outlineLvl w:val="0"/>
        <w:rPr>
          <w:rFonts w:ascii="仿宋" w:hAnsi="仿宋" w:eastAsia="仿宋" w:cs="仿宋"/>
          <w:b/>
          <w:color w:val="auto"/>
          <w:sz w:val="24"/>
          <w:highlight w:val="none"/>
        </w:rPr>
      </w:pPr>
      <w:bookmarkStart w:id="420" w:name="_Toc28375"/>
      <w:bookmarkStart w:id="421" w:name="_Toc15583"/>
      <w:bookmarkStart w:id="422" w:name="_Toc16021"/>
      <w:r>
        <w:rPr>
          <w:rFonts w:hint="eastAsia" w:ascii="仿宋" w:hAnsi="仿宋" w:eastAsia="仿宋" w:cs="仿宋"/>
          <w:b/>
          <w:color w:val="auto"/>
          <w:sz w:val="24"/>
          <w:highlight w:val="none"/>
        </w:rPr>
        <w:t>23 合同争议的解决</w:t>
      </w:r>
      <w:bookmarkEnd w:id="420"/>
      <w:bookmarkEnd w:id="421"/>
      <w:bookmarkEnd w:id="422"/>
    </w:p>
    <w:p w14:paraId="01A6CFD3">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3905D17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0AAF350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6947CA6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1BC17A2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473EF5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5421C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98D0E1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7AF9DB9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3E6FE6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4949733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5ABA32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5C7E31E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76C00D4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458A7FE0">
      <w:pPr>
        <w:shd w:val="clear"/>
        <w:autoSpaceDE w:val="0"/>
        <w:autoSpaceDN w:val="0"/>
        <w:spacing w:line="360" w:lineRule="auto"/>
        <w:rPr>
          <w:rFonts w:ascii="仿宋" w:hAnsi="仿宋" w:eastAsia="仿宋" w:cs="仿宋"/>
          <w:color w:val="auto"/>
          <w:sz w:val="24"/>
          <w:highlight w:val="none"/>
          <w:lang w:val="zh-CN"/>
        </w:rPr>
      </w:pPr>
    </w:p>
    <w:p w14:paraId="6692206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3709A11F">
      <w:pPr>
        <w:shd w:val="clear"/>
        <w:autoSpaceDE w:val="0"/>
        <w:autoSpaceDN w:val="0"/>
        <w:spacing w:line="360" w:lineRule="auto"/>
        <w:rPr>
          <w:rFonts w:ascii="仿宋" w:hAnsi="仿宋" w:eastAsia="仿宋" w:cs="仿宋"/>
          <w:color w:val="auto"/>
          <w:sz w:val="24"/>
          <w:highlight w:val="none"/>
          <w:lang w:val="zh-CN"/>
        </w:rPr>
      </w:pPr>
    </w:p>
    <w:p w14:paraId="1AA535B9">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212BA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A61FB0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29EE76B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FCF69D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35EDFE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EE6059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470C5F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C4365D7">
      <w:pPr>
        <w:pStyle w:val="25"/>
        <w:shd w:val="clear"/>
        <w:spacing w:line="360" w:lineRule="auto"/>
        <w:ind w:firstLine="480"/>
        <w:rPr>
          <w:rFonts w:ascii="仿宋" w:hAnsi="仿宋" w:eastAsia="仿宋" w:cs="仿宋"/>
          <w:color w:val="auto"/>
          <w:sz w:val="24"/>
          <w:highlight w:val="none"/>
        </w:rPr>
      </w:pPr>
    </w:p>
    <w:p w14:paraId="73BCB587">
      <w:pPr>
        <w:pStyle w:val="25"/>
        <w:shd w:val="clear"/>
        <w:spacing w:line="360" w:lineRule="auto"/>
        <w:ind w:firstLine="480"/>
        <w:rPr>
          <w:rFonts w:ascii="仿宋" w:hAnsi="仿宋" w:eastAsia="仿宋" w:cs="仿宋"/>
          <w:color w:val="auto"/>
          <w:sz w:val="24"/>
          <w:highlight w:val="none"/>
        </w:rPr>
      </w:pPr>
    </w:p>
    <w:p w14:paraId="6BC124A4">
      <w:pPr>
        <w:pStyle w:val="25"/>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见证人（公章）：采购代理机构名称</w:t>
      </w:r>
    </w:p>
    <w:p w14:paraId="69D06472">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178BB5A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6082DAED">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0ED65E18">
      <w:pPr>
        <w:pStyle w:val="25"/>
        <w:shd w:val="clear"/>
        <w:ind w:firstLine="0" w:firstLineChars="0"/>
        <w:rPr>
          <w:color w:val="auto"/>
          <w:highlight w:val="none"/>
        </w:rPr>
      </w:pPr>
      <w:r>
        <w:rPr>
          <w:rFonts w:hint="eastAsia" w:ascii="仿宋" w:hAnsi="仿宋" w:eastAsia="仿宋" w:cs="仿宋"/>
          <w:color w:val="auto"/>
          <w:sz w:val="24"/>
          <w:highlight w:val="none"/>
          <w:lang w:val="zh-CN"/>
        </w:rPr>
        <w:t>电话:</w:t>
      </w:r>
      <w:r>
        <w:rPr>
          <w:color w:val="auto"/>
          <w:highlight w:val="none"/>
        </w:rPr>
        <w:br w:type="page"/>
      </w:r>
    </w:p>
    <w:p w14:paraId="105F20C4">
      <w:pPr>
        <w:shd w:val="clear"/>
        <w:spacing w:line="360" w:lineRule="auto"/>
        <w:jc w:val="center"/>
        <w:rPr>
          <w:rFonts w:cs="仿宋" w:asciiTheme="majorEastAsia" w:hAnsiTheme="majorEastAsia" w:eastAsiaTheme="majorEastAsia"/>
          <w:b/>
          <w:color w:val="auto"/>
          <w:sz w:val="24"/>
          <w:highlight w:val="none"/>
        </w:rPr>
      </w:pPr>
    </w:p>
    <w:p w14:paraId="1C788C09">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400"/>
      <w:r>
        <w:rPr>
          <w:rFonts w:hint="eastAsia" w:cs="仿宋" w:asciiTheme="majorEastAsia" w:hAnsiTheme="majorEastAsia" w:eastAsiaTheme="majorEastAsia"/>
          <w:b/>
          <w:color w:val="auto"/>
          <w:sz w:val="36"/>
          <w:szCs w:val="20"/>
          <w:highlight w:val="none"/>
        </w:rPr>
        <w:t xml:space="preserve"> </w:t>
      </w:r>
      <w:bookmarkEnd w:id="401"/>
      <w:r>
        <w:rPr>
          <w:rFonts w:hint="eastAsia" w:cs="仿宋" w:asciiTheme="majorEastAsia" w:hAnsiTheme="majorEastAsia" w:eastAsiaTheme="majorEastAsia"/>
          <w:b/>
          <w:color w:val="auto"/>
          <w:sz w:val="36"/>
          <w:szCs w:val="20"/>
          <w:highlight w:val="none"/>
        </w:rPr>
        <w:t>应提交的有关格式范例</w:t>
      </w:r>
    </w:p>
    <w:p w14:paraId="6DDB8B75">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0FF8203">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6612AEB0">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2C1D7E63">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7D0541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657B716E">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3B978B09">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243EC00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3905D0CB">
      <w:pPr>
        <w:pStyle w:val="25"/>
        <w:shd w:val="clear"/>
        <w:spacing w:line="360" w:lineRule="auto"/>
        <w:ind w:firstLine="480"/>
        <w:rPr>
          <w:rFonts w:cs="仿宋" w:asciiTheme="majorEastAsia" w:hAnsiTheme="majorEastAsia" w:eastAsiaTheme="majorEastAsia"/>
          <w:color w:val="auto"/>
          <w:sz w:val="24"/>
          <w:highlight w:val="none"/>
        </w:rPr>
      </w:pPr>
    </w:p>
    <w:p w14:paraId="1290F429">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0A56191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0B9AE1D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宁波市奉化区教育发展投资有限责任公司（采购人）、宁波敬信项目管理咨询有限公司（采购代理机构）：</w:t>
      </w:r>
    </w:p>
    <w:p w14:paraId="0D02B1F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5E599BAE">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63EB2EE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46F3D67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006AC06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7AC424B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449B638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0754260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1EAFCFB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23CC358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3E50431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7E78BD2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29186535">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02B1BF06">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2B41D6B9">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1C6CAF8F">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454E474D">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5FC7785F">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D54BD1D">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DE606D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52C6D1B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79DD0DB1">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0B4BCCE">
      <w:pPr>
        <w:widowControl/>
        <w:shd w:val="clear"/>
        <w:spacing w:line="360" w:lineRule="auto"/>
        <w:ind w:firstLine="480"/>
        <w:jc w:val="left"/>
        <w:rPr>
          <w:rFonts w:cs="仿宋" w:asciiTheme="majorEastAsia" w:hAnsiTheme="majorEastAsia" w:eastAsiaTheme="majorEastAsia"/>
          <w:color w:val="auto"/>
          <w:sz w:val="24"/>
          <w:highlight w:val="none"/>
        </w:rPr>
      </w:pPr>
    </w:p>
    <w:p w14:paraId="6DEB3B94">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1A50AF6">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0E51515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44F0C0C3">
      <w:pPr>
        <w:shd w:val="clear"/>
        <w:spacing w:line="360" w:lineRule="auto"/>
        <w:rPr>
          <w:rFonts w:cs="仿宋" w:asciiTheme="majorEastAsia" w:hAnsiTheme="majorEastAsia" w:eastAsiaTheme="majorEastAsia"/>
          <w:color w:val="auto"/>
          <w:highlight w:val="none"/>
        </w:rPr>
      </w:pPr>
    </w:p>
    <w:p w14:paraId="3403FCE8">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0EB1D6EC">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14644616">
      <w:pPr>
        <w:shd w:val="clear"/>
        <w:spacing w:line="360" w:lineRule="auto"/>
        <w:jc w:val="center"/>
        <w:outlineLvl w:val="0"/>
        <w:rPr>
          <w:rFonts w:cs="仿宋" w:asciiTheme="majorEastAsia" w:hAnsiTheme="majorEastAsia" w:eastAsiaTheme="majorEastAsia"/>
          <w:b/>
          <w:color w:val="auto"/>
          <w:kern w:val="0"/>
          <w:sz w:val="24"/>
          <w:highlight w:val="none"/>
        </w:rPr>
      </w:pPr>
    </w:p>
    <w:p w14:paraId="3D57BF3B">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0EE2B605">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2D4D4F2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1评分索引表</w:t>
      </w:r>
    </w:p>
    <w:p w14:paraId="29AE533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21031A8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722A307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2DF2640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2602FCC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5CFE8470">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660FB22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16D0062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2D03970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081C965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63CC08A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14:paraId="4A73849B">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3D74BFC3">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14:paraId="69510623">
      <w:pPr>
        <w:shd w:val="clear"/>
        <w:snapToGrid w:val="0"/>
        <w:spacing w:before="50" w:after="50"/>
        <w:rPr>
          <w:rFonts w:ascii="宋体" w:hAnsi="宋体"/>
          <w:b/>
          <w:color w:val="auto"/>
          <w:sz w:val="24"/>
          <w:highlight w:val="none"/>
        </w:rPr>
      </w:pPr>
    </w:p>
    <w:p w14:paraId="455D4875">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8"/>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0B746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9F369D7">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2C7EC551">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D8A0E93">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7431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54BBB59">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7320BF46">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3B82F89C">
            <w:pPr>
              <w:shd w:val="clear"/>
              <w:jc w:val="center"/>
              <w:rPr>
                <w:rFonts w:ascii="宋体" w:hAnsi="宋体"/>
                <w:bCs/>
                <w:color w:val="auto"/>
                <w:sz w:val="24"/>
                <w:highlight w:val="none"/>
              </w:rPr>
            </w:pPr>
          </w:p>
        </w:tc>
      </w:tr>
      <w:tr w14:paraId="6C57A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062CA2B">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722D595C">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611EDF7E">
            <w:pPr>
              <w:shd w:val="clear"/>
              <w:jc w:val="center"/>
              <w:rPr>
                <w:rFonts w:ascii="宋体" w:hAnsi="宋体"/>
                <w:bCs/>
                <w:color w:val="auto"/>
                <w:sz w:val="24"/>
                <w:highlight w:val="none"/>
              </w:rPr>
            </w:pPr>
          </w:p>
        </w:tc>
      </w:tr>
      <w:tr w14:paraId="7494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BAF2B3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94E3FFD">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67EE473">
            <w:pPr>
              <w:shd w:val="clear"/>
              <w:jc w:val="center"/>
              <w:rPr>
                <w:rFonts w:ascii="宋体" w:hAnsi="宋体"/>
                <w:bCs/>
                <w:color w:val="auto"/>
                <w:sz w:val="24"/>
                <w:highlight w:val="none"/>
              </w:rPr>
            </w:pPr>
          </w:p>
        </w:tc>
      </w:tr>
      <w:tr w14:paraId="5E399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2B3FBF3">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AFD2640">
            <w:pPr>
              <w:pStyle w:val="15"/>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6488033">
            <w:pPr>
              <w:pStyle w:val="15"/>
              <w:shd w:val="clear"/>
              <w:ind w:firstLine="562"/>
              <w:jc w:val="center"/>
              <w:rPr>
                <w:rFonts w:ascii="宋体"/>
                <w:b/>
                <w:color w:val="auto"/>
                <w:highlight w:val="none"/>
              </w:rPr>
            </w:pPr>
          </w:p>
        </w:tc>
      </w:tr>
      <w:tr w14:paraId="4F4F8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6E275C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E8E0B07">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8512949">
            <w:pPr>
              <w:shd w:val="clear"/>
              <w:jc w:val="center"/>
              <w:rPr>
                <w:rFonts w:ascii="宋体" w:hAnsi="宋体"/>
                <w:bCs/>
                <w:color w:val="auto"/>
                <w:sz w:val="24"/>
                <w:highlight w:val="none"/>
              </w:rPr>
            </w:pPr>
          </w:p>
        </w:tc>
      </w:tr>
      <w:tr w14:paraId="2D166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D274D7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6131B16">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2B47A9">
            <w:pPr>
              <w:pStyle w:val="15"/>
              <w:shd w:val="clear"/>
              <w:ind w:firstLine="560"/>
              <w:jc w:val="center"/>
              <w:rPr>
                <w:rFonts w:ascii="宋体"/>
                <w:color w:val="auto"/>
                <w:highlight w:val="none"/>
              </w:rPr>
            </w:pPr>
          </w:p>
        </w:tc>
      </w:tr>
      <w:tr w14:paraId="345B4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4F5124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BA05D70">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FFDB1FA">
            <w:pPr>
              <w:pStyle w:val="15"/>
              <w:shd w:val="clear"/>
              <w:ind w:firstLine="560"/>
              <w:jc w:val="center"/>
              <w:rPr>
                <w:rFonts w:ascii="宋体"/>
                <w:color w:val="auto"/>
                <w:highlight w:val="none"/>
              </w:rPr>
            </w:pPr>
          </w:p>
        </w:tc>
      </w:tr>
      <w:tr w14:paraId="12CA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4DB1A2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BA26A4E">
            <w:pPr>
              <w:pStyle w:val="15"/>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B8162F5">
            <w:pPr>
              <w:widowControl/>
              <w:shd w:val="clear"/>
              <w:jc w:val="center"/>
              <w:rPr>
                <w:rFonts w:ascii="宋体" w:hAnsi="宋体"/>
                <w:b/>
                <w:color w:val="auto"/>
                <w:sz w:val="24"/>
                <w:highlight w:val="none"/>
              </w:rPr>
            </w:pPr>
          </w:p>
        </w:tc>
      </w:tr>
      <w:tr w14:paraId="6928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B51FD3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8E93444">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862101A">
            <w:pPr>
              <w:shd w:val="clear"/>
              <w:jc w:val="center"/>
              <w:rPr>
                <w:rFonts w:ascii="宋体" w:hAnsi="宋体"/>
                <w:bCs/>
                <w:color w:val="auto"/>
                <w:sz w:val="24"/>
                <w:highlight w:val="none"/>
              </w:rPr>
            </w:pPr>
          </w:p>
        </w:tc>
      </w:tr>
      <w:tr w14:paraId="4791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0D11E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97C29E3">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99823AD">
            <w:pPr>
              <w:shd w:val="clear"/>
              <w:jc w:val="center"/>
              <w:rPr>
                <w:rFonts w:ascii="宋体" w:hAnsi="宋体"/>
                <w:bCs/>
                <w:color w:val="auto"/>
                <w:sz w:val="24"/>
                <w:highlight w:val="none"/>
              </w:rPr>
            </w:pPr>
          </w:p>
        </w:tc>
      </w:tr>
      <w:tr w14:paraId="41CB3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13BFE45">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900167B">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6B0FD06A">
            <w:pPr>
              <w:shd w:val="clear"/>
              <w:jc w:val="center"/>
              <w:rPr>
                <w:rFonts w:ascii="宋体" w:hAnsi="宋体"/>
                <w:bCs/>
                <w:color w:val="auto"/>
                <w:sz w:val="24"/>
                <w:highlight w:val="none"/>
              </w:rPr>
            </w:pPr>
          </w:p>
        </w:tc>
      </w:tr>
    </w:tbl>
    <w:p w14:paraId="7AB0F732">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4E9AA65C">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725C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060F021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18ABE4E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2364DC1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1966C8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3FCAE85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06B1AB8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7912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D35ED9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7A0D886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14D1A97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19CD6C2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E24045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65DE5F7">
            <w:pPr>
              <w:shd w:val="clear"/>
              <w:spacing w:line="360" w:lineRule="auto"/>
              <w:rPr>
                <w:rFonts w:cs="仿宋" w:asciiTheme="majorEastAsia" w:hAnsiTheme="majorEastAsia" w:eastAsiaTheme="majorEastAsia"/>
                <w:color w:val="auto"/>
                <w:sz w:val="24"/>
                <w:highlight w:val="none"/>
              </w:rPr>
            </w:pPr>
          </w:p>
          <w:p w14:paraId="7306BD0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68A585E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4C8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C0364E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7306E21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50A8320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3BC2CB5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C9298E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3421D02">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EE3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573CF00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1BF551A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5EDBBE0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2B4CBF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992087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E6074A6">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CE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F4C941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35EA6090">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184A8596">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9D42F6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7752EA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E25DC3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408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C92B77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5645BBCD">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3672E4D0">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68A13D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B79097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807534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0CD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07F25BC4">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09E7744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4BB7A340">
            <w:pPr>
              <w:shd w:val="clear"/>
              <w:spacing w:line="360" w:lineRule="auto"/>
              <w:rPr>
                <w:rFonts w:cs="仿宋" w:asciiTheme="majorEastAsia" w:hAnsiTheme="majorEastAsia" w:eastAsiaTheme="majorEastAsia"/>
                <w:color w:val="auto"/>
                <w:kern w:val="0"/>
                <w:sz w:val="24"/>
                <w:highlight w:val="none"/>
              </w:rPr>
            </w:pPr>
          </w:p>
        </w:tc>
        <w:tc>
          <w:tcPr>
            <w:tcW w:w="1185" w:type="dxa"/>
          </w:tcPr>
          <w:p w14:paraId="1F9C8627">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34EF3AC8">
            <w:pPr>
              <w:shd w:val="clear"/>
              <w:spacing w:line="360" w:lineRule="auto"/>
              <w:rPr>
                <w:rFonts w:cs="仿宋" w:asciiTheme="majorEastAsia" w:hAnsiTheme="majorEastAsia" w:eastAsiaTheme="majorEastAsia"/>
                <w:color w:val="auto"/>
                <w:sz w:val="24"/>
                <w:highlight w:val="none"/>
              </w:rPr>
            </w:pPr>
          </w:p>
        </w:tc>
      </w:tr>
    </w:tbl>
    <w:p w14:paraId="325EF9AC">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39D6A773">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6BF93410">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宁波市奉化区教育发展投资有限责任公司（采购人）、宁波敬信项目管理咨询有限公司（采购代理机构）：</w:t>
      </w:r>
    </w:p>
    <w:p w14:paraId="1B5C887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73F0BEC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7B62983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641581B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6D9301E4">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3E64D42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277EA36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0B4852F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46EBB4E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6E2E7A49">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14:paraId="13E7656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6861DAA">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5BD00C9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6ABD713A">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0C1B7904">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30979F4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27DE19D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0247E0A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2354371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15ED7EF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技术响应表；</w:t>
      </w:r>
    </w:p>
    <w:p w14:paraId="4FEE9C9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10 同类业绩情况一览表；</w:t>
      </w:r>
    </w:p>
    <w:p w14:paraId="53B0D00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2.2.11 </w:t>
      </w:r>
      <w:r>
        <w:rPr>
          <w:rFonts w:hint="eastAsia" w:cs="仿宋" w:asciiTheme="majorEastAsia" w:hAnsiTheme="majorEastAsia" w:eastAsiaTheme="majorEastAsia"/>
          <w:color w:val="auto"/>
          <w:sz w:val="24"/>
          <w:highlight w:val="none"/>
          <w:lang w:val="zh-CN"/>
        </w:rPr>
        <w:t>政府采购供应商廉洁自律承诺书；</w:t>
      </w:r>
    </w:p>
    <w:p w14:paraId="29DC7501">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14:paraId="63EFDAB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1FDDFB74">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75C0479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1A0FE845">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69FEACA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0541FAFD">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2099F12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5A7A0F9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3D5B479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1901DB5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49DEE32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25F667C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2A3ACF16">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234699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030BA879">
      <w:pPr>
        <w:shd w:val="clear"/>
        <w:spacing w:line="360" w:lineRule="auto"/>
        <w:ind w:firstLine="3600" w:firstLineChars="1500"/>
        <w:rPr>
          <w:rFonts w:cs="仿宋" w:asciiTheme="majorEastAsia" w:hAnsiTheme="majorEastAsia" w:eastAsiaTheme="majorEastAsia"/>
          <w:color w:val="auto"/>
          <w:sz w:val="24"/>
          <w:highlight w:val="none"/>
        </w:rPr>
      </w:pPr>
    </w:p>
    <w:p w14:paraId="035E7E96">
      <w:pPr>
        <w:shd w:val="clear"/>
        <w:spacing w:line="360" w:lineRule="auto"/>
        <w:ind w:firstLine="3600" w:firstLineChars="1500"/>
        <w:rPr>
          <w:rFonts w:cs="仿宋" w:asciiTheme="majorEastAsia" w:hAnsiTheme="majorEastAsia" w:eastAsiaTheme="majorEastAsia"/>
          <w:color w:val="auto"/>
          <w:sz w:val="24"/>
          <w:highlight w:val="none"/>
        </w:rPr>
      </w:pPr>
    </w:p>
    <w:p w14:paraId="4C215D84">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64F246FD">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99A5679">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17A0A8AC">
      <w:pPr>
        <w:shd w:val="clear"/>
        <w:spacing w:line="360" w:lineRule="auto"/>
        <w:jc w:val="center"/>
        <w:rPr>
          <w:rFonts w:cs="仿宋" w:asciiTheme="majorEastAsia" w:hAnsiTheme="majorEastAsia" w:eastAsiaTheme="majorEastAsia"/>
          <w:b/>
          <w:color w:val="auto"/>
          <w:kern w:val="0"/>
          <w:sz w:val="32"/>
          <w:szCs w:val="32"/>
          <w:highlight w:val="none"/>
        </w:rPr>
      </w:pPr>
    </w:p>
    <w:p w14:paraId="427A4672">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19D4BBA6">
      <w:pPr>
        <w:shd w:val="clear"/>
        <w:spacing w:line="360" w:lineRule="auto"/>
        <w:rPr>
          <w:rFonts w:cs="仿宋" w:asciiTheme="majorEastAsia" w:hAnsiTheme="majorEastAsia" w:eastAsiaTheme="majorEastAsia"/>
          <w:b/>
          <w:color w:val="auto"/>
          <w:sz w:val="32"/>
          <w:szCs w:val="32"/>
          <w:highlight w:val="none"/>
        </w:rPr>
      </w:pPr>
      <w:bookmarkStart w:id="423" w:name="_Toc479927873"/>
      <w:bookmarkStart w:id="424" w:name="_Toc110393361"/>
      <w:bookmarkStart w:id="425" w:name="_Toc488936100"/>
      <w:bookmarkStart w:id="426" w:name="_Toc14746861"/>
      <w:bookmarkStart w:id="427" w:name="_Toc225223761"/>
      <w:bookmarkStart w:id="428" w:name="_Toc483379796"/>
    </w:p>
    <w:p w14:paraId="73C4A6FF">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6D4A46B3">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67DCADE9">
      <w:pPr>
        <w:shd w:val="clear"/>
        <w:spacing w:line="480" w:lineRule="auto"/>
        <w:jc w:val="center"/>
        <w:rPr>
          <w:rFonts w:ascii="宋体" w:hAnsi="宋体" w:cs="宋体"/>
          <w:bCs/>
          <w:color w:val="auto"/>
          <w:sz w:val="24"/>
          <w:highlight w:val="none"/>
        </w:rPr>
      </w:pPr>
    </w:p>
    <w:p w14:paraId="2601A19B">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1A448C19">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4237A17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814AE9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196AB5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5F05349">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A6620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52DC754">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A4D3D6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2C064432">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03C24E23">
      <w:pPr>
        <w:shd w:val="clear"/>
        <w:spacing w:line="360" w:lineRule="auto"/>
        <w:ind w:firstLine="420" w:firstLineChars="200"/>
        <w:rPr>
          <w:rFonts w:ascii="宋体" w:hAnsi="宋体" w:cs="宋体"/>
          <w:color w:val="auto"/>
          <w:szCs w:val="21"/>
          <w:highlight w:val="none"/>
        </w:rPr>
      </w:pPr>
    </w:p>
    <w:p w14:paraId="62803BA2">
      <w:pPr>
        <w:shd w:val="clear"/>
        <w:spacing w:line="360" w:lineRule="auto"/>
        <w:ind w:firstLine="420" w:firstLineChars="200"/>
        <w:rPr>
          <w:rFonts w:ascii="宋体" w:hAnsi="宋体" w:cs="宋体"/>
          <w:color w:val="auto"/>
          <w:szCs w:val="21"/>
          <w:highlight w:val="none"/>
        </w:rPr>
      </w:pPr>
    </w:p>
    <w:p w14:paraId="09D43ADE">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40E7B86D">
      <w:pPr>
        <w:shd w:val="clear"/>
        <w:spacing w:line="360" w:lineRule="auto"/>
        <w:ind w:firstLine="4515" w:firstLineChars="2150"/>
        <w:rPr>
          <w:rFonts w:ascii="宋体" w:hAnsi="宋体" w:cs="宋体"/>
          <w:color w:val="auto"/>
          <w:szCs w:val="21"/>
          <w:highlight w:val="none"/>
          <w:u w:val="single"/>
        </w:rPr>
      </w:pPr>
    </w:p>
    <w:p w14:paraId="6E2F8229">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EB3914">
      <w:pPr>
        <w:shd w:val="clear"/>
        <w:spacing w:line="360" w:lineRule="auto"/>
        <w:rPr>
          <w:rFonts w:ascii="宋体" w:hAnsi="宋体" w:cs="宋体"/>
          <w:color w:val="auto"/>
          <w:sz w:val="24"/>
          <w:highlight w:val="none"/>
        </w:rPr>
      </w:pPr>
    </w:p>
    <w:p w14:paraId="00EDFFCA">
      <w:pPr>
        <w:shd w:val="clear"/>
        <w:spacing w:line="360" w:lineRule="auto"/>
        <w:rPr>
          <w:rFonts w:ascii="宋体" w:hAnsi="宋体" w:cs="宋体"/>
          <w:b/>
          <w:color w:val="auto"/>
          <w:szCs w:val="21"/>
          <w:highlight w:val="none"/>
        </w:rPr>
      </w:pPr>
    </w:p>
    <w:p w14:paraId="156295C1">
      <w:pPr>
        <w:shd w:val="clear"/>
        <w:spacing w:line="360" w:lineRule="auto"/>
        <w:rPr>
          <w:rFonts w:ascii="宋体" w:hAnsi="宋体" w:cs="宋体"/>
          <w:b/>
          <w:color w:val="auto"/>
          <w:szCs w:val="21"/>
          <w:highlight w:val="none"/>
        </w:rPr>
      </w:pPr>
    </w:p>
    <w:p w14:paraId="5855DCE5">
      <w:pPr>
        <w:shd w:val="clear"/>
        <w:jc w:val="left"/>
        <w:rPr>
          <w:rFonts w:cs="仿宋" w:asciiTheme="majorEastAsia" w:hAnsiTheme="majorEastAsia" w:eastAsiaTheme="majorEastAsia"/>
          <w:color w:val="auto"/>
          <w:sz w:val="24"/>
          <w:highlight w:val="none"/>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color w:val="auto"/>
          <w:sz w:val="24"/>
          <w:highlight w:val="none"/>
        </w:rPr>
        <w:br w:type="page"/>
      </w:r>
    </w:p>
    <w:p w14:paraId="371ED4EF">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6F316F3D">
      <w:pPr>
        <w:shd w:val="clear"/>
        <w:jc w:val="center"/>
        <w:rPr>
          <w:rFonts w:ascii="宋体" w:hAnsi="宋体" w:cs="宋体"/>
          <w:bCs/>
          <w:color w:val="auto"/>
          <w:sz w:val="24"/>
          <w:highlight w:val="none"/>
        </w:rPr>
      </w:pPr>
    </w:p>
    <w:p w14:paraId="7B362AB0">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5EA330FE">
      <w:pPr>
        <w:shd w:val="clear"/>
        <w:snapToGrid w:val="0"/>
        <w:spacing w:line="360" w:lineRule="auto"/>
        <w:rPr>
          <w:rFonts w:ascii="宋体" w:hAnsi="宋体" w:cs="宋体"/>
          <w:bCs/>
          <w:color w:val="auto"/>
          <w:sz w:val="24"/>
          <w:highlight w:val="none"/>
        </w:rPr>
      </w:pPr>
    </w:p>
    <w:p w14:paraId="23CF9EB2">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4123A497">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020B03FD">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49B16C31">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18F8ADE4">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36600618">
      <w:pPr>
        <w:shd w:val="clear"/>
        <w:snapToGrid w:val="0"/>
        <w:spacing w:line="360" w:lineRule="auto"/>
        <w:rPr>
          <w:rFonts w:ascii="宋体" w:hAnsi="宋体" w:cs="宋体"/>
          <w:color w:val="auto"/>
          <w:szCs w:val="21"/>
          <w:highlight w:val="none"/>
        </w:rPr>
      </w:pPr>
    </w:p>
    <w:p w14:paraId="216E41F5">
      <w:pPr>
        <w:shd w:val="clear"/>
        <w:snapToGrid w:val="0"/>
        <w:spacing w:line="360" w:lineRule="auto"/>
        <w:rPr>
          <w:rFonts w:ascii="宋体" w:hAnsi="宋体" w:cs="宋体"/>
          <w:color w:val="auto"/>
          <w:szCs w:val="21"/>
          <w:highlight w:val="none"/>
        </w:rPr>
      </w:pPr>
    </w:p>
    <w:p w14:paraId="3FF82C3D">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法定代表人签名或印章：</w:t>
      </w:r>
      <w:r>
        <w:rPr>
          <w:rFonts w:hint="eastAsia" w:ascii="宋体" w:hAnsi="宋体" w:cs="宋体"/>
          <w:color w:val="auto"/>
          <w:szCs w:val="21"/>
          <w:highlight w:val="none"/>
          <w:u w:val="single"/>
        </w:rPr>
        <w:t xml:space="preserve">          </w:t>
      </w:r>
    </w:p>
    <w:p w14:paraId="7F80600B">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6E0E1789">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F322960">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89773E4">
      <w:pPr>
        <w:shd w:val="clear"/>
        <w:snapToGrid w:val="0"/>
        <w:spacing w:line="360" w:lineRule="auto"/>
        <w:rPr>
          <w:rFonts w:ascii="宋体" w:hAnsi="宋体" w:cs="宋体"/>
          <w:color w:val="auto"/>
          <w:szCs w:val="21"/>
          <w:highlight w:val="none"/>
        </w:rPr>
      </w:pPr>
    </w:p>
    <w:p w14:paraId="6E853A9C">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7B1A8FB">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0EB3C62F">
      <w:pPr>
        <w:shd w:val="clear"/>
        <w:spacing w:line="360" w:lineRule="auto"/>
        <w:rPr>
          <w:rFonts w:ascii="宋体" w:hAnsi="宋体" w:cs="宋体"/>
          <w:b/>
          <w:color w:val="auto"/>
          <w:szCs w:val="21"/>
          <w:highlight w:val="none"/>
        </w:rPr>
      </w:pPr>
    </w:p>
    <w:p w14:paraId="41123108">
      <w:pPr>
        <w:shd w:val="clear"/>
        <w:spacing w:line="360" w:lineRule="auto"/>
        <w:rPr>
          <w:rFonts w:ascii="宋体" w:hAnsi="宋体" w:cs="宋体"/>
          <w:b/>
          <w:color w:val="auto"/>
          <w:szCs w:val="21"/>
          <w:highlight w:val="none"/>
        </w:rPr>
      </w:pPr>
    </w:p>
    <w:p w14:paraId="663FAD32">
      <w:pPr>
        <w:shd w:val="clear"/>
        <w:jc w:val="left"/>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1923DB91">
      <w:pPr>
        <w:shd w:val="clear"/>
        <w:snapToGrid w:val="0"/>
        <w:spacing w:line="360" w:lineRule="auto"/>
        <w:rPr>
          <w:rFonts w:cs="仿宋" w:asciiTheme="majorEastAsia" w:hAnsiTheme="majorEastAsia" w:eastAsiaTheme="majorEastAsia"/>
          <w:color w:val="auto"/>
          <w:sz w:val="24"/>
          <w:highlight w:val="none"/>
        </w:rPr>
      </w:pPr>
    </w:p>
    <w:p w14:paraId="5B46C584">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6A16535B">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投标人基本情况</w:t>
      </w:r>
      <w:bookmarkEnd w:id="423"/>
      <w:bookmarkEnd w:id="424"/>
      <w:bookmarkEnd w:id="425"/>
      <w:bookmarkEnd w:id="426"/>
      <w:bookmarkEnd w:id="427"/>
      <w:bookmarkEnd w:id="428"/>
      <w:r>
        <w:rPr>
          <w:rFonts w:hint="eastAsia" w:cs="仿宋" w:asciiTheme="majorEastAsia" w:hAnsiTheme="majorEastAsia" w:eastAsiaTheme="majorEastAsia"/>
          <w:b/>
          <w:color w:val="auto"/>
          <w:kern w:val="0"/>
          <w:sz w:val="32"/>
          <w:szCs w:val="32"/>
          <w:highlight w:val="none"/>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48D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42AE0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2503857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D1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D264C2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7111060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BED0D6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0716EAF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CF5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4408C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5D9213E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89D1E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655D62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F69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74E91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237C6E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C876B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FE876C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38DDD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24812A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093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8E518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67A0CFA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731F77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941517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85D37D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E5E5D8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D89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AA55C3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4EF633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5F3A7F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0D6D86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52127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715F32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5AD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7B6269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77E61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6E78EFE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6E7F45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69AD901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68A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DE9659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7C295A4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54C6DB7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D6DE3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2AF697D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532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E1B227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55C631C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50E5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39B890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26FB150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CF3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48F3C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7DCB9D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8A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FB765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00AB645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985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24C1D6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759C336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735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ACAFC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0A54D5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6F2D7C6D">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78CE73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4A66B8C6">
      <w:pPr>
        <w:pStyle w:val="25"/>
        <w:shd w:val="clear"/>
        <w:spacing w:line="360" w:lineRule="auto"/>
        <w:ind w:firstLine="560"/>
        <w:rPr>
          <w:rFonts w:cs="仿宋" w:asciiTheme="majorEastAsia" w:hAnsiTheme="majorEastAsia" w:eastAsiaTheme="majorEastAsia"/>
          <w:color w:val="auto"/>
          <w:highlight w:val="none"/>
          <w:lang w:val="zh-CN"/>
        </w:rPr>
      </w:pPr>
    </w:p>
    <w:p w14:paraId="4D79A5F4">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4E5CCCB">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F110542">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51BD436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62E0603D">
      <w:pPr>
        <w:shd w:val="clear"/>
        <w:spacing w:line="360" w:lineRule="auto"/>
        <w:rPr>
          <w:rFonts w:cs="仿宋" w:asciiTheme="majorEastAsia" w:hAnsiTheme="majorEastAsia" w:eastAsiaTheme="majorEastAsia"/>
          <w:color w:val="auto"/>
          <w:highlight w:val="none"/>
        </w:rPr>
      </w:pPr>
    </w:p>
    <w:tbl>
      <w:tblPr>
        <w:tblStyle w:val="18"/>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68911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B8936C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23B265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E397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6235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3BB4F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F4B9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9F5783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7F8587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36F36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26A2C3D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5655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C39AE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1E00FD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445291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5DE48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A4F4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BBC84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F92D1B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C659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FAAB9B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7ACDDF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64F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6B18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C2C70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724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24B58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4E9FB7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58D0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28EDEF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D5B92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7F89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C92EE7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22662C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64E73B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8FBF8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F672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D28E7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E00DB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3616EFB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7143CE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1D42B5C0">
      <w:pPr>
        <w:shd w:val="clear"/>
        <w:spacing w:line="360" w:lineRule="auto"/>
        <w:rPr>
          <w:rFonts w:cs="仿宋" w:asciiTheme="majorEastAsia" w:hAnsiTheme="majorEastAsia" w:eastAsiaTheme="majorEastAsia"/>
          <w:color w:val="auto"/>
          <w:highlight w:val="none"/>
        </w:rPr>
      </w:pPr>
    </w:p>
    <w:p w14:paraId="69089CF2">
      <w:pPr>
        <w:shd w:val="clear"/>
        <w:spacing w:line="360" w:lineRule="auto"/>
        <w:rPr>
          <w:rFonts w:cs="仿宋" w:asciiTheme="majorEastAsia" w:hAnsiTheme="majorEastAsia" w:eastAsiaTheme="majorEastAsia"/>
          <w:color w:val="auto"/>
          <w:highlight w:val="none"/>
        </w:rPr>
      </w:pPr>
    </w:p>
    <w:p w14:paraId="38566C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4054EBA3">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0910768">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6271D0F">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26F409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73EA0FBD">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3511A1EF">
      <w:pPr>
        <w:pStyle w:val="25"/>
        <w:shd w:val="clear"/>
        <w:ind w:firstLine="560"/>
        <w:rPr>
          <w:rFonts w:asciiTheme="majorEastAsia" w:hAnsiTheme="majorEastAsia" w:eastAsiaTheme="majorEastAsia"/>
          <w:color w:val="auto"/>
          <w:highlight w:val="none"/>
          <w:lang w:val="zh-CN"/>
        </w:rPr>
      </w:pPr>
    </w:p>
    <w:p w14:paraId="700F8E3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8"/>
        <w:tblW w:w="974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62"/>
        <w:gridCol w:w="6096"/>
        <w:gridCol w:w="991"/>
        <w:gridCol w:w="1098"/>
      </w:tblGrid>
      <w:tr w14:paraId="7F5902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1562" w:type="dxa"/>
            <w:tcBorders>
              <w:top w:val="single" w:color="auto" w:sz="4" w:space="0"/>
              <w:bottom w:val="single" w:color="auto" w:sz="4" w:space="0"/>
            </w:tcBorders>
            <w:vAlign w:val="center"/>
          </w:tcPr>
          <w:p w14:paraId="04C5A01B">
            <w:pPr>
              <w:shd w:val="clear"/>
              <w:snapToGrid w:val="0"/>
              <w:ind w:right="-108"/>
              <w:rPr>
                <w:color w:val="auto"/>
                <w:highlight w:val="none"/>
              </w:rPr>
            </w:pPr>
            <w:r>
              <w:rPr>
                <w:color w:val="auto"/>
                <w:highlight w:val="none"/>
              </w:rPr>
              <w:t>商务要求项目</w:t>
            </w:r>
          </w:p>
        </w:tc>
        <w:tc>
          <w:tcPr>
            <w:tcW w:w="6096" w:type="dxa"/>
            <w:tcBorders>
              <w:top w:val="single" w:color="auto" w:sz="4" w:space="0"/>
              <w:bottom w:val="single" w:color="auto" w:sz="4" w:space="0"/>
            </w:tcBorders>
            <w:vAlign w:val="center"/>
          </w:tcPr>
          <w:p w14:paraId="1F6AE695">
            <w:pPr>
              <w:shd w:val="clear"/>
              <w:snapToGrid w:val="0"/>
              <w:ind w:right="-108"/>
              <w:rPr>
                <w:color w:val="auto"/>
                <w:highlight w:val="none"/>
              </w:rPr>
            </w:pPr>
            <w:r>
              <w:rPr>
                <w:color w:val="auto"/>
                <w:highlight w:val="none"/>
              </w:rPr>
              <w:t>采购文件要求</w:t>
            </w:r>
          </w:p>
        </w:tc>
        <w:tc>
          <w:tcPr>
            <w:tcW w:w="991" w:type="dxa"/>
            <w:tcBorders>
              <w:top w:val="single" w:color="auto" w:sz="4" w:space="0"/>
              <w:bottom w:val="single" w:color="auto" w:sz="4" w:space="0"/>
            </w:tcBorders>
            <w:vAlign w:val="center"/>
          </w:tcPr>
          <w:p w14:paraId="114532B7">
            <w:pPr>
              <w:shd w:val="clear"/>
              <w:snapToGrid w:val="0"/>
              <w:ind w:right="-108"/>
              <w:rPr>
                <w:color w:val="auto"/>
                <w:highlight w:val="none"/>
              </w:rPr>
            </w:pPr>
            <w:r>
              <w:rPr>
                <w:color w:val="auto"/>
                <w:highlight w:val="none"/>
              </w:rPr>
              <w:t>响应情况</w:t>
            </w:r>
          </w:p>
        </w:tc>
        <w:tc>
          <w:tcPr>
            <w:tcW w:w="1098" w:type="dxa"/>
            <w:tcBorders>
              <w:top w:val="single" w:color="auto" w:sz="4" w:space="0"/>
              <w:bottom w:val="single" w:color="auto" w:sz="4" w:space="0"/>
            </w:tcBorders>
            <w:vAlign w:val="center"/>
          </w:tcPr>
          <w:p w14:paraId="30CEEDCC">
            <w:pPr>
              <w:shd w:val="clear"/>
              <w:snapToGrid w:val="0"/>
              <w:ind w:right="-108"/>
              <w:rPr>
                <w:color w:val="auto"/>
                <w:highlight w:val="none"/>
              </w:rPr>
            </w:pPr>
            <w:r>
              <w:rPr>
                <w:color w:val="auto"/>
                <w:highlight w:val="none"/>
              </w:rPr>
              <w:t>投标人承诺或说明</w:t>
            </w:r>
          </w:p>
        </w:tc>
      </w:tr>
      <w:tr w14:paraId="73AAD5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0BD35F5C">
            <w:pPr>
              <w:pStyle w:val="25"/>
              <w:shd w:val="clear"/>
              <w:ind w:firstLine="0" w:firstLineChars="0"/>
              <w:jc w:val="left"/>
              <w:rPr>
                <w:color w:val="auto"/>
                <w:highlight w:val="none"/>
              </w:rPr>
            </w:pPr>
          </w:p>
        </w:tc>
        <w:tc>
          <w:tcPr>
            <w:tcW w:w="6096" w:type="dxa"/>
            <w:tcBorders>
              <w:top w:val="single" w:color="auto" w:sz="4" w:space="0"/>
            </w:tcBorders>
            <w:vAlign w:val="center"/>
          </w:tcPr>
          <w:p w14:paraId="1B6E4FD9">
            <w:pPr>
              <w:pStyle w:val="25"/>
              <w:shd w:val="clear"/>
              <w:ind w:firstLine="0" w:firstLineChars="0"/>
              <w:jc w:val="left"/>
              <w:rPr>
                <w:color w:val="auto"/>
                <w:highlight w:val="none"/>
              </w:rPr>
            </w:pPr>
          </w:p>
        </w:tc>
        <w:tc>
          <w:tcPr>
            <w:tcW w:w="991" w:type="dxa"/>
            <w:tcBorders>
              <w:top w:val="single" w:color="auto" w:sz="4" w:space="0"/>
            </w:tcBorders>
          </w:tcPr>
          <w:p w14:paraId="357A857C">
            <w:pPr>
              <w:shd w:val="clear"/>
              <w:snapToGrid w:val="0"/>
              <w:ind w:right="-108"/>
              <w:rPr>
                <w:color w:val="auto"/>
                <w:highlight w:val="none"/>
              </w:rPr>
            </w:pPr>
          </w:p>
        </w:tc>
        <w:tc>
          <w:tcPr>
            <w:tcW w:w="1098" w:type="dxa"/>
            <w:tcBorders>
              <w:top w:val="single" w:color="auto" w:sz="4" w:space="0"/>
            </w:tcBorders>
          </w:tcPr>
          <w:p w14:paraId="78CFA902">
            <w:pPr>
              <w:shd w:val="clear"/>
              <w:snapToGrid w:val="0"/>
              <w:ind w:right="-108"/>
              <w:rPr>
                <w:color w:val="auto"/>
                <w:highlight w:val="none"/>
              </w:rPr>
            </w:pPr>
          </w:p>
        </w:tc>
      </w:tr>
      <w:tr w14:paraId="1DE13A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28D023E0">
            <w:pPr>
              <w:shd w:val="clear"/>
              <w:tabs>
                <w:tab w:val="left" w:pos="0"/>
              </w:tabs>
              <w:adjustRightInd w:val="0"/>
              <w:snapToGrid w:val="0"/>
              <w:spacing w:line="360" w:lineRule="auto"/>
              <w:rPr>
                <w:color w:val="auto"/>
                <w:highlight w:val="none"/>
              </w:rPr>
            </w:pPr>
          </w:p>
        </w:tc>
        <w:tc>
          <w:tcPr>
            <w:tcW w:w="6096" w:type="dxa"/>
            <w:tcBorders>
              <w:top w:val="single" w:color="auto" w:sz="4" w:space="0"/>
            </w:tcBorders>
            <w:vAlign w:val="center"/>
          </w:tcPr>
          <w:p w14:paraId="7314DEA2">
            <w:pPr>
              <w:pStyle w:val="25"/>
              <w:shd w:val="clear"/>
              <w:ind w:firstLine="0" w:firstLineChars="0"/>
              <w:jc w:val="left"/>
              <w:rPr>
                <w:color w:val="auto"/>
                <w:highlight w:val="none"/>
              </w:rPr>
            </w:pPr>
          </w:p>
        </w:tc>
        <w:tc>
          <w:tcPr>
            <w:tcW w:w="991" w:type="dxa"/>
            <w:tcBorders>
              <w:top w:val="single" w:color="auto" w:sz="4" w:space="0"/>
            </w:tcBorders>
          </w:tcPr>
          <w:p w14:paraId="18095D69">
            <w:pPr>
              <w:shd w:val="clear"/>
              <w:rPr>
                <w:rFonts w:ascii="宋体" w:hAnsi="宋体"/>
                <w:color w:val="auto"/>
                <w:highlight w:val="none"/>
              </w:rPr>
            </w:pPr>
          </w:p>
        </w:tc>
        <w:tc>
          <w:tcPr>
            <w:tcW w:w="1098" w:type="dxa"/>
            <w:tcBorders>
              <w:top w:val="single" w:color="auto" w:sz="4" w:space="0"/>
            </w:tcBorders>
          </w:tcPr>
          <w:p w14:paraId="6277125E">
            <w:pPr>
              <w:shd w:val="clear"/>
              <w:rPr>
                <w:rFonts w:ascii="宋体" w:hAnsi="宋体"/>
                <w:color w:val="auto"/>
                <w:highlight w:val="none"/>
              </w:rPr>
            </w:pPr>
          </w:p>
        </w:tc>
      </w:tr>
      <w:tr w14:paraId="5728B4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562" w:type="dxa"/>
            <w:tcBorders>
              <w:top w:val="single" w:color="auto" w:sz="4" w:space="0"/>
            </w:tcBorders>
            <w:vAlign w:val="center"/>
          </w:tcPr>
          <w:p w14:paraId="2176D20A">
            <w:pPr>
              <w:shd w:val="clear"/>
              <w:tabs>
                <w:tab w:val="left" w:pos="0"/>
              </w:tabs>
              <w:adjustRightInd w:val="0"/>
              <w:snapToGrid w:val="0"/>
              <w:spacing w:line="360" w:lineRule="auto"/>
              <w:rPr>
                <w:color w:val="auto"/>
                <w:highlight w:val="none"/>
              </w:rPr>
            </w:pPr>
          </w:p>
        </w:tc>
        <w:tc>
          <w:tcPr>
            <w:tcW w:w="6096" w:type="dxa"/>
            <w:tcBorders>
              <w:top w:val="single" w:color="auto" w:sz="4" w:space="0"/>
            </w:tcBorders>
            <w:vAlign w:val="center"/>
          </w:tcPr>
          <w:p w14:paraId="4F7C69F4">
            <w:pPr>
              <w:widowControl/>
              <w:shd w:val="clear"/>
              <w:spacing w:line="0" w:lineRule="atLeast"/>
              <w:ind w:left="-108" w:right="-120"/>
              <w:jc w:val="left"/>
              <w:rPr>
                <w:color w:val="auto"/>
                <w:highlight w:val="none"/>
              </w:rPr>
            </w:pPr>
          </w:p>
        </w:tc>
        <w:tc>
          <w:tcPr>
            <w:tcW w:w="991" w:type="dxa"/>
            <w:tcBorders>
              <w:top w:val="single" w:color="auto" w:sz="4" w:space="0"/>
            </w:tcBorders>
          </w:tcPr>
          <w:p w14:paraId="6F7F729B">
            <w:pPr>
              <w:shd w:val="clear"/>
              <w:snapToGrid w:val="0"/>
              <w:ind w:right="-108"/>
              <w:rPr>
                <w:color w:val="auto"/>
                <w:highlight w:val="none"/>
              </w:rPr>
            </w:pPr>
          </w:p>
        </w:tc>
        <w:tc>
          <w:tcPr>
            <w:tcW w:w="1098" w:type="dxa"/>
            <w:tcBorders>
              <w:top w:val="single" w:color="auto" w:sz="4" w:space="0"/>
            </w:tcBorders>
          </w:tcPr>
          <w:p w14:paraId="13D0F90D">
            <w:pPr>
              <w:shd w:val="clear"/>
              <w:snapToGrid w:val="0"/>
              <w:ind w:right="-108"/>
              <w:rPr>
                <w:color w:val="auto"/>
                <w:highlight w:val="none"/>
              </w:rPr>
            </w:pPr>
          </w:p>
        </w:tc>
      </w:tr>
      <w:tr w14:paraId="5C10F3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562" w:type="dxa"/>
            <w:vAlign w:val="center"/>
          </w:tcPr>
          <w:p w14:paraId="66802E8D">
            <w:pPr>
              <w:pStyle w:val="25"/>
              <w:shd w:val="clear"/>
              <w:ind w:firstLine="0" w:firstLineChars="0"/>
              <w:jc w:val="left"/>
              <w:rPr>
                <w:color w:val="auto"/>
                <w:highlight w:val="none"/>
              </w:rPr>
            </w:pPr>
          </w:p>
        </w:tc>
        <w:tc>
          <w:tcPr>
            <w:tcW w:w="6096" w:type="dxa"/>
            <w:vAlign w:val="center"/>
          </w:tcPr>
          <w:p w14:paraId="0F014119">
            <w:pPr>
              <w:pStyle w:val="25"/>
              <w:shd w:val="clear"/>
              <w:ind w:firstLine="0" w:firstLineChars="0"/>
              <w:jc w:val="left"/>
              <w:rPr>
                <w:color w:val="auto"/>
                <w:highlight w:val="none"/>
              </w:rPr>
            </w:pPr>
          </w:p>
        </w:tc>
        <w:tc>
          <w:tcPr>
            <w:tcW w:w="991" w:type="dxa"/>
          </w:tcPr>
          <w:p w14:paraId="283BB193">
            <w:pPr>
              <w:shd w:val="clear"/>
              <w:snapToGrid w:val="0"/>
              <w:ind w:right="-108"/>
              <w:rPr>
                <w:color w:val="auto"/>
                <w:highlight w:val="none"/>
              </w:rPr>
            </w:pPr>
          </w:p>
        </w:tc>
        <w:tc>
          <w:tcPr>
            <w:tcW w:w="1098" w:type="dxa"/>
          </w:tcPr>
          <w:p w14:paraId="1778817F">
            <w:pPr>
              <w:shd w:val="clear"/>
              <w:snapToGrid w:val="0"/>
              <w:ind w:right="-108"/>
              <w:rPr>
                <w:color w:val="auto"/>
                <w:highlight w:val="none"/>
              </w:rPr>
            </w:pPr>
          </w:p>
        </w:tc>
      </w:tr>
      <w:tr w14:paraId="787A4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562" w:type="dxa"/>
            <w:vAlign w:val="center"/>
          </w:tcPr>
          <w:p w14:paraId="20E3181B">
            <w:pPr>
              <w:pStyle w:val="25"/>
              <w:shd w:val="clear"/>
              <w:ind w:firstLine="0" w:firstLineChars="0"/>
              <w:jc w:val="left"/>
              <w:rPr>
                <w:color w:val="auto"/>
                <w:highlight w:val="none"/>
              </w:rPr>
            </w:pPr>
          </w:p>
        </w:tc>
        <w:tc>
          <w:tcPr>
            <w:tcW w:w="6096" w:type="dxa"/>
            <w:vAlign w:val="center"/>
          </w:tcPr>
          <w:p w14:paraId="5035DF5E">
            <w:pPr>
              <w:pStyle w:val="25"/>
              <w:shd w:val="clear"/>
              <w:ind w:firstLine="0" w:firstLineChars="0"/>
              <w:jc w:val="left"/>
              <w:rPr>
                <w:color w:val="auto"/>
                <w:highlight w:val="none"/>
              </w:rPr>
            </w:pPr>
          </w:p>
        </w:tc>
        <w:tc>
          <w:tcPr>
            <w:tcW w:w="991" w:type="dxa"/>
          </w:tcPr>
          <w:p w14:paraId="1B228675">
            <w:pPr>
              <w:shd w:val="clear"/>
              <w:snapToGrid w:val="0"/>
              <w:ind w:right="-108"/>
              <w:rPr>
                <w:color w:val="auto"/>
                <w:highlight w:val="none"/>
              </w:rPr>
            </w:pPr>
          </w:p>
        </w:tc>
        <w:tc>
          <w:tcPr>
            <w:tcW w:w="1098" w:type="dxa"/>
          </w:tcPr>
          <w:p w14:paraId="539E1D98">
            <w:pPr>
              <w:shd w:val="clear"/>
              <w:snapToGrid w:val="0"/>
              <w:ind w:right="-108"/>
              <w:rPr>
                <w:color w:val="auto"/>
                <w:highlight w:val="none"/>
              </w:rPr>
            </w:pPr>
          </w:p>
        </w:tc>
      </w:tr>
      <w:tr w14:paraId="5696D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562" w:type="dxa"/>
            <w:vAlign w:val="center"/>
          </w:tcPr>
          <w:p w14:paraId="2265CAE4">
            <w:pPr>
              <w:pStyle w:val="25"/>
              <w:shd w:val="clear"/>
              <w:ind w:firstLine="0" w:firstLineChars="0"/>
              <w:jc w:val="left"/>
              <w:rPr>
                <w:color w:val="auto"/>
                <w:highlight w:val="none"/>
              </w:rPr>
            </w:pPr>
          </w:p>
        </w:tc>
        <w:tc>
          <w:tcPr>
            <w:tcW w:w="6096" w:type="dxa"/>
            <w:vAlign w:val="center"/>
          </w:tcPr>
          <w:p w14:paraId="455B3E72">
            <w:pPr>
              <w:pStyle w:val="25"/>
              <w:shd w:val="clear"/>
              <w:ind w:firstLine="0" w:firstLineChars="0"/>
              <w:jc w:val="left"/>
              <w:rPr>
                <w:color w:val="auto"/>
                <w:highlight w:val="none"/>
              </w:rPr>
            </w:pPr>
          </w:p>
        </w:tc>
        <w:tc>
          <w:tcPr>
            <w:tcW w:w="991" w:type="dxa"/>
          </w:tcPr>
          <w:p w14:paraId="0F6F967D">
            <w:pPr>
              <w:shd w:val="clear"/>
              <w:snapToGrid w:val="0"/>
              <w:ind w:right="-108"/>
              <w:rPr>
                <w:color w:val="auto"/>
                <w:highlight w:val="none"/>
              </w:rPr>
            </w:pPr>
          </w:p>
        </w:tc>
        <w:tc>
          <w:tcPr>
            <w:tcW w:w="1098" w:type="dxa"/>
          </w:tcPr>
          <w:p w14:paraId="06EFAE1F">
            <w:pPr>
              <w:shd w:val="clear"/>
              <w:snapToGrid w:val="0"/>
              <w:ind w:right="-108"/>
              <w:rPr>
                <w:color w:val="auto"/>
                <w:highlight w:val="none"/>
              </w:rPr>
            </w:pPr>
          </w:p>
        </w:tc>
      </w:tr>
      <w:tr w14:paraId="78A99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1562" w:type="dxa"/>
            <w:vAlign w:val="center"/>
          </w:tcPr>
          <w:p w14:paraId="61E1FDBE">
            <w:pPr>
              <w:pStyle w:val="25"/>
              <w:shd w:val="clear"/>
              <w:ind w:firstLine="0" w:firstLineChars="0"/>
              <w:jc w:val="left"/>
              <w:rPr>
                <w:color w:val="auto"/>
                <w:highlight w:val="none"/>
              </w:rPr>
            </w:pPr>
          </w:p>
        </w:tc>
        <w:tc>
          <w:tcPr>
            <w:tcW w:w="6096" w:type="dxa"/>
            <w:vAlign w:val="center"/>
          </w:tcPr>
          <w:p w14:paraId="69FC3A6F">
            <w:pPr>
              <w:pStyle w:val="25"/>
              <w:shd w:val="clear"/>
              <w:ind w:firstLine="0" w:firstLineChars="0"/>
              <w:jc w:val="left"/>
              <w:rPr>
                <w:color w:val="auto"/>
                <w:highlight w:val="none"/>
              </w:rPr>
            </w:pPr>
          </w:p>
        </w:tc>
        <w:tc>
          <w:tcPr>
            <w:tcW w:w="991" w:type="dxa"/>
          </w:tcPr>
          <w:p w14:paraId="3DD49389">
            <w:pPr>
              <w:shd w:val="clear"/>
              <w:snapToGrid w:val="0"/>
              <w:ind w:right="-108"/>
              <w:rPr>
                <w:color w:val="auto"/>
                <w:highlight w:val="none"/>
              </w:rPr>
            </w:pPr>
          </w:p>
        </w:tc>
        <w:tc>
          <w:tcPr>
            <w:tcW w:w="1098" w:type="dxa"/>
          </w:tcPr>
          <w:p w14:paraId="0603F99B">
            <w:pPr>
              <w:shd w:val="clear"/>
              <w:snapToGrid w:val="0"/>
              <w:ind w:right="-108"/>
              <w:rPr>
                <w:color w:val="auto"/>
                <w:highlight w:val="none"/>
              </w:rPr>
            </w:pPr>
          </w:p>
        </w:tc>
      </w:tr>
    </w:tbl>
    <w:p w14:paraId="6C241CF1">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2E8ED0E8">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9EA973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E015841">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E5F075A">
      <w:pPr>
        <w:widowControl/>
        <w:shd w:val="clear"/>
        <w:jc w:val="left"/>
        <w:rPr>
          <w:rFonts w:asciiTheme="majorEastAsia" w:hAnsiTheme="majorEastAsia" w:eastAsiaTheme="majorEastAsia"/>
          <w:color w:val="auto"/>
          <w:sz w:val="28"/>
          <w:highlight w:val="none"/>
          <w:lang w:val="zh-CN"/>
        </w:rPr>
      </w:pPr>
    </w:p>
    <w:p w14:paraId="31BE751D">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7BF1C36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7EA9EB2D">
      <w:pPr>
        <w:pStyle w:val="25"/>
        <w:shd w:val="clear"/>
        <w:ind w:firstLine="560"/>
        <w:rPr>
          <w:color w:val="auto"/>
          <w:highlight w:val="none"/>
          <w:lang w:val="zh-CN"/>
        </w:rPr>
      </w:pPr>
    </w:p>
    <w:p w14:paraId="085234C5">
      <w:pPr>
        <w:pStyle w:val="25"/>
        <w:shd w:val="clear"/>
        <w:ind w:firstLine="560"/>
        <w:rPr>
          <w:color w:val="auto"/>
          <w:highlight w:val="none"/>
          <w:lang w:val="zh-CN"/>
        </w:rPr>
      </w:pPr>
    </w:p>
    <w:p w14:paraId="6A5F9E62">
      <w:pPr>
        <w:shd w:val="clear"/>
        <w:spacing w:line="360" w:lineRule="auto"/>
        <w:jc w:val="center"/>
        <w:rPr>
          <w:rFonts w:ascii="宋体" w:hAnsi="宋体" w:cs="宋体"/>
          <w:color w:val="auto"/>
          <w:highlight w:val="none"/>
        </w:rPr>
      </w:pPr>
      <w:r>
        <w:rPr>
          <w:rFonts w:hint="eastAsia" w:ascii="宋体" w:hAnsi="宋体" w:cs="宋体"/>
          <w:b/>
          <w:color w:val="auto"/>
          <w:highlight w:val="none"/>
        </w:rPr>
        <w:t>1.带</w:t>
      </w:r>
      <w:r>
        <w:rPr>
          <w:rFonts w:hint="eastAsia" w:asciiTheme="minorEastAsia" w:hAnsiTheme="minorEastAsia" w:eastAsiaTheme="minorEastAsia"/>
          <w:color w:val="auto"/>
          <w:sz w:val="24"/>
          <w:highlight w:val="none"/>
        </w:rPr>
        <w:t>★</w:t>
      </w:r>
      <w:r>
        <w:rPr>
          <w:rFonts w:hint="eastAsia" w:ascii="宋体" w:hAnsi="宋体" w:cs="宋体"/>
          <w:b/>
          <w:color w:val="auto"/>
          <w:highlight w:val="none"/>
        </w:rPr>
        <w:t>条款响应一览表</w:t>
      </w:r>
    </w:p>
    <w:p w14:paraId="2D6773C7">
      <w:pPr>
        <w:shd w:val="clea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0C68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03BB4CF">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733AAF73">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21A0A755">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33F9C262">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C17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708DAD">
            <w:pPr>
              <w:shd w:val="clear"/>
              <w:rPr>
                <w:rFonts w:ascii="宋体" w:hAnsi="宋体" w:cs="宋体"/>
                <w:color w:val="auto"/>
                <w:highlight w:val="none"/>
              </w:rPr>
            </w:pPr>
          </w:p>
        </w:tc>
        <w:tc>
          <w:tcPr>
            <w:tcW w:w="2787" w:type="dxa"/>
          </w:tcPr>
          <w:p w14:paraId="4B336E25">
            <w:pPr>
              <w:shd w:val="clear"/>
              <w:rPr>
                <w:rFonts w:ascii="宋体" w:hAnsi="宋体" w:cs="宋体"/>
                <w:color w:val="auto"/>
                <w:highlight w:val="none"/>
              </w:rPr>
            </w:pPr>
          </w:p>
        </w:tc>
        <w:tc>
          <w:tcPr>
            <w:tcW w:w="2788" w:type="dxa"/>
          </w:tcPr>
          <w:p w14:paraId="370F1479">
            <w:pPr>
              <w:shd w:val="clear"/>
              <w:rPr>
                <w:rFonts w:ascii="宋体" w:hAnsi="宋体" w:cs="宋体"/>
                <w:color w:val="auto"/>
                <w:highlight w:val="none"/>
              </w:rPr>
            </w:pPr>
          </w:p>
        </w:tc>
        <w:tc>
          <w:tcPr>
            <w:tcW w:w="2788" w:type="dxa"/>
          </w:tcPr>
          <w:p w14:paraId="2AAF4A14">
            <w:pPr>
              <w:shd w:val="clear"/>
              <w:rPr>
                <w:rFonts w:ascii="宋体" w:hAnsi="宋体" w:cs="宋体"/>
                <w:color w:val="auto"/>
                <w:highlight w:val="none"/>
              </w:rPr>
            </w:pPr>
          </w:p>
        </w:tc>
      </w:tr>
      <w:tr w14:paraId="4C91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EC2BEF">
            <w:pPr>
              <w:shd w:val="clear"/>
              <w:rPr>
                <w:rFonts w:ascii="宋体" w:hAnsi="宋体" w:cs="宋体"/>
                <w:color w:val="auto"/>
                <w:highlight w:val="none"/>
              </w:rPr>
            </w:pPr>
          </w:p>
        </w:tc>
        <w:tc>
          <w:tcPr>
            <w:tcW w:w="2787" w:type="dxa"/>
          </w:tcPr>
          <w:p w14:paraId="178DB55F">
            <w:pPr>
              <w:shd w:val="clear"/>
              <w:rPr>
                <w:rFonts w:ascii="宋体" w:hAnsi="宋体" w:cs="宋体"/>
                <w:color w:val="auto"/>
                <w:highlight w:val="none"/>
              </w:rPr>
            </w:pPr>
          </w:p>
        </w:tc>
        <w:tc>
          <w:tcPr>
            <w:tcW w:w="2788" w:type="dxa"/>
          </w:tcPr>
          <w:p w14:paraId="5BA9D631">
            <w:pPr>
              <w:shd w:val="clear"/>
              <w:rPr>
                <w:rFonts w:ascii="宋体" w:hAnsi="宋体" w:cs="宋体"/>
                <w:color w:val="auto"/>
                <w:highlight w:val="none"/>
              </w:rPr>
            </w:pPr>
          </w:p>
        </w:tc>
        <w:tc>
          <w:tcPr>
            <w:tcW w:w="2788" w:type="dxa"/>
          </w:tcPr>
          <w:p w14:paraId="2C7A9EB5">
            <w:pPr>
              <w:shd w:val="clear"/>
              <w:rPr>
                <w:rFonts w:ascii="宋体" w:hAnsi="宋体" w:cs="宋体"/>
                <w:color w:val="auto"/>
                <w:highlight w:val="none"/>
              </w:rPr>
            </w:pPr>
          </w:p>
        </w:tc>
      </w:tr>
      <w:tr w14:paraId="2818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D9511E">
            <w:pPr>
              <w:shd w:val="clear"/>
              <w:rPr>
                <w:rFonts w:ascii="宋体" w:hAnsi="宋体" w:cs="宋体"/>
                <w:color w:val="auto"/>
                <w:highlight w:val="none"/>
              </w:rPr>
            </w:pPr>
          </w:p>
        </w:tc>
        <w:tc>
          <w:tcPr>
            <w:tcW w:w="2787" w:type="dxa"/>
          </w:tcPr>
          <w:p w14:paraId="3ABD31B8">
            <w:pPr>
              <w:shd w:val="clear"/>
              <w:rPr>
                <w:rFonts w:ascii="宋体" w:hAnsi="宋体" w:cs="宋体"/>
                <w:color w:val="auto"/>
                <w:highlight w:val="none"/>
              </w:rPr>
            </w:pPr>
          </w:p>
        </w:tc>
        <w:tc>
          <w:tcPr>
            <w:tcW w:w="2788" w:type="dxa"/>
          </w:tcPr>
          <w:p w14:paraId="52817B85">
            <w:pPr>
              <w:shd w:val="clear"/>
              <w:rPr>
                <w:rFonts w:ascii="宋体" w:hAnsi="宋体" w:cs="宋体"/>
                <w:color w:val="auto"/>
                <w:highlight w:val="none"/>
              </w:rPr>
            </w:pPr>
          </w:p>
        </w:tc>
        <w:tc>
          <w:tcPr>
            <w:tcW w:w="2788" w:type="dxa"/>
          </w:tcPr>
          <w:p w14:paraId="5C633008">
            <w:pPr>
              <w:shd w:val="clear"/>
              <w:rPr>
                <w:rFonts w:ascii="宋体" w:hAnsi="宋体" w:cs="宋体"/>
                <w:color w:val="auto"/>
                <w:highlight w:val="none"/>
              </w:rPr>
            </w:pPr>
          </w:p>
        </w:tc>
      </w:tr>
      <w:tr w14:paraId="686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6EDA21">
            <w:pPr>
              <w:shd w:val="clear"/>
              <w:rPr>
                <w:rFonts w:ascii="宋体" w:hAnsi="宋体" w:cs="宋体"/>
                <w:color w:val="auto"/>
                <w:highlight w:val="none"/>
              </w:rPr>
            </w:pPr>
          </w:p>
        </w:tc>
        <w:tc>
          <w:tcPr>
            <w:tcW w:w="2787" w:type="dxa"/>
          </w:tcPr>
          <w:p w14:paraId="2975033B">
            <w:pPr>
              <w:shd w:val="clear"/>
              <w:rPr>
                <w:rFonts w:ascii="宋体" w:hAnsi="宋体" w:cs="宋体"/>
                <w:color w:val="auto"/>
                <w:highlight w:val="none"/>
              </w:rPr>
            </w:pPr>
          </w:p>
        </w:tc>
        <w:tc>
          <w:tcPr>
            <w:tcW w:w="2788" w:type="dxa"/>
          </w:tcPr>
          <w:p w14:paraId="4ACE9095">
            <w:pPr>
              <w:shd w:val="clear"/>
              <w:rPr>
                <w:rFonts w:ascii="宋体" w:hAnsi="宋体" w:cs="宋体"/>
                <w:color w:val="auto"/>
                <w:highlight w:val="none"/>
              </w:rPr>
            </w:pPr>
          </w:p>
        </w:tc>
        <w:tc>
          <w:tcPr>
            <w:tcW w:w="2788" w:type="dxa"/>
          </w:tcPr>
          <w:p w14:paraId="3F455DC8">
            <w:pPr>
              <w:shd w:val="clear"/>
              <w:rPr>
                <w:rFonts w:ascii="宋体" w:hAnsi="宋体" w:cs="宋体"/>
                <w:color w:val="auto"/>
                <w:highlight w:val="none"/>
              </w:rPr>
            </w:pPr>
          </w:p>
        </w:tc>
      </w:tr>
      <w:tr w14:paraId="5A8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1AF4DB">
            <w:pPr>
              <w:shd w:val="clear"/>
              <w:rPr>
                <w:rFonts w:ascii="宋体" w:hAnsi="宋体" w:cs="宋体"/>
                <w:color w:val="auto"/>
                <w:highlight w:val="none"/>
              </w:rPr>
            </w:pPr>
          </w:p>
        </w:tc>
        <w:tc>
          <w:tcPr>
            <w:tcW w:w="2787" w:type="dxa"/>
          </w:tcPr>
          <w:p w14:paraId="56FC0225">
            <w:pPr>
              <w:shd w:val="clear"/>
              <w:rPr>
                <w:rFonts w:ascii="宋体" w:hAnsi="宋体" w:cs="宋体"/>
                <w:color w:val="auto"/>
                <w:highlight w:val="none"/>
              </w:rPr>
            </w:pPr>
          </w:p>
        </w:tc>
        <w:tc>
          <w:tcPr>
            <w:tcW w:w="2788" w:type="dxa"/>
          </w:tcPr>
          <w:p w14:paraId="5E6991CA">
            <w:pPr>
              <w:shd w:val="clear"/>
              <w:rPr>
                <w:rFonts w:ascii="宋体" w:hAnsi="宋体" w:cs="宋体"/>
                <w:color w:val="auto"/>
                <w:highlight w:val="none"/>
              </w:rPr>
            </w:pPr>
          </w:p>
        </w:tc>
        <w:tc>
          <w:tcPr>
            <w:tcW w:w="2788" w:type="dxa"/>
          </w:tcPr>
          <w:p w14:paraId="434CF8FF">
            <w:pPr>
              <w:shd w:val="clear"/>
              <w:rPr>
                <w:rFonts w:ascii="宋体" w:hAnsi="宋体" w:cs="宋体"/>
                <w:color w:val="auto"/>
                <w:highlight w:val="none"/>
              </w:rPr>
            </w:pPr>
          </w:p>
        </w:tc>
      </w:tr>
      <w:tr w14:paraId="31EE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708586">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10E53CDC">
            <w:pPr>
              <w:shd w:val="clear"/>
              <w:rPr>
                <w:rFonts w:ascii="宋体" w:hAnsi="宋体" w:cs="宋体"/>
                <w:color w:val="auto"/>
                <w:highlight w:val="none"/>
              </w:rPr>
            </w:pPr>
          </w:p>
        </w:tc>
        <w:tc>
          <w:tcPr>
            <w:tcW w:w="2788" w:type="dxa"/>
          </w:tcPr>
          <w:p w14:paraId="1295E399">
            <w:pPr>
              <w:shd w:val="clear"/>
              <w:rPr>
                <w:rFonts w:ascii="宋体" w:hAnsi="宋体" w:cs="宋体"/>
                <w:color w:val="auto"/>
                <w:highlight w:val="none"/>
              </w:rPr>
            </w:pPr>
          </w:p>
        </w:tc>
        <w:tc>
          <w:tcPr>
            <w:tcW w:w="2788" w:type="dxa"/>
          </w:tcPr>
          <w:p w14:paraId="51ACE4B9">
            <w:pPr>
              <w:shd w:val="clear"/>
              <w:rPr>
                <w:rFonts w:ascii="宋体" w:hAnsi="宋体" w:cs="宋体"/>
                <w:color w:val="auto"/>
                <w:highlight w:val="none"/>
              </w:rPr>
            </w:pPr>
          </w:p>
        </w:tc>
      </w:tr>
    </w:tbl>
    <w:p w14:paraId="458E62BC">
      <w:pPr>
        <w:shd w:val="clea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asciiTheme="minorEastAsia" w:hAnsiTheme="minorEastAsia" w:eastAsiaTheme="minorEastAsia"/>
          <w:color w:val="auto"/>
          <w:sz w:val="24"/>
          <w:highlight w:val="none"/>
        </w:rPr>
        <w:t>★</w:t>
      </w:r>
      <w:r>
        <w:rPr>
          <w:rFonts w:hint="eastAsia" w:ascii="宋体" w:hAnsi="宋体" w:cs="宋体"/>
          <w:color w:val="auto"/>
          <w:highlight w:val="none"/>
        </w:rPr>
        <w:t>”的条款逐条应答并按要求填写上表。条款要求提供的相关证明资料必须一并提供，否则视为不响应。</w:t>
      </w:r>
    </w:p>
    <w:p w14:paraId="61DB1DAA">
      <w:pPr>
        <w:shd w:val="clea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1F24662D">
      <w:pPr>
        <w:shd w:val="clea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7A2140FD">
      <w:pPr>
        <w:shd w:val="clear"/>
        <w:spacing w:line="360" w:lineRule="auto"/>
        <w:ind w:firstLine="5040" w:firstLineChars="2400"/>
        <w:rPr>
          <w:rFonts w:ascii="宋体" w:hAnsi="宋体" w:cs="宋体"/>
          <w:color w:val="auto"/>
          <w:highlight w:val="none"/>
          <w:lang w:val="zh-CN"/>
        </w:rPr>
      </w:pPr>
      <w:r>
        <w:rPr>
          <w:rFonts w:hint="eastAsia" w:ascii="宋体" w:hAnsi="宋体" w:cs="宋体"/>
          <w:color w:val="auto"/>
          <w:highlight w:val="none"/>
        </w:rPr>
        <w:t>日期：</w:t>
      </w:r>
    </w:p>
    <w:p w14:paraId="2CC8BD21">
      <w:pPr>
        <w:shd w:val="clear"/>
        <w:jc w:val="center"/>
        <w:rPr>
          <w:rFonts w:ascii="宋体" w:hAnsi="宋体" w:cs="宋体"/>
          <w:color w:val="auto"/>
          <w:highlight w:val="none"/>
        </w:rPr>
      </w:pPr>
      <w:r>
        <w:rPr>
          <w:rFonts w:hint="eastAsia" w:ascii="宋体" w:hAnsi="宋体" w:cs="宋体"/>
          <w:b/>
          <w:color w:val="auto"/>
          <w:highlight w:val="none"/>
        </w:rPr>
        <w:t>2.一般性条款响应一览表</w:t>
      </w:r>
    </w:p>
    <w:p w14:paraId="5B913FF1">
      <w:pPr>
        <w:shd w:val="clear"/>
        <w:rPr>
          <w:rFonts w:ascii="宋体" w:hAnsi="宋体" w:cs="宋体"/>
          <w:color w:val="auto"/>
          <w:highlight w:val="none"/>
        </w:rPr>
      </w:pPr>
    </w:p>
    <w:p w14:paraId="06DA5DF7">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0B953D49">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5D2B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B9FEB6">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77D845BD">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6D2CFAFA">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4F0B54DC">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74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BA49F2">
            <w:pPr>
              <w:shd w:val="clear"/>
              <w:rPr>
                <w:rFonts w:ascii="宋体" w:hAnsi="宋体" w:cs="宋体"/>
                <w:color w:val="auto"/>
                <w:highlight w:val="none"/>
              </w:rPr>
            </w:pPr>
          </w:p>
        </w:tc>
        <w:tc>
          <w:tcPr>
            <w:tcW w:w="2787" w:type="dxa"/>
          </w:tcPr>
          <w:p w14:paraId="6ADC63B7">
            <w:pPr>
              <w:shd w:val="clear"/>
              <w:rPr>
                <w:rFonts w:ascii="宋体" w:hAnsi="宋体" w:cs="宋体"/>
                <w:color w:val="auto"/>
                <w:highlight w:val="none"/>
              </w:rPr>
            </w:pPr>
          </w:p>
        </w:tc>
        <w:tc>
          <w:tcPr>
            <w:tcW w:w="2788" w:type="dxa"/>
          </w:tcPr>
          <w:p w14:paraId="43D08EB2">
            <w:pPr>
              <w:shd w:val="clear"/>
              <w:rPr>
                <w:rFonts w:ascii="宋体" w:hAnsi="宋体" w:cs="宋体"/>
                <w:color w:val="auto"/>
                <w:highlight w:val="none"/>
              </w:rPr>
            </w:pPr>
          </w:p>
        </w:tc>
        <w:tc>
          <w:tcPr>
            <w:tcW w:w="2788" w:type="dxa"/>
          </w:tcPr>
          <w:p w14:paraId="5D6AA74A">
            <w:pPr>
              <w:shd w:val="clear"/>
              <w:rPr>
                <w:rFonts w:ascii="宋体" w:hAnsi="宋体" w:cs="宋体"/>
                <w:color w:val="auto"/>
                <w:highlight w:val="none"/>
              </w:rPr>
            </w:pPr>
          </w:p>
        </w:tc>
      </w:tr>
      <w:tr w14:paraId="536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37DEEA">
            <w:pPr>
              <w:shd w:val="clear"/>
              <w:rPr>
                <w:rFonts w:ascii="宋体" w:hAnsi="宋体" w:cs="宋体"/>
                <w:color w:val="auto"/>
                <w:highlight w:val="none"/>
              </w:rPr>
            </w:pPr>
          </w:p>
        </w:tc>
        <w:tc>
          <w:tcPr>
            <w:tcW w:w="2787" w:type="dxa"/>
          </w:tcPr>
          <w:p w14:paraId="7EF480F2">
            <w:pPr>
              <w:shd w:val="clear"/>
              <w:rPr>
                <w:rFonts w:ascii="宋体" w:hAnsi="宋体" w:cs="宋体"/>
                <w:color w:val="auto"/>
                <w:highlight w:val="none"/>
              </w:rPr>
            </w:pPr>
          </w:p>
        </w:tc>
        <w:tc>
          <w:tcPr>
            <w:tcW w:w="2788" w:type="dxa"/>
          </w:tcPr>
          <w:p w14:paraId="40AC3CAC">
            <w:pPr>
              <w:shd w:val="clear"/>
              <w:rPr>
                <w:rFonts w:ascii="宋体" w:hAnsi="宋体" w:cs="宋体"/>
                <w:color w:val="auto"/>
                <w:highlight w:val="none"/>
              </w:rPr>
            </w:pPr>
          </w:p>
        </w:tc>
        <w:tc>
          <w:tcPr>
            <w:tcW w:w="2788" w:type="dxa"/>
          </w:tcPr>
          <w:p w14:paraId="6BF560C8">
            <w:pPr>
              <w:shd w:val="clear"/>
              <w:rPr>
                <w:rFonts w:ascii="宋体" w:hAnsi="宋体" w:cs="宋体"/>
                <w:color w:val="auto"/>
                <w:highlight w:val="none"/>
              </w:rPr>
            </w:pPr>
          </w:p>
        </w:tc>
      </w:tr>
      <w:tr w14:paraId="1997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33DD9B">
            <w:pPr>
              <w:shd w:val="clear"/>
              <w:rPr>
                <w:rFonts w:ascii="宋体" w:hAnsi="宋体" w:cs="宋体"/>
                <w:color w:val="auto"/>
                <w:highlight w:val="none"/>
              </w:rPr>
            </w:pPr>
          </w:p>
        </w:tc>
        <w:tc>
          <w:tcPr>
            <w:tcW w:w="2787" w:type="dxa"/>
          </w:tcPr>
          <w:p w14:paraId="682336D7">
            <w:pPr>
              <w:shd w:val="clear"/>
              <w:rPr>
                <w:rFonts w:ascii="宋体" w:hAnsi="宋体" w:cs="宋体"/>
                <w:color w:val="auto"/>
                <w:highlight w:val="none"/>
              </w:rPr>
            </w:pPr>
          </w:p>
        </w:tc>
        <w:tc>
          <w:tcPr>
            <w:tcW w:w="2788" w:type="dxa"/>
          </w:tcPr>
          <w:p w14:paraId="26083FD6">
            <w:pPr>
              <w:shd w:val="clear"/>
              <w:rPr>
                <w:rFonts w:ascii="宋体" w:hAnsi="宋体" w:cs="宋体"/>
                <w:color w:val="auto"/>
                <w:highlight w:val="none"/>
              </w:rPr>
            </w:pPr>
          </w:p>
        </w:tc>
        <w:tc>
          <w:tcPr>
            <w:tcW w:w="2788" w:type="dxa"/>
          </w:tcPr>
          <w:p w14:paraId="36D1EE31">
            <w:pPr>
              <w:shd w:val="clear"/>
              <w:rPr>
                <w:rFonts w:ascii="宋体" w:hAnsi="宋体" w:cs="宋体"/>
                <w:color w:val="auto"/>
                <w:highlight w:val="none"/>
              </w:rPr>
            </w:pPr>
          </w:p>
        </w:tc>
      </w:tr>
      <w:tr w14:paraId="2A68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945B1C">
            <w:pPr>
              <w:shd w:val="clear"/>
              <w:rPr>
                <w:rFonts w:ascii="宋体" w:hAnsi="宋体" w:cs="宋体"/>
                <w:color w:val="auto"/>
                <w:highlight w:val="none"/>
              </w:rPr>
            </w:pPr>
          </w:p>
        </w:tc>
        <w:tc>
          <w:tcPr>
            <w:tcW w:w="2787" w:type="dxa"/>
          </w:tcPr>
          <w:p w14:paraId="2DF8FE79">
            <w:pPr>
              <w:shd w:val="clear"/>
              <w:rPr>
                <w:rFonts w:ascii="宋体" w:hAnsi="宋体" w:cs="宋体"/>
                <w:color w:val="auto"/>
                <w:highlight w:val="none"/>
              </w:rPr>
            </w:pPr>
          </w:p>
        </w:tc>
        <w:tc>
          <w:tcPr>
            <w:tcW w:w="2788" w:type="dxa"/>
          </w:tcPr>
          <w:p w14:paraId="1E08734E">
            <w:pPr>
              <w:shd w:val="clear"/>
              <w:rPr>
                <w:rFonts w:ascii="宋体" w:hAnsi="宋体" w:cs="宋体"/>
                <w:color w:val="auto"/>
                <w:highlight w:val="none"/>
              </w:rPr>
            </w:pPr>
          </w:p>
        </w:tc>
        <w:tc>
          <w:tcPr>
            <w:tcW w:w="2788" w:type="dxa"/>
          </w:tcPr>
          <w:p w14:paraId="72223C27">
            <w:pPr>
              <w:shd w:val="clear"/>
              <w:rPr>
                <w:rFonts w:ascii="宋体" w:hAnsi="宋体" w:cs="宋体"/>
                <w:color w:val="auto"/>
                <w:highlight w:val="none"/>
              </w:rPr>
            </w:pPr>
          </w:p>
        </w:tc>
      </w:tr>
      <w:tr w14:paraId="65FF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BB90B01">
            <w:pPr>
              <w:shd w:val="clear"/>
              <w:rPr>
                <w:rFonts w:ascii="宋体" w:hAnsi="宋体" w:cs="宋体"/>
                <w:color w:val="auto"/>
                <w:highlight w:val="none"/>
              </w:rPr>
            </w:pPr>
          </w:p>
        </w:tc>
        <w:tc>
          <w:tcPr>
            <w:tcW w:w="2787" w:type="dxa"/>
          </w:tcPr>
          <w:p w14:paraId="63ED7784">
            <w:pPr>
              <w:shd w:val="clear"/>
              <w:rPr>
                <w:rFonts w:ascii="宋体" w:hAnsi="宋体" w:cs="宋体"/>
                <w:color w:val="auto"/>
                <w:highlight w:val="none"/>
              </w:rPr>
            </w:pPr>
          </w:p>
        </w:tc>
        <w:tc>
          <w:tcPr>
            <w:tcW w:w="2788" w:type="dxa"/>
          </w:tcPr>
          <w:p w14:paraId="3C2131E0">
            <w:pPr>
              <w:shd w:val="clear"/>
              <w:rPr>
                <w:rFonts w:ascii="宋体" w:hAnsi="宋体" w:cs="宋体"/>
                <w:color w:val="auto"/>
                <w:highlight w:val="none"/>
              </w:rPr>
            </w:pPr>
          </w:p>
        </w:tc>
        <w:tc>
          <w:tcPr>
            <w:tcW w:w="2788" w:type="dxa"/>
          </w:tcPr>
          <w:p w14:paraId="4763DEFC">
            <w:pPr>
              <w:shd w:val="clear"/>
              <w:rPr>
                <w:rFonts w:ascii="宋体" w:hAnsi="宋体" w:cs="宋体"/>
                <w:color w:val="auto"/>
                <w:highlight w:val="none"/>
              </w:rPr>
            </w:pPr>
          </w:p>
        </w:tc>
      </w:tr>
      <w:tr w14:paraId="536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E2F28E">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3753795C">
            <w:pPr>
              <w:shd w:val="clear"/>
              <w:rPr>
                <w:rFonts w:ascii="宋体" w:hAnsi="宋体" w:cs="宋体"/>
                <w:color w:val="auto"/>
                <w:highlight w:val="none"/>
              </w:rPr>
            </w:pPr>
          </w:p>
        </w:tc>
        <w:tc>
          <w:tcPr>
            <w:tcW w:w="2788" w:type="dxa"/>
          </w:tcPr>
          <w:p w14:paraId="49D0452B">
            <w:pPr>
              <w:shd w:val="clear"/>
              <w:rPr>
                <w:rFonts w:ascii="宋体" w:hAnsi="宋体" w:cs="宋体"/>
                <w:color w:val="auto"/>
                <w:highlight w:val="none"/>
              </w:rPr>
            </w:pPr>
          </w:p>
        </w:tc>
        <w:tc>
          <w:tcPr>
            <w:tcW w:w="2788" w:type="dxa"/>
          </w:tcPr>
          <w:p w14:paraId="562390B3">
            <w:pPr>
              <w:shd w:val="clear"/>
              <w:rPr>
                <w:rFonts w:ascii="宋体" w:hAnsi="宋体" w:cs="宋体"/>
                <w:color w:val="auto"/>
                <w:highlight w:val="none"/>
              </w:rPr>
            </w:pPr>
          </w:p>
        </w:tc>
      </w:tr>
    </w:tbl>
    <w:p w14:paraId="3B835FA2">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w:t>
      </w:r>
      <w:r>
        <w:rPr>
          <w:rFonts w:hint="eastAsia" w:ascii="宋体" w:hAnsi="宋体" w:cs="宋体"/>
          <w:b/>
          <w:bCs/>
          <w:color w:val="auto"/>
          <w:highlight w:val="none"/>
        </w:rPr>
        <w:t>非带“</w:t>
      </w:r>
      <w:r>
        <w:rPr>
          <w:rFonts w:hint="eastAsia" w:asciiTheme="minorEastAsia" w:hAnsiTheme="minorEastAsia" w:eastAsiaTheme="minorEastAsia"/>
          <w:color w:val="auto"/>
          <w:sz w:val="24"/>
          <w:highlight w:val="none"/>
        </w:rPr>
        <w:t>★</w:t>
      </w:r>
      <w:r>
        <w:rPr>
          <w:rFonts w:hint="eastAsia" w:ascii="宋体" w:hAnsi="宋体" w:cs="宋体"/>
          <w:b/>
          <w:bCs/>
          <w:color w:val="auto"/>
          <w:highlight w:val="none"/>
        </w:rPr>
        <w:t>”的条款</w:t>
      </w:r>
      <w:r>
        <w:rPr>
          <w:rFonts w:hint="eastAsia" w:ascii="宋体" w:hAnsi="宋体" w:cs="宋体"/>
          <w:color w:val="auto"/>
          <w:highlight w:val="none"/>
        </w:rPr>
        <w:t>逐条应答并按要求填写上表。条款要求提供的相关证明资料必须一并提供，否则视为不响应。</w:t>
      </w:r>
    </w:p>
    <w:p w14:paraId="3BD3CD38">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7A4D7D42">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0260DDA7">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5DE0DA04">
      <w:pPr>
        <w:shd w:val="clear"/>
        <w:spacing w:line="360" w:lineRule="auto"/>
        <w:rPr>
          <w:rFonts w:ascii="宋体" w:hAnsi="宋体" w:cs="宋体"/>
          <w:color w:val="auto"/>
          <w:sz w:val="24"/>
          <w:highlight w:val="none"/>
        </w:rPr>
      </w:pPr>
    </w:p>
    <w:p w14:paraId="1A1622FA">
      <w:pPr>
        <w:pStyle w:val="25"/>
        <w:shd w:val="clear"/>
        <w:ind w:firstLine="560"/>
        <w:rPr>
          <w:color w:val="auto"/>
          <w:highlight w:val="none"/>
        </w:rPr>
      </w:pPr>
    </w:p>
    <w:p w14:paraId="019B414D">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6052929D">
      <w:pPr>
        <w:shd w:val="clear"/>
        <w:spacing w:line="360" w:lineRule="auto"/>
        <w:jc w:val="center"/>
        <w:rPr>
          <w:rFonts w:cs="仿宋" w:asciiTheme="majorEastAsia" w:hAnsiTheme="majorEastAsia" w:eastAsiaTheme="majorEastAsia"/>
          <w:color w:val="auto"/>
          <w:highlight w:val="none"/>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459C4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FE091A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38C0065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098B0417">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71AA22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5BD3B3A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4135A2F">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EC35F75">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0F807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62D3D8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20565522">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6FC0D9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24F066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43225E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4E0400E">
            <w:pPr>
              <w:shd w:val="clear"/>
              <w:spacing w:line="360" w:lineRule="auto"/>
              <w:jc w:val="left"/>
              <w:rPr>
                <w:rFonts w:cs="仿宋" w:asciiTheme="majorEastAsia" w:hAnsiTheme="majorEastAsia" w:eastAsiaTheme="majorEastAsia"/>
                <w:color w:val="auto"/>
                <w:kern w:val="0"/>
                <w:sz w:val="24"/>
                <w:highlight w:val="none"/>
              </w:rPr>
            </w:pPr>
          </w:p>
        </w:tc>
      </w:tr>
      <w:tr w14:paraId="38B3D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FA4C1AE">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76ACEE7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ECC6467">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714EFE5">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A94A70A">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0D742AC">
            <w:pPr>
              <w:shd w:val="clear"/>
              <w:spacing w:line="360" w:lineRule="auto"/>
              <w:jc w:val="left"/>
              <w:rPr>
                <w:rFonts w:cs="仿宋" w:asciiTheme="majorEastAsia" w:hAnsiTheme="majorEastAsia" w:eastAsiaTheme="majorEastAsia"/>
                <w:color w:val="auto"/>
                <w:kern w:val="0"/>
                <w:sz w:val="24"/>
                <w:highlight w:val="none"/>
              </w:rPr>
            </w:pPr>
          </w:p>
        </w:tc>
      </w:tr>
      <w:tr w14:paraId="07994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3B5C018">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9C8BAB8">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7B2704C">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F4EAAB9">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6E5E277">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D014BA2">
            <w:pPr>
              <w:shd w:val="clear"/>
              <w:spacing w:line="360" w:lineRule="auto"/>
              <w:jc w:val="left"/>
              <w:rPr>
                <w:rFonts w:cs="仿宋" w:asciiTheme="majorEastAsia" w:hAnsiTheme="majorEastAsia" w:eastAsiaTheme="majorEastAsia"/>
                <w:color w:val="auto"/>
                <w:kern w:val="0"/>
                <w:sz w:val="24"/>
                <w:highlight w:val="none"/>
              </w:rPr>
            </w:pPr>
          </w:p>
        </w:tc>
      </w:tr>
      <w:tr w14:paraId="0C709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D2ED15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085CCF05">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D1824FD">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19E043D">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918DC66">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03E193">
            <w:pPr>
              <w:shd w:val="clear"/>
              <w:spacing w:line="360" w:lineRule="auto"/>
              <w:jc w:val="left"/>
              <w:rPr>
                <w:rFonts w:cs="仿宋" w:asciiTheme="majorEastAsia" w:hAnsiTheme="majorEastAsia" w:eastAsiaTheme="majorEastAsia"/>
                <w:color w:val="auto"/>
                <w:kern w:val="0"/>
                <w:sz w:val="24"/>
                <w:highlight w:val="none"/>
              </w:rPr>
            </w:pPr>
          </w:p>
        </w:tc>
      </w:tr>
      <w:tr w14:paraId="5923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44FE73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4284C91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3DB2D6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14F29A6">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D84AEDA">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FC6E5BB">
            <w:pPr>
              <w:shd w:val="clear"/>
              <w:spacing w:line="360" w:lineRule="auto"/>
              <w:jc w:val="left"/>
              <w:rPr>
                <w:rFonts w:cs="仿宋" w:asciiTheme="majorEastAsia" w:hAnsiTheme="majorEastAsia" w:eastAsiaTheme="majorEastAsia"/>
                <w:color w:val="auto"/>
                <w:kern w:val="0"/>
                <w:sz w:val="24"/>
                <w:highlight w:val="none"/>
              </w:rPr>
            </w:pPr>
          </w:p>
        </w:tc>
      </w:tr>
    </w:tbl>
    <w:p w14:paraId="0D1B54E3">
      <w:pPr>
        <w:shd w:val="clear"/>
        <w:spacing w:line="360" w:lineRule="auto"/>
        <w:jc w:val="left"/>
        <w:rPr>
          <w:rFonts w:cs="仿宋" w:asciiTheme="majorEastAsia" w:hAnsiTheme="majorEastAsia" w:eastAsiaTheme="majorEastAsia"/>
          <w:color w:val="auto"/>
          <w:kern w:val="0"/>
          <w:sz w:val="24"/>
          <w:highlight w:val="none"/>
        </w:rPr>
      </w:pPr>
    </w:p>
    <w:p w14:paraId="39BE4AB3">
      <w:pPr>
        <w:shd w:val="clear"/>
        <w:spacing w:line="360" w:lineRule="auto"/>
        <w:jc w:val="left"/>
        <w:rPr>
          <w:rFonts w:cs="仿宋" w:asciiTheme="majorEastAsia" w:hAnsiTheme="majorEastAsia" w:eastAsiaTheme="majorEastAsia"/>
          <w:color w:val="auto"/>
          <w:kern w:val="0"/>
          <w:sz w:val="24"/>
          <w:highlight w:val="none"/>
        </w:rPr>
      </w:pPr>
    </w:p>
    <w:p w14:paraId="5DEB7C2E">
      <w:pPr>
        <w:shd w:val="clear"/>
        <w:spacing w:line="360" w:lineRule="auto"/>
        <w:jc w:val="left"/>
        <w:rPr>
          <w:rFonts w:cs="仿宋" w:asciiTheme="majorEastAsia" w:hAnsiTheme="majorEastAsia" w:eastAsiaTheme="majorEastAsia"/>
          <w:color w:val="auto"/>
          <w:kern w:val="0"/>
          <w:sz w:val="24"/>
          <w:highlight w:val="none"/>
        </w:rPr>
      </w:pPr>
    </w:p>
    <w:p w14:paraId="5718821F">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7E2871F">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B1FAE24">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F9008DF">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6C31200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0870A2E6">
      <w:pPr>
        <w:shd w:val="clear"/>
        <w:snapToGrid w:val="0"/>
        <w:spacing w:line="360" w:lineRule="auto"/>
        <w:rPr>
          <w:rFonts w:cs="仿宋" w:asciiTheme="majorEastAsia" w:hAnsiTheme="majorEastAsia" w:eastAsiaTheme="majorEastAsia"/>
          <w:color w:val="auto"/>
          <w:sz w:val="24"/>
          <w:highlight w:val="none"/>
        </w:rPr>
      </w:pPr>
    </w:p>
    <w:p w14:paraId="5DB4D430">
      <w:pPr>
        <w:shd w:val="clear"/>
        <w:autoSpaceDE w:val="0"/>
        <w:autoSpaceDN w:val="0"/>
        <w:spacing w:line="360" w:lineRule="auto"/>
        <w:ind w:left="2" w:leftChars="1"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宁波市奉化区教育发展投资有限责任公司（采购人）、宁波敬信项目管理咨询有限公司（采购代理机构）：</w:t>
      </w:r>
    </w:p>
    <w:p w14:paraId="42A89EF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4158D7BF">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08E25477">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5FADC0A7">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3CE5599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1D5BA87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29209A22">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3E6040B5">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241E8491">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6A1D0790">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2D63C37B">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A74DA2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10ABEDE3">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C6659E2">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82C5688">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EE06990">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5A0448A">
      <w:pPr>
        <w:shd w:val="clear"/>
        <w:spacing w:line="360" w:lineRule="auto"/>
        <w:ind w:left="4620" w:leftChars="2200"/>
        <w:rPr>
          <w:rFonts w:cs="仿宋" w:asciiTheme="majorEastAsia" w:hAnsiTheme="majorEastAsia" w:eastAsiaTheme="majorEastAsia"/>
          <w:color w:val="auto"/>
          <w:sz w:val="24"/>
          <w:highlight w:val="none"/>
        </w:rPr>
      </w:pPr>
    </w:p>
    <w:p w14:paraId="5D06563A">
      <w:pPr>
        <w:shd w:val="clear"/>
        <w:spacing w:line="360" w:lineRule="auto"/>
        <w:jc w:val="center"/>
        <w:rPr>
          <w:rFonts w:cs="仿宋" w:asciiTheme="majorEastAsia" w:hAnsiTheme="majorEastAsia" w:eastAsiaTheme="majorEastAsia"/>
          <w:b/>
          <w:bCs/>
          <w:color w:val="auto"/>
          <w:sz w:val="24"/>
          <w:highlight w:val="none"/>
        </w:rPr>
      </w:pPr>
    </w:p>
    <w:p w14:paraId="5431B048">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018A037">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C4031A8">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66D16ABA">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130D775F">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359BD5CA">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425555F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111A2F7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1A050CC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4E3EF98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606A1108">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4A36CED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10592854">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6FC45F63">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88C00E2">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68B88BE5">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宁波市奉化区教育发展投资有限责任公司（采购人）、宁波敬信项目管理咨询有限公司（采购代理机构）</w:t>
      </w:r>
      <w:r>
        <w:rPr>
          <w:rFonts w:hint="eastAsia" w:cs="仿宋" w:asciiTheme="majorEastAsia" w:hAnsiTheme="majorEastAsia" w:eastAsiaTheme="majorEastAsia"/>
          <w:color w:val="auto"/>
          <w:kern w:val="0"/>
          <w:sz w:val="24"/>
          <w:highlight w:val="none"/>
          <w:lang w:val="zh-CN"/>
        </w:rPr>
        <w:t>：</w:t>
      </w:r>
    </w:p>
    <w:p w14:paraId="685698A3">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u w:val="single"/>
        </w:rPr>
        <w:t>（奉化区江口街道园中村改造安置房建设工程（二期）配套幼儿园整体设备项目）</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59C302BC">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8"/>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40"/>
        <w:gridCol w:w="1275"/>
        <w:gridCol w:w="1410"/>
        <w:gridCol w:w="1246"/>
        <w:gridCol w:w="2009"/>
        <w:gridCol w:w="3377"/>
      </w:tblGrid>
      <w:tr w14:paraId="28C3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690E470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440" w:type="dxa"/>
            <w:vAlign w:val="center"/>
          </w:tcPr>
          <w:p w14:paraId="4940213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项目名称</w:t>
            </w:r>
          </w:p>
        </w:tc>
        <w:tc>
          <w:tcPr>
            <w:tcW w:w="1275" w:type="dxa"/>
          </w:tcPr>
          <w:p w14:paraId="448810AD">
            <w:pPr>
              <w:shd w:val="clear"/>
              <w:spacing w:line="360" w:lineRule="auto"/>
              <w:jc w:val="center"/>
              <w:rPr>
                <w:rFonts w:cs="仿宋" w:asciiTheme="majorEastAsia" w:hAnsiTheme="majorEastAsia" w:eastAsiaTheme="majorEastAsia"/>
                <w:b/>
                <w:color w:val="auto"/>
                <w:sz w:val="24"/>
                <w:highlight w:val="none"/>
              </w:rPr>
            </w:pPr>
          </w:p>
          <w:p w14:paraId="36B7A63B">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品牌</w:t>
            </w:r>
          </w:p>
        </w:tc>
        <w:tc>
          <w:tcPr>
            <w:tcW w:w="1410" w:type="dxa"/>
            <w:vAlign w:val="center"/>
          </w:tcPr>
          <w:p w14:paraId="30C47550">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规格型号</w:t>
            </w:r>
          </w:p>
        </w:tc>
        <w:tc>
          <w:tcPr>
            <w:tcW w:w="1246" w:type="dxa"/>
            <w:vAlign w:val="center"/>
          </w:tcPr>
          <w:p w14:paraId="5EA819A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2009" w:type="dxa"/>
            <w:vAlign w:val="center"/>
          </w:tcPr>
          <w:p w14:paraId="06E49ADF">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3377" w:type="dxa"/>
            <w:vAlign w:val="center"/>
          </w:tcPr>
          <w:p w14:paraId="6C7EEA3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r>
      <w:tr w14:paraId="656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34" w:type="dxa"/>
            <w:vAlign w:val="center"/>
          </w:tcPr>
          <w:p w14:paraId="081AB36E">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440" w:type="dxa"/>
            <w:vAlign w:val="center"/>
          </w:tcPr>
          <w:p w14:paraId="530C66F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奉化区江口街道园中村改造安置房建设工程（二期）配套幼儿园整体设备项目</w:t>
            </w:r>
          </w:p>
        </w:tc>
        <w:tc>
          <w:tcPr>
            <w:tcW w:w="2685" w:type="dxa"/>
            <w:gridSpan w:val="2"/>
            <w:vAlign w:val="center"/>
          </w:tcPr>
          <w:p w14:paraId="1CA07DE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详见“投标报价明细表”</w:t>
            </w:r>
          </w:p>
        </w:tc>
        <w:tc>
          <w:tcPr>
            <w:tcW w:w="1246" w:type="dxa"/>
            <w:vAlign w:val="center"/>
          </w:tcPr>
          <w:p w14:paraId="203C7CD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1项</w:t>
            </w:r>
          </w:p>
        </w:tc>
        <w:tc>
          <w:tcPr>
            <w:tcW w:w="2009" w:type="dxa"/>
            <w:vAlign w:val="center"/>
          </w:tcPr>
          <w:p w14:paraId="18B53413">
            <w:pPr>
              <w:shd w:val="clear"/>
              <w:spacing w:line="360" w:lineRule="auto"/>
              <w:jc w:val="center"/>
              <w:rPr>
                <w:rFonts w:cs="仿宋" w:asciiTheme="majorEastAsia" w:hAnsiTheme="majorEastAsia" w:eastAsiaTheme="majorEastAsia"/>
                <w:color w:val="auto"/>
                <w:sz w:val="24"/>
                <w:highlight w:val="none"/>
              </w:rPr>
            </w:pPr>
          </w:p>
        </w:tc>
        <w:tc>
          <w:tcPr>
            <w:tcW w:w="3377" w:type="dxa"/>
            <w:vAlign w:val="center"/>
          </w:tcPr>
          <w:p w14:paraId="5F0BF938">
            <w:pPr>
              <w:shd w:val="clear"/>
              <w:spacing w:line="360" w:lineRule="auto"/>
              <w:jc w:val="center"/>
              <w:rPr>
                <w:rFonts w:cs="仿宋" w:asciiTheme="majorEastAsia" w:hAnsiTheme="majorEastAsia" w:eastAsiaTheme="majorEastAsia"/>
                <w:color w:val="auto"/>
                <w:sz w:val="24"/>
                <w:highlight w:val="none"/>
              </w:rPr>
            </w:pPr>
          </w:p>
        </w:tc>
      </w:tr>
    </w:tbl>
    <w:p w14:paraId="179F3D9A">
      <w:pPr>
        <w:shd w:val="clear"/>
        <w:snapToGrid w:val="0"/>
        <w:ind w:left="482"/>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1B7DA4C7">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768807EE">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3177E7EA">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0423673F">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52CD91B9">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4F0D4363">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1B97D74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1C22FF1B">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8"/>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0BBED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604B5B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2D6CE10">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0983D2E6">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7E9D4877">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6A6F1521">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186FF134">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34B985F3">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25555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C24022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77540B9">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6BCD35F">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D95E2AD">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F920E9B">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272C0D6">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B5EDB60">
            <w:pPr>
              <w:shd w:val="clear"/>
              <w:spacing w:line="360" w:lineRule="auto"/>
              <w:rPr>
                <w:rFonts w:cs="仿宋" w:asciiTheme="majorEastAsia" w:hAnsiTheme="majorEastAsia" w:eastAsiaTheme="majorEastAsia"/>
                <w:color w:val="auto"/>
                <w:highlight w:val="none"/>
              </w:rPr>
            </w:pPr>
          </w:p>
        </w:tc>
      </w:tr>
      <w:tr w14:paraId="3F36C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673FB46">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4A75DDA">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AFDBAE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3FE523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B0F5712">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E2C032B">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A462B00">
            <w:pPr>
              <w:shd w:val="clear"/>
              <w:spacing w:line="360" w:lineRule="auto"/>
              <w:rPr>
                <w:rFonts w:cs="仿宋" w:asciiTheme="majorEastAsia" w:hAnsiTheme="majorEastAsia" w:eastAsiaTheme="majorEastAsia"/>
                <w:color w:val="auto"/>
                <w:highlight w:val="none"/>
              </w:rPr>
            </w:pPr>
          </w:p>
        </w:tc>
      </w:tr>
      <w:tr w14:paraId="3B2D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0E6474A">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F33968D">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BA4867B">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32158E35">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CA28686">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4AF19EE">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96D379F">
            <w:pPr>
              <w:shd w:val="clear"/>
              <w:spacing w:line="360" w:lineRule="auto"/>
              <w:rPr>
                <w:rFonts w:cs="仿宋" w:asciiTheme="majorEastAsia" w:hAnsiTheme="majorEastAsia" w:eastAsiaTheme="majorEastAsia"/>
                <w:color w:val="auto"/>
                <w:highlight w:val="none"/>
              </w:rPr>
            </w:pPr>
          </w:p>
        </w:tc>
      </w:tr>
      <w:tr w14:paraId="5D434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EFAE7B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A30508F">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0F9844F">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8CAC1C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F313AE5">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784C327">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7339564">
            <w:pPr>
              <w:shd w:val="clear"/>
              <w:spacing w:line="360" w:lineRule="auto"/>
              <w:rPr>
                <w:rFonts w:cs="仿宋" w:asciiTheme="majorEastAsia" w:hAnsiTheme="majorEastAsia" w:eastAsiaTheme="majorEastAsia"/>
                <w:color w:val="auto"/>
                <w:highlight w:val="none"/>
              </w:rPr>
            </w:pPr>
          </w:p>
        </w:tc>
      </w:tr>
      <w:tr w14:paraId="4FEAC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958B36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439BB2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F8E1A8E">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3E38FC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129082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B0C623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C436F89">
            <w:pPr>
              <w:shd w:val="clear"/>
              <w:spacing w:line="360" w:lineRule="auto"/>
              <w:rPr>
                <w:rFonts w:cs="仿宋" w:asciiTheme="majorEastAsia" w:hAnsiTheme="majorEastAsia" w:eastAsiaTheme="majorEastAsia"/>
                <w:color w:val="auto"/>
                <w:highlight w:val="none"/>
              </w:rPr>
            </w:pPr>
          </w:p>
        </w:tc>
      </w:tr>
      <w:tr w14:paraId="20E4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F00399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F34D466">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33B09FD">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3C5E01C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F0B5F23">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68F347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88200F8">
            <w:pPr>
              <w:shd w:val="clear"/>
              <w:spacing w:line="360" w:lineRule="auto"/>
              <w:rPr>
                <w:rFonts w:cs="仿宋" w:asciiTheme="majorEastAsia" w:hAnsiTheme="majorEastAsia" w:eastAsiaTheme="majorEastAsia"/>
                <w:color w:val="auto"/>
                <w:highlight w:val="none"/>
              </w:rPr>
            </w:pPr>
          </w:p>
        </w:tc>
      </w:tr>
      <w:tr w14:paraId="511E6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F678EF4">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AEAF68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E232109">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1EBC86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C96C1F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56B0AE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69432BD">
            <w:pPr>
              <w:shd w:val="clear"/>
              <w:spacing w:line="360" w:lineRule="auto"/>
              <w:rPr>
                <w:rFonts w:cs="仿宋" w:asciiTheme="majorEastAsia" w:hAnsiTheme="majorEastAsia" w:eastAsiaTheme="majorEastAsia"/>
                <w:color w:val="auto"/>
                <w:highlight w:val="none"/>
              </w:rPr>
            </w:pPr>
          </w:p>
        </w:tc>
      </w:tr>
      <w:tr w14:paraId="75DD9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F5C2800">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F7E8315">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0EC129F">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8B5D34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EAB7974">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0684D2E">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B92E54F">
            <w:pPr>
              <w:shd w:val="clear"/>
              <w:spacing w:line="360" w:lineRule="auto"/>
              <w:rPr>
                <w:rFonts w:cs="仿宋" w:asciiTheme="majorEastAsia" w:hAnsiTheme="majorEastAsia" w:eastAsiaTheme="majorEastAsia"/>
                <w:color w:val="auto"/>
                <w:highlight w:val="none"/>
              </w:rPr>
            </w:pPr>
          </w:p>
        </w:tc>
      </w:tr>
      <w:tr w14:paraId="143FB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4652451">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A4470AF">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82D5FDD">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58C8D6F">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99B85B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2AEC2F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CE42E09">
            <w:pPr>
              <w:shd w:val="clear"/>
              <w:spacing w:line="360" w:lineRule="auto"/>
              <w:rPr>
                <w:rFonts w:cs="仿宋" w:asciiTheme="majorEastAsia" w:hAnsiTheme="majorEastAsia" w:eastAsiaTheme="majorEastAsia"/>
                <w:color w:val="auto"/>
                <w:highlight w:val="none"/>
              </w:rPr>
            </w:pPr>
          </w:p>
        </w:tc>
      </w:tr>
      <w:tr w14:paraId="678A6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4714304">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6AF37467">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45CDF8A">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3C30285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0EA1B3D">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B2C6A62">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4D01509">
            <w:pPr>
              <w:shd w:val="clear"/>
              <w:spacing w:line="360" w:lineRule="auto"/>
              <w:rPr>
                <w:rFonts w:cs="仿宋" w:asciiTheme="majorEastAsia" w:hAnsiTheme="majorEastAsia" w:eastAsiaTheme="majorEastAsia"/>
                <w:color w:val="auto"/>
                <w:highlight w:val="none"/>
              </w:rPr>
            </w:pPr>
          </w:p>
        </w:tc>
      </w:tr>
      <w:tr w14:paraId="64438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59F7B0C">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9AF2B85">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97F0853">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B4A01FE">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3FF2755">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E2AFC0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B93ECD3">
            <w:pPr>
              <w:shd w:val="clear"/>
              <w:spacing w:line="360" w:lineRule="auto"/>
              <w:rPr>
                <w:rFonts w:cs="仿宋" w:asciiTheme="majorEastAsia" w:hAnsiTheme="majorEastAsia" w:eastAsiaTheme="majorEastAsia"/>
                <w:color w:val="auto"/>
                <w:highlight w:val="none"/>
              </w:rPr>
            </w:pPr>
          </w:p>
        </w:tc>
      </w:tr>
      <w:tr w14:paraId="4C4D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1C4AB9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622C77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25E9E26F">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73BDE3F">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C184D58">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DA29584">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556A1C6">
            <w:pPr>
              <w:shd w:val="clear"/>
              <w:spacing w:line="360" w:lineRule="auto"/>
              <w:rPr>
                <w:rFonts w:cs="仿宋" w:asciiTheme="majorEastAsia" w:hAnsiTheme="majorEastAsia" w:eastAsiaTheme="majorEastAsia"/>
                <w:color w:val="auto"/>
                <w:highlight w:val="none"/>
              </w:rPr>
            </w:pPr>
          </w:p>
        </w:tc>
      </w:tr>
      <w:tr w14:paraId="29A0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22E2FFEF">
            <w:pPr>
              <w:shd w:val="clear"/>
              <w:spacing w:line="360" w:lineRule="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14:paraId="6933E05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14:paraId="21914542">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7BF483D">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E1ED421">
            <w:pPr>
              <w:shd w:val="clear"/>
              <w:spacing w:line="360" w:lineRule="auto"/>
              <w:rPr>
                <w:rFonts w:cs="仿宋" w:asciiTheme="majorEastAsia" w:hAnsiTheme="majorEastAsia" w:eastAsiaTheme="majorEastAsia"/>
                <w:color w:val="auto"/>
                <w:highlight w:val="none"/>
              </w:rPr>
            </w:pPr>
          </w:p>
        </w:tc>
      </w:tr>
    </w:tbl>
    <w:p w14:paraId="64DDBF66">
      <w:pPr>
        <w:pStyle w:val="7"/>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5DA710D2">
      <w:pPr>
        <w:pStyle w:val="7"/>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454E1D91">
      <w:pPr>
        <w:pStyle w:val="7"/>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2.总报价应与开标一览表的投标报价一致。</w:t>
      </w:r>
    </w:p>
    <w:p w14:paraId="33B6FC07">
      <w:pPr>
        <w:shd w:val="clear"/>
        <w:spacing w:line="360" w:lineRule="auto"/>
        <w:rPr>
          <w:rFonts w:cs="仿宋" w:asciiTheme="majorEastAsia" w:hAnsiTheme="majorEastAsia" w:eastAsiaTheme="majorEastAsia"/>
          <w:color w:val="auto"/>
          <w:sz w:val="24"/>
          <w:highlight w:val="none"/>
        </w:rPr>
      </w:pPr>
    </w:p>
    <w:p w14:paraId="091E782B">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136A4A08">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6E9D7447">
      <w:pPr>
        <w:pStyle w:val="35"/>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78814CEF">
      <w:pPr>
        <w:pStyle w:val="35"/>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2F738B00">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BDEC5EA">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w:t>
      </w:r>
    </w:p>
    <w:p w14:paraId="54BD1B2A">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（对相关制造商信息了解不充分，或者不能确定相关信息真实、准确的，不建议出具《中小企业声明函》。声明函中需对“采购清单”中所有标的物逐一填写，内容不全或未按照格式进行填写的不予认可。）</w:t>
      </w:r>
    </w:p>
    <w:p w14:paraId="7CB971A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rPr>
        <w:t xml:space="preserve"> 宁波市奉化区教育发展投资有限责任公司</w:t>
      </w:r>
      <w:r>
        <w:rPr>
          <w:rFonts w:hint="eastAsia" w:cs="仿宋" w:asciiTheme="majorEastAsia" w:hAnsiTheme="majorEastAsia" w:eastAsiaTheme="majorEastAsia"/>
          <w:color w:val="auto"/>
          <w:sz w:val="24"/>
          <w:highlight w:val="none"/>
        </w:rPr>
        <w:t xml:space="preserve"> 的 </w:t>
      </w:r>
      <w:r>
        <w:rPr>
          <w:rFonts w:hint="eastAsia" w:cs="仿宋" w:asciiTheme="majorEastAsia" w:hAnsiTheme="majorEastAsia" w:eastAsiaTheme="majorEastAsia"/>
          <w:color w:val="auto"/>
          <w:sz w:val="24"/>
          <w:highlight w:val="none"/>
          <w:u w:val="single"/>
        </w:rPr>
        <w:t xml:space="preserve">奉化区江口街道园中村改造安置房建设工程（二期）配套幼儿园整体设备项目 </w:t>
      </w:r>
      <w:r>
        <w:rPr>
          <w:rFonts w:hint="eastAsia" w:cs="仿宋" w:asciiTheme="majorEastAsia" w:hAnsiTheme="majorEastAsia" w:eastAsiaTheme="majorEastAsia"/>
          <w:color w:val="auto"/>
          <w:sz w:val="24"/>
          <w:highlight w:val="none"/>
        </w:rPr>
        <w:t>采购活动，提供的货物全部由符合政策要求的中小企业制造。相关企业（含中小企业、签订分包意向协议的中小企业）的具体情况如下：</w:t>
      </w:r>
    </w:p>
    <w:p w14:paraId="056EC2E8">
      <w:pPr>
        <w:shd w:val="clear"/>
        <w:spacing w:line="360" w:lineRule="auto"/>
        <w:ind w:firstLine="480" w:firstLineChars="200"/>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sz w:val="24"/>
          <w:highlight w:val="none"/>
          <w:u w:val="single"/>
        </w:rPr>
        <w:t>（钢琴）</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135E58F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（电钢琴）</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4B36AD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（琴凳）</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82ECFD5">
      <w:pPr>
        <w:pStyle w:val="25"/>
        <w:shd w:val="clear"/>
        <w:ind w:firstLine="480"/>
        <w:rPr>
          <w:rFonts w:eastAsiaTheme="majorEastAsia"/>
          <w:color w:val="auto"/>
          <w:highlight w:val="none"/>
        </w:rPr>
      </w:pPr>
      <w:r>
        <w:rPr>
          <w:rFonts w:hint="eastAsia" w:cs="仿宋" w:asciiTheme="majorEastAsia" w:hAnsiTheme="majorEastAsia" w:eastAsiaTheme="majorEastAsia"/>
          <w:color w:val="auto"/>
          <w:sz w:val="24"/>
          <w:highlight w:val="none"/>
        </w:rPr>
        <w:t>……</w:t>
      </w:r>
    </w:p>
    <w:p w14:paraId="66D3111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5A051C8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本企业对上述声明内容的真实性负责。如有虚假，将依法承担相应责任。</w:t>
      </w:r>
    </w:p>
    <w:p w14:paraId="7F79695E">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28F75981">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06D7D570">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17B709D">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1BC2C575">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1DD497DD">
      <w:pPr>
        <w:shd w:val="clear"/>
        <w:spacing w:line="360" w:lineRule="auto"/>
        <w:ind w:right="-420" w:righ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FC30F6">
      <w:pPr>
        <w:shd w:val="clear"/>
        <w:spacing w:line="360" w:lineRule="auto"/>
        <w:ind w:right="-420" w:rightChars="-200" w:firstLine="480" w:firstLineChars="200"/>
        <w:rPr>
          <w:rFonts w:cs="仿宋" w:asciiTheme="majorEastAsia" w:hAnsiTheme="majorEastAsia" w:eastAsiaTheme="majorEastAsia"/>
          <w:color w:val="auto"/>
          <w:sz w:val="24"/>
          <w:highlight w:val="none"/>
        </w:rPr>
      </w:pPr>
    </w:p>
    <w:p w14:paraId="4A94FA0E">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w:t>
      </w:r>
      <w:r>
        <w:rPr>
          <w:rFonts w:hint="eastAsia" w:ascii="宋体" w:hAnsi="宋体" w:cs="宋体"/>
          <w:color w:val="auto"/>
          <w:sz w:val="24"/>
          <w:highlight w:val="none"/>
          <w:shd w:val="clear" w:color="auto"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仿宋" w:asciiTheme="majorEastAsia" w:hAnsiTheme="majorEastAsia" w:eastAsiaTheme="majorEastAsia"/>
          <w:b/>
          <w:color w:val="auto"/>
          <w:sz w:val="32"/>
          <w:szCs w:val="32"/>
          <w:highlight w:val="none"/>
        </w:rPr>
        <w:br w:type="page"/>
      </w:r>
    </w:p>
    <w:p w14:paraId="1384ADFB">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35DE81D0">
      <w:pPr>
        <w:shd w:val="clear"/>
        <w:spacing w:line="360" w:lineRule="auto"/>
        <w:rPr>
          <w:rFonts w:cs="仿宋" w:asciiTheme="majorEastAsia" w:hAnsiTheme="majorEastAsia" w:eastAsiaTheme="majorEastAsia"/>
          <w:b/>
          <w:color w:val="auto"/>
          <w:spacing w:val="6"/>
          <w:sz w:val="30"/>
          <w:szCs w:val="30"/>
          <w:highlight w:val="none"/>
        </w:rPr>
      </w:pPr>
    </w:p>
    <w:p w14:paraId="47AB3F9A">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B3EB0B">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1B09A03">
      <w:pPr>
        <w:shd w:val="clear"/>
        <w:spacing w:line="360" w:lineRule="auto"/>
        <w:ind w:firstLine="480" w:firstLineChars="200"/>
        <w:jc w:val="left"/>
        <w:rPr>
          <w:rFonts w:cs="仿宋" w:asciiTheme="majorEastAsia" w:hAnsiTheme="majorEastAsia" w:eastAsiaTheme="majorEastAsia"/>
          <w:color w:val="auto"/>
          <w:sz w:val="24"/>
          <w:highlight w:val="none"/>
        </w:rPr>
      </w:pPr>
    </w:p>
    <w:p w14:paraId="1678AFDF">
      <w:pPr>
        <w:shd w:val="clear"/>
        <w:spacing w:line="360" w:lineRule="auto"/>
        <w:ind w:firstLine="480" w:firstLineChars="200"/>
        <w:jc w:val="left"/>
        <w:rPr>
          <w:rFonts w:cs="仿宋" w:asciiTheme="majorEastAsia" w:hAnsiTheme="majorEastAsia" w:eastAsiaTheme="majorEastAsia"/>
          <w:color w:val="auto"/>
          <w:sz w:val="24"/>
          <w:highlight w:val="none"/>
        </w:rPr>
      </w:pPr>
    </w:p>
    <w:p w14:paraId="5F38F18F">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2A65C625">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A4C1344">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2B9C4A0C">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24E9E5F0">
      <w:pPr>
        <w:shd w:val="clear"/>
        <w:spacing w:line="360" w:lineRule="auto"/>
        <w:rPr>
          <w:rFonts w:cs="仿宋" w:asciiTheme="majorEastAsia" w:hAnsiTheme="majorEastAsia" w:eastAsiaTheme="majorEastAsia"/>
          <w:b/>
          <w:color w:val="auto"/>
          <w:sz w:val="32"/>
          <w:szCs w:val="32"/>
          <w:highlight w:val="none"/>
        </w:rPr>
      </w:pPr>
    </w:p>
    <w:p w14:paraId="48392CCB">
      <w:pPr>
        <w:numPr>
          <w:ilvl w:val="0"/>
          <w:numId w:val="4"/>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61CC198B">
      <w:pPr>
        <w:pStyle w:val="25"/>
        <w:shd w:val="clear"/>
        <w:spacing w:line="360" w:lineRule="auto"/>
        <w:ind w:firstLine="0" w:firstLineChars="0"/>
        <w:rPr>
          <w:rFonts w:cs="仿宋" w:asciiTheme="majorEastAsia" w:hAnsiTheme="majorEastAsia" w:eastAsiaTheme="majorEastAsia"/>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14:paraId="11D490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198B24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1FF73FA">
            <w:pPr>
              <w:shd w:val="clear"/>
              <w:spacing w:line="360" w:lineRule="auto"/>
              <w:rPr>
                <w:rFonts w:cs="仿宋" w:asciiTheme="majorEastAsia" w:hAnsiTheme="majorEastAsia" w:eastAsiaTheme="majorEastAsia"/>
                <w:color w:val="auto"/>
                <w:highlight w:val="none"/>
              </w:rPr>
            </w:pPr>
          </w:p>
        </w:tc>
      </w:tr>
      <w:tr w14:paraId="473C20B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2F4556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512578F4">
            <w:pPr>
              <w:shd w:val="clear"/>
              <w:spacing w:line="360" w:lineRule="auto"/>
              <w:rPr>
                <w:rFonts w:cs="仿宋" w:asciiTheme="majorEastAsia" w:hAnsiTheme="majorEastAsia" w:eastAsiaTheme="majorEastAsia"/>
                <w:color w:val="auto"/>
                <w:highlight w:val="none"/>
              </w:rPr>
            </w:pPr>
          </w:p>
        </w:tc>
      </w:tr>
      <w:tr w14:paraId="4B20A8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235796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10080AA">
            <w:pPr>
              <w:shd w:val="clear"/>
              <w:spacing w:line="360" w:lineRule="auto"/>
              <w:rPr>
                <w:rFonts w:cs="仿宋" w:asciiTheme="majorEastAsia" w:hAnsiTheme="majorEastAsia" w:eastAsiaTheme="majorEastAsia"/>
                <w:color w:val="auto"/>
                <w:highlight w:val="none"/>
              </w:rPr>
            </w:pPr>
          </w:p>
        </w:tc>
      </w:tr>
      <w:tr w14:paraId="24C11A1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EB5C8CE">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024D90EF">
            <w:pPr>
              <w:shd w:val="clear"/>
              <w:spacing w:line="360" w:lineRule="auto"/>
              <w:rPr>
                <w:rFonts w:cs="仿宋" w:asciiTheme="majorEastAsia" w:hAnsiTheme="majorEastAsia" w:eastAsiaTheme="majorEastAsia"/>
                <w:color w:val="auto"/>
                <w:highlight w:val="none"/>
              </w:rPr>
            </w:pPr>
          </w:p>
        </w:tc>
      </w:tr>
      <w:tr w14:paraId="7B77F18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8D7AC3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144326A">
            <w:pPr>
              <w:shd w:val="clear"/>
              <w:spacing w:line="360" w:lineRule="auto"/>
              <w:rPr>
                <w:rFonts w:cs="仿宋" w:asciiTheme="majorEastAsia" w:hAnsiTheme="majorEastAsia" w:eastAsiaTheme="majorEastAsia"/>
                <w:color w:val="auto"/>
                <w:highlight w:val="none"/>
              </w:rPr>
            </w:pPr>
          </w:p>
        </w:tc>
      </w:tr>
      <w:tr w14:paraId="40ED2E3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5EDDEDE">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CC6E502">
            <w:pPr>
              <w:shd w:val="clear"/>
              <w:spacing w:line="360" w:lineRule="auto"/>
              <w:rPr>
                <w:rFonts w:cs="仿宋" w:asciiTheme="majorEastAsia" w:hAnsiTheme="majorEastAsia" w:eastAsiaTheme="majorEastAsia"/>
                <w:color w:val="auto"/>
                <w:highlight w:val="none"/>
              </w:rPr>
            </w:pPr>
          </w:p>
        </w:tc>
      </w:tr>
      <w:tr w14:paraId="356CEB2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1CAD20C">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348FBF9A">
            <w:pPr>
              <w:shd w:val="clear"/>
              <w:spacing w:line="360" w:lineRule="auto"/>
              <w:rPr>
                <w:rFonts w:cs="仿宋" w:asciiTheme="majorEastAsia" w:hAnsiTheme="majorEastAsia" w:eastAsiaTheme="majorEastAsia"/>
                <w:color w:val="auto"/>
                <w:highlight w:val="none"/>
              </w:rPr>
            </w:pPr>
          </w:p>
        </w:tc>
      </w:tr>
      <w:tr w14:paraId="6CACC2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29A47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A8EBB29">
            <w:pPr>
              <w:shd w:val="clear"/>
              <w:spacing w:line="360" w:lineRule="auto"/>
              <w:rPr>
                <w:rFonts w:cs="仿宋" w:asciiTheme="majorEastAsia" w:hAnsiTheme="majorEastAsia" w:eastAsiaTheme="majorEastAsia"/>
                <w:color w:val="auto"/>
                <w:highlight w:val="none"/>
              </w:rPr>
            </w:pPr>
          </w:p>
        </w:tc>
      </w:tr>
      <w:tr w14:paraId="426C7B1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694092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04205E2">
            <w:pPr>
              <w:shd w:val="clear"/>
              <w:spacing w:line="360" w:lineRule="auto"/>
              <w:rPr>
                <w:rFonts w:cs="仿宋" w:asciiTheme="majorEastAsia" w:hAnsiTheme="majorEastAsia" w:eastAsiaTheme="majorEastAsia"/>
                <w:color w:val="auto"/>
                <w:highlight w:val="none"/>
              </w:rPr>
            </w:pPr>
          </w:p>
        </w:tc>
      </w:tr>
      <w:tr w14:paraId="411418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90EADC8">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2750E142">
            <w:pPr>
              <w:shd w:val="clear"/>
              <w:spacing w:line="360" w:lineRule="auto"/>
              <w:rPr>
                <w:rFonts w:cs="仿宋" w:asciiTheme="majorEastAsia" w:hAnsiTheme="majorEastAsia" w:eastAsiaTheme="majorEastAsia"/>
                <w:color w:val="auto"/>
                <w:highlight w:val="none"/>
              </w:rPr>
            </w:pPr>
          </w:p>
        </w:tc>
      </w:tr>
    </w:tbl>
    <w:p w14:paraId="6DE08E27">
      <w:pPr>
        <w:shd w:val="clear"/>
        <w:adjustRightInd w:val="0"/>
        <w:spacing w:line="360" w:lineRule="auto"/>
        <w:jc w:val="left"/>
        <w:rPr>
          <w:rFonts w:cs="仿宋" w:asciiTheme="majorEastAsia" w:hAnsiTheme="majorEastAsia" w:eastAsiaTheme="majorEastAsia"/>
          <w:color w:val="auto"/>
          <w:sz w:val="24"/>
          <w:highlight w:val="none"/>
        </w:rPr>
      </w:pPr>
    </w:p>
    <w:p w14:paraId="6E63A8C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078ADD35">
      <w:pPr>
        <w:shd w:val="clear"/>
        <w:adjustRightInd w:val="0"/>
        <w:spacing w:line="360" w:lineRule="auto"/>
        <w:jc w:val="left"/>
        <w:rPr>
          <w:rFonts w:cs="仿宋" w:asciiTheme="majorEastAsia" w:hAnsiTheme="majorEastAsia" w:eastAsiaTheme="majorEastAsia"/>
          <w:color w:val="auto"/>
          <w:sz w:val="24"/>
          <w:highlight w:val="none"/>
        </w:rPr>
      </w:pPr>
    </w:p>
    <w:p w14:paraId="15FE4E65">
      <w:pPr>
        <w:shd w:val="clear"/>
        <w:adjustRightInd w:val="0"/>
        <w:spacing w:line="360" w:lineRule="auto"/>
        <w:jc w:val="left"/>
        <w:rPr>
          <w:rFonts w:cs="仿宋" w:asciiTheme="majorEastAsia" w:hAnsiTheme="majorEastAsia" w:eastAsiaTheme="majorEastAsia"/>
          <w:color w:val="auto"/>
          <w:sz w:val="24"/>
          <w:highlight w:val="none"/>
        </w:rPr>
      </w:pPr>
    </w:p>
    <w:p w14:paraId="4E3647B7">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1B098F85">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1A2DB7CF">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A64">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10B880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995D">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CBFFB3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DD41">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D6702D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9345">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A03A4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1080">
    <w:pPr>
      <w:pStyle w:val="13"/>
      <w:pBdr>
        <w:bottom w:val="none" w:color="auto" w:sz="0" w:space="0"/>
      </w:pBdr>
      <w:jc w:val="right"/>
      <w:rPr>
        <w:rFonts w:ascii="仿宋_GB2312" w:eastAsia="仿宋_GB2312"/>
        <w:b/>
        <w:i/>
        <w:u w:val="single"/>
      </w:rPr>
    </w:pPr>
    <w:r>
      <w:t></w:t>
    </w:r>
    <w:r>
      <w:rPr>
        <w:rFonts w:hint="eastAsia"/>
      </w:rPr>
      <w:t xml:space="preserve">                                               </w:t>
    </w:r>
  </w:p>
  <w:p w14:paraId="0F92740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62C9">
    <w:pPr>
      <w:pStyle w:val="13"/>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3CF9">
    <w:pPr>
      <w:pStyle w:val="13"/>
      <w:jc w:val="right"/>
      <w:rPr>
        <w:rFonts w:ascii="仿宋_GB2312" w:eastAsia="仿宋_GB2312"/>
        <w:b/>
        <w:i/>
        <w:u w:val="single"/>
      </w:rPr>
    </w:pPr>
    <w:r>
      <w:rPr>
        <w:rFonts w:hint="eastAsia"/>
      </w:rPr>
      <w:t xml:space="preserve">                                 </w:t>
    </w:r>
  </w:p>
  <w:p w14:paraId="62AE288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0F69D">
    <w:pPr>
      <w:pStyle w:val="1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IwZWYxMjI1ODlmMWQ2NjBlZmJmNGMwY2QxMzgifQ=="/>
  </w:docVars>
  <w:rsids>
    <w:rsidRoot w:val="00BE1106"/>
    <w:rsid w:val="000E08FA"/>
    <w:rsid w:val="001E5D60"/>
    <w:rsid w:val="00203A10"/>
    <w:rsid w:val="00230BAC"/>
    <w:rsid w:val="002D5049"/>
    <w:rsid w:val="002E49A8"/>
    <w:rsid w:val="002F0F4E"/>
    <w:rsid w:val="00325F5A"/>
    <w:rsid w:val="00385524"/>
    <w:rsid w:val="004149B7"/>
    <w:rsid w:val="004B6E42"/>
    <w:rsid w:val="005D6F69"/>
    <w:rsid w:val="00633810"/>
    <w:rsid w:val="006E6D3A"/>
    <w:rsid w:val="008B3661"/>
    <w:rsid w:val="00923E94"/>
    <w:rsid w:val="00992777"/>
    <w:rsid w:val="00AF0DF7"/>
    <w:rsid w:val="00BE1106"/>
    <w:rsid w:val="00CA73A1"/>
    <w:rsid w:val="00FE2BD3"/>
    <w:rsid w:val="01251AC9"/>
    <w:rsid w:val="01E7311F"/>
    <w:rsid w:val="02107CB0"/>
    <w:rsid w:val="0216351E"/>
    <w:rsid w:val="02A35163"/>
    <w:rsid w:val="02CB619B"/>
    <w:rsid w:val="03D270B5"/>
    <w:rsid w:val="03EB2398"/>
    <w:rsid w:val="03F4702C"/>
    <w:rsid w:val="053F077B"/>
    <w:rsid w:val="071E0F8F"/>
    <w:rsid w:val="073E750B"/>
    <w:rsid w:val="077741FC"/>
    <w:rsid w:val="07CD02C0"/>
    <w:rsid w:val="0825634E"/>
    <w:rsid w:val="085B1D6F"/>
    <w:rsid w:val="08730E67"/>
    <w:rsid w:val="08BB15FE"/>
    <w:rsid w:val="08C77405"/>
    <w:rsid w:val="092263E9"/>
    <w:rsid w:val="09412D13"/>
    <w:rsid w:val="09970B85"/>
    <w:rsid w:val="0A1E12A6"/>
    <w:rsid w:val="0B00091B"/>
    <w:rsid w:val="0B2B77D7"/>
    <w:rsid w:val="0CE128D0"/>
    <w:rsid w:val="0D5A25F6"/>
    <w:rsid w:val="0D6C6406"/>
    <w:rsid w:val="0D6F7448"/>
    <w:rsid w:val="0D7569AF"/>
    <w:rsid w:val="0D927468"/>
    <w:rsid w:val="0DE4780D"/>
    <w:rsid w:val="0E3528EA"/>
    <w:rsid w:val="0EF645A0"/>
    <w:rsid w:val="0F3E5F10"/>
    <w:rsid w:val="0FA062BA"/>
    <w:rsid w:val="0FDE4579"/>
    <w:rsid w:val="10991687"/>
    <w:rsid w:val="10CF015F"/>
    <w:rsid w:val="117F262B"/>
    <w:rsid w:val="12810624"/>
    <w:rsid w:val="12D44BF8"/>
    <w:rsid w:val="12EE1DDF"/>
    <w:rsid w:val="1301552C"/>
    <w:rsid w:val="139879D4"/>
    <w:rsid w:val="13A445CA"/>
    <w:rsid w:val="13B80076"/>
    <w:rsid w:val="13C163E1"/>
    <w:rsid w:val="1424570B"/>
    <w:rsid w:val="1457163D"/>
    <w:rsid w:val="14CD6C40"/>
    <w:rsid w:val="16EB0762"/>
    <w:rsid w:val="170E3922"/>
    <w:rsid w:val="171B4F9F"/>
    <w:rsid w:val="173E4D36"/>
    <w:rsid w:val="17D31922"/>
    <w:rsid w:val="17D42FA4"/>
    <w:rsid w:val="18544B53"/>
    <w:rsid w:val="18635D32"/>
    <w:rsid w:val="191915B7"/>
    <w:rsid w:val="198F1011"/>
    <w:rsid w:val="1A693E78"/>
    <w:rsid w:val="1A894696"/>
    <w:rsid w:val="1AD53A66"/>
    <w:rsid w:val="1BB44870"/>
    <w:rsid w:val="1C7F12A1"/>
    <w:rsid w:val="1D4D4375"/>
    <w:rsid w:val="1DC51D0D"/>
    <w:rsid w:val="1E024ED4"/>
    <w:rsid w:val="1E9B481C"/>
    <w:rsid w:val="1F7F7C9A"/>
    <w:rsid w:val="20162F98"/>
    <w:rsid w:val="21022930"/>
    <w:rsid w:val="21042B4C"/>
    <w:rsid w:val="21350F58"/>
    <w:rsid w:val="231354DB"/>
    <w:rsid w:val="23841D23"/>
    <w:rsid w:val="238735C1"/>
    <w:rsid w:val="24522E40"/>
    <w:rsid w:val="24BB79C6"/>
    <w:rsid w:val="24EE26FA"/>
    <w:rsid w:val="2564139D"/>
    <w:rsid w:val="262B46D7"/>
    <w:rsid w:val="277A5916"/>
    <w:rsid w:val="28991DCC"/>
    <w:rsid w:val="291122AA"/>
    <w:rsid w:val="291678C1"/>
    <w:rsid w:val="29387837"/>
    <w:rsid w:val="29AE7AF9"/>
    <w:rsid w:val="29B175E9"/>
    <w:rsid w:val="2A005E7B"/>
    <w:rsid w:val="2A8F792B"/>
    <w:rsid w:val="2B65243A"/>
    <w:rsid w:val="2C6A7D6E"/>
    <w:rsid w:val="2CDF7FCA"/>
    <w:rsid w:val="2D873C74"/>
    <w:rsid w:val="2DA37249"/>
    <w:rsid w:val="2DB17BB8"/>
    <w:rsid w:val="2E053A60"/>
    <w:rsid w:val="2E332EC2"/>
    <w:rsid w:val="2E596189"/>
    <w:rsid w:val="2ECB2EFB"/>
    <w:rsid w:val="2F3B43E8"/>
    <w:rsid w:val="2F594063"/>
    <w:rsid w:val="2F7B66D0"/>
    <w:rsid w:val="2FA84FEB"/>
    <w:rsid w:val="30297150"/>
    <w:rsid w:val="312608BD"/>
    <w:rsid w:val="32F223A4"/>
    <w:rsid w:val="33F00D0E"/>
    <w:rsid w:val="346E05B1"/>
    <w:rsid w:val="348222AE"/>
    <w:rsid w:val="34AF4725"/>
    <w:rsid w:val="366003CD"/>
    <w:rsid w:val="36897924"/>
    <w:rsid w:val="37D93CBA"/>
    <w:rsid w:val="380F260F"/>
    <w:rsid w:val="38262F51"/>
    <w:rsid w:val="39777F08"/>
    <w:rsid w:val="3BE178BA"/>
    <w:rsid w:val="3C2B47A8"/>
    <w:rsid w:val="3C633B9B"/>
    <w:rsid w:val="3D22018A"/>
    <w:rsid w:val="3D5D11C3"/>
    <w:rsid w:val="3E0E6961"/>
    <w:rsid w:val="3EC51653"/>
    <w:rsid w:val="400C0C7E"/>
    <w:rsid w:val="402B37FA"/>
    <w:rsid w:val="40343568"/>
    <w:rsid w:val="406749CA"/>
    <w:rsid w:val="4092603E"/>
    <w:rsid w:val="42521512"/>
    <w:rsid w:val="427404C3"/>
    <w:rsid w:val="42AB0C22"/>
    <w:rsid w:val="42C817D4"/>
    <w:rsid w:val="43F54F48"/>
    <w:rsid w:val="44580936"/>
    <w:rsid w:val="44E576BF"/>
    <w:rsid w:val="45140D01"/>
    <w:rsid w:val="45181E73"/>
    <w:rsid w:val="455455A1"/>
    <w:rsid w:val="45E71F71"/>
    <w:rsid w:val="46074E0D"/>
    <w:rsid w:val="48366397"/>
    <w:rsid w:val="4A264C4E"/>
    <w:rsid w:val="4A840A50"/>
    <w:rsid w:val="4AFE3E79"/>
    <w:rsid w:val="4B5F25AA"/>
    <w:rsid w:val="4B625D7E"/>
    <w:rsid w:val="4B751A3A"/>
    <w:rsid w:val="4B9E1FDA"/>
    <w:rsid w:val="4C2A2BB8"/>
    <w:rsid w:val="4C376F0B"/>
    <w:rsid w:val="4CCC5159"/>
    <w:rsid w:val="4CEF2F84"/>
    <w:rsid w:val="4CF17B79"/>
    <w:rsid w:val="4D785BA5"/>
    <w:rsid w:val="4E571C5E"/>
    <w:rsid w:val="4F610FE6"/>
    <w:rsid w:val="4F886166"/>
    <w:rsid w:val="4FC61F04"/>
    <w:rsid w:val="50B05655"/>
    <w:rsid w:val="519D2F0D"/>
    <w:rsid w:val="51BB2291"/>
    <w:rsid w:val="51E47CAD"/>
    <w:rsid w:val="523F1C0D"/>
    <w:rsid w:val="53057EDB"/>
    <w:rsid w:val="533E519B"/>
    <w:rsid w:val="536A2433"/>
    <w:rsid w:val="53F1656D"/>
    <w:rsid w:val="54384218"/>
    <w:rsid w:val="547C1645"/>
    <w:rsid w:val="54B43966"/>
    <w:rsid w:val="55584AD6"/>
    <w:rsid w:val="567333AD"/>
    <w:rsid w:val="567535C9"/>
    <w:rsid w:val="58B73A25"/>
    <w:rsid w:val="58CE0D6F"/>
    <w:rsid w:val="590824D3"/>
    <w:rsid w:val="5937239D"/>
    <w:rsid w:val="59745A2B"/>
    <w:rsid w:val="59A125DC"/>
    <w:rsid w:val="59B12B6A"/>
    <w:rsid w:val="5A1530F9"/>
    <w:rsid w:val="5A7E1AC6"/>
    <w:rsid w:val="5A8E07B6"/>
    <w:rsid w:val="5AB87F28"/>
    <w:rsid w:val="5ABD72ED"/>
    <w:rsid w:val="5C1178F0"/>
    <w:rsid w:val="5C266AB1"/>
    <w:rsid w:val="5CC63534"/>
    <w:rsid w:val="5D86767D"/>
    <w:rsid w:val="5DA84284"/>
    <w:rsid w:val="5DBE5C60"/>
    <w:rsid w:val="5E2C21A1"/>
    <w:rsid w:val="5E960581"/>
    <w:rsid w:val="60340051"/>
    <w:rsid w:val="603718EF"/>
    <w:rsid w:val="603B13E0"/>
    <w:rsid w:val="6090779F"/>
    <w:rsid w:val="60AA0313"/>
    <w:rsid w:val="61686204"/>
    <w:rsid w:val="619E0326"/>
    <w:rsid w:val="61D339C5"/>
    <w:rsid w:val="621974FF"/>
    <w:rsid w:val="622A5268"/>
    <w:rsid w:val="623E2002"/>
    <w:rsid w:val="64485E79"/>
    <w:rsid w:val="64C9520C"/>
    <w:rsid w:val="65B55790"/>
    <w:rsid w:val="66D067C4"/>
    <w:rsid w:val="66E3632D"/>
    <w:rsid w:val="66ED0F5A"/>
    <w:rsid w:val="672D4457"/>
    <w:rsid w:val="67F46265"/>
    <w:rsid w:val="681D761D"/>
    <w:rsid w:val="69401815"/>
    <w:rsid w:val="695D4175"/>
    <w:rsid w:val="69D02B99"/>
    <w:rsid w:val="6A08622D"/>
    <w:rsid w:val="6B4C44A1"/>
    <w:rsid w:val="6BF6440D"/>
    <w:rsid w:val="6C296590"/>
    <w:rsid w:val="6C494E84"/>
    <w:rsid w:val="6CC10EBE"/>
    <w:rsid w:val="6CF97917"/>
    <w:rsid w:val="6D07518F"/>
    <w:rsid w:val="6D5E670D"/>
    <w:rsid w:val="6D922AA9"/>
    <w:rsid w:val="6D981C1F"/>
    <w:rsid w:val="6DE9021D"/>
    <w:rsid w:val="6E2C05BA"/>
    <w:rsid w:val="6E880137"/>
    <w:rsid w:val="6EAB3BD4"/>
    <w:rsid w:val="6F993A2D"/>
    <w:rsid w:val="6FA7614A"/>
    <w:rsid w:val="708C7B05"/>
    <w:rsid w:val="70950698"/>
    <w:rsid w:val="70B44AA8"/>
    <w:rsid w:val="716D6F1F"/>
    <w:rsid w:val="71737458"/>
    <w:rsid w:val="719E532A"/>
    <w:rsid w:val="72121874"/>
    <w:rsid w:val="72185876"/>
    <w:rsid w:val="723847F1"/>
    <w:rsid w:val="729B74F5"/>
    <w:rsid w:val="73CC79FC"/>
    <w:rsid w:val="74416441"/>
    <w:rsid w:val="74D774D1"/>
    <w:rsid w:val="7521074C"/>
    <w:rsid w:val="755C3532"/>
    <w:rsid w:val="757F7487"/>
    <w:rsid w:val="75E52983"/>
    <w:rsid w:val="75FB71EF"/>
    <w:rsid w:val="76263735"/>
    <w:rsid w:val="76D11CFE"/>
    <w:rsid w:val="775A6197"/>
    <w:rsid w:val="7785787E"/>
    <w:rsid w:val="77ED390F"/>
    <w:rsid w:val="78175E36"/>
    <w:rsid w:val="782A5B6A"/>
    <w:rsid w:val="78BB1179"/>
    <w:rsid w:val="79703A50"/>
    <w:rsid w:val="79BA2F1D"/>
    <w:rsid w:val="7A0917AF"/>
    <w:rsid w:val="7A1C7FC7"/>
    <w:rsid w:val="7B0E1DDB"/>
    <w:rsid w:val="7B4909FD"/>
    <w:rsid w:val="7B904B10"/>
    <w:rsid w:val="7C8B5E27"/>
    <w:rsid w:val="7D24527D"/>
    <w:rsid w:val="7D342FE7"/>
    <w:rsid w:val="7E0303C7"/>
    <w:rsid w:val="7E2E5C88"/>
    <w:rsid w:val="7ED00AED"/>
    <w:rsid w:val="7F283B4E"/>
    <w:rsid w:val="7FDC7DA8"/>
    <w:rsid w:val="7FE0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5"/>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1"/>
    <w:link w:val="33"/>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link w:val="30"/>
    <w:qFormat/>
    <w:uiPriority w:val="0"/>
    <w:pPr>
      <w:spacing w:line="480" w:lineRule="exact"/>
      <w:ind w:firstLine="480" w:firstLineChars="200"/>
    </w:pPr>
    <w:rPr>
      <w:rFonts w:ascii="宋体" w:hAnsi="宋体"/>
      <w:sz w:val="24"/>
    </w:rPr>
  </w:style>
  <w:style w:type="paragraph" w:styleId="8">
    <w:name w:val="toc 3"/>
    <w:basedOn w:val="1"/>
    <w:next w:val="1"/>
    <w:qFormat/>
    <w:uiPriority w:val="0"/>
    <w:pPr>
      <w:ind w:left="840" w:leftChars="400"/>
    </w:pPr>
    <w:rPr>
      <w:rFonts w:ascii="Times New Roman" w:hAnsi="Times New Roman"/>
    </w:rPr>
  </w:style>
  <w:style w:type="paragraph" w:styleId="9">
    <w:name w:val="Plain Text"/>
    <w:basedOn w:val="1"/>
    <w:link w:val="32"/>
    <w:qFormat/>
    <w:uiPriority w:val="0"/>
    <w:rPr>
      <w:rFonts w:ascii="宋体" w:hAnsi="Courier New" w:cs="Arial"/>
      <w:snapToGrid w:val="0"/>
      <w:szCs w:val="21"/>
    </w:rPr>
  </w:style>
  <w:style w:type="paragraph" w:styleId="10">
    <w:name w:val="Date"/>
    <w:basedOn w:val="1"/>
    <w:next w:val="1"/>
    <w:link w:val="31"/>
    <w:qFormat/>
    <w:uiPriority w:val="0"/>
    <w:pPr>
      <w:ind w:left="100" w:leftChars="2500"/>
    </w:pPr>
    <w:rPr>
      <w:rFonts w:ascii="宋体"/>
      <w:sz w:val="24"/>
      <w:szCs w:val="21"/>
      <w:lang w:val="zh-CN"/>
    </w:rPr>
  </w:style>
  <w:style w:type="paragraph" w:styleId="11">
    <w:name w:val="Balloon Text"/>
    <w:basedOn w:val="1"/>
    <w:link w:val="46"/>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1050"/>
      <w:jc w:val="left"/>
    </w:pPr>
    <w:rPr>
      <w:sz w:val="18"/>
      <w:szCs w:val="18"/>
    </w:rPr>
  </w:style>
  <w:style w:type="paragraph" w:styleId="15">
    <w:name w:val="Body Text Indent 3"/>
    <w:basedOn w:val="1"/>
    <w:link w:val="49"/>
    <w:qFormat/>
    <w:uiPriority w:val="0"/>
    <w:pPr>
      <w:spacing w:after="120"/>
      <w:ind w:left="420" w:leftChars="200"/>
    </w:pPr>
    <w:rPr>
      <w:rFonts w:ascii="Times New Roman" w:hAnsi="Times New Roman"/>
      <w:sz w:val="16"/>
      <w:szCs w:val="16"/>
    </w:rPr>
  </w:style>
  <w:style w:type="paragraph" w:styleId="16">
    <w:name w:val="Body Text First Indent"/>
    <w:basedOn w:val="6"/>
    <w:next w:val="14"/>
    <w:qFormat/>
    <w:uiPriority w:val="0"/>
    <w:pPr>
      <w:widowControl/>
      <w:spacing w:after="120" w:line="240" w:lineRule="auto"/>
      <w:ind w:firstLine="420" w:firstLineChars="100"/>
    </w:pPr>
    <w:rPr>
      <w:szCs w:val="20"/>
    </w:rPr>
  </w:style>
  <w:style w:type="paragraph" w:styleId="17">
    <w:name w:val="Body Text First Indent 2"/>
    <w:basedOn w:val="7"/>
    <w:link w:val="52"/>
    <w:unhideWhenUsed/>
    <w:qFormat/>
    <w:uiPriority w:val="99"/>
    <w:pPr>
      <w:spacing w:after="120" w:line="240" w:lineRule="auto"/>
      <w:ind w:left="420" w:leftChars="200" w:firstLine="420"/>
    </w:pPr>
    <w:rPr>
      <w:rFonts w:ascii="Calibri" w:hAnsi="Calibri"/>
      <w:sz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rPr>
      <w:rFonts w:ascii="Arial" w:hAnsi="Arial" w:eastAsia="黑体" w:cs="Arial"/>
      <w:snapToGrid w:val="0"/>
      <w:kern w:val="0"/>
      <w:szCs w:val="21"/>
    </w:rPr>
  </w:style>
  <w:style w:type="character" w:styleId="23">
    <w:name w:val="FollowedHyperlink"/>
    <w:basedOn w:val="20"/>
    <w:unhideWhenUsed/>
    <w:qFormat/>
    <w:uiPriority w:val="99"/>
    <w:rPr>
      <w:color w:val="800080"/>
      <w:u w:val="none"/>
    </w:rPr>
  </w:style>
  <w:style w:type="character" w:styleId="24">
    <w:name w:val="Hyperlink"/>
    <w:qFormat/>
    <w:uiPriority w:val="99"/>
    <w:rPr>
      <w:rFonts w:ascii="Arial" w:hAnsi="Arial" w:eastAsia="黑体" w:cs="Arial"/>
      <w:snapToGrid w:val="0"/>
      <w:color w:val="000000"/>
      <w:kern w:val="0"/>
      <w:sz w:val="18"/>
      <w:szCs w:val="18"/>
      <w:u w:val="none"/>
    </w:rPr>
  </w:style>
  <w:style w:type="paragraph" w:customStyle="1" w:styleId="25">
    <w:name w:val="_Style 3"/>
    <w:basedOn w:val="1"/>
    <w:qFormat/>
    <w:uiPriority w:val="1"/>
    <w:pPr>
      <w:ind w:firstLine="420" w:firstLineChars="200"/>
    </w:pPr>
    <w:rPr>
      <w:rFonts w:eastAsia="仿宋_GB2312"/>
      <w:sz w:val="28"/>
    </w:rPr>
  </w:style>
  <w:style w:type="paragraph" w:customStyle="1" w:styleId="26">
    <w:name w:val="列出段落1"/>
    <w:basedOn w:val="1"/>
    <w:unhideWhenUsed/>
    <w:qFormat/>
    <w:uiPriority w:val="99"/>
    <w:pPr>
      <w:ind w:firstLine="420" w:firstLineChars="200"/>
    </w:pPr>
  </w:style>
  <w:style w:type="character" w:customStyle="1" w:styleId="27">
    <w:name w:val="页眉 Char"/>
    <w:basedOn w:val="20"/>
    <w:link w:val="13"/>
    <w:qFormat/>
    <w:uiPriority w:val="99"/>
    <w:rPr>
      <w:sz w:val="18"/>
      <w:szCs w:val="18"/>
    </w:rPr>
  </w:style>
  <w:style w:type="character" w:customStyle="1" w:styleId="28">
    <w:name w:val="页脚 Char"/>
    <w:basedOn w:val="20"/>
    <w:link w:val="12"/>
    <w:qFormat/>
    <w:uiPriority w:val="99"/>
    <w:rPr>
      <w:sz w:val="18"/>
      <w:szCs w:val="18"/>
    </w:rPr>
  </w:style>
  <w:style w:type="character" w:customStyle="1" w:styleId="29">
    <w:name w:val="标题 2 Char"/>
    <w:basedOn w:val="20"/>
    <w:link w:val="2"/>
    <w:qFormat/>
    <w:uiPriority w:val="0"/>
    <w:rPr>
      <w:rFonts w:ascii="仿宋_GB2312" w:hAnsi="仿宋" w:eastAsia="仿宋_GB2312" w:cs="Times New Roman"/>
      <w:b/>
      <w:bCs/>
      <w:sz w:val="32"/>
      <w:szCs w:val="32"/>
      <w:lang w:val="zh-CN"/>
    </w:rPr>
  </w:style>
  <w:style w:type="character" w:customStyle="1" w:styleId="30">
    <w:name w:val="正文文本缩进 Char"/>
    <w:basedOn w:val="20"/>
    <w:link w:val="7"/>
    <w:qFormat/>
    <w:uiPriority w:val="0"/>
    <w:rPr>
      <w:rFonts w:ascii="宋体" w:hAnsi="宋体" w:eastAsia="宋体" w:cs="Times New Roman"/>
      <w:sz w:val="24"/>
      <w:szCs w:val="24"/>
    </w:rPr>
  </w:style>
  <w:style w:type="character" w:customStyle="1" w:styleId="31">
    <w:name w:val="日期 Char"/>
    <w:basedOn w:val="20"/>
    <w:link w:val="10"/>
    <w:qFormat/>
    <w:uiPriority w:val="0"/>
    <w:rPr>
      <w:rFonts w:ascii="宋体" w:hAnsi="Calibri" w:eastAsia="宋体" w:cs="Times New Roman"/>
      <w:sz w:val="24"/>
      <w:szCs w:val="21"/>
      <w:lang w:val="zh-CN"/>
    </w:rPr>
  </w:style>
  <w:style w:type="character" w:customStyle="1" w:styleId="32">
    <w:name w:val="纯文本 Char"/>
    <w:basedOn w:val="20"/>
    <w:link w:val="9"/>
    <w:qFormat/>
    <w:uiPriority w:val="0"/>
    <w:rPr>
      <w:rFonts w:ascii="宋体" w:hAnsi="Courier New" w:eastAsia="宋体" w:cs="Arial"/>
      <w:snapToGrid w:val="0"/>
      <w:szCs w:val="21"/>
    </w:rPr>
  </w:style>
  <w:style w:type="character" w:customStyle="1" w:styleId="33">
    <w:name w:val="正文文本 Char"/>
    <w:basedOn w:val="20"/>
    <w:link w:val="6"/>
    <w:qFormat/>
    <w:uiPriority w:val="0"/>
    <w:rPr>
      <w:rFonts w:ascii="宋体" w:hAnsi="Arial" w:eastAsia="宋体" w:cs="Arial"/>
      <w:snapToGrid w:val="0"/>
      <w:sz w:val="24"/>
      <w:szCs w:val="21"/>
      <w:lang w:val="zh-CN"/>
    </w:rPr>
  </w:style>
  <w:style w:type="paragraph" w:customStyle="1" w:styleId="34">
    <w:name w:val="索引 11"/>
    <w:basedOn w:val="1"/>
    <w:next w:val="1"/>
    <w:qFormat/>
    <w:uiPriority w:val="99"/>
    <w:pPr>
      <w:spacing w:line="360" w:lineRule="auto"/>
    </w:pPr>
    <w:rPr>
      <w:rFonts w:ascii="仿宋_GB2312" w:eastAsia="仿宋_GB2312"/>
      <w:sz w:val="24"/>
      <w:szCs w:val="20"/>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rPr>
      <w:rFonts w:ascii="宋体" w:hAnsi="Courier New"/>
      <w:kern w:val="0"/>
      <w:sz w:val="20"/>
      <w:szCs w:val="20"/>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qFormat/>
    <w:uiPriority w:val="0"/>
    <w:rPr>
      <w:rFonts w:ascii="宋体" w:hAnsi="Courier New"/>
      <w:szCs w:val="21"/>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0"/>
    <w:link w:val="3"/>
    <w:semiHidden/>
    <w:qFormat/>
    <w:uiPriority w:val="9"/>
    <w:rPr>
      <w:rFonts w:ascii="Calibri" w:hAnsi="Calibri" w:eastAsia="宋体" w:cs="Times New Roman"/>
      <w:b/>
      <w:bCs/>
      <w:sz w:val="32"/>
      <w:szCs w:val="32"/>
    </w:rPr>
  </w:style>
  <w:style w:type="character" w:customStyle="1" w:styleId="44">
    <w:name w:val="标题 4 Char"/>
    <w:basedOn w:val="20"/>
    <w:link w:val="4"/>
    <w:semiHidden/>
    <w:qFormat/>
    <w:uiPriority w:val="9"/>
    <w:rPr>
      <w:rFonts w:asciiTheme="majorHAnsi" w:hAnsiTheme="majorHAnsi" w:eastAsiaTheme="majorEastAsia" w:cstheme="majorBidi"/>
      <w:b/>
      <w:bCs/>
      <w:sz w:val="28"/>
      <w:szCs w:val="28"/>
    </w:rPr>
  </w:style>
  <w:style w:type="paragraph" w:customStyle="1" w:styleId="45">
    <w:name w:val="标题4"/>
    <w:basedOn w:val="1"/>
    <w:qFormat/>
    <w:uiPriority w:val="0"/>
    <w:rPr>
      <w:rFonts w:ascii="Times New Roman" w:hAnsi="Times New Roman" w:eastAsia="仿宋_GB2312"/>
      <w:sz w:val="32"/>
      <w:szCs w:val="20"/>
    </w:rPr>
  </w:style>
  <w:style w:type="character" w:customStyle="1" w:styleId="46">
    <w:name w:val="批注框文本 Char"/>
    <w:basedOn w:val="20"/>
    <w:link w:val="11"/>
    <w:semiHidden/>
    <w:qFormat/>
    <w:uiPriority w:val="99"/>
    <w:rPr>
      <w:rFonts w:ascii="Calibri" w:hAnsi="Calibri" w:eastAsia="宋体" w:cs="Times New Roman"/>
      <w:sz w:val="18"/>
      <w:szCs w:val="18"/>
    </w:rPr>
  </w:style>
  <w:style w:type="character" w:customStyle="1" w:styleId="47">
    <w:name w:val="List Paragraph Char"/>
    <w:link w:val="48"/>
    <w:qFormat/>
    <w:locked/>
    <w:uiPriority w:val="0"/>
    <w:rPr>
      <w:rFonts w:ascii="Times New Roman" w:hAnsi="Times New Roman"/>
      <w:szCs w:val="24"/>
    </w:rPr>
  </w:style>
  <w:style w:type="paragraph" w:customStyle="1" w:styleId="48">
    <w:name w:val="列出段落11"/>
    <w:basedOn w:val="1"/>
    <w:link w:val="47"/>
    <w:qFormat/>
    <w:uiPriority w:val="0"/>
    <w:pPr>
      <w:ind w:firstLine="420" w:firstLineChars="200"/>
    </w:pPr>
    <w:rPr>
      <w:rFonts w:ascii="Times New Roman" w:hAnsi="Times New Roman" w:eastAsiaTheme="minorEastAsia" w:cstheme="minorBidi"/>
    </w:rPr>
  </w:style>
  <w:style w:type="character" w:customStyle="1" w:styleId="49">
    <w:name w:val="正文文本缩进 3 Char"/>
    <w:basedOn w:val="20"/>
    <w:link w:val="15"/>
    <w:qFormat/>
    <w:uiPriority w:val="0"/>
    <w:rPr>
      <w:rFonts w:ascii="Times New Roman" w:hAnsi="Times New Roman" w:eastAsia="宋体" w:cs="Times New Roman"/>
      <w:kern w:val="2"/>
      <w:sz w:val="16"/>
      <w:szCs w:val="16"/>
    </w:rPr>
  </w:style>
  <w:style w:type="paragraph" w:customStyle="1" w:styleId="50">
    <w:name w:val="正文空格"/>
    <w:basedOn w:val="1"/>
    <w:next w:val="1"/>
    <w:qFormat/>
    <w:uiPriority w:val="0"/>
    <w:pPr>
      <w:spacing w:line="400" w:lineRule="exact"/>
      <w:ind w:firstLine="200" w:firstLineChars="200"/>
    </w:pPr>
    <w:rPr>
      <w:sz w:val="24"/>
      <w:szCs w:val="22"/>
    </w:rPr>
  </w:style>
  <w:style w:type="paragraph" w:customStyle="1" w:styleId="51">
    <w:name w:val="列出段落2"/>
    <w:basedOn w:val="1"/>
    <w:qFormat/>
    <w:uiPriority w:val="34"/>
    <w:pPr>
      <w:ind w:firstLine="420" w:firstLineChars="200"/>
    </w:pPr>
    <w:rPr>
      <w:kern w:val="0"/>
      <w:sz w:val="20"/>
      <w:szCs w:val="20"/>
    </w:rPr>
  </w:style>
  <w:style w:type="character" w:customStyle="1" w:styleId="52">
    <w:name w:val="正文首行缩进 2 Char"/>
    <w:basedOn w:val="30"/>
    <w:link w:val="17"/>
    <w:semiHidden/>
    <w:qFormat/>
    <w:uiPriority w:val="99"/>
    <w:rPr>
      <w:rFonts w:ascii="Calibri" w:hAnsi="Calibri" w:eastAsia="宋体" w:cs="Times New Roman"/>
      <w:kern w:val="2"/>
      <w:sz w:val="21"/>
      <w:szCs w:val="24"/>
    </w:rPr>
  </w:style>
  <w:style w:type="character" w:customStyle="1" w:styleId="53">
    <w:name w:val="font31"/>
    <w:basedOn w:val="20"/>
    <w:qFormat/>
    <w:uiPriority w:val="0"/>
    <w:rPr>
      <w:rFonts w:hint="eastAsia" w:ascii="宋体" w:hAnsi="宋体" w:eastAsia="宋体" w:cs="宋体"/>
      <w:color w:val="000000"/>
      <w:sz w:val="21"/>
      <w:szCs w:val="21"/>
      <w:u w:val="none"/>
    </w:rPr>
  </w:style>
  <w:style w:type="character" w:customStyle="1" w:styleId="54">
    <w:name w:val="textcolor1"/>
    <w:basedOn w:val="20"/>
    <w:qFormat/>
    <w:uiPriority w:val="0"/>
    <w:rPr>
      <w:color w:val="FF6600"/>
    </w:rPr>
  </w:style>
  <w:style w:type="character" w:customStyle="1" w:styleId="55">
    <w:name w:val="正文缩进 Char"/>
    <w:link w:val="5"/>
    <w:qFormat/>
    <w:uiPriority w:val="99"/>
    <w:rPr>
      <w:rFonts w:ascii="宋体" w:hAnsi="Calibri"/>
      <w:snapToGrid w:val="0"/>
      <w:color w:val="000000"/>
      <w:kern w:val="28"/>
      <w:sz w:val="28"/>
    </w:rPr>
  </w:style>
  <w:style w:type="character" w:customStyle="1" w:styleId="56">
    <w:name w:val="标题 3 Char1"/>
    <w:qFormat/>
    <w:uiPriority w:val="0"/>
    <w:rPr>
      <w:rFonts w:ascii="Calibri" w:hAnsi="Calibri" w:eastAsia="宋体"/>
      <w:b/>
      <w:bCs/>
      <w:kern w:val="2"/>
      <w:sz w:val="32"/>
      <w:szCs w:val="32"/>
      <w:lang w:val="en-US" w:eastAsia="zh-CN" w:bidi="ar-SA"/>
    </w:rPr>
  </w:style>
  <w:style w:type="paragraph" w:customStyle="1" w:styleId="57">
    <w:name w:val="正文1"/>
    <w:basedOn w:val="8"/>
    <w:next w:val="1"/>
    <w:qFormat/>
    <w:uiPriority w:val="0"/>
    <w:pPr>
      <w:tabs>
        <w:tab w:val="right" w:leader="dot" w:pos="8268"/>
      </w:tabs>
      <w:adjustRightInd w:val="0"/>
      <w:spacing w:line="318" w:lineRule="atLeast"/>
      <w:ind w:left="369" w:firstLine="369"/>
      <w:textAlignment w:val="baseline"/>
    </w:pPr>
    <w:rPr>
      <w:rFonts w:ascii="宋体"/>
      <w:szCs w:val="20"/>
    </w:rPr>
  </w:style>
  <w:style w:type="paragraph" w:customStyle="1" w:styleId="58">
    <w:name w:val="纯文本_5_0"/>
    <w:basedOn w:val="59"/>
    <w:qFormat/>
    <w:uiPriority w:val="0"/>
    <w:rPr>
      <w:rFonts w:ascii="宋体" w:hAnsi="Courier New"/>
      <w:szCs w:val="20"/>
    </w:rPr>
  </w:style>
  <w:style w:type="paragraph" w:customStyle="1" w:styleId="5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font61"/>
    <w:basedOn w:val="20"/>
    <w:qFormat/>
    <w:uiPriority w:val="0"/>
    <w:rPr>
      <w:rFonts w:hint="eastAsia" w:ascii="宋体" w:hAnsi="宋体" w:eastAsia="宋体" w:cs="宋体"/>
      <w:color w:val="000000"/>
      <w:sz w:val="18"/>
      <w:szCs w:val="18"/>
      <w:u w:val="none"/>
    </w:rPr>
  </w:style>
  <w:style w:type="character" w:customStyle="1" w:styleId="61">
    <w:name w:val="font7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11141</Words>
  <Characters>12565</Characters>
  <Lines>282</Lines>
  <Paragraphs>79</Paragraphs>
  <TotalTime>24</TotalTime>
  <ScaleCrop>false</ScaleCrop>
  <LinksUpToDate>false</LinksUpToDate>
  <CharactersWithSpaces>12974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2022-09-28T09:25:00Z</dcterms:created>
  <dc:creator>Microsoft</dc:creator>
  <cp:lastModifiedBy>一</cp:lastModifiedBy>
  <cp:lastPrinted>2024-04-19T05:09:00Z</cp:lastPrinted>
  <dcterms:modified xsi:type="dcterms:W3CDTF">2025-06-30T06:57:35Z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A12025A4C1A0495C92A5218CFCA62A79</vt:lpwstr>
  </property>
  <property fmtid="{D5CDD505-2E9C-101B-9397-08002B2CF9AE}" pid="4" name="KSOTemplateDocerSaveRecord">
    <vt:lpwstr>eyJoZGlkIjoiNGU3MzY4Zjc0ZWNjYmRkYWJhODU4Mzc2MjQ4ZWQ4ZmQiLCJ1c2VySWQiOiI4OTMxNjkyMTYifQ==</vt:lpwstr>
  </property>
</Properties>
</file>