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A9980">
      <w:pPr>
        <w:shd w:val="clear"/>
        <w:spacing w:line="360" w:lineRule="auto"/>
        <w:ind w:firstLine="960"/>
        <w:jc w:val="center"/>
        <w:rPr>
          <w:rFonts w:asciiTheme="minorEastAsia" w:hAnsiTheme="minorEastAsia" w:eastAsiaTheme="minorEastAsia" w:cstheme="minorEastAsia"/>
          <w:color w:val="auto"/>
          <w:sz w:val="48"/>
          <w:szCs w:val="48"/>
          <w:highlight w:val="none"/>
        </w:rPr>
      </w:pPr>
      <w:bookmarkStart w:id="645" w:name="_GoBack"/>
    </w:p>
    <w:p w14:paraId="2E2F9559">
      <w:pPr>
        <w:shd w:val="clear"/>
        <w:ind w:firstLine="1764"/>
        <w:rPr>
          <w:rFonts w:ascii="黑体" w:hAnsi="黑体" w:eastAsia="黑体" w:cs="宋体"/>
          <w:color w:val="auto"/>
          <w:sz w:val="72"/>
          <w:szCs w:val="72"/>
          <w:highlight w:val="none"/>
        </w:rPr>
      </w:pPr>
      <w:r>
        <w:rPr>
          <w:rFonts w:hint="eastAsia" w:ascii="黑体" w:hAnsi="黑体" w:eastAsia="黑体" w:cs="宋体"/>
          <w:color w:val="auto"/>
          <w:sz w:val="72"/>
          <w:szCs w:val="72"/>
          <w:highlight w:val="none"/>
        </w:rPr>
        <w:t>竞争性磋商采购文件</w:t>
      </w:r>
    </w:p>
    <w:p w14:paraId="1BCB8541">
      <w:pPr>
        <w:shd w:val="clear"/>
        <w:ind w:firstLine="883"/>
        <w:jc w:val="center"/>
        <w:rPr>
          <w:rFonts w:ascii="宋体" w:hAnsi="宋体" w:cs="宋体"/>
          <w:b/>
          <w:color w:val="auto"/>
          <w:sz w:val="44"/>
          <w:szCs w:val="44"/>
          <w:highlight w:val="none"/>
        </w:rPr>
      </w:pPr>
      <w:r>
        <w:rPr>
          <w:rFonts w:hint="eastAsia" w:ascii="宋体" w:hAnsi="宋体" w:cs="宋体"/>
          <w:b/>
          <w:color w:val="auto"/>
          <w:sz w:val="44"/>
          <w:szCs w:val="44"/>
          <w:highlight w:val="none"/>
        </w:rPr>
        <w:t>（国企采购服务类）</w:t>
      </w:r>
    </w:p>
    <w:p w14:paraId="25EF4D08">
      <w:pPr>
        <w:shd w:val="clear"/>
        <w:ind w:firstLine="600"/>
        <w:rPr>
          <w:rFonts w:ascii="宋体" w:hAnsi="宋体" w:cs="宋体"/>
          <w:color w:val="auto"/>
          <w:sz w:val="30"/>
          <w:szCs w:val="30"/>
          <w:highlight w:val="none"/>
        </w:rPr>
      </w:pPr>
    </w:p>
    <w:p w14:paraId="3D34B283">
      <w:pPr>
        <w:shd w:val="clear"/>
        <w:ind w:firstLine="600"/>
        <w:rPr>
          <w:rFonts w:ascii="宋体" w:hAnsi="宋体" w:cs="宋体"/>
          <w:color w:val="auto"/>
          <w:sz w:val="30"/>
          <w:szCs w:val="30"/>
          <w:highlight w:val="none"/>
        </w:rPr>
      </w:pPr>
    </w:p>
    <w:p w14:paraId="14F41774">
      <w:pPr>
        <w:shd w:val="clear"/>
        <w:ind w:firstLine="600"/>
        <w:rPr>
          <w:rFonts w:ascii="宋体" w:hAnsi="宋体" w:cs="宋体"/>
          <w:color w:val="auto"/>
          <w:sz w:val="30"/>
          <w:szCs w:val="30"/>
          <w:highlight w:val="none"/>
        </w:rPr>
      </w:pPr>
    </w:p>
    <w:p w14:paraId="272D5A06">
      <w:pPr>
        <w:shd w:val="clear"/>
        <w:ind w:firstLine="600"/>
        <w:rPr>
          <w:rFonts w:ascii="宋体" w:hAnsi="宋体" w:cs="宋体"/>
          <w:color w:val="auto"/>
          <w:sz w:val="30"/>
          <w:szCs w:val="30"/>
          <w:highlight w:val="none"/>
        </w:rPr>
      </w:pPr>
    </w:p>
    <w:p w14:paraId="0A4F2364">
      <w:pPr>
        <w:shd w:val="clear"/>
        <w:ind w:firstLine="600"/>
        <w:rPr>
          <w:rFonts w:ascii="宋体" w:hAnsi="宋体" w:cs="宋体"/>
          <w:color w:val="auto"/>
          <w:sz w:val="30"/>
          <w:szCs w:val="30"/>
          <w:highlight w:val="none"/>
        </w:rPr>
      </w:pPr>
    </w:p>
    <w:p w14:paraId="6151C9D7">
      <w:pPr>
        <w:pStyle w:val="70"/>
        <w:shd w:val="clear"/>
        <w:rPr>
          <w:color w:val="auto"/>
          <w:highlight w:val="none"/>
          <w:lang w:val="en-US"/>
        </w:rPr>
      </w:pPr>
    </w:p>
    <w:p w14:paraId="7BF71DC0">
      <w:pPr>
        <w:pStyle w:val="70"/>
        <w:shd w:val="clear"/>
        <w:rPr>
          <w:color w:val="auto"/>
          <w:highlight w:val="none"/>
          <w:lang w:val="en-US"/>
        </w:rPr>
      </w:pPr>
    </w:p>
    <w:p w14:paraId="58CEA7AE">
      <w:pPr>
        <w:pStyle w:val="70"/>
        <w:shd w:val="clear"/>
        <w:rPr>
          <w:color w:val="auto"/>
          <w:highlight w:val="none"/>
          <w:lang w:val="en-US"/>
        </w:rPr>
      </w:pPr>
    </w:p>
    <w:p w14:paraId="7DA591E6">
      <w:pPr>
        <w:pStyle w:val="70"/>
        <w:shd w:val="clear"/>
        <w:rPr>
          <w:color w:val="auto"/>
          <w:highlight w:val="none"/>
          <w:lang w:val="en-US"/>
        </w:rPr>
      </w:pPr>
    </w:p>
    <w:p w14:paraId="2F5F6647">
      <w:pPr>
        <w:shd w:val="clear"/>
        <w:ind w:firstLine="600"/>
        <w:rPr>
          <w:rFonts w:ascii="宋体" w:hAnsi="宋体" w:cs="宋体"/>
          <w:color w:val="auto"/>
          <w:sz w:val="30"/>
          <w:szCs w:val="30"/>
          <w:highlight w:val="none"/>
        </w:rPr>
      </w:pPr>
    </w:p>
    <w:p w14:paraId="0FD99E51">
      <w:pPr>
        <w:shd w:val="clear"/>
        <w:spacing w:line="500" w:lineRule="exact"/>
        <w:ind w:left="1981" w:leftChars="269" w:hanging="1416" w:hangingChars="472"/>
        <w:rPr>
          <w:color w:val="auto"/>
          <w:highlight w:val="none"/>
        </w:rPr>
      </w:pPr>
      <w:r>
        <w:rPr>
          <w:rFonts w:hint="eastAsia" w:ascii="宋体" w:hAnsi="宋体" w:cs="宋体"/>
          <w:color w:val="auto"/>
          <w:sz w:val="30"/>
          <w:szCs w:val="30"/>
          <w:highlight w:val="none"/>
        </w:rPr>
        <w:t>项目名称：</w:t>
      </w:r>
      <w:bookmarkStart w:id="0" w:name="OLE_LINK1"/>
      <w:bookmarkStart w:id="1" w:name="OLE_LINK2"/>
      <w:r>
        <w:rPr>
          <w:rFonts w:hint="eastAsia" w:ascii="宋体" w:hAnsi="宋体" w:cs="宋体"/>
          <w:color w:val="auto"/>
          <w:sz w:val="30"/>
          <w:szCs w:val="30"/>
          <w:highlight w:val="none"/>
          <w:u w:val="single"/>
        </w:rPr>
        <w:t>年产950万件新型电子元器件生产项目招标控制价及预算编制服务项目</w:t>
      </w:r>
    </w:p>
    <w:bookmarkEnd w:id="0"/>
    <w:bookmarkEnd w:id="1"/>
    <w:p w14:paraId="6AE6F7FA">
      <w:pPr>
        <w:shd w:val="clear"/>
        <w:spacing w:line="500" w:lineRule="exact"/>
        <w:ind w:left="2775" w:leftChars="270" w:hanging="2208" w:hangingChars="736"/>
        <w:rPr>
          <w:rFonts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rPr>
        <w:t>FHGQZB(2025)181D</w:t>
      </w:r>
    </w:p>
    <w:p w14:paraId="40BDB8FB">
      <w:pPr>
        <w:shd w:val="clear"/>
        <w:spacing w:line="500" w:lineRule="exact"/>
        <w:ind w:left="1981" w:leftChars="269" w:hanging="1416" w:hangingChars="472"/>
        <w:rPr>
          <w:rFonts w:ascii="宋体" w:hAnsi="宋体" w:cs="宋体"/>
          <w:color w:val="auto"/>
          <w:sz w:val="30"/>
          <w:szCs w:val="30"/>
          <w:highlight w:val="none"/>
          <w:u w:val="single"/>
        </w:rPr>
      </w:pPr>
      <w:r>
        <w:rPr>
          <w:rFonts w:hint="eastAsia" w:ascii="宋体" w:hAnsi="宋体" w:cs="宋体"/>
          <w:color w:val="auto"/>
          <w:sz w:val="30"/>
          <w:szCs w:val="30"/>
          <w:highlight w:val="none"/>
        </w:rPr>
        <w:t>采购单位：</w:t>
      </w:r>
      <w:r>
        <w:rPr>
          <w:rFonts w:hint="eastAsia" w:ascii="宋体" w:hAnsi="宋体" w:cs="宋体"/>
          <w:color w:val="auto"/>
          <w:sz w:val="30"/>
          <w:szCs w:val="30"/>
          <w:highlight w:val="none"/>
          <w:u w:val="single"/>
        </w:rPr>
        <w:t>宁波锦铭科技有限公司</w:t>
      </w:r>
    </w:p>
    <w:p w14:paraId="100CF0EB">
      <w:pPr>
        <w:shd w:val="clear"/>
        <w:spacing w:line="500" w:lineRule="exact"/>
        <w:ind w:left="2775" w:leftChars="270" w:hanging="2208" w:hangingChars="736"/>
        <w:rPr>
          <w:rFonts w:ascii="宋体" w:hAnsi="宋体" w:cs="宋体"/>
          <w:color w:val="auto"/>
          <w:sz w:val="30"/>
          <w:szCs w:val="30"/>
          <w:highlight w:val="none"/>
        </w:rPr>
      </w:pPr>
      <w:r>
        <w:rPr>
          <w:rFonts w:hint="eastAsia" w:ascii="宋体" w:hAnsi="宋体" w:cs="宋体"/>
          <w:color w:val="auto"/>
          <w:sz w:val="30"/>
          <w:szCs w:val="30"/>
          <w:highlight w:val="none"/>
        </w:rPr>
        <w:t>代理机构：</w:t>
      </w:r>
      <w:r>
        <w:rPr>
          <w:rFonts w:hint="eastAsia" w:ascii="宋体" w:hAnsi="宋体" w:cs="宋体"/>
          <w:color w:val="auto"/>
          <w:sz w:val="30"/>
          <w:szCs w:val="30"/>
          <w:highlight w:val="none"/>
          <w:u w:val="single"/>
        </w:rPr>
        <w:t>宁波敬信项目管理咨询有限公司</w:t>
      </w:r>
    </w:p>
    <w:p w14:paraId="7D0885F6">
      <w:pPr>
        <w:shd w:val="clear"/>
        <w:ind w:firstLine="600"/>
        <w:rPr>
          <w:rFonts w:ascii="宋体" w:hAnsi="宋体" w:cs="宋体"/>
          <w:color w:val="auto"/>
          <w:sz w:val="30"/>
          <w:szCs w:val="30"/>
          <w:highlight w:val="none"/>
        </w:rPr>
      </w:pPr>
    </w:p>
    <w:p w14:paraId="47F69692">
      <w:pPr>
        <w:shd w:val="clear"/>
        <w:ind w:firstLine="600"/>
        <w:rPr>
          <w:rFonts w:ascii="宋体" w:hAnsi="宋体" w:cs="宋体"/>
          <w:color w:val="auto"/>
          <w:sz w:val="30"/>
          <w:szCs w:val="30"/>
          <w:highlight w:val="none"/>
        </w:rPr>
      </w:pPr>
    </w:p>
    <w:p w14:paraId="400CF64E">
      <w:pPr>
        <w:shd w:val="clear"/>
        <w:tabs>
          <w:tab w:val="left" w:pos="3763"/>
        </w:tabs>
        <w:ind w:firstLine="600"/>
        <w:rPr>
          <w:rFonts w:ascii="宋体" w:hAnsi="宋体" w:cs="宋体"/>
          <w:color w:val="auto"/>
          <w:sz w:val="30"/>
          <w:szCs w:val="30"/>
          <w:highlight w:val="none"/>
        </w:rPr>
      </w:pPr>
      <w:r>
        <w:rPr>
          <w:rFonts w:ascii="宋体" w:hAnsi="宋体" w:cs="宋体"/>
          <w:color w:val="auto"/>
          <w:sz w:val="30"/>
          <w:szCs w:val="30"/>
          <w:highlight w:val="none"/>
        </w:rPr>
        <w:tab/>
      </w:r>
    </w:p>
    <w:p w14:paraId="358E1FE5">
      <w:pPr>
        <w:pStyle w:val="35"/>
        <w:shd w:val="clear"/>
        <w:rPr>
          <w:color w:val="auto"/>
          <w:highlight w:val="none"/>
        </w:rPr>
      </w:pPr>
    </w:p>
    <w:p w14:paraId="615FF358">
      <w:pPr>
        <w:pStyle w:val="35"/>
        <w:shd w:val="clear"/>
        <w:rPr>
          <w:color w:val="auto"/>
          <w:highlight w:val="none"/>
        </w:rPr>
      </w:pPr>
    </w:p>
    <w:p w14:paraId="1DC9DC68">
      <w:pPr>
        <w:pStyle w:val="35"/>
        <w:shd w:val="clear"/>
        <w:rPr>
          <w:color w:val="auto"/>
          <w:highlight w:val="none"/>
        </w:rPr>
      </w:pPr>
    </w:p>
    <w:p w14:paraId="500553C7">
      <w:pPr>
        <w:pStyle w:val="35"/>
        <w:shd w:val="clear"/>
        <w:rPr>
          <w:color w:val="auto"/>
          <w:highlight w:val="none"/>
        </w:rPr>
      </w:pPr>
    </w:p>
    <w:p w14:paraId="602A1CAD">
      <w:pPr>
        <w:pStyle w:val="35"/>
        <w:shd w:val="clear"/>
        <w:rPr>
          <w:color w:val="auto"/>
          <w:highlight w:val="none"/>
        </w:rPr>
      </w:pPr>
    </w:p>
    <w:p w14:paraId="21919B84">
      <w:pPr>
        <w:shd w:val="clear"/>
        <w:ind w:firstLine="600"/>
        <w:rPr>
          <w:rFonts w:ascii="宋体" w:hAnsi="宋体" w:cs="宋体"/>
          <w:color w:val="auto"/>
          <w:sz w:val="30"/>
          <w:szCs w:val="30"/>
          <w:highlight w:val="none"/>
        </w:rPr>
      </w:pPr>
    </w:p>
    <w:p w14:paraId="65C242C0">
      <w:pPr>
        <w:shd w:val="clea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宋体" w:hAnsi="宋体" w:cs="宋体"/>
          <w:color w:val="auto"/>
          <w:sz w:val="36"/>
          <w:szCs w:val="36"/>
          <w:highlight w:val="none"/>
        </w:rPr>
        <w:t>二〇二五年</w:t>
      </w:r>
    </w:p>
    <w:p w14:paraId="1F8477D4">
      <w:pPr>
        <w:shd w:val="clear"/>
        <w:spacing w:line="360" w:lineRule="auto"/>
        <w:ind w:firstLine="480"/>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color w:val="auto"/>
          <w:sz w:val="24"/>
          <w:highlight w:val="none"/>
        </w:rPr>
        <w:br w:type="page"/>
      </w:r>
      <w:bookmarkStart w:id="2" w:name="_Hlt67893495"/>
      <w:bookmarkEnd w:id="2"/>
      <w:r>
        <w:rPr>
          <w:rFonts w:hint="eastAsia" w:asciiTheme="minorEastAsia" w:hAnsiTheme="minorEastAsia" w:eastAsiaTheme="minorEastAsia" w:cstheme="minorEastAsia"/>
          <w:b/>
          <w:color w:val="auto"/>
          <w:sz w:val="48"/>
          <w:szCs w:val="48"/>
          <w:highlight w:val="none"/>
        </w:rPr>
        <w:t>目  录</w:t>
      </w:r>
    </w:p>
    <w:p w14:paraId="0134D155">
      <w:pPr>
        <w:shd w:val="clear"/>
        <w:spacing w:line="360" w:lineRule="auto"/>
        <w:ind w:firstLine="640"/>
        <w:rPr>
          <w:rFonts w:asciiTheme="minorEastAsia" w:hAnsiTheme="minorEastAsia" w:eastAsiaTheme="minorEastAsia" w:cstheme="minorEastAsia"/>
          <w:color w:val="auto"/>
          <w:sz w:val="32"/>
          <w:szCs w:val="32"/>
          <w:highlight w:val="none"/>
        </w:rPr>
      </w:pPr>
    </w:p>
    <w:p w14:paraId="2F1F0682">
      <w:pPr>
        <w:shd w:val="clear"/>
        <w:spacing w:line="360" w:lineRule="auto"/>
        <w:ind w:firstLine="640"/>
        <w:rPr>
          <w:rFonts w:asciiTheme="minorEastAsia" w:hAnsiTheme="minorEastAsia" w:eastAsiaTheme="minorEastAsia" w:cstheme="minorEastAsia"/>
          <w:color w:val="auto"/>
          <w:sz w:val="32"/>
          <w:szCs w:val="32"/>
          <w:highlight w:val="none"/>
        </w:rPr>
      </w:pPr>
    </w:p>
    <w:p w14:paraId="00A3ADC0">
      <w:pPr>
        <w:shd w:val="clear"/>
        <w:spacing w:line="360" w:lineRule="auto"/>
        <w:ind w:firstLine="732" w:firstLineChars="229"/>
        <w:rPr>
          <w:rFonts w:asciiTheme="minorEastAsia" w:hAnsiTheme="minorEastAsia" w:eastAsiaTheme="minorEastAsia" w:cstheme="minorEastAsia"/>
          <w:color w:val="auto"/>
          <w:sz w:val="32"/>
          <w:szCs w:val="32"/>
          <w:highlight w:val="none"/>
        </w:rPr>
      </w:pPr>
      <w:bookmarkStart w:id="3" w:name="_Hlt91233176"/>
      <w:bookmarkEnd w:id="3"/>
      <w:bookmarkStart w:id="4" w:name="_Toc91899869"/>
      <w:r>
        <w:rPr>
          <w:rFonts w:hint="eastAsia" w:asciiTheme="minorEastAsia" w:hAnsiTheme="minorEastAsia" w:eastAsiaTheme="minorEastAsia" w:cstheme="minorEastAsia"/>
          <w:color w:val="auto"/>
          <w:sz w:val="32"/>
          <w:szCs w:val="32"/>
          <w:highlight w:val="none"/>
        </w:rPr>
        <w:t>第一部分  竞争性磋商公告</w:t>
      </w:r>
    </w:p>
    <w:p w14:paraId="1475CC73">
      <w:pPr>
        <w:shd w:val="clea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响应须知</w:t>
      </w:r>
    </w:p>
    <w:p w14:paraId="1CBBDC52">
      <w:pPr>
        <w:shd w:val="clea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147E2A3C">
      <w:pPr>
        <w:shd w:val="clea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评审办法</w:t>
      </w:r>
    </w:p>
    <w:p w14:paraId="0C9CD402">
      <w:pPr>
        <w:shd w:val="clea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合同文本</w:t>
      </w:r>
    </w:p>
    <w:p w14:paraId="554CAD86">
      <w:pPr>
        <w:shd w:val="clear"/>
        <w:spacing w:line="360" w:lineRule="auto"/>
        <w:ind w:firstLine="732" w:firstLineChars="22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48DF258E">
      <w:pPr>
        <w:shd w:val="clear"/>
        <w:spacing w:line="360" w:lineRule="auto"/>
        <w:ind w:firstLine="549" w:firstLineChars="229"/>
        <w:rPr>
          <w:rFonts w:asciiTheme="minorEastAsia" w:hAnsiTheme="minorEastAsia" w:eastAsiaTheme="minorEastAsia" w:cstheme="minorEastAsia"/>
          <w:color w:val="auto"/>
          <w:sz w:val="24"/>
          <w:highlight w:val="none"/>
        </w:rPr>
      </w:pPr>
    </w:p>
    <w:p w14:paraId="3F0D38B4">
      <w:pPr>
        <w:shd w:val="clear"/>
        <w:spacing w:line="360" w:lineRule="auto"/>
        <w:ind w:firstLine="549" w:firstLineChars="229"/>
        <w:rPr>
          <w:rFonts w:asciiTheme="minorEastAsia" w:hAnsiTheme="minorEastAsia" w:eastAsiaTheme="minorEastAsia" w:cstheme="minorEastAsia"/>
          <w:color w:val="auto"/>
          <w:sz w:val="24"/>
          <w:highlight w:val="none"/>
        </w:rPr>
      </w:pPr>
    </w:p>
    <w:p w14:paraId="20A0175F">
      <w:pPr>
        <w:shd w:val="clear"/>
        <w:spacing w:line="360" w:lineRule="auto"/>
        <w:ind w:firstLine="549" w:firstLineChars="229"/>
        <w:rPr>
          <w:rFonts w:asciiTheme="minorEastAsia" w:hAnsiTheme="minorEastAsia" w:eastAsiaTheme="minorEastAsia" w:cstheme="minorEastAsia"/>
          <w:color w:val="auto"/>
          <w:sz w:val="24"/>
          <w:highlight w:val="none"/>
        </w:rPr>
      </w:pPr>
    </w:p>
    <w:p w14:paraId="77FBF948">
      <w:pPr>
        <w:shd w:val="clear"/>
        <w:spacing w:line="360" w:lineRule="auto"/>
        <w:ind w:firstLine="549" w:firstLineChars="229"/>
        <w:rPr>
          <w:rFonts w:asciiTheme="minorEastAsia" w:hAnsiTheme="minorEastAsia" w:eastAsiaTheme="minorEastAsia" w:cstheme="minorEastAsia"/>
          <w:color w:val="auto"/>
          <w:sz w:val="24"/>
          <w:highlight w:val="none"/>
        </w:rPr>
      </w:pPr>
    </w:p>
    <w:p w14:paraId="435D68F4">
      <w:pPr>
        <w:shd w:val="clear"/>
        <w:spacing w:line="360" w:lineRule="auto"/>
        <w:ind w:firstLine="549" w:firstLineChars="229"/>
        <w:rPr>
          <w:rFonts w:asciiTheme="minorEastAsia" w:hAnsiTheme="minorEastAsia" w:eastAsiaTheme="minorEastAsia" w:cstheme="minorEastAsia"/>
          <w:color w:val="auto"/>
          <w:sz w:val="24"/>
          <w:highlight w:val="none"/>
        </w:rPr>
      </w:pPr>
    </w:p>
    <w:p w14:paraId="18B7A16B">
      <w:pPr>
        <w:shd w:val="clear"/>
        <w:spacing w:line="360" w:lineRule="auto"/>
        <w:ind w:firstLine="549" w:firstLineChars="229"/>
        <w:rPr>
          <w:rFonts w:asciiTheme="minorEastAsia" w:hAnsiTheme="minorEastAsia" w:eastAsiaTheme="minorEastAsia" w:cstheme="minorEastAsia"/>
          <w:color w:val="auto"/>
          <w:sz w:val="24"/>
          <w:highlight w:val="none"/>
        </w:rPr>
      </w:pPr>
    </w:p>
    <w:p w14:paraId="12FC827F">
      <w:pPr>
        <w:shd w:val="clear"/>
        <w:spacing w:line="360" w:lineRule="auto"/>
        <w:ind w:firstLine="549" w:firstLineChars="229"/>
        <w:rPr>
          <w:rFonts w:asciiTheme="minorEastAsia" w:hAnsiTheme="minorEastAsia" w:eastAsiaTheme="minorEastAsia" w:cstheme="minorEastAsia"/>
          <w:color w:val="auto"/>
          <w:sz w:val="24"/>
          <w:highlight w:val="none"/>
        </w:rPr>
      </w:pPr>
    </w:p>
    <w:p w14:paraId="13BA938C">
      <w:pPr>
        <w:shd w:val="clear"/>
        <w:spacing w:line="360" w:lineRule="auto"/>
        <w:ind w:firstLine="549" w:firstLineChars="229"/>
        <w:rPr>
          <w:rFonts w:asciiTheme="minorEastAsia" w:hAnsiTheme="minorEastAsia" w:eastAsiaTheme="minorEastAsia" w:cstheme="minorEastAsia"/>
          <w:color w:val="auto"/>
          <w:sz w:val="24"/>
          <w:highlight w:val="none"/>
        </w:rPr>
      </w:pPr>
    </w:p>
    <w:p w14:paraId="290349CE">
      <w:pPr>
        <w:shd w:val="clear"/>
        <w:spacing w:line="360" w:lineRule="auto"/>
        <w:ind w:firstLine="549" w:firstLineChars="229"/>
        <w:rPr>
          <w:rFonts w:asciiTheme="minorEastAsia" w:hAnsiTheme="minorEastAsia" w:eastAsiaTheme="minorEastAsia" w:cstheme="minorEastAsia"/>
          <w:color w:val="auto"/>
          <w:sz w:val="24"/>
          <w:highlight w:val="none"/>
        </w:rPr>
      </w:pPr>
    </w:p>
    <w:p w14:paraId="0547CB45">
      <w:pPr>
        <w:shd w:val="clear"/>
        <w:spacing w:line="360" w:lineRule="auto"/>
        <w:ind w:firstLine="549" w:firstLineChars="229"/>
        <w:rPr>
          <w:rFonts w:asciiTheme="minorEastAsia" w:hAnsiTheme="minorEastAsia" w:eastAsiaTheme="minorEastAsia" w:cstheme="minorEastAsia"/>
          <w:color w:val="auto"/>
          <w:sz w:val="24"/>
          <w:highlight w:val="none"/>
        </w:rPr>
      </w:pPr>
    </w:p>
    <w:p w14:paraId="72333B57">
      <w:pPr>
        <w:shd w:val="clear"/>
        <w:spacing w:line="360" w:lineRule="auto"/>
        <w:ind w:firstLine="549" w:firstLineChars="229"/>
        <w:rPr>
          <w:rFonts w:asciiTheme="minorEastAsia" w:hAnsiTheme="minorEastAsia" w:eastAsiaTheme="minorEastAsia" w:cstheme="minorEastAsia"/>
          <w:color w:val="auto"/>
          <w:sz w:val="24"/>
          <w:highlight w:val="none"/>
        </w:rPr>
      </w:pPr>
    </w:p>
    <w:p w14:paraId="776126CD">
      <w:pPr>
        <w:shd w:val="clear"/>
        <w:spacing w:line="360" w:lineRule="auto"/>
        <w:ind w:firstLine="549" w:firstLineChars="229"/>
        <w:rPr>
          <w:rFonts w:asciiTheme="minorEastAsia" w:hAnsiTheme="minorEastAsia" w:eastAsiaTheme="minorEastAsia" w:cstheme="minorEastAsia"/>
          <w:color w:val="auto"/>
          <w:sz w:val="24"/>
          <w:highlight w:val="none"/>
        </w:rPr>
      </w:pPr>
    </w:p>
    <w:p w14:paraId="7D9D5C9E">
      <w:pPr>
        <w:shd w:val="clear"/>
        <w:spacing w:line="360" w:lineRule="auto"/>
        <w:ind w:firstLine="480"/>
        <w:rPr>
          <w:rFonts w:asciiTheme="minorEastAsia" w:hAnsiTheme="minorEastAsia" w:eastAsiaTheme="minorEastAsia" w:cstheme="minorEastAsia"/>
          <w:color w:val="auto"/>
          <w:sz w:val="24"/>
          <w:highlight w:val="none"/>
        </w:rPr>
      </w:pPr>
    </w:p>
    <w:p w14:paraId="7898A4C0">
      <w:pPr>
        <w:shd w:val="clear"/>
        <w:spacing w:line="360" w:lineRule="auto"/>
        <w:ind w:firstLine="723"/>
        <w:jc w:val="center"/>
        <w:outlineLvl w:val="0"/>
        <w:rPr>
          <w:rFonts w:asciiTheme="minorEastAsia" w:hAnsiTheme="minorEastAsia" w:eastAsiaTheme="minorEastAsia" w:cstheme="minorEastAsia"/>
          <w:b/>
          <w:color w:val="auto"/>
          <w:sz w:val="24"/>
          <w:highlight w:val="none"/>
        </w:rPr>
      </w:pPr>
      <w:bookmarkStart w:id="5" w:name="第一部分"/>
      <w:r>
        <w:rPr>
          <w:rFonts w:hint="eastAsia" w:asciiTheme="minorEastAsia" w:hAnsiTheme="minorEastAsia" w:eastAsiaTheme="minorEastAsia" w:cstheme="minorEastAsia"/>
          <w:b/>
          <w:color w:val="auto"/>
          <w:sz w:val="36"/>
          <w:szCs w:val="36"/>
          <w:highlight w:val="none"/>
        </w:rPr>
        <w:br w:type="page"/>
      </w:r>
      <w:bookmarkEnd w:id="4"/>
      <w:bookmarkEnd w:id="5"/>
      <w:bookmarkStart w:id="6" w:name="_Hlt74728647"/>
      <w:bookmarkEnd w:id="6"/>
      <w:bookmarkStart w:id="7" w:name="_Hlt74729822"/>
      <w:bookmarkEnd w:id="7"/>
      <w:bookmarkStart w:id="8" w:name="_Hlt74649545"/>
      <w:bookmarkEnd w:id="8"/>
      <w:bookmarkStart w:id="9" w:name="_Hlt74707423"/>
      <w:bookmarkEnd w:id="9"/>
      <w:bookmarkStart w:id="10" w:name="第二部分"/>
      <w:bookmarkStart w:id="11" w:name="_Toc91899870"/>
      <w:bookmarkStart w:id="12" w:name="_Toc91899871"/>
      <w:r>
        <w:rPr>
          <w:rFonts w:hint="eastAsia" w:asciiTheme="minorEastAsia" w:hAnsiTheme="minorEastAsia" w:eastAsiaTheme="minorEastAsia" w:cstheme="minorEastAsia"/>
          <w:b/>
          <w:color w:val="auto"/>
          <w:sz w:val="36"/>
          <w:szCs w:val="20"/>
          <w:highlight w:val="none"/>
        </w:rPr>
        <w:t>第一部分 竞争性磋商公告</w:t>
      </w:r>
    </w:p>
    <w:p w14:paraId="14F4A59A">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386299EE">
      <w:pPr>
        <w:pBdr>
          <w:top w:val="single" w:color="auto" w:sz="4" w:space="1"/>
          <w:left w:val="single" w:color="auto" w:sz="4" w:space="4"/>
          <w:bottom w:val="single" w:color="auto" w:sz="4" w:space="1"/>
          <w:right w:val="single" w:color="auto" w:sz="4" w:space="4"/>
        </w:pBdr>
        <w:shd w:val="clear"/>
        <w:wordWrap w:val="0"/>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年产950万件新型电子元器件生产项目招标控制价及预算编制服务项目的潜在供应商应在</w:t>
      </w:r>
      <w:bookmarkStart w:id="13" w:name="OLE_LINK11"/>
      <w:r>
        <w:rPr>
          <w:rFonts w:hint="eastAsia" w:ascii="宋体" w:hAnsi="宋体" w:cs="宋体"/>
          <w:color w:val="auto"/>
          <w:szCs w:val="21"/>
          <w:highlight w:val="none"/>
        </w:rPr>
        <w:t>乐采云平台</w:t>
      </w:r>
      <w:bookmarkEnd w:id="13"/>
      <w:r>
        <w:rPr>
          <w:rFonts w:hint="eastAsia" w:ascii="宋体" w:hAnsi="宋体" w:cs="宋体"/>
          <w:color w:val="auto"/>
          <w:szCs w:val="21"/>
          <w:highlight w:val="none"/>
        </w:rPr>
        <w:t>（</w:t>
      </w:r>
      <w:bookmarkStart w:id="14" w:name="OLE_LINK10"/>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"https://www.lecaiyun.com/</w:instrText>
      </w:r>
      <w:r>
        <w:rPr>
          <w:rFonts w:hint="eastAsia" w:ascii="宋体" w:hAnsi="宋体" w:cs="宋体"/>
          <w:color w:val="auto"/>
          <w:szCs w:val="21"/>
          <w:highlight w:val="none"/>
        </w:rPr>
        <w:instrText xml:space="preserve">）获取（下载）采购文件，并于202</w:instrText>
      </w:r>
      <w:r>
        <w:rPr>
          <w:rFonts w:hint="eastAsia" w:ascii="宋体" w:hAnsi="宋体" w:eastAsia="黑体" w:cs="宋体"/>
          <w:color w:val="auto"/>
          <w:szCs w:val="21"/>
          <w:highlight w:val="none"/>
        </w:rPr>
        <w:instrText xml:space="preserve">5</w:instrText>
      </w:r>
      <w:r>
        <w:rPr>
          <w:rFonts w:hint="eastAsia" w:ascii="宋体" w:hAnsi="宋体" w:cs="宋体"/>
          <w:color w:val="auto"/>
          <w:szCs w:val="21"/>
          <w:highlight w:val="none"/>
        </w:rPr>
        <w:instrText xml:space="preserve">年</w:instrText>
      </w:r>
      <w:r>
        <w:rPr>
          <w:rFonts w:hint="eastAsia" w:ascii="宋体" w:hAnsi="宋体" w:eastAsia="黑体" w:cs="宋体"/>
          <w:color w:val="auto"/>
          <w:szCs w:val="21"/>
          <w:highlight w:val="none"/>
        </w:rPr>
        <w:instrText xml:space="preserve">00</w:instrText>
      </w:r>
      <w:r>
        <w:rPr>
          <w:rFonts w:hint="eastAsia" w:ascii="宋体" w:hAnsi="宋体" w:cs="宋体"/>
          <w:color w:val="auto"/>
          <w:szCs w:val="21"/>
          <w:highlight w:val="none"/>
        </w:rPr>
        <w:instrText xml:space="preserve">月</w:instrText>
      </w:r>
      <w:r>
        <w:rPr>
          <w:rFonts w:hint="eastAsia" w:ascii="宋体" w:hAnsi="宋体" w:eastAsia="黑体" w:cs="宋体"/>
          <w:color w:val="auto"/>
          <w:szCs w:val="21"/>
          <w:highlight w:val="none"/>
        </w:rPr>
        <w:instrText xml:space="preserve">00</w:instrText>
      </w:r>
      <w:r>
        <w:rPr>
          <w:rFonts w:hint="eastAsia" w:ascii="宋体" w:hAnsi="宋体" w:cs="宋体"/>
          <w:color w:val="auto"/>
          <w:szCs w:val="21"/>
          <w:highlight w:val="none"/>
        </w:rPr>
        <w:instrText xml:space="preserve">日</w:instrText>
      </w:r>
      <w:r>
        <w:rPr>
          <w:rFonts w:hint="eastAsia" w:ascii="宋体" w:hAnsi="宋体" w:eastAsia="黑体" w:cs="宋体"/>
          <w:color w:val="auto"/>
          <w:szCs w:val="21"/>
          <w:highlight w:val="none"/>
        </w:rPr>
        <w:instrText xml:space="preserve">14</w:instrText>
      </w:r>
      <w:r>
        <w:rPr>
          <w:rFonts w:hint="eastAsia" w:ascii="宋体" w:hAnsi="宋体" w:cs="宋体"/>
          <w:color w:val="auto"/>
          <w:szCs w:val="21"/>
          <w:highlight w:val="none"/>
        </w:rPr>
        <w:instrText xml:space="preserve">点</w:instrText>
      </w:r>
      <w:r>
        <w:rPr>
          <w:rFonts w:hint="eastAsia" w:ascii="宋体" w:hAnsi="宋体" w:eastAsia="黑体" w:cs="宋体"/>
          <w:color w:val="auto"/>
          <w:szCs w:val="21"/>
          <w:highlight w:val="none"/>
        </w:rPr>
        <w:instrText xml:space="preserve">0</w:instrText>
      </w:r>
      <w:r>
        <w:rPr>
          <w:rFonts w:hint="eastAsia" w:ascii="宋体" w:hAnsi="宋体" w:cs="宋体"/>
          <w:color w:val="auto"/>
          <w:szCs w:val="21"/>
          <w:highlight w:val="none"/>
        </w:rPr>
        <w:instrText xml:space="preserve">0分00秒</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Style w:val="32"/>
          <w:rFonts w:ascii="宋体" w:hAnsi="宋体" w:eastAsia="宋体" w:cs="宋体"/>
          <w:snapToGrid/>
          <w:color w:val="auto"/>
          <w:kern w:val="2"/>
          <w:sz w:val="21"/>
          <w:szCs w:val="21"/>
          <w:highlight w:val="none"/>
        </w:rPr>
        <w:t>https://www.lecaiyun.com/</w:t>
      </w:r>
      <w:bookmarkEnd w:id="14"/>
      <w:r>
        <w:rPr>
          <w:rStyle w:val="32"/>
          <w:rFonts w:hint="eastAsia" w:ascii="宋体" w:hAnsi="宋体" w:eastAsia="宋体" w:cs="宋体"/>
          <w:snapToGrid/>
          <w:color w:val="auto"/>
          <w:kern w:val="2"/>
          <w:sz w:val="21"/>
          <w:szCs w:val="21"/>
          <w:highlight w:val="none"/>
        </w:rPr>
        <w:t>）获取（下载）采购文件，并于202</w:t>
      </w:r>
      <w:r>
        <w:rPr>
          <w:rStyle w:val="32"/>
          <w:rFonts w:hint="eastAsia" w:ascii="宋体" w:hAnsi="宋体" w:cs="宋体"/>
          <w:snapToGrid/>
          <w:color w:val="auto"/>
          <w:kern w:val="2"/>
          <w:sz w:val="21"/>
          <w:szCs w:val="21"/>
          <w:highlight w:val="none"/>
        </w:rPr>
        <w:t>5</w:t>
      </w:r>
      <w:r>
        <w:rPr>
          <w:rStyle w:val="32"/>
          <w:rFonts w:hint="eastAsia" w:ascii="宋体" w:hAnsi="宋体" w:eastAsia="宋体" w:cs="宋体"/>
          <w:snapToGrid/>
          <w:color w:val="auto"/>
          <w:kern w:val="2"/>
          <w:sz w:val="21"/>
          <w:szCs w:val="21"/>
          <w:highlight w:val="none"/>
        </w:rPr>
        <w:t>年</w:t>
      </w:r>
      <w:r>
        <w:rPr>
          <w:rStyle w:val="32"/>
          <w:rFonts w:hint="eastAsia" w:ascii="宋体" w:hAnsi="宋体" w:cs="宋体"/>
          <w:snapToGrid/>
          <w:color w:val="auto"/>
          <w:kern w:val="2"/>
          <w:sz w:val="21"/>
          <w:szCs w:val="21"/>
          <w:highlight w:val="none"/>
        </w:rPr>
        <w:t>06</w:t>
      </w:r>
      <w:r>
        <w:rPr>
          <w:rStyle w:val="32"/>
          <w:rFonts w:hint="eastAsia" w:ascii="宋体" w:hAnsi="宋体" w:eastAsia="宋体" w:cs="宋体"/>
          <w:snapToGrid/>
          <w:color w:val="auto"/>
          <w:kern w:val="2"/>
          <w:sz w:val="21"/>
          <w:szCs w:val="21"/>
          <w:highlight w:val="none"/>
        </w:rPr>
        <w:t>月</w:t>
      </w:r>
      <w:r>
        <w:rPr>
          <w:rStyle w:val="32"/>
          <w:rFonts w:hint="eastAsia" w:ascii="宋体" w:hAnsi="宋体" w:cs="宋体"/>
          <w:snapToGrid/>
          <w:color w:val="auto"/>
          <w:kern w:val="2"/>
          <w:sz w:val="21"/>
          <w:szCs w:val="21"/>
          <w:highlight w:val="none"/>
        </w:rPr>
        <w:t>18</w:t>
      </w:r>
      <w:r>
        <w:rPr>
          <w:rStyle w:val="32"/>
          <w:rFonts w:hint="eastAsia" w:ascii="宋体" w:hAnsi="宋体" w:eastAsia="宋体" w:cs="宋体"/>
          <w:snapToGrid/>
          <w:color w:val="auto"/>
          <w:kern w:val="2"/>
          <w:sz w:val="21"/>
          <w:szCs w:val="21"/>
          <w:highlight w:val="none"/>
        </w:rPr>
        <w:t>日</w:t>
      </w:r>
      <w:r>
        <w:rPr>
          <w:rStyle w:val="32"/>
          <w:rFonts w:hint="eastAsia" w:ascii="宋体" w:hAnsi="宋体" w:cs="宋体"/>
          <w:snapToGrid/>
          <w:color w:val="auto"/>
          <w:kern w:val="2"/>
          <w:sz w:val="21"/>
          <w:szCs w:val="21"/>
          <w:highlight w:val="none"/>
        </w:rPr>
        <w:t>09</w:t>
      </w:r>
      <w:r>
        <w:rPr>
          <w:rStyle w:val="32"/>
          <w:rFonts w:hint="eastAsia" w:ascii="宋体" w:hAnsi="宋体" w:eastAsia="宋体" w:cs="宋体"/>
          <w:snapToGrid/>
          <w:color w:val="auto"/>
          <w:kern w:val="2"/>
          <w:sz w:val="21"/>
          <w:szCs w:val="21"/>
          <w:highlight w:val="none"/>
        </w:rPr>
        <w:t>点</w:t>
      </w:r>
      <w:r>
        <w:rPr>
          <w:rStyle w:val="32"/>
          <w:rFonts w:hint="eastAsia" w:ascii="宋体" w:hAnsi="宋体" w:cs="宋体"/>
          <w:snapToGrid/>
          <w:color w:val="auto"/>
          <w:kern w:val="2"/>
          <w:sz w:val="21"/>
          <w:szCs w:val="21"/>
          <w:highlight w:val="none"/>
        </w:rPr>
        <w:t>0</w:t>
      </w:r>
      <w:r>
        <w:rPr>
          <w:rStyle w:val="32"/>
          <w:rFonts w:hint="eastAsia" w:ascii="宋体" w:hAnsi="宋体" w:eastAsia="宋体" w:cs="宋体"/>
          <w:snapToGrid/>
          <w:color w:val="auto"/>
          <w:kern w:val="2"/>
          <w:sz w:val="21"/>
          <w:szCs w:val="21"/>
          <w:highlight w:val="none"/>
        </w:rPr>
        <w:t>0分00秒</w:t>
      </w:r>
      <w:r>
        <w:rPr>
          <w:rFonts w:ascii="宋体" w:hAnsi="宋体" w:cs="宋体"/>
          <w:color w:val="auto"/>
          <w:szCs w:val="21"/>
          <w:highlight w:val="none"/>
        </w:rPr>
        <w:fldChar w:fldCharType="end"/>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递交（上传）响应文件。</w:t>
      </w:r>
    </w:p>
    <w:p w14:paraId="4511EA82">
      <w:pPr>
        <w:shd w:val="clear"/>
        <w:spacing w:line="440" w:lineRule="exact"/>
        <w:ind w:firstLine="422"/>
        <w:rPr>
          <w:rFonts w:ascii="宋体" w:hAnsi="宋体" w:cs="宋体"/>
          <w:b/>
          <w:color w:val="auto"/>
          <w:szCs w:val="21"/>
          <w:highlight w:val="none"/>
        </w:rPr>
      </w:pPr>
      <w:r>
        <w:rPr>
          <w:rFonts w:hint="eastAsia" w:ascii="宋体" w:hAnsi="宋体" w:cs="宋体"/>
          <w:b/>
          <w:color w:val="auto"/>
          <w:szCs w:val="21"/>
          <w:highlight w:val="none"/>
        </w:rPr>
        <w:t xml:space="preserve">一、项目基本情况                                            </w:t>
      </w:r>
    </w:p>
    <w:p w14:paraId="2F385444">
      <w:pPr>
        <w:shd w:val="clea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项目编号：</w:t>
      </w:r>
      <w:r>
        <w:rPr>
          <w:rFonts w:hint="eastAsia" w:ascii="宋体" w:hAnsi="宋体" w:cs="宋体"/>
          <w:bCs/>
          <w:color w:val="auto"/>
          <w:szCs w:val="21"/>
          <w:highlight w:val="none"/>
        </w:rPr>
        <w:t>FHGQZB(2025)181D</w:t>
      </w:r>
    </w:p>
    <w:p w14:paraId="75725CEF">
      <w:pPr>
        <w:shd w:val="clea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项目名称：</w:t>
      </w:r>
      <w:r>
        <w:rPr>
          <w:rFonts w:hint="eastAsia" w:ascii="宋体" w:hAnsi="宋体" w:cs="宋体"/>
          <w:bCs/>
          <w:snapToGrid w:val="0"/>
          <w:color w:val="auto"/>
          <w:szCs w:val="21"/>
          <w:highlight w:val="none"/>
        </w:rPr>
        <w:t>年产950万件新型电子元器件生产项目招标控制价及预算编制服务项目</w:t>
      </w:r>
    </w:p>
    <w:p w14:paraId="26F55A8E">
      <w:pPr>
        <w:shd w:val="clear"/>
        <w:spacing w:line="440" w:lineRule="exact"/>
        <w:ind w:firstLine="422" w:firstLineChars="200"/>
        <w:rPr>
          <w:rFonts w:ascii="宋体" w:hAnsi="宋体" w:cs="宋体"/>
          <w:bCs/>
          <w:snapToGrid w:val="0"/>
          <w:color w:val="auto"/>
          <w:szCs w:val="21"/>
          <w:highlight w:val="none"/>
        </w:rPr>
      </w:pPr>
      <w:r>
        <w:rPr>
          <w:rFonts w:hint="eastAsia" w:ascii="宋体" w:hAnsi="宋体" w:cs="宋体"/>
          <w:b/>
          <w:color w:val="auto"/>
          <w:szCs w:val="21"/>
          <w:highlight w:val="none"/>
        </w:rPr>
        <w:t>预算金额（元）：</w:t>
      </w:r>
      <w:r>
        <w:rPr>
          <w:rFonts w:hint="eastAsia" w:ascii="宋体" w:hAnsi="宋体" w:cs="宋体"/>
          <w:bCs/>
          <w:snapToGrid w:val="0"/>
          <w:color w:val="auto"/>
          <w:szCs w:val="21"/>
          <w:highlight w:val="none"/>
        </w:rPr>
        <w:t>361232元；</w:t>
      </w:r>
    </w:p>
    <w:p w14:paraId="10DC9DFF">
      <w:pPr>
        <w:shd w:val="clea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最高限价（元）：</w:t>
      </w:r>
      <w:r>
        <w:rPr>
          <w:rFonts w:hint="eastAsia" w:ascii="宋体" w:hAnsi="宋体" w:cs="宋体"/>
          <w:bCs/>
          <w:snapToGrid w:val="0"/>
          <w:color w:val="auto"/>
          <w:szCs w:val="21"/>
          <w:highlight w:val="none"/>
        </w:rPr>
        <w:t xml:space="preserve">343170元；最高折扣：95%  </w:t>
      </w:r>
    </w:p>
    <w:p w14:paraId="4F11026A">
      <w:pPr>
        <w:pStyle w:val="7"/>
        <w:shd w:val="clear"/>
        <w:spacing w:line="440" w:lineRule="exact"/>
        <w:ind w:firstLine="422" w:firstLineChars="200"/>
        <w:rPr>
          <w:rFonts w:hAnsi="宋体" w:cs="宋体"/>
          <w:bCs/>
          <w:color w:val="auto"/>
          <w:kern w:val="2"/>
          <w:sz w:val="21"/>
          <w:szCs w:val="21"/>
          <w:highlight w:val="none"/>
        </w:rPr>
      </w:pPr>
      <w:r>
        <w:rPr>
          <w:rFonts w:hint="eastAsia" w:hAnsi="宋体" w:cs="宋体"/>
          <w:b/>
          <w:color w:val="auto"/>
          <w:sz w:val="21"/>
          <w:szCs w:val="21"/>
          <w:highlight w:val="none"/>
        </w:rPr>
        <w:t>采购需求：</w:t>
      </w:r>
      <w:r>
        <w:rPr>
          <w:rFonts w:hint="eastAsia" w:hAnsi="宋体" w:cs="宋体"/>
          <w:bCs/>
          <w:color w:val="auto"/>
          <w:sz w:val="21"/>
          <w:szCs w:val="21"/>
          <w:highlight w:val="none"/>
        </w:rPr>
        <w:t>年产950万件新型电子元器件生产项目招标控制价及预算编制服务</w:t>
      </w:r>
      <w:r>
        <w:rPr>
          <w:rFonts w:hint="eastAsia" w:hAnsi="宋体" w:cs="宋体"/>
          <w:bCs/>
          <w:color w:val="auto"/>
          <w:kern w:val="2"/>
          <w:sz w:val="21"/>
          <w:szCs w:val="21"/>
          <w:highlight w:val="none"/>
        </w:rPr>
        <w:t xml:space="preserve">，详见采购文件第三部分采购需求。                                                                                                                                                                                                                                                                </w:t>
      </w:r>
    </w:p>
    <w:p w14:paraId="374CC67C">
      <w:pPr>
        <w:pStyle w:val="51"/>
        <w:shd w:val="clear"/>
        <w:spacing w:before="0" w:line="440" w:lineRule="exact"/>
        <w:ind w:firstLine="422"/>
        <w:outlineLvl w:val="2"/>
        <w:rPr>
          <w:rFonts w:ascii="宋体" w:hAnsi="宋体" w:cs="宋体"/>
          <w:color w:val="auto"/>
          <w:sz w:val="21"/>
          <w:szCs w:val="21"/>
          <w:highlight w:val="none"/>
        </w:rPr>
      </w:pPr>
      <w:r>
        <w:rPr>
          <w:rFonts w:hint="eastAsia" w:ascii="宋体" w:hAnsi="宋体" w:cs="宋体"/>
          <w:b/>
          <w:color w:val="auto"/>
          <w:sz w:val="21"/>
          <w:szCs w:val="21"/>
          <w:highlight w:val="none"/>
        </w:rPr>
        <w:t>合同履约期限：</w:t>
      </w:r>
      <w:r>
        <w:rPr>
          <w:rFonts w:hint="eastAsia" w:ascii="宋体" w:hAnsi="宋体" w:cs="宋体"/>
          <w:snapToGrid w:val="0"/>
          <w:color w:val="auto"/>
          <w:kern w:val="28"/>
          <w:sz w:val="21"/>
          <w:szCs w:val="21"/>
          <w:highlight w:val="none"/>
        </w:rPr>
        <w:t>详见采购文件。</w:t>
      </w:r>
    </w:p>
    <w:p w14:paraId="0B689090">
      <w:pPr>
        <w:pStyle w:val="7"/>
        <w:shd w:val="clear"/>
        <w:spacing w:line="44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本项目接受联合体：</w:t>
      </w:r>
      <w:r>
        <w:rPr>
          <w:rFonts w:hint="eastAsia" w:hAnsi="宋体" w:cs="宋体"/>
          <w:color w:val="auto"/>
          <w:kern w:val="0"/>
          <w:sz w:val="21"/>
          <w:szCs w:val="21"/>
          <w:highlight w:val="none"/>
        </w:rPr>
        <w:t>☐</w:t>
      </w:r>
      <w:r>
        <w:rPr>
          <w:rFonts w:hint="eastAsia" w:hAnsi="宋体" w:cs="宋体"/>
          <w:b/>
          <w:color w:val="auto"/>
          <w:sz w:val="21"/>
          <w:szCs w:val="21"/>
          <w:highlight w:val="none"/>
        </w:rPr>
        <w:t>是，</w:t>
      </w:r>
      <w:r>
        <w:rPr>
          <w:rFonts w:hint="eastAsia" w:hAnsi="宋体" w:cs="宋体"/>
          <w:color w:val="auto"/>
          <w:kern w:val="0"/>
          <w:sz w:val="21"/>
          <w:szCs w:val="21"/>
          <w:highlight w:val="none"/>
        </w:rPr>
        <w:t xml:space="preserve"> </w:t>
      </w:r>
      <w:r>
        <w:rPr>
          <w:rFonts w:hint="eastAsia" w:hAnsi="宋体" w:cs="宋体"/>
          <w:color w:val="auto"/>
          <w:kern w:val="0"/>
          <w:sz w:val="21"/>
          <w:szCs w:val="21"/>
          <w:highlight w:val="none"/>
        </w:rPr>
        <w:sym w:font="Wingdings" w:char="F0FE"/>
      </w:r>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0809BA7C">
      <w:pPr>
        <w:shd w:val="clear"/>
        <w:spacing w:line="440" w:lineRule="exact"/>
        <w:ind w:firstLine="422"/>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41332304">
      <w:pPr>
        <w:shd w:val="clear"/>
        <w:spacing w:line="440" w:lineRule="exact"/>
        <w:ind w:firstLine="42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AD92A9B">
      <w:pPr>
        <w:shd w:val="clear"/>
        <w:spacing w:line="440" w:lineRule="exact"/>
        <w:rPr>
          <w:rFonts w:ascii="宋体" w:hAnsi="宋体" w:cs="宋体"/>
          <w:color w:val="auto"/>
          <w:szCs w:val="21"/>
          <w:highlight w:val="none"/>
        </w:rPr>
      </w:pPr>
      <w:r>
        <w:rPr>
          <w:rFonts w:hint="eastAsia" w:ascii="宋体" w:hAnsi="宋体" w:cs="宋体"/>
          <w:snapToGrid w:val="0"/>
          <w:color w:val="auto"/>
          <w:kern w:val="28"/>
          <w:szCs w:val="21"/>
          <w:highlight w:val="none"/>
        </w:rPr>
        <w:t xml:space="preserve">    2.落实政府采购政策需满足的资格要求：</w:t>
      </w:r>
      <w:r>
        <w:rPr>
          <w:rFonts w:hint="eastAsia" w:ascii="宋体" w:hAnsi="宋体" w:cs="宋体"/>
          <w:color w:val="auto"/>
          <w:szCs w:val="21"/>
          <w:highlight w:val="none"/>
        </w:rPr>
        <w:t>无；</w:t>
      </w:r>
    </w:p>
    <w:p w14:paraId="5F342F4F">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p>
    <w:p w14:paraId="2C928DC8">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08F875">
      <w:pPr>
        <w:shd w:val="clear"/>
        <w:spacing w:line="440" w:lineRule="exact"/>
        <w:ind w:firstLine="422"/>
        <w:rPr>
          <w:rFonts w:ascii="宋体" w:hAnsi="宋体" w:cs="宋体"/>
          <w:b/>
          <w:color w:val="auto"/>
          <w:szCs w:val="21"/>
          <w:highlight w:val="none"/>
        </w:rPr>
      </w:pPr>
      <w:r>
        <w:rPr>
          <w:rFonts w:hint="eastAsia" w:ascii="宋体" w:hAnsi="宋体" w:cs="宋体"/>
          <w:b/>
          <w:color w:val="auto"/>
          <w:szCs w:val="21"/>
          <w:highlight w:val="none"/>
        </w:rPr>
        <w:t xml:space="preserve">三、获取采购文件 </w:t>
      </w:r>
    </w:p>
    <w:p w14:paraId="5766075C">
      <w:pPr>
        <w:shd w:val="clea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u w:val="single"/>
        </w:rPr>
        <w:t>2025年06月04日</w:t>
      </w:r>
      <w:r>
        <w:rPr>
          <w:rFonts w:hint="eastAsia" w:ascii="宋体" w:hAnsi="宋体" w:cs="宋体"/>
          <w:color w:val="auto"/>
          <w:szCs w:val="21"/>
          <w:highlight w:val="none"/>
        </w:rPr>
        <w:t>至</w:t>
      </w:r>
      <w:r>
        <w:rPr>
          <w:rFonts w:hint="eastAsia" w:ascii="宋体" w:hAnsi="宋体" w:cs="宋体"/>
          <w:color w:val="auto"/>
          <w:szCs w:val="21"/>
          <w:highlight w:val="none"/>
          <w:u w:val="single"/>
        </w:rPr>
        <w:t>2025年06月11日</w:t>
      </w:r>
      <w:r>
        <w:rPr>
          <w:rFonts w:hint="eastAsia" w:ascii="宋体" w:hAnsi="宋体" w:cs="宋体"/>
          <w:color w:val="auto"/>
          <w:szCs w:val="21"/>
          <w:highlight w:val="none"/>
        </w:rPr>
        <w:t>，每天上午00：00至12：00 ，下午12：00至23：59（北京时间）。</w:t>
      </w:r>
    </w:p>
    <w:p w14:paraId="7233C53C">
      <w:pPr>
        <w:shd w:val="clea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乐采云平台 （https://www.lecaiyun.com/）。</w:t>
      </w:r>
    </w:p>
    <w:p w14:paraId="4295B9D1">
      <w:pPr>
        <w:shd w:val="clea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 xml:space="preserve">供应商登录乐采云平台https://www.lecaiyun.com/在线申请获取采购文件（进入“项目采购”应用，在获取采购文件菜单中选择项目，申请获取采购文件）。 </w:t>
      </w:r>
    </w:p>
    <w:p w14:paraId="1A78F9AF">
      <w:pPr>
        <w:shd w:val="clea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1FACA2DD">
      <w:pPr>
        <w:shd w:val="clear"/>
        <w:spacing w:line="440" w:lineRule="exact"/>
        <w:ind w:firstLine="422"/>
        <w:rPr>
          <w:rFonts w:ascii="宋体" w:hAnsi="宋体" w:cs="宋体"/>
          <w:b/>
          <w:color w:val="auto"/>
          <w:szCs w:val="21"/>
          <w:highlight w:val="none"/>
        </w:rPr>
      </w:pPr>
      <w:r>
        <w:rPr>
          <w:rFonts w:hint="eastAsia" w:ascii="宋体" w:hAnsi="宋体" w:cs="宋体"/>
          <w:b/>
          <w:color w:val="auto"/>
          <w:szCs w:val="21"/>
          <w:highlight w:val="none"/>
        </w:rPr>
        <w:t>四、首次提交响应文件截止时间、磋商时间和地点</w:t>
      </w:r>
    </w:p>
    <w:p w14:paraId="3D5B2004">
      <w:pPr>
        <w:shd w:val="clea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首次提交响应文件截止时间：</w:t>
      </w:r>
      <w:r>
        <w:rPr>
          <w:rFonts w:hint="eastAsia" w:ascii="宋体" w:hAnsi="宋体" w:cs="宋体"/>
          <w:color w:val="auto"/>
          <w:szCs w:val="21"/>
          <w:highlight w:val="none"/>
          <w:u w:val="single"/>
        </w:rPr>
        <w:t xml:space="preserve"> 2025年06月18日09点00分</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（北京时间）。</w:t>
      </w:r>
    </w:p>
    <w:p w14:paraId="6826830E">
      <w:pPr>
        <w:shd w:val="clea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提交响应文件地点（网址）：</w:t>
      </w:r>
      <w:r>
        <w:rPr>
          <w:rFonts w:hint="eastAsia" w:ascii="宋体" w:hAnsi="宋体" w:cs="宋体"/>
          <w:color w:val="auto"/>
          <w:szCs w:val="21"/>
          <w:highlight w:val="none"/>
        </w:rPr>
        <w:t>乐采云平台 （</w:t>
      </w:r>
      <w:bookmarkStart w:id="15" w:name="OLE_LINK41"/>
      <w:bookmarkStart w:id="16" w:name="OLE_LINK40"/>
      <w:r>
        <w:rPr>
          <w:rFonts w:hint="eastAsia" w:ascii="宋体" w:hAnsi="宋体" w:cs="宋体"/>
          <w:color w:val="auto"/>
          <w:szCs w:val="21"/>
          <w:highlight w:val="none"/>
        </w:rPr>
        <w:t>https://www.lecaiyun.com/</w:t>
      </w:r>
      <w:bookmarkEnd w:id="15"/>
      <w:bookmarkEnd w:id="16"/>
      <w:r>
        <w:rPr>
          <w:rFonts w:hint="eastAsia" w:ascii="宋体" w:hAnsi="宋体" w:cs="宋体"/>
          <w:color w:val="auto"/>
          <w:szCs w:val="21"/>
          <w:highlight w:val="none"/>
        </w:rPr>
        <w:t>）。</w:t>
      </w:r>
    </w:p>
    <w:p w14:paraId="59B18A42">
      <w:pPr>
        <w:shd w:val="clear"/>
        <w:spacing w:line="440" w:lineRule="exact"/>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首次提交响应文件开启时间：</w:t>
      </w:r>
      <w:r>
        <w:rPr>
          <w:rFonts w:hint="eastAsia" w:ascii="宋体" w:hAnsi="宋体" w:cs="宋体"/>
          <w:color w:val="auto"/>
          <w:szCs w:val="21"/>
          <w:highlight w:val="none"/>
          <w:u w:val="single"/>
        </w:rPr>
        <w:t>2025年06月18日09点00分</w:t>
      </w:r>
      <w:r>
        <w:rPr>
          <w:rFonts w:hint="eastAsia" w:ascii="宋体" w:hAnsi="宋体" w:cs="宋体"/>
          <w:bCs/>
          <w:color w:val="auto"/>
          <w:szCs w:val="21"/>
          <w:highlight w:val="none"/>
        </w:rPr>
        <w:t>。</w:t>
      </w:r>
    </w:p>
    <w:p w14:paraId="2E15E3A5">
      <w:pPr>
        <w:shd w:val="clea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首次提交响应文件开启地点（网址）：</w:t>
      </w:r>
      <w:bookmarkStart w:id="17" w:name="OLE_LINK39"/>
      <w:bookmarkStart w:id="18" w:name="OLE_LINK38"/>
      <w:r>
        <w:rPr>
          <w:rFonts w:hint="eastAsia" w:ascii="宋体" w:hAnsi="宋体" w:cs="宋体"/>
          <w:color w:val="auto"/>
          <w:szCs w:val="21"/>
          <w:highlight w:val="none"/>
        </w:rPr>
        <w:t>乐采云平台 （https://www.lecaiyun.com/）</w:t>
      </w:r>
      <w:bookmarkEnd w:id="17"/>
      <w:bookmarkEnd w:id="18"/>
      <w:r>
        <w:rPr>
          <w:rFonts w:hint="eastAsia" w:ascii="宋体" w:hAnsi="宋体" w:cs="宋体"/>
          <w:color w:val="auto"/>
          <w:szCs w:val="21"/>
          <w:highlight w:val="none"/>
        </w:rPr>
        <w:t>。</w:t>
      </w:r>
    </w:p>
    <w:p w14:paraId="4DE089E9">
      <w:pPr>
        <w:shd w:val="clea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首次提交响应文件开启地点（线下）：</w:t>
      </w:r>
      <w:r>
        <w:rPr>
          <w:rFonts w:hint="eastAsia" w:ascii="宋体" w:hAnsi="宋体" w:cs="宋体"/>
          <w:bCs/>
          <w:color w:val="auto"/>
          <w:szCs w:val="21"/>
          <w:highlight w:val="none"/>
        </w:rPr>
        <w:t>宁波市奉化区公共资源交易中心开标厅二（宁波市奉化区大成东路277号4楼）</w:t>
      </w:r>
    </w:p>
    <w:p w14:paraId="4573AB20">
      <w:pPr>
        <w:shd w:val="clear"/>
        <w:spacing w:line="440" w:lineRule="exact"/>
        <w:ind w:firstLine="422"/>
        <w:rPr>
          <w:rFonts w:ascii="宋体" w:hAnsi="宋体" w:cs="宋体"/>
          <w:color w:val="auto"/>
          <w:szCs w:val="21"/>
          <w:highlight w:val="none"/>
        </w:rPr>
      </w:pPr>
      <w:r>
        <w:rPr>
          <w:rFonts w:hint="eastAsia" w:ascii="宋体" w:hAnsi="宋体" w:cs="宋体"/>
          <w:b/>
          <w:color w:val="auto"/>
          <w:szCs w:val="21"/>
          <w:highlight w:val="none"/>
        </w:rPr>
        <w:t xml:space="preserve">五、公告期限 </w:t>
      </w:r>
    </w:p>
    <w:p w14:paraId="3F0FB2DC">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自本公告发布之日起3个工作日。</w:t>
      </w:r>
    </w:p>
    <w:p w14:paraId="3BF79B7A">
      <w:pPr>
        <w:shd w:val="clear"/>
        <w:spacing w:line="440" w:lineRule="exact"/>
        <w:ind w:firstLine="422"/>
        <w:rPr>
          <w:rFonts w:ascii="宋体" w:hAnsi="宋体" w:cs="宋体"/>
          <w:b/>
          <w:color w:val="auto"/>
          <w:szCs w:val="21"/>
          <w:highlight w:val="none"/>
        </w:rPr>
      </w:pPr>
      <w:r>
        <w:rPr>
          <w:rFonts w:hint="eastAsia" w:ascii="宋体" w:hAnsi="宋体" w:cs="宋体"/>
          <w:b/>
          <w:color w:val="auto"/>
          <w:szCs w:val="21"/>
          <w:highlight w:val="none"/>
        </w:rPr>
        <w:t>六、其他补充事宜</w:t>
      </w:r>
    </w:p>
    <w:p w14:paraId="119D8E99">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1B885609">
      <w:pPr>
        <w:shd w:val="clear"/>
        <w:wordWrap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其他事项：（1）需要落实的政府采购政策：包括节约资源、保护环境、支持创新、促进中小企业发展等。详见采购文件的第二部分总则。（2）电子交易的说明：①电子交易：本项目以数据电文形式，依托“乐采云平台 （https://www.lecaiyun.com/）”进行磋商活动，不接受纸质响应文件；②磋商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w:t>
      </w:r>
      <w:bookmarkStart w:id="19" w:name="OLE_LINK14"/>
      <w:bookmarkStart w:id="20" w:name="OLE_LINK23"/>
      <w:bookmarkStart w:id="21" w:name="OLE_LINK24"/>
      <w:r>
        <w:rPr>
          <w:rFonts w:hint="eastAsia" w:ascii="宋体" w:hAnsi="宋体" w:cs="宋体"/>
          <w:color w:val="auto"/>
          <w:szCs w:val="21"/>
          <w:highlight w:val="none"/>
        </w:rPr>
        <w:t>（</w:t>
      </w:r>
      <w:bookmarkStart w:id="22" w:name="OLE_LINK22"/>
      <w:r>
        <w:rPr>
          <w:rFonts w:hint="eastAsia" w:ascii="宋体" w:hAnsi="宋体" w:cs="宋体"/>
          <w:color w:val="auto"/>
          <w:szCs w:val="21"/>
          <w:highlight w:val="none"/>
        </w:rPr>
        <w:t>https://b.zhengcaiyun.cn/luban/category?parentId=550045&amp;childrenCode=qicaiCategory17&amp;utm=luban.luban-PC-39026.959-pc-websitegroup-navBar-front.8.ebdec73052c711ef9ade896d008b9248</w:t>
      </w:r>
      <w:bookmarkEnd w:id="22"/>
      <w:r>
        <w:rPr>
          <w:rFonts w:hint="eastAsia" w:ascii="宋体" w:hAnsi="宋体" w:cs="宋体"/>
          <w:color w:val="auto"/>
          <w:szCs w:val="21"/>
          <w:highlight w:val="none"/>
        </w:rPr>
        <w:t>）</w:t>
      </w:r>
      <w:bookmarkEnd w:id="19"/>
      <w:bookmarkEnd w:id="20"/>
      <w:bookmarkEnd w:id="21"/>
      <w:r>
        <w:rPr>
          <w:rFonts w:hint="eastAsia" w:ascii="宋体" w:hAnsi="宋体" w:cs="宋体"/>
          <w:color w:val="auto"/>
          <w:szCs w:val="21"/>
          <w:highlight w:val="none"/>
        </w:rPr>
        <w:t>”进行下载并安装；</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在磋商前应确保成为浙江企业采购信息服务网正式注册入库供应商，并完成CA数字证书办理。完成CA数字证书办理在资料齐全的情况下预计7个工作日左右，请各</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合理预估时间，及时办理。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按照平台提示和采购文件的规定在半小时内完成在线解密。⑨具体操作指南：详见乐采云平台“服务中心-帮助文档-项目采购-操作流程-电子招投标-政府采购项目电子交易管理操作指南-供应商”。</w:t>
      </w:r>
    </w:p>
    <w:p w14:paraId="62AED1F0">
      <w:pPr>
        <w:shd w:val="clear"/>
        <w:spacing w:line="440" w:lineRule="exact"/>
        <w:ind w:firstLine="422"/>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04C10976">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1.采购人信息</w:t>
      </w:r>
    </w:p>
    <w:p w14:paraId="2E096F5D">
      <w:pPr>
        <w:shd w:val="clea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名 称：宁波锦铭科技有限公司</w:t>
      </w:r>
    </w:p>
    <w:p w14:paraId="3F77B7A9">
      <w:pPr>
        <w:shd w:val="clea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地 址：浙江省宁波市奉化区岳林街道东峰路80号D幢102厂房</w:t>
      </w:r>
    </w:p>
    <w:p w14:paraId="1B3713BA">
      <w:pPr>
        <w:shd w:val="clea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传 真：/</w:t>
      </w:r>
    </w:p>
    <w:p w14:paraId="57AF948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项目联系人：周女士</w:t>
      </w:r>
    </w:p>
    <w:p w14:paraId="31B8836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w:t>
      </w:r>
      <w:r>
        <w:rPr>
          <w:rFonts w:ascii="宋体" w:hAnsi="宋体" w:cs="宋体"/>
          <w:color w:val="auto"/>
          <w:szCs w:val="21"/>
          <w:highlight w:val="none"/>
        </w:rPr>
        <w:t>15067456225</w:t>
      </w:r>
    </w:p>
    <w:p w14:paraId="220B3A7A">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2.采购代理机构信息            </w:t>
      </w:r>
    </w:p>
    <w:p w14:paraId="1A6C321B">
      <w:pPr>
        <w:shd w:val="clea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名 称：宁波敬信项目管理咨询有限公司</w:t>
      </w:r>
    </w:p>
    <w:p w14:paraId="48C98CD6">
      <w:pPr>
        <w:shd w:val="clea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地 址：宁波市奉化区岳林东路商业二16幢502室（惠政丽都北门）           </w:t>
      </w:r>
    </w:p>
    <w:p w14:paraId="0C50C829">
      <w:pPr>
        <w:shd w:val="clea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项目联系人（询问）：丁先生</w:t>
      </w:r>
    </w:p>
    <w:p w14:paraId="658CE76A">
      <w:pPr>
        <w:shd w:val="clea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项目联系方式（询问）： 0574-88986381</w:t>
      </w:r>
    </w:p>
    <w:p w14:paraId="62020E3A">
      <w:pPr>
        <w:shd w:val="clea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质疑联系人：唐先生  </w:t>
      </w:r>
    </w:p>
    <w:p w14:paraId="7E9EAF25">
      <w:pPr>
        <w:shd w:val="clea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质疑联系方式： 0574-88986379</w:t>
      </w:r>
    </w:p>
    <w:p w14:paraId="5A0438C1">
      <w:pPr>
        <w:pStyle w:val="10"/>
        <w:shd w:val="clear"/>
        <w:spacing w:line="440" w:lineRule="exact"/>
        <w:rPr>
          <w:rFonts w:ascii="宋体" w:hAnsi="宋体" w:cs="宋体"/>
          <w:color w:val="auto"/>
          <w:sz w:val="21"/>
          <w:highlight w:val="none"/>
        </w:rPr>
      </w:pPr>
      <w:r>
        <w:rPr>
          <w:rFonts w:hint="eastAsia" w:ascii="宋体" w:hAnsi="宋体" w:cs="宋体"/>
          <w:color w:val="auto"/>
          <w:sz w:val="21"/>
          <w:highlight w:val="none"/>
        </w:rPr>
        <w:t xml:space="preserve">    3.同级监督管理部门            </w:t>
      </w:r>
    </w:p>
    <w:p w14:paraId="6B571B67">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名    称：</w:t>
      </w:r>
      <w:r>
        <w:rPr>
          <w:rFonts w:hint="eastAsia" w:ascii="宋体" w:hAnsi="宋体" w:cs="宋体"/>
          <w:bCs/>
          <w:color w:val="auto"/>
          <w:szCs w:val="21"/>
          <w:highlight w:val="none"/>
        </w:rPr>
        <w:t xml:space="preserve">宁波甬山控股集团有限公司纪检监察室  </w:t>
      </w:r>
    </w:p>
    <w:p w14:paraId="2AB87E11">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地    址：</w:t>
      </w:r>
      <w:r>
        <w:rPr>
          <w:rFonts w:hint="eastAsia" w:ascii="宋体" w:hAnsi="宋体" w:cs="宋体"/>
          <w:bCs/>
          <w:color w:val="auto"/>
          <w:szCs w:val="21"/>
          <w:highlight w:val="none"/>
        </w:rPr>
        <w:t>宁波市奉化区岳林街道东峰路 80号</w:t>
      </w:r>
    </w:p>
    <w:p w14:paraId="728244DB">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联 系 人 ：</w:t>
      </w:r>
      <w:r>
        <w:rPr>
          <w:rFonts w:hint="eastAsia" w:ascii="宋体" w:hAnsi="宋体" w:cs="宋体"/>
          <w:bCs/>
          <w:color w:val="auto"/>
          <w:szCs w:val="21"/>
          <w:highlight w:val="none"/>
        </w:rPr>
        <w:t>王女士</w:t>
      </w:r>
    </w:p>
    <w:p w14:paraId="37CF320A">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监督投诉电话： </w:t>
      </w:r>
      <w:r>
        <w:rPr>
          <w:rFonts w:ascii="宋体" w:hAnsi="宋体" w:cs="宋体"/>
          <w:bCs/>
          <w:color w:val="auto"/>
          <w:szCs w:val="21"/>
          <w:highlight w:val="none"/>
        </w:rPr>
        <w:t xml:space="preserve">0574-89293772 </w:t>
      </w:r>
      <w:r>
        <w:rPr>
          <w:rFonts w:hint="eastAsia" w:ascii="宋体" w:hAnsi="宋体" w:cs="宋体"/>
          <w:color w:val="auto"/>
          <w:szCs w:val="21"/>
          <w:highlight w:val="none"/>
        </w:rPr>
        <w:t xml:space="preserve">         </w:t>
      </w:r>
    </w:p>
    <w:p w14:paraId="58A04195">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若对项目采购电子交易系统操作有疑问，可登录乐采云（https://www.lecaiyun.com/），点击右侧咨询小采，获取采小蜜智能服务管家帮助，或拨打乐采云服务热线95763获取热线服务帮助。</w:t>
      </w:r>
    </w:p>
    <w:p w14:paraId="44EAE2A3">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14:paraId="2728AC4B">
      <w:pPr>
        <w:shd w:val="clear"/>
        <w:ind w:firstLine="723"/>
        <w:rPr>
          <w:rFonts w:asciiTheme="minorEastAsia" w:hAnsiTheme="minorEastAsia" w:eastAsiaTheme="minorEastAsia" w:cstheme="minorEastAsia"/>
          <w:b/>
          <w:color w:val="auto"/>
          <w:sz w:val="36"/>
          <w:szCs w:val="20"/>
          <w:highlight w:val="none"/>
        </w:rPr>
      </w:pPr>
      <w:r>
        <w:rPr>
          <w:rFonts w:asciiTheme="minorEastAsia" w:hAnsiTheme="minorEastAsia" w:eastAsiaTheme="minorEastAsia" w:cstheme="minorEastAsia"/>
          <w:b/>
          <w:color w:val="auto"/>
          <w:sz w:val="36"/>
          <w:szCs w:val="20"/>
          <w:highlight w:val="none"/>
        </w:rPr>
        <w:br w:type="page"/>
      </w:r>
    </w:p>
    <w:p w14:paraId="71FF8004">
      <w:pPr>
        <w:shd w:val="clear"/>
        <w:ind w:firstLine="723"/>
        <w:jc w:val="cente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10"/>
      <w:r>
        <w:rPr>
          <w:rFonts w:hint="eastAsia" w:asciiTheme="minorEastAsia" w:hAnsiTheme="minorEastAsia" w:eastAsiaTheme="minorEastAsia" w:cstheme="minorEastAsia"/>
          <w:b/>
          <w:color w:val="auto"/>
          <w:sz w:val="36"/>
          <w:szCs w:val="20"/>
          <w:highlight w:val="none"/>
        </w:rPr>
        <w:t xml:space="preserve"> 响应须知</w:t>
      </w:r>
      <w:bookmarkEnd w:id="11"/>
    </w:p>
    <w:p w14:paraId="7584BD21">
      <w:pPr>
        <w:shd w:val="clear"/>
        <w:snapToGrid w:val="0"/>
        <w:spacing w:line="360" w:lineRule="auto"/>
        <w:ind w:firstLine="643"/>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27"/>
        <w:tblW w:w="9134"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662"/>
      </w:tblGrid>
      <w:tr w14:paraId="04CFB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Pr>
          <w:p w14:paraId="2996226A">
            <w:pPr>
              <w:shd w:val="clea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843" w:type="dxa"/>
            <w:vAlign w:val="center"/>
          </w:tcPr>
          <w:p w14:paraId="58307BAD">
            <w:pPr>
              <w:shd w:val="clea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事项</w:t>
            </w:r>
          </w:p>
        </w:tc>
        <w:tc>
          <w:tcPr>
            <w:tcW w:w="6662" w:type="dxa"/>
            <w:vAlign w:val="center"/>
          </w:tcPr>
          <w:p w14:paraId="559F127F">
            <w:pPr>
              <w:shd w:val="clea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本项目的特别规定</w:t>
            </w:r>
          </w:p>
        </w:tc>
      </w:tr>
      <w:tr w14:paraId="7671C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272" w:hRule="atLeast"/>
          <w:tblHeader/>
        </w:trPr>
        <w:tc>
          <w:tcPr>
            <w:tcW w:w="629" w:type="dxa"/>
          </w:tcPr>
          <w:p w14:paraId="2722895F">
            <w:pPr>
              <w:shd w:val="clear"/>
              <w:snapToGrid w:val="0"/>
              <w:spacing w:line="440" w:lineRule="exact"/>
              <w:jc w:val="center"/>
              <w:rPr>
                <w:rFonts w:ascii="宋体" w:hAnsi="宋体" w:cs="宋体"/>
                <w:color w:val="auto"/>
                <w:szCs w:val="21"/>
                <w:highlight w:val="none"/>
              </w:rPr>
            </w:pPr>
          </w:p>
          <w:p w14:paraId="78DB57D9">
            <w:pPr>
              <w:shd w:val="clear"/>
              <w:snapToGrid w:val="0"/>
              <w:spacing w:line="440" w:lineRule="exact"/>
              <w:jc w:val="center"/>
              <w:rPr>
                <w:rFonts w:ascii="宋体" w:hAnsi="宋体" w:cs="宋体"/>
                <w:color w:val="auto"/>
                <w:szCs w:val="21"/>
                <w:highlight w:val="none"/>
              </w:rPr>
            </w:pPr>
          </w:p>
          <w:p w14:paraId="555942CC">
            <w:pPr>
              <w:shd w:val="clear"/>
              <w:snapToGrid w:val="0"/>
              <w:spacing w:line="440" w:lineRule="exact"/>
              <w:jc w:val="center"/>
              <w:rPr>
                <w:rFonts w:ascii="宋体" w:hAnsi="宋体" w:cs="宋体"/>
                <w:color w:val="auto"/>
                <w:szCs w:val="21"/>
                <w:highlight w:val="none"/>
              </w:rPr>
            </w:pPr>
          </w:p>
          <w:p w14:paraId="67C4B26F">
            <w:pPr>
              <w:shd w:val="clear"/>
              <w:snapToGrid w:val="0"/>
              <w:spacing w:line="440" w:lineRule="exact"/>
              <w:jc w:val="center"/>
              <w:rPr>
                <w:rFonts w:ascii="宋体" w:hAnsi="宋体" w:cs="宋体"/>
                <w:color w:val="auto"/>
                <w:szCs w:val="21"/>
                <w:highlight w:val="none"/>
              </w:rPr>
            </w:pPr>
          </w:p>
          <w:p w14:paraId="0E767F9C">
            <w:pPr>
              <w:shd w:val="clea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843" w:type="dxa"/>
            <w:vAlign w:val="center"/>
          </w:tcPr>
          <w:p w14:paraId="3F22A0AC">
            <w:pPr>
              <w:shd w:val="clea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6662" w:type="dxa"/>
            <w:vAlign w:val="center"/>
          </w:tcPr>
          <w:p w14:paraId="3C695671">
            <w:pPr>
              <w:shd w:val="clear"/>
              <w:snapToGrid w:val="0"/>
              <w:spacing w:line="440" w:lineRule="exac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color w:val="auto"/>
                <w:szCs w:val="21"/>
                <w:highlight w:val="none"/>
              </w:rPr>
              <w:t>报价一览表是报价的唯一载体</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响应文件中价格采用综合折扣报价</w:t>
            </w:r>
            <w:r>
              <w:rPr>
                <w:rFonts w:hint="eastAsia" w:ascii="宋体" w:hAnsi="宋体" w:cs="宋体"/>
                <w:color w:val="auto"/>
                <w:kern w:val="0"/>
                <w:szCs w:val="21"/>
                <w:highlight w:val="none"/>
                <w:lang w:val="zh-CN"/>
              </w:rPr>
              <w:t>。</w:t>
            </w:r>
          </w:p>
          <w:p w14:paraId="28BB2ED3">
            <w:pPr>
              <w:shd w:val="clear"/>
              <w:snapToGrid w:val="0"/>
              <w:spacing w:line="440" w:lineRule="exac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响应报价出现下列情形的，响应无效：</w:t>
            </w:r>
          </w:p>
          <w:p w14:paraId="51E79E76">
            <w:pPr>
              <w:shd w:val="clear"/>
              <w:snapToGrid w:val="0"/>
              <w:spacing w:line="440" w:lineRule="exac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响应文件出现不是唯一的、有选择性响应报价的；</w:t>
            </w:r>
          </w:p>
          <w:p w14:paraId="060668E4">
            <w:pPr>
              <w:shd w:val="clear"/>
              <w:snapToGrid w:val="0"/>
              <w:spacing w:line="440" w:lineRule="exac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响应报价超过采购文件中规定的最高综合折扣的；</w:t>
            </w:r>
          </w:p>
          <w:p w14:paraId="62309630">
            <w:pPr>
              <w:shd w:val="clear"/>
              <w:spacing w:line="440" w:lineRule="exact"/>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报价明显低于其他通过符合性审查供应商的报价，有可能影响服务质量或者不能诚信履约的，未能按要求提供书面说明或者提交相关证明材料证明其报价合理性的</w:t>
            </w:r>
            <w:r>
              <w:rPr>
                <w:rFonts w:hint="eastAsia" w:ascii="宋体" w:hAnsi="宋体" w:cs="宋体"/>
                <w:b/>
                <w:color w:val="auto"/>
                <w:szCs w:val="21"/>
                <w:highlight w:val="none"/>
              </w:rPr>
              <w:t>;</w:t>
            </w:r>
          </w:p>
          <w:p w14:paraId="4B8A71BB">
            <w:pPr>
              <w:shd w:val="clear"/>
              <w:spacing w:line="440" w:lineRule="exact"/>
              <w:rPr>
                <w:rFonts w:ascii="宋体" w:hAnsi="宋体" w:cs="宋体"/>
                <w:color w:val="auto"/>
                <w:szCs w:val="21"/>
                <w:highlight w:val="none"/>
              </w:rPr>
            </w:pPr>
            <w:r>
              <w:rPr>
                <w:rFonts w:hint="eastAsia" w:ascii="宋体" w:hAnsi="宋体" w:cs="宋体"/>
                <w:b/>
                <w:color w:val="auto"/>
                <w:kern w:val="0"/>
                <w:szCs w:val="21"/>
                <w:highlight w:val="none"/>
              </w:rPr>
              <w:t>供应商对根据修正原则修正后的报价不确认的</w:t>
            </w:r>
            <w:r>
              <w:rPr>
                <w:rFonts w:hint="eastAsia" w:ascii="宋体" w:hAnsi="宋体" w:cs="宋体"/>
                <w:b/>
                <w:color w:val="auto"/>
                <w:szCs w:val="21"/>
                <w:highlight w:val="none"/>
              </w:rPr>
              <w:t>。</w:t>
            </w:r>
          </w:p>
        </w:tc>
      </w:tr>
      <w:tr w14:paraId="7BBF1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45" w:hRule="atLeast"/>
          <w:tblHeader/>
        </w:trPr>
        <w:tc>
          <w:tcPr>
            <w:tcW w:w="629" w:type="dxa"/>
            <w:vAlign w:val="center"/>
          </w:tcPr>
          <w:p w14:paraId="287680BF">
            <w:pPr>
              <w:shd w:val="clear"/>
              <w:snapToGrid w:val="0"/>
              <w:spacing w:line="360" w:lineRule="auto"/>
              <w:jc w:val="center"/>
              <w:rPr>
                <w:rFonts w:ascii="宋体" w:hAnsi="宋体" w:cs="宋体"/>
                <w:color w:val="auto"/>
                <w:szCs w:val="21"/>
                <w:highlight w:val="none"/>
              </w:rPr>
            </w:pPr>
            <w:r>
              <w:rPr>
                <w:rFonts w:hint="eastAsia" w:cs="仿宋" w:asciiTheme="majorEastAsia" w:hAnsiTheme="majorEastAsia" w:eastAsiaTheme="majorEastAsia"/>
                <w:color w:val="auto"/>
                <w:sz w:val="24"/>
                <w:highlight w:val="none"/>
              </w:rPr>
              <w:t>2</w:t>
            </w:r>
          </w:p>
        </w:tc>
        <w:tc>
          <w:tcPr>
            <w:tcW w:w="1843" w:type="dxa"/>
            <w:vAlign w:val="center"/>
          </w:tcPr>
          <w:p w14:paraId="43E9800B">
            <w:pPr>
              <w:pStyle w:val="14"/>
              <w:shd w:val="clear"/>
              <w:spacing w:line="360" w:lineRule="auto"/>
              <w:jc w:val="both"/>
              <w:rPr>
                <w:rFonts w:hAnsi="宋体" w:cs="宋体"/>
                <w:color w:val="auto"/>
                <w:highlight w:val="none"/>
              </w:rPr>
            </w:pPr>
            <w:r>
              <w:rPr>
                <w:rFonts w:hint="eastAsia" w:hAnsi="宋体" w:cs="宋体"/>
                <w:color w:val="auto"/>
                <w:kern w:val="28"/>
                <w:highlight w:val="none"/>
              </w:rPr>
              <w:t>磋商保证金</w:t>
            </w:r>
          </w:p>
        </w:tc>
        <w:tc>
          <w:tcPr>
            <w:tcW w:w="6662" w:type="dxa"/>
            <w:vAlign w:val="center"/>
          </w:tcPr>
          <w:p w14:paraId="45F804CC">
            <w:pPr>
              <w:pStyle w:val="7"/>
              <w:shd w:val="clear"/>
              <w:spacing w:line="360" w:lineRule="auto"/>
              <w:ind w:firstLine="0"/>
              <w:rPr>
                <w:rFonts w:hAnsi="宋体" w:cs="宋体"/>
                <w:b/>
                <w:color w:val="auto"/>
                <w:kern w:val="0"/>
                <w:sz w:val="21"/>
                <w:szCs w:val="21"/>
                <w:highlight w:val="none"/>
              </w:rPr>
            </w:pPr>
            <w:r>
              <w:rPr>
                <w:rFonts w:hint="eastAsia" w:hAnsi="宋体" w:cs="宋体"/>
                <w:snapToGrid/>
                <w:color w:val="auto"/>
                <w:kern w:val="2"/>
                <w:sz w:val="21"/>
                <w:szCs w:val="21"/>
                <w:highlight w:val="none"/>
              </w:rPr>
              <w:t>不适用</w:t>
            </w:r>
          </w:p>
        </w:tc>
      </w:tr>
      <w:tr w14:paraId="41CD9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7" w:hRule="atLeast"/>
          <w:tblHeader/>
        </w:trPr>
        <w:tc>
          <w:tcPr>
            <w:tcW w:w="629" w:type="dxa"/>
            <w:vAlign w:val="center"/>
          </w:tcPr>
          <w:p w14:paraId="75E290CB">
            <w:pPr>
              <w:shd w:val="clea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843" w:type="dxa"/>
            <w:vAlign w:val="center"/>
          </w:tcPr>
          <w:p w14:paraId="13D751FD">
            <w:pPr>
              <w:shd w:val="clea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分包</w:t>
            </w:r>
          </w:p>
        </w:tc>
        <w:tc>
          <w:tcPr>
            <w:tcW w:w="6662" w:type="dxa"/>
            <w:vAlign w:val="center"/>
          </w:tcPr>
          <w:p w14:paraId="4B961E2D">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不同意分包。</w:t>
            </w:r>
          </w:p>
        </w:tc>
      </w:tr>
      <w:tr w14:paraId="25005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42" w:hRule="atLeast"/>
          <w:tblHeader/>
        </w:trPr>
        <w:tc>
          <w:tcPr>
            <w:tcW w:w="629" w:type="dxa"/>
            <w:vAlign w:val="center"/>
          </w:tcPr>
          <w:p w14:paraId="60A99E4E">
            <w:pPr>
              <w:shd w:val="clea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843" w:type="dxa"/>
            <w:vAlign w:val="center"/>
          </w:tcPr>
          <w:p w14:paraId="6FCF27A5">
            <w:pPr>
              <w:shd w:val="clea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供应商应当提供的资格文件</w:t>
            </w:r>
          </w:p>
        </w:tc>
        <w:tc>
          <w:tcPr>
            <w:tcW w:w="6662" w:type="dxa"/>
            <w:vAlign w:val="center"/>
          </w:tcPr>
          <w:p w14:paraId="2D487A7F">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资格证明文件：见采购文件第二部分9.1。</w:t>
            </w:r>
          </w:p>
          <w:p w14:paraId="5165FB10">
            <w:pPr>
              <w:shd w:val="clear"/>
              <w:spacing w:line="440" w:lineRule="exact"/>
              <w:rPr>
                <w:rFonts w:ascii="宋体" w:hAnsi="宋体" w:cs="宋体"/>
                <w:color w:val="auto"/>
                <w:kern w:val="0"/>
                <w:szCs w:val="21"/>
                <w:highlight w:val="none"/>
              </w:rPr>
            </w:pPr>
            <w:r>
              <w:rPr>
                <w:rFonts w:hint="eastAsia" w:ascii="宋体" w:hAnsi="宋体" w:cs="宋体"/>
                <w:color w:val="auto"/>
                <w:szCs w:val="21"/>
                <w:highlight w:val="none"/>
              </w:rPr>
              <w:t>资格证明文件不全的或者不符合采购文件标明的资格要求的</w:t>
            </w:r>
            <w:r>
              <w:rPr>
                <w:rFonts w:hint="eastAsia" w:ascii="宋体" w:hAnsi="宋体" w:cs="宋体"/>
                <w:color w:val="auto"/>
                <w:szCs w:val="21"/>
                <w:highlight w:val="none"/>
                <w:lang w:val="zh-CN"/>
              </w:rPr>
              <w:t>，视为供应商不具备采购文件中规定的资格要求，响应无效。</w:t>
            </w:r>
          </w:p>
        </w:tc>
      </w:tr>
      <w:tr w14:paraId="3FEF9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vAlign w:val="center"/>
          </w:tcPr>
          <w:p w14:paraId="72C1C34C">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843" w:type="dxa"/>
            <w:vAlign w:val="bottom"/>
          </w:tcPr>
          <w:p w14:paraId="1333C5D6">
            <w:pPr>
              <w:shd w:val="clear"/>
              <w:snapToGrid w:val="0"/>
              <w:spacing w:line="440" w:lineRule="exact"/>
              <w:jc w:val="center"/>
              <w:rPr>
                <w:rFonts w:ascii="宋体" w:hAnsi="宋体" w:cs="宋体"/>
                <w:color w:val="auto"/>
                <w:szCs w:val="21"/>
                <w:highlight w:val="none"/>
              </w:rPr>
            </w:pPr>
            <w:r>
              <w:rPr>
                <w:rFonts w:hint="eastAsia" w:ascii="宋体" w:hAnsi="宋体" w:cs="宋体"/>
                <w:b/>
                <w:color w:val="auto"/>
                <w:szCs w:val="21"/>
                <w:highlight w:val="none"/>
              </w:rPr>
              <w:t>现场考察</w:t>
            </w:r>
          </w:p>
        </w:tc>
        <w:tc>
          <w:tcPr>
            <w:tcW w:w="6662" w:type="dxa"/>
            <w:vAlign w:val="bottom"/>
          </w:tcPr>
          <w:p w14:paraId="1868CE8B">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不组织。</w:t>
            </w:r>
          </w:p>
        </w:tc>
      </w:tr>
      <w:tr w14:paraId="66F39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25" w:hRule="atLeast"/>
          <w:tblHeader/>
        </w:trPr>
        <w:tc>
          <w:tcPr>
            <w:tcW w:w="629" w:type="dxa"/>
            <w:vAlign w:val="center"/>
          </w:tcPr>
          <w:p w14:paraId="20176292">
            <w:pPr>
              <w:shd w:val="clea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843" w:type="dxa"/>
            <w:vAlign w:val="center"/>
          </w:tcPr>
          <w:p w14:paraId="1F144365">
            <w:pPr>
              <w:shd w:val="clear"/>
              <w:snapToGrid w:val="0"/>
              <w:spacing w:line="440" w:lineRule="exact"/>
              <w:jc w:val="center"/>
              <w:rPr>
                <w:rFonts w:ascii="宋体" w:hAnsi="宋体" w:cs="宋体"/>
                <w:bCs/>
                <w:color w:val="auto"/>
                <w:szCs w:val="21"/>
                <w:highlight w:val="none"/>
              </w:rPr>
            </w:pPr>
            <w:r>
              <w:rPr>
                <w:rFonts w:hint="eastAsia" w:ascii="宋体" w:hAnsi="宋体" w:cs="宋体"/>
                <w:b/>
                <w:color w:val="auto"/>
                <w:szCs w:val="21"/>
                <w:highlight w:val="none"/>
              </w:rPr>
              <w:t>现场答辩</w:t>
            </w:r>
          </w:p>
        </w:tc>
        <w:tc>
          <w:tcPr>
            <w:tcW w:w="6662" w:type="dxa"/>
            <w:vAlign w:val="center"/>
          </w:tcPr>
          <w:p w14:paraId="68D7BBCB">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不组织。</w:t>
            </w:r>
          </w:p>
          <w:p w14:paraId="357C9494">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sym w:font="Wingdings" w:char="F0FE"/>
            </w:r>
            <w:r>
              <w:rPr>
                <w:rFonts w:hint="eastAsia" w:ascii="宋体" w:hAnsi="宋体" w:cs="宋体"/>
                <w:color w:val="auto"/>
                <w:szCs w:val="21"/>
                <w:highlight w:val="none"/>
              </w:rPr>
              <w:t>B组织。具体要求详见“评分标准表”。</w:t>
            </w:r>
          </w:p>
        </w:tc>
      </w:tr>
      <w:tr w14:paraId="4F54B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vAlign w:val="center"/>
          </w:tcPr>
          <w:p w14:paraId="130DD2F7">
            <w:pPr>
              <w:shd w:val="clea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843" w:type="dxa"/>
            <w:vAlign w:val="center"/>
          </w:tcPr>
          <w:p w14:paraId="72E3F31C">
            <w:pPr>
              <w:shd w:val="clea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采购标的对应的中小企业划分标准所属行业</w:t>
            </w:r>
          </w:p>
        </w:tc>
        <w:tc>
          <w:tcPr>
            <w:tcW w:w="6662" w:type="dxa"/>
            <w:vAlign w:val="center"/>
          </w:tcPr>
          <w:p w14:paraId="657CAF2C">
            <w:pPr>
              <w:shd w:val="clea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标的：</w:t>
            </w:r>
            <w:r>
              <w:rPr>
                <w:rFonts w:hint="eastAsia" w:ascii="宋体" w:hAnsi="宋体" w:cs="宋体"/>
                <w:color w:val="auto"/>
                <w:kern w:val="0"/>
                <w:szCs w:val="21"/>
                <w:highlight w:val="none"/>
                <w:u w:val="single"/>
              </w:rPr>
              <w:t>年产950万件新型电子元器件生产项目招标控制价及预算编制服务项目</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租赁和商务服务业</w:t>
            </w:r>
            <w:r>
              <w:rPr>
                <w:rFonts w:hint="eastAsia" w:ascii="宋体" w:hAnsi="宋体" w:cs="宋体"/>
                <w:color w:val="auto"/>
                <w:kern w:val="0"/>
                <w:szCs w:val="21"/>
                <w:highlight w:val="none"/>
              </w:rPr>
              <w:t>行业；</w:t>
            </w:r>
          </w:p>
        </w:tc>
      </w:tr>
      <w:tr w14:paraId="4CF1F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blHeader/>
        </w:trPr>
        <w:tc>
          <w:tcPr>
            <w:tcW w:w="629" w:type="dxa"/>
            <w:vAlign w:val="center"/>
          </w:tcPr>
          <w:p w14:paraId="32299F42">
            <w:pPr>
              <w:shd w:val="clea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843" w:type="dxa"/>
            <w:vAlign w:val="center"/>
          </w:tcPr>
          <w:p w14:paraId="70900FEA">
            <w:pPr>
              <w:shd w:val="clea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代理服务费</w:t>
            </w:r>
          </w:p>
        </w:tc>
        <w:tc>
          <w:tcPr>
            <w:tcW w:w="6662" w:type="dxa"/>
            <w:vAlign w:val="center"/>
          </w:tcPr>
          <w:p w14:paraId="62CDD32A">
            <w:pPr>
              <w:shd w:val="clear"/>
              <w:spacing w:line="44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本项目成交服务费</w:t>
            </w:r>
            <w:r>
              <w:rPr>
                <w:rFonts w:hint="eastAsia" w:ascii="宋体" w:hAnsi="宋体" w:cs="宋体"/>
                <w:snapToGrid w:val="0"/>
                <w:color w:val="auto"/>
                <w:kern w:val="28"/>
                <w:szCs w:val="21"/>
                <w:highlight w:val="none"/>
                <w:u w:val="single"/>
              </w:rPr>
              <w:t>3250</w:t>
            </w:r>
            <w:r>
              <w:rPr>
                <w:rFonts w:hint="eastAsia" w:ascii="宋体" w:hAnsi="宋体" w:cs="宋体"/>
                <w:snapToGrid w:val="0"/>
                <w:color w:val="auto"/>
                <w:kern w:val="28"/>
                <w:szCs w:val="21"/>
                <w:highlight w:val="none"/>
              </w:rPr>
              <w:t>元。成交人应在本公司发出成交通知书5个工作日内向本采购代理机构支付代理服务费。代理服务费只收现金、银行票汇款、电汇款。</w:t>
            </w:r>
          </w:p>
        </w:tc>
      </w:tr>
    </w:tbl>
    <w:p w14:paraId="2137F89A">
      <w:pPr>
        <w:shd w:val="clear"/>
        <w:snapToGrid w:val="0"/>
        <w:spacing w:line="360" w:lineRule="auto"/>
        <w:ind w:firstLine="643"/>
        <w:jc w:val="center"/>
        <w:rPr>
          <w:rFonts w:asciiTheme="minorEastAsia" w:hAnsiTheme="minorEastAsia" w:eastAsiaTheme="minorEastAsia" w:cstheme="minorEastAsia"/>
          <w:b/>
          <w:color w:val="auto"/>
          <w:sz w:val="32"/>
          <w:szCs w:val="20"/>
          <w:highlight w:val="none"/>
        </w:rPr>
      </w:pPr>
    </w:p>
    <w:p w14:paraId="4DCE73B3">
      <w:pPr>
        <w:pStyle w:val="35"/>
        <w:shd w:val="clear"/>
        <w:rPr>
          <w:color w:val="auto"/>
          <w:highlight w:val="none"/>
        </w:rPr>
      </w:pPr>
      <w:r>
        <w:rPr>
          <w:color w:val="auto"/>
          <w:highlight w:val="none"/>
        </w:rPr>
        <w:br w:type="page"/>
      </w:r>
    </w:p>
    <w:bookmarkEnd w:id="12"/>
    <w:p w14:paraId="7BA86C83">
      <w:pPr>
        <w:shd w:val="clear"/>
        <w:spacing w:line="360" w:lineRule="auto"/>
        <w:ind w:firstLine="3845" w:firstLineChars="1197"/>
        <w:outlineLvl w:val="0"/>
        <w:rPr>
          <w:rFonts w:asciiTheme="minorEastAsia" w:hAnsiTheme="minorEastAsia" w:eastAsiaTheme="minorEastAsia" w:cstheme="minorEastAsia"/>
          <w:b/>
          <w:color w:val="auto"/>
          <w:sz w:val="32"/>
          <w:szCs w:val="20"/>
          <w:highlight w:val="none"/>
        </w:rPr>
      </w:pPr>
      <w:bookmarkStart w:id="23" w:name="第三部分"/>
      <w:bookmarkStart w:id="24" w:name="_Toc164416483"/>
      <w:bookmarkStart w:id="25" w:name="第四部分"/>
      <w:r>
        <w:rPr>
          <w:rFonts w:hint="eastAsia" w:asciiTheme="minorEastAsia" w:hAnsiTheme="minorEastAsia" w:eastAsiaTheme="minorEastAsia" w:cstheme="minorEastAsia"/>
          <w:b/>
          <w:color w:val="auto"/>
          <w:sz w:val="32"/>
          <w:szCs w:val="20"/>
          <w:highlight w:val="none"/>
        </w:rPr>
        <w:t>一、总则</w:t>
      </w:r>
    </w:p>
    <w:p w14:paraId="4D7B9EB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适用范围</w:t>
      </w:r>
    </w:p>
    <w:p w14:paraId="1E1CF0D1">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本竞争性磋商文件适用于该项目的采购、响应、响应文件开启、资格审查及信用信息查询、评审、成交供应商确定、合同、验收等行为（法律、法规另有规定的，从其规定）。</w:t>
      </w:r>
    </w:p>
    <w:p w14:paraId="634D17EF">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定义</w:t>
      </w:r>
    </w:p>
    <w:p w14:paraId="3F8C0699">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 “采购人”系指竞争性磋商公告中载明的本项目的采购人。</w:t>
      </w:r>
    </w:p>
    <w:p w14:paraId="0F318ABD">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 “采购代理机构”系指竞争性磋商公告中载明的本项目的采购代理机构。</w:t>
      </w:r>
    </w:p>
    <w:p w14:paraId="13518D5D">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 “</w:t>
      </w:r>
      <w:r>
        <w:rPr>
          <w:rFonts w:hint="eastAsia" w:asciiTheme="minorEastAsia" w:hAnsiTheme="minorEastAsia" w:eastAsiaTheme="minorEastAsia" w:cstheme="minorEastAsia"/>
          <w:color w:val="auto"/>
          <w:szCs w:val="21"/>
          <w:highlight w:val="none"/>
          <w:lang w:val="zh-CN"/>
        </w:rPr>
        <w:t>供应商</w:t>
      </w:r>
      <w:r>
        <w:rPr>
          <w:rFonts w:hint="eastAsia" w:asciiTheme="minorEastAsia" w:hAnsiTheme="minorEastAsia" w:eastAsiaTheme="minorEastAsia" w:cstheme="minorEastAsia"/>
          <w:color w:val="auto"/>
          <w:szCs w:val="21"/>
          <w:highlight w:val="none"/>
        </w:rPr>
        <w:t>”系指是指响应采购、参加磋商竞争的法人、其他组织或者自然人。</w:t>
      </w:r>
    </w:p>
    <w:p w14:paraId="7F2CC407">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 “负责人”系指法人企业的法定负责人，或其他组织为法律、行政法规规定代表单位行使职权的主要负责人，或自然人本人。</w:t>
      </w:r>
    </w:p>
    <w:p w14:paraId="365A6211">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2.5“电子签名”系指数据电文中以电子形式所含、所附用于识别签名人身份并表明签名人认可其中内容的数据；“公章”系指单位法定名称章。</w:t>
      </w:r>
    </w:p>
    <w:p w14:paraId="2C763935">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2.6“电子交易平台”是指本项目政府采购活动所依托的政府采购云平台（https://www.zcygov.cn/）。</w:t>
      </w:r>
    </w:p>
    <w:p w14:paraId="3129AFD9">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 “</w:t>
      </w:r>
      <w:r>
        <w:rPr>
          <w:rFonts w:hint="eastAsia" w:ascii="MS Gothic" w:hAnsi="MS Gothic" w:eastAsia="MS Gothic" w:cs="MS Gothic"/>
          <w:color w:val="auto"/>
          <w:szCs w:val="21"/>
          <w:highlight w:val="none"/>
        </w:rPr>
        <w:t>☑</w:t>
      </w:r>
      <w:r>
        <w:rPr>
          <w:rFonts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 系指适用本项目的要求，“☐” 系指不适用本项目的要求。</w:t>
      </w:r>
    </w:p>
    <w:p w14:paraId="280454D7">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采购项目需要落实的政府采购政策</w:t>
      </w:r>
    </w:p>
    <w:p w14:paraId="3A6D3C90">
      <w:pPr>
        <w:numPr>
          <w:ilvl w:val="1"/>
          <w:numId w:val="2"/>
        </w:num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本项目不允许采购进口产品。</w:t>
      </w:r>
    </w:p>
    <w:p w14:paraId="625CACBF">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 支持绿色发展</w:t>
      </w:r>
    </w:p>
    <w:p w14:paraId="336077F0">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3.3支持中小企业发展</w:t>
      </w:r>
    </w:p>
    <w:p w14:paraId="30A7D081">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24803B">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符合中小企业划分标准的个体工商户，在政府采购活动中视同中小企业。</w:t>
      </w:r>
    </w:p>
    <w:p w14:paraId="2F3DE7AF">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3.3.2</w:t>
      </w:r>
      <w:r>
        <w:rPr>
          <w:rFonts w:hint="eastAsia" w:asciiTheme="minorEastAsia" w:hAnsiTheme="minorEastAsia" w:eastAsiaTheme="minorEastAsia" w:cstheme="minorEastAsia"/>
          <w:color w:val="auto"/>
          <w:kern w:val="0"/>
          <w:szCs w:val="21"/>
          <w:highlight w:val="none"/>
        </w:rPr>
        <w:t>在政府采购活动中，</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提供的货物、工程或者服务符合下列情形的，享受中小企业扶持政策：</w:t>
      </w:r>
    </w:p>
    <w:p w14:paraId="1F542541">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3.3.2.1在货物采购项目中，货物由中小企业制造，即货物由中小企业生产且使用该中小企业商号或者注册商标；</w:t>
      </w:r>
    </w:p>
    <w:p w14:paraId="6B8F6FD1">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3.3.2.2在工程采购项目中，工程由中小企业承建，即工程施工单位为中小企业；</w:t>
      </w:r>
    </w:p>
    <w:p w14:paraId="5179D48A">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3.3.2.3在服务采购项目中，服务由中小企业承接，即提供服务的人员为中小企业依照《中华人民共和国劳动合同法》订立劳动合同的从业人员。</w:t>
      </w:r>
    </w:p>
    <w:p w14:paraId="539DEDAC">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在货物采购项目中，</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提供的货物既有中小企业制造货物，也有大型企业制造货物的，不享受中小企业扶持政策。</w:t>
      </w:r>
    </w:p>
    <w:p w14:paraId="49C26E88">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以联合体形式参加政府采购活动，联合体各方均为中小企业的，联合体视同中小企业。其中，联合体各方均为小微企业的，联合体视同小微企业。</w:t>
      </w:r>
    </w:p>
    <w:p w14:paraId="729CA1AB">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3.3.3对于未预留份额专门面向中小企业的政府采购货物或服务或工程项目，以及预留份额政府采购货物或服务项目中的非预留部分标项，对小型和微型企业的谈判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工程项目为 2%）的扣除，用扣除后的价格参加评审。组成联合体或者接受分包的小微企业与联合体内其他企业、分包企业之间存在直接控股、管理关系的，不享受价格扣除优惠政策。</w:t>
      </w:r>
    </w:p>
    <w:p w14:paraId="6E04A9EE">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3.3.4符合《关于促进残疾人就业政府采购政策的通知》（财库〔2017〕141号）规定的条件并提供《残疾人福利性单位声明函》的残疾人福利性单位视同小型、微型企业；</w:t>
      </w:r>
    </w:p>
    <w:p w14:paraId="735B10F6">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ED0EB1">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3.3.6可享受中小企业扶持政策的</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应按照竞争性磋商文件格式要求提供《中小企业声明函》，</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提供的《中小企业声明函》与实际情况不符的，不享受中小企业扶持政策。声明内容不实的，属于提供虚假材料谋取中标、成交的，依法承担法律责任。</w:t>
      </w:r>
    </w:p>
    <w:p w14:paraId="28FC7552">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3.3.7中小企业享受扶持政策获得政府采购合同的，小微企业不得将合同分包给大中型企业，中型企业不得将合同分包给大型企业。</w:t>
      </w:r>
    </w:p>
    <w:p w14:paraId="492E0FB5">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特别说明</w:t>
      </w:r>
    </w:p>
    <w:p w14:paraId="7428B3D0">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4.1关于分公司磋商响应</w:t>
      </w:r>
    </w:p>
    <w:p w14:paraId="39B5446E">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除银行、保险、石油石化、电力、电信等特殊行业外。法人的分支机构由于不能独立承担民事责任，不能以分支机构的身份参加政府采购，只能以法人身份参加。 </w:t>
      </w:r>
    </w:p>
    <w:p w14:paraId="2AA49A45">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4.2关于知识产权</w:t>
      </w:r>
    </w:p>
    <w:p w14:paraId="76D647E3">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4.2.1 </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必须保证，采购人在中华人民共和国境内使用磋商响应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承担。</w:t>
      </w:r>
    </w:p>
    <w:p w14:paraId="32273486">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4.2.2 磋商报价应包含所有应向所有权人支付的专利权、商标权或其它知识产权的一切相关费用。</w:t>
      </w:r>
    </w:p>
    <w:p w14:paraId="30090EBE">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4.2.3 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承担所有责任及费用。</w:t>
      </w:r>
    </w:p>
    <w:p w14:paraId="343A0035">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的风险</w:t>
      </w:r>
    </w:p>
    <w:p w14:paraId="290A21C8">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应详细阅读竞争性磋商文件中的全部内容和要求，按照竞争性磋商文件的要求提交响应文件，没有按照竞争性磋商文件要求提供响应文件和资料导致的风险由</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承担,并对所提供的全部资料的真实性承担法律责任。</w:t>
      </w:r>
    </w:p>
    <w:p w14:paraId="3B01B6EC">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4.3.2 无论因何种原因导致本次采购活动终止致</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损失的，相关责任人均不承担任何责任。</w:t>
      </w:r>
    </w:p>
    <w:p w14:paraId="2A81936A">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询问、质疑、投诉</w:t>
      </w:r>
    </w:p>
    <w:p w14:paraId="1A02A4DE">
      <w:pPr>
        <w:shd w:val="clea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.1供应商询问</w:t>
      </w:r>
    </w:p>
    <w:p w14:paraId="60D3A366">
      <w:pPr>
        <w:shd w:val="clea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3219D8">
      <w:pPr>
        <w:shd w:val="clea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.2供应商质疑</w:t>
      </w:r>
    </w:p>
    <w:p w14:paraId="60CBB064">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.1提出质疑的供应商应当是参与所质疑项目采购活动的供应商。潜在供应商已依法获取其可质疑的竞争性磋商文件的，可以对该文件提出质疑。</w:t>
      </w:r>
    </w:p>
    <w:p w14:paraId="4FB10AFA">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5E700202">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5.2.2.1对竞争性磋商文件提出质疑的，质疑期限为供应商获得竞争性磋商文件之日或者竞争性磋商文件公告期限届满之日起计算。</w:t>
      </w:r>
    </w:p>
    <w:p w14:paraId="687C0E68">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5.2.2.2对采购过程提出质疑的，质疑期限为各采购程序环节结束之日起计算。</w:t>
      </w:r>
    </w:p>
    <w:p w14:paraId="5DB58D07">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5.2.2.3对采购结果提出质疑的，质疑期限自采购结果公告期限届满之日起计算。</w:t>
      </w:r>
    </w:p>
    <w:p w14:paraId="35BEAA22">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5.2.2.4对同一采购程序环节的质疑，供应商须一次性提出。</w:t>
      </w:r>
    </w:p>
    <w:p w14:paraId="40F4C567">
      <w:pPr>
        <w:shd w:val="clea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.2.3</w:t>
      </w:r>
      <w:r>
        <w:rPr>
          <w:rFonts w:hint="eastAsia" w:asciiTheme="minorEastAsia" w:hAnsiTheme="minorEastAsia" w:eastAsiaTheme="minorEastAsia" w:cstheme="minorEastAsia"/>
          <w:color w:val="auto"/>
          <w:szCs w:val="21"/>
          <w:highlight w:val="none"/>
        </w:rPr>
        <w:t>供应商提出质疑应当提交质疑函和必要的证明材料。质疑函应当包括下列内容：</w:t>
      </w:r>
    </w:p>
    <w:p w14:paraId="752D91A1">
      <w:pPr>
        <w:shd w:val="clea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.2.3.1供应商的姓名或者名称、地址、邮编、联系人及联系电话；</w:t>
      </w:r>
    </w:p>
    <w:p w14:paraId="25C2A4D5">
      <w:pPr>
        <w:shd w:val="clea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.2.3.2质疑项目的名称、编号；</w:t>
      </w:r>
    </w:p>
    <w:p w14:paraId="4A016695">
      <w:pPr>
        <w:shd w:val="clea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.2.3.3具体、明确的质疑事项和与质疑事项相关的请求；</w:t>
      </w:r>
    </w:p>
    <w:p w14:paraId="6AAA3CCF">
      <w:pPr>
        <w:shd w:val="clea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.2.3.4事实依据；</w:t>
      </w:r>
    </w:p>
    <w:p w14:paraId="24C180C3">
      <w:pPr>
        <w:shd w:val="clea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.2.3.5必要的法律依据；</w:t>
      </w:r>
    </w:p>
    <w:p w14:paraId="55394965">
      <w:pPr>
        <w:shd w:val="clea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.2.3.6提出质疑的日期。</w:t>
      </w:r>
    </w:p>
    <w:p w14:paraId="30A97189">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5.2.3.7对竞争性磋商文件提出质疑的需要提供在乐采云平台获取竞争性磋商文件的截图。</w:t>
      </w:r>
    </w:p>
    <w:p w14:paraId="0B41E1EB">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0BD355ED">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质疑函范本请到浙江企业采购信息服务网下载专区下载。</w:t>
      </w:r>
    </w:p>
    <w:p w14:paraId="1AF67DCC">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12764B70">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.5询问或者质疑事项可能影响采购结果的，采购人应当暂停签订合同，已经签订合同的，应当中止履行合同。</w:t>
      </w:r>
    </w:p>
    <w:p w14:paraId="781F2BE0">
      <w:pPr>
        <w:shd w:val="clea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.3供应商投诉</w:t>
      </w:r>
    </w:p>
    <w:p w14:paraId="1D8C16F4">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48C6FDE4">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供应商投诉的事项不得超出已质疑事项的范围，基于质疑答复内容提出的投诉事项除外。</w:t>
      </w:r>
    </w:p>
    <w:p w14:paraId="14706850">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5.3.3供应商投诉应当有明确的请求和必要的证明材料。</w:t>
      </w:r>
    </w:p>
    <w:p w14:paraId="146BD161">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5.3.4以联合体形式参加采购活动的，其投诉应当由组成联合体的所有供应商共同提出。</w:t>
      </w:r>
    </w:p>
    <w:p w14:paraId="6916AA00">
      <w:pPr>
        <w:shd w:val="clea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5.3.5投诉人对</w:t>
      </w:r>
      <w:r>
        <w:rPr>
          <w:rFonts w:hint="eastAsia"/>
          <w:color w:val="auto"/>
          <w:highlight w:val="none"/>
        </w:rPr>
        <w:t>监督管理部门的投诉处理决定</w:t>
      </w:r>
      <w:r>
        <w:rPr>
          <w:rFonts w:hint="eastAsia" w:asciiTheme="minorEastAsia" w:hAnsiTheme="minorEastAsia" w:eastAsiaTheme="minorEastAsia" w:cstheme="minorEastAsia"/>
          <w:color w:val="auto"/>
          <w:szCs w:val="21"/>
          <w:highlight w:val="none"/>
        </w:rPr>
        <w:t>不服</w:t>
      </w:r>
      <w:r>
        <w:rPr>
          <w:rFonts w:hint="eastAsia"/>
          <w:color w:val="auto"/>
          <w:highlight w:val="none"/>
        </w:rPr>
        <w:t>或监督管理部门逾期未作处理的，可以向区国资管理中心反映。供应商或相关利害关系人在</w:t>
      </w:r>
      <w:r>
        <w:rPr>
          <w:rFonts w:hint="eastAsia" w:asciiTheme="minorEastAsia" w:hAnsiTheme="minorEastAsia" w:eastAsiaTheme="minorEastAsia" w:cstheme="minorEastAsia"/>
          <w:color w:val="auto"/>
          <w:szCs w:val="21"/>
          <w:highlight w:val="none"/>
        </w:rPr>
        <w:t>采购过程</w:t>
      </w:r>
      <w:r>
        <w:rPr>
          <w:rFonts w:hint="eastAsia"/>
          <w:color w:val="auto"/>
          <w:highlight w:val="none"/>
        </w:rPr>
        <w:t>中发现涉及违法违纪行为或造成国有资产损失的，可以向纪检监察部门和区国资管理中心</w:t>
      </w:r>
      <w:r>
        <w:rPr>
          <w:rFonts w:hint="eastAsia" w:asciiTheme="minorEastAsia" w:hAnsiTheme="minorEastAsia" w:eastAsiaTheme="minorEastAsia" w:cstheme="minorEastAsia"/>
          <w:color w:val="auto"/>
          <w:szCs w:val="21"/>
          <w:highlight w:val="none"/>
        </w:rPr>
        <w:t>反映</w:t>
      </w:r>
      <w:r>
        <w:rPr>
          <w:rFonts w:hint="eastAsia"/>
          <w:color w:val="auto"/>
          <w:highlight w:val="none"/>
        </w:rPr>
        <w:t>。举报违法行为，应提供有效线索和证明材料。</w:t>
      </w:r>
    </w:p>
    <w:p w14:paraId="229B9E3C">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投诉书范本请到浙江企业采购信息服务网下载专区下载。</w:t>
      </w:r>
    </w:p>
    <w:p w14:paraId="6D5C29C8">
      <w:pPr>
        <w:shd w:val="clear"/>
        <w:spacing w:line="360" w:lineRule="auto"/>
        <w:ind w:firstLine="643"/>
        <w:jc w:val="center"/>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w:t>
      </w:r>
    </w:p>
    <w:p w14:paraId="1EC5C9B2">
      <w:pPr>
        <w:shd w:val="clear"/>
        <w:ind w:firstLine="643"/>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14:paraId="1DB97B80">
      <w:pPr>
        <w:shd w:val="clear"/>
        <w:spacing w:line="360" w:lineRule="auto"/>
        <w:ind w:firstLine="643"/>
        <w:jc w:val="center"/>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二、竞争性磋商文件的构成、澄清、修改</w:t>
      </w:r>
    </w:p>
    <w:p w14:paraId="089892C9">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竞争性磋商文件的构成</w:t>
      </w:r>
    </w:p>
    <w:p w14:paraId="4DDEF3FA">
      <w:pPr>
        <w:pStyle w:val="14"/>
        <w:shd w:val="clear"/>
        <w:rPr>
          <w:color w:val="auto"/>
          <w:highlight w:val="none"/>
        </w:rPr>
      </w:pPr>
      <w:r>
        <w:rPr>
          <w:rFonts w:hint="eastAsia"/>
          <w:color w:val="auto"/>
          <w:highlight w:val="none"/>
        </w:rPr>
        <w:t>6.1 竞争性磋商文件包括下列文件</w:t>
      </w:r>
      <w:r>
        <w:rPr>
          <w:rFonts w:hint="eastAsia"/>
          <w:bCs/>
          <w:color w:val="auto"/>
          <w:highlight w:val="none"/>
        </w:rPr>
        <w:t>及附件：</w:t>
      </w:r>
    </w:p>
    <w:p w14:paraId="4FAFF8B2">
      <w:pPr>
        <w:pStyle w:val="14"/>
        <w:shd w:val="clear"/>
        <w:rPr>
          <w:color w:val="auto"/>
          <w:highlight w:val="none"/>
        </w:rPr>
      </w:pPr>
      <w:r>
        <w:rPr>
          <w:rFonts w:hint="eastAsia"/>
          <w:color w:val="auto"/>
          <w:highlight w:val="none"/>
        </w:rPr>
        <w:t>6.1.1 竞争性磋商公告；</w:t>
      </w:r>
    </w:p>
    <w:p w14:paraId="04D6010D">
      <w:pPr>
        <w:pStyle w:val="14"/>
        <w:shd w:val="clear"/>
        <w:rPr>
          <w:color w:val="auto"/>
          <w:highlight w:val="none"/>
        </w:rPr>
      </w:pPr>
      <w:r>
        <w:rPr>
          <w:rFonts w:hint="eastAsia"/>
          <w:color w:val="auto"/>
          <w:highlight w:val="none"/>
        </w:rPr>
        <w:t xml:space="preserve">6.1.2 </w:t>
      </w:r>
      <w:r>
        <w:rPr>
          <w:rFonts w:hint="eastAsia"/>
          <w:color w:val="auto"/>
          <w:highlight w:val="none"/>
          <w:lang w:val="zh-CN"/>
        </w:rPr>
        <w:t>响应</w:t>
      </w:r>
      <w:r>
        <w:rPr>
          <w:rFonts w:hint="eastAsia"/>
          <w:color w:val="auto"/>
          <w:highlight w:val="none"/>
        </w:rPr>
        <w:t>须知；</w:t>
      </w:r>
    </w:p>
    <w:p w14:paraId="0392C7FA">
      <w:pPr>
        <w:pStyle w:val="14"/>
        <w:shd w:val="clear"/>
        <w:rPr>
          <w:color w:val="auto"/>
          <w:highlight w:val="none"/>
        </w:rPr>
      </w:pPr>
      <w:r>
        <w:rPr>
          <w:rFonts w:hint="eastAsia"/>
          <w:color w:val="auto"/>
          <w:highlight w:val="none"/>
        </w:rPr>
        <w:t>6.1.3 采购需求；</w:t>
      </w:r>
    </w:p>
    <w:p w14:paraId="4D180131">
      <w:pPr>
        <w:pStyle w:val="14"/>
        <w:shd w:val="clear"/>
        <w:rPr>
          <w:color w:val="auto"/>
          <w:highlight w:val="none"/>
        </w:rPr>
      </w:pPr>
      <w:r>
        <w:rPr>
          <w:rFonts w:hint="eastAsia"/>
          <w:color w:val="auto"/>
          <w:highlight w:val="none"/>
        </w:rPr>
        <w:t>6.1.4 评审办法；</w:t>
      </w:r>
    </w:p>
    <w:p w14:paraId="11DB89F0">
      <w:pPr>
        <w:pStyle w:val="14"/>
        <w:shd w:val="clear"/>
        <w:rPr>
          <w:color w:val="auto"/>
          <w:highlight w:val="none"/>
        </w:rPr>
      </w:pPr>
      <w:r>
        <w:rPr>
          <w:rFonts w:hint="eastAsia"/>
          <w:color w:val="auto"/>
          <w:highlight w:val="none"/>
        </w:rPr>
        <w:t>6.1.5 拟签订的合同文本；</w:t>
      </w:r>
    </w:p>
    <w:p w14:paraId="55BD86DA">
      <w:pPr>
        <w:pStyle w:val="14"/>
        <w:shd w:val="clear"/>
        <w:rPr>
          <w:color w:val="auto"/>
          <w:highlight w:val="none"/>
        </w:rPr>
      </w:pPr>
      <w:r>
        <w:rPr>
          <w:rFonts w:hint="eastAsia"/>
          <w:color w:val="auto"/>
          <w:highlight w:val="none"/>
        </w:rPr>
        <w:t>6.1.6 应提交的有关格式范例。</w:t>
      </w:r>
    </w:p>
    <w:p w14:paraId="36298306">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6.2与本项目有关的</w:t>
      </w:r>
      <w:r>
        <w:rPr>
          <w:rFonts w:hint="eastAsia" w:asciiTheme="minorEastAsia" w:hAnsiTheme="minorEastAsia" w:eastAsiaTheme="minorEastAsia" w:cstheme="minorEastAsia"/>
          <w:bCs/>
          <w:color w:val="auto"/>
          <w:szCs w:val="21"/>
          <w:highlight w:val="none"/>
        </w:rPr>
        <w:t>澄清或者修改的内容为</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bCs/>
          <w:color w:val="auto"/>
          <w:szCs w:val="21"/>
          <w:highlight w:val="none"/>
        </w:rPr>
        <w:t>文件的组成部分</w:t>
      </w:r>
      <w:r>
        <w:rPr>
          <w:rFonts w:hint="eastAsia" w:asciiTheme="minorEastAsia" w:hAnsiTheme="minorEastAsia" w:eastAsiaTheme="minorEastAsia" w:cstheme="minorEastAsia"/>
          <w:color w:val="auto"/>
          <w:szCs w:val="21"/>
          <w:highlight w:val="none"/>
        </w:rPr>
        <w:t>。</w:t>
      </w:r>
    </w:p>
    <w:p w14:paraId="6686D3C8">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竞争性磋商文件的澄清、修改</w:t>
      </w:r>
    </w:p>
    <w:p w14:paraId="72112E04">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14:paraId="404F00EC">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14:paraId="41A0B7B3">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 如更正公告有重新发布电子竞争性磋商文件的，</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应下载最新发布的电子竞争性磋商文件制作响应文件。</w:t>
      </w:r>
    </w:p>
    <w:p w14:paraId="5E6B1C86">
      <w:pPr>
        <w:shd w:val="clear"/>
        <w:spacing w:line="360" w:lineRule="auto"/>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7.4 已获取竞争性磋商文件的潜在</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，若有问题需要澄清，应于响应截止时间前，以书面形式向采购代理机构提出。</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在规定的时间内未对竞争性磋商文件提出疑问、质疑或要求澄清的，将视其为无异议。对竞争性磋商文件中描述有歧义或前后不一致的地方，磋商小组有权进行评判，但对同一条款的评判应适用于每个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w:t>
      </w:r>
    </w:p>
    <w:p w14:paraId="2412157C">
      <w:pPr>
        <w:shd w:val="clear"/>
        <w:spacing w:line="360" w:lineRule="auto"/>
        <w:ind w:firstLine="602"/>
        <w:jc w:val="center"/>
        <w:outlineLvl w:val="0"/>
        <w:rPr>
          <w:rFonts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br w:type="page"/>
      </w:r>
      <w:r>
        <w:rPr>
          <w:rFonts w:hint="eastAsia" w:asciiTheme="minorEastAsia" w:hAnsiTheme="minorEastAsia" w:eastAsiaTheme="minorEastAsia" w:cstheme="minorEastAsia"/>
          <w:b/>
          <w:color w:val="auto"/>
          <w:sz w:val="30"/>
          <w:szCs w:val="20"/>
          <w:highlight w:val="none"/>
        </w:rPr>
        <w:t>三、响应</w:t>
      </w:r>
    </w:p>
    <w:p w14:paraId="5D522036">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响应文件的语言</w:t>
      </w:r>
    </w:p>
    <w:p w14:paraId="0C4E42CD">
      <w:pPr>
        <w:shd w:val="clear"/>
        <w:autoSpaceDE w:val="0"/>
        <w:autoSpaceDN w:val="0"/>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响应文件及</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与采购有关的来往通知、函件和文件均应使用中文。</w:t>
      </w:r>
    </w:p>
    <w:p w14:paraId="16E9BBFD">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响应文件的组成</w:t>
      </w:r>
    </w:p>
    <w:p w14:paraId="1B552B2C">
      <w:pPr>
        <w:shd w:val="clear"/>
        <w:snapToGrid w:val="0"/>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9.1 资格文件：</w:t>
      </w:r>
    </w:p>
    <w:p w14:paraId="606230D8">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9.1.1有效的企业法人营业执照（或事业法人登记证）、其他组织（个体工商户）的营业执照或者民办非企业单位登记证书；</w:t>
      </w:r>
    </w:p>
    <w:p w14:paraId="6E0454E2">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9.1.2符合参加采购活动应当具备的一般条件的承诺函(格式见第六部分)；</w:t>
      </w:r>
    </w:p>
    <w:p w14:paraId="0366EB33">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9.1.3本项目的特定资格要求；</w:t>
      </w:r>
    </w:p>
    <w:p w14:paraId="2F7AC122">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9.1.4其他资料（如有）。</w:t>
      </w:r>
    </w:p>
    <w:p w14:paraId="3A8AEA74">
      <w:pPr>
        <w:shd w:val="clear"/>
        <w:snapToGrid w:val="0"/>
        <w:spacing w:line="360" w:lineRule="auto"/>
        <w:ind w:firstLine="422" w:firstLineChars="200"/>
        <w:rPr>
          <w:rFonts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rPr>
        <w:t>9</w:t>
      </w: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rPr>
        <w:t>2</w:t>
      </w:r>
      <w:r>
        <w:rPr>
          <w:rFonts w:hint="eastAsia" w:asciiTheme="minorEastAsia" w:hAnsiTheme="minorEastAsia" w:eastAsiaTheme="minorEastAsia" w:cstheme="minorEastAsia"/>
          <w:b/>
          <w:bCs/>
          <w:color w:val="auto"/>
          <w:szCs w:val="21"/>
          <w:highlight w:val="none"/>
          <w:lang w:val="zh-CN"/>
        </w:rPr>
        <w:t xml:space="preserve"> </w:t>
      </w:r>
      <w:r>
        <w:rPr>
          <w:rFonts w:hint="eastAsia" w:asciiTheme="minorEastAsia" w:hAnsiTheme="minorEastAsia" w:eastAsiaTheme="minorEastAsia" w:cstheme="minorEastAsia"/>
          <w:b/>
          <w:bCs/>
          <w:color w:val="auto"/>
          <w:szCs w:val="21"/>
          <w:highlight w:val="none"/>
        </w:rPr>
        <w:t>商务技术</w:t>
      </w:r>
      <w:r>
        <w:rPr>
          <w:rFonts w:hint="eastAsia" w:asciiTheme="minorEastAsia" w:hAnsiTheme="minorEastAsia" w:eastAsiaTheme="minorEastAsia" w:cstheme="minorEastAsia"/>
          <w:b/>
          <w:bCs/>
          <w:color w:val="auto"/>
          <w:szCs w:val="21"/>
          <w:highlight w:val="none"/>
          <w:lang w:val="zh-CN"/>
        </w:rPr>
        <w:t>文件：</w:t>
      </w:r>
    </w:p>
    <w:p w14:paraId="0C992D64">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9.2.1 评分索引表；</w:t>
      </w:r>
    </w:p>
    <w:p w14:paraId="6F56E80F">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9.2.2符合性自查表；</w:t>
      </w:r>
    </w:p>
    <w:p w14:paraId="72B11D10">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9.2.3 磋商函；</w:t>
      </w:r>
      <w:r>
        <w:rPr>
          <w:rFonts w:hint="eastAsia" w:asciiTheme="minorEastAsia" w:hAnsiTheme="minorEastAsia" w:eastAsiaTheme="minorEastAsia" w:cstheme="minorEastAsia"/>
          <w:color w:val="auto"/>
          <w:szCs w:val="21"/>
          <w:highlight w:val="none"/>
          <w:lang w:val="zh-CN"/>
        </w:rPr>
        <w:t xml:space="preserve"> </w:t>
      </w:r>
    </w:p>
    <w:p w14:paraId="71F7FE14">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9.2.4 授权委托书或法定代表人（单位负责人、自然人本人）身份证明；</w:t>
      </w:r>
    </w:p>
    <w:p w14:paraId="282AC321">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9.2.5 供应商情况表；</w:t>
      </w:r>
    </w:p>
    <w:p w14:paraId="3A5866E8">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9.2.6 距采购人最近或者能为本项目提供最优服务的网点情况表；</w:t>
      </w:r>
    </w:p>
    <w:p w14:paraId="7BE927A9">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7 评审标准相应的商务技术资料；</w:t>
      </w:r>
    </w:p>
    <w:p w14:paraId="40CF4CC8">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9.2.8 商务响应表；</w:t>
      </w:r>
    </w:p>
    <w:p w14:paraId="7204FBD1">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9.2.9 服务响应表；</w:t>
      </w:r>
    </w:p>
    <w:p w14:paraId="01DDB660">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9.2.10 项目实施人员一览表；</w:t>
      </w:r>
    </w:p>
    <w:p w14:paraId="7F3A9937">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9.2.11 同类业绩情况一览表；</w:t>
      </w:r>
    </w:p>
    <w:p w14:paraId="241F329C">
      <w:pPr>
        <w:shd w:val="clear"/>
        <w:snapToGrid w:val="0"/>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9.2.12</w:t>
      </w:r>
      <w:r>
        <w:rPr>
          <w:rFonts w:hint="eastAsia" w:asciiTheme="minorEastAsia" w:hAnsiTheme="minorEastAsia" w:eastAsiaTheme="minorEastAsia" w:cstheme="minorEastAsia"/>
          <w:color w:val="auto"/>
          <w:szCs w:val="21"/>
          <w:highlight w:val="none"/>
          <w:lang w:val="zh-CN"/>
        </w:rPr>
        <w:t>政府采购供应商廉洁自律承诺书；</w:t>
      </w:r>
    </w:p>
    <w:p w14:paraId="0D41DF7D">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9.2.13其他资料（如有）。</w:t>
      </w:r>
    </w:p>
    <w:p w14:paraId="315FACAE">
      <w:pPr>
        <w:shd w:val="clear"/>
        <w:snapToGrid w:val="0"/>
        <w:spacing w:line="360" w:lineRule="auto"/>
        <w:ind w:firstLine="422" w:firstLineChars="200"/>
        <w:rPr>
          <w:rFonts w:asciiTheme="minorEastAsia" w:hAnsiTheme="minorEastAsia" w:eastAsiaTheme="minorEastAsia" w:cstheme="minorEastAsia"/>
          <w:b/>
          <w:bCs/>
          <w:color w:val="auto"/>
          <w:szCs w:val="21"/>
          <w:highlight w:val="none"/>
          <w:u w:val="single"/>
          <w:lang w:val="zh-CN"/>
        </w:rPr>
      </w:pPr>
      <w:r>
        <w:rPr>
          <w:rFonts w:hint="eastAsia" w:asciiTheme="minorEastAsia" w:hAnsiTheme="minorEastAsia" w:eastAsiaTheme="minorEastAsia" w:cstheme="minorEastAsia"/>
          <w:b/>
          <w:bCs/>
          <w:color w:val="auto"/>
          <w:kern w:val="0"/>
          <w:szCs w:val="21"/>
          <w:highlight w:val="none"/>
        </w:rPr>
        <w:t>9</w:t>
      </w:r>
      <w:r>
        <w:rPr>
          <w:rFonts w:hint="eastAsia" w:asciiTheme="minorEastAsia" w:hAnsiTheme="minorEastAsia" w:eastAsiaTheme="minorEastAsia" w:cstheme="minorEastAsia"/>
          <w:b/>
          <w:bCs/>
          <w:color w:val="auto"/>
          <w:kern w:val="0"/>
          <w:szCs w:val="21"/>
          <w:highlight w:val="none"/>
          <w:lang w:val="zh-CN"/>
        </w:rPr>
        <w:t>.</w:t>
      </w:r>
      <w:r>
        <w:rPr>
          <w:rFonts w:hint="eastAsia" w:asciiTheme="minorEastAsia" w:hAnsiTheme="minorEastAsia" w:eastAsiaTheme="minorEastAsia" w:cstheme="minorEastAsia"/>
          <w:b/>
          <w:bCs/>
          <w:color w:val="auto"/>
          <w:kern w:val="0"/>
          <w:szCs w:val="21"/>
          <w:highlight w:val="none"/>
        </w:rPr>
        <w:t xml:space="preserve">3 </w:t>
      </w:r>
      <w:r>
        <w:rPr>
          <w:rFonts w:hint="eastAsia" w:asciiTheme="minorEastAsia" w:hAnsiTheme="minorEastAsia" w:eastAsiaTheme="minorEastAsia" w:cstheme="minorEastAsia"/>
          <w:b/>
          <w:bCs/>
          <w:color w:val="auto"/>
          <w:szCs w:val="21"/>
          <w:highlight w:val="none"/>
        </w:rPr>
        <w:t xml:space="preserve">报价文件： </w:t>
      </w:r>
    </w:p>
    <w:p w14:paraId="22865C28">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9.3.1 报价一览表；</w:t>
      </w:r>
    </w:p>
    <w:p w14:paraId="02E01B42">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9.3.2中小企业声明函；</w:t>
      </w:r>
    </w:p>
    <w:p w14:paraId="590A1DC9">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9.3.3 残疾人福利性单位声明函（如有）；</w:t>
      </w:r>
    </w:p>
    <w:p w14:paraId="6C352BDD">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9.3.4 监狱企业的证明文件（如有）；</w:t>
      </w:r>
    </w:p>
    <w:p w14:paraId="3E40C417">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9.3.5政府采购统计基础信息表；</w:t>
      </w:r>
    </w:p>
    <w:p w14:paraId="5AB2A524">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9.3.6其他资料（如有）。</w:t>
      </w:r>
    </w:p>
    <w:p w14:paraId="5049A461">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响应文件的编制</w:t>
      </w:r>
    </w:p>
    <w:p w14:paraId="5F976EA0">
      <w:pPr>
        <w:shd w:val="clear"/>
        <w:spacing w:line="360" w:lineRule="auto"/>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lang w:val="zh-CN"/>
        </w:rPr>
        <w:t>1</w:t>
      </w:r>
      <w:r>
        <w:rPr>
          <w:rFonts w:hint="eastAsia" w:asciiTheme="minorEastAsia" w:hAnsiTheme="minorEastAsia" w:eastAsiaTheme="minorEastAsia" w:cstheme="minorEastAsia"/>
          <w:color w:val="auto"/>
          <w:kern w:val="0"/>
          <w:szCs w:val="21"/>
          <w:highlight w:val="none"/>
        </w:rPr>
        <w:t>0</w:t>
      </w:r>
      <w:r>
        <w:rPr>
          <w:rFonts w:hint="eastAsia" w:asciiTheme="minorEastAsia" w:hAnsiTheme="minorEastAsia" w:eastAsiaTheme="minorEastAsia" w:cstheme="minorEastAsia"/>
          <w:color w:val="auto"/>
          <w:kern w:val="0"/>
          <w:szCs w:val="21"/>
          <w:highlight w:val="none"/>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Cs w:val="21"/>
          <w:highlight w:val="none"/>
        </w:rPr>
        <w:t>未有规定格式的资料，</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应自行编制，但至少须包含9.响应文件组成中的内容。</w:t>
      </w:r>
      <w:r>
        <w:rPr>
          <w:rFonts w:hint="eastAsia" w:asciiTheme="minorEastAsia" w:hAnsiTheme="minorEastAsia" w:eastAsiaTheme="minorEastAsia" w:cstheme="minorEastAsia"/>
          <w:color w:val="auto"/>
          <w:kern w:val="0"/>
          <w:szCs w:val="21"/>
          <w:highlight w:val="none"/>
          <w:lang w:val="zh-CN"/>
        </w:rPr>
        <w:t>混乱的编排导致响应文件被误读或磋商小组查找不到有效文件是供应商的风险。</w:t>
      </w:r>
    </w:p>
    <w:p w14:paraId="70A8803C">
      <w:pPr>
        <w:shd w:val="clear"/>
        <w:spacing w:line="360" w:lineRule="auto"/>
        <w:ind w:firstLine="420" w:firstLineChars="2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w:t>
      </w:r>
      <w:r>
        <w:rPr>
          <w:rFonts w:hint="eastAsia" w:asciiTheme="minorEastAsia" w:hAnsiTheme="minorEastAsia" w:eastAsiaTheme="minorEastAsia" w:cstheme="minorEastAsia"/>
          <w:color w:val="auto"/>
          <w:kern w:val="0"/>
          <w:szCs w:val="21"/>
          <w:highlight w:val="none"/>
        </w:rPr>
        <w:t>0</w:t>
      </w:r>
      <w:r>
        <w:rPr>
          <w:rFonts w:hint="eastAsia" w:asciiTheme="minorEastAsia" w:hAnsiTheme="minorEastAsia" w:eastAsiaTheme="minorEastAsia" w:cstheme="minorEastAsia"/>
          <w:color w:val="auto"/>
          <w:kern w:val="0"/>
          <w:szCs w:val="21"/>
          <w:highlight w:val="none"/>
          <w:lang w:val="zh-CN"/>
        </w:rPr>
        <w:t>.2供应商进行电子投标应安装客户端软件—“乐采云电子交易客户端”，并按照竞争性磋商文件和电子交易平台的要求编制并加密响应文件。供应商未按规定加密的响应文件，电子交易平台将拒收并提示。</w:t>
      </w:r>
    </w:p>
    <w:p w14:paraId="5C783CA7">
      <w:pPr>
        <w:shd w:val="clear"/>
        <w:spacing w:line="360" w:lineRule="auto"/>
        <w:ind w:firstLine="420" w:firstLineChars="2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w:t>
      </w:r>
      <w:r>
        <w:rPr>
          <w:rFonts w:hint="eastAsia" w:asciiTheme="minorEastAsia" w:hAnsiTheme="minorEastAsia" w:eastAsiaTheme="minorEastAsia" w:cstheme="minorEastAsia"/>
          <w:color w:val="auto"/>
          <w:kern w:val="0"/>
          <w:szCs w:val="21"/>
          <w:highlight w:val="none"/>
        </w:rPr>
        <w:t>0</w:t>
      </w:r>
      <w:r>
        <w:rPr>
          <w:rFonts w:hint="eastAsia" w:asciiTheme="minorEastAsia" w:hAnsiTheme="minorEastAsia" w:eastAsiaTheme="minorEastAsia" w:cstheme="minorEastAsia"/>
          <w:color w:val="auto"/>
          <w:kern w:val="0"/>
          <w:szCs w:val="21"/>
          <w:highlight w:val="none"/>
          <w:lang w:val="zh-CN"/>
        </w:rPr>
        <w:t>.3使用“乐采云电子交易客户端”需要提前申领CA数字证书，申领流程请自行前往“浙江企业采购信息服务网-下载专区-电子交易客户端-CA驱动和申领流程”进行查阅。</w:t>
      </w:r>
    </w:p>
    <w:p w14:paraId="0953AA8D">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投响应文件的签署、盖章</w:t>
      </w:r>
    </w:p>
    <w:p w14:paraId="78A1711C">
      <w:pPr>
        <w:pStyle w:val="51"/>
        <w:shd w:val="clear"/>
        <w:snapToGrid w:val="0"/>
        <w:spacing w:before="0"/>
        <w:ind w:firstLine="42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11.1响应文件按照竞争性磋商文件第六部分格式要求进行签署、盖章。</w:t>
      </w:r>
      <w:r>
        <w:rPr>
          <w:rFonts w:hint="eastAsia" w:asciiTheme="minorEastAsia" w:hAnsiTheme="minorEastAsia" w:eastAsiaTheme="minorEastAsia" w:cstheme="minorEastAsia"/>
          <w:b/>
          <w:color w:val="auto"/>
          <w:sz w:val="21"/>
          <w:szCs w:val="21"/>
          <w:highlight w:val="none"/>
        </w:rPr>
        <w:t>供应商的响应文件未按照竞争性磋商文件要求签署、盖章的，其响应无效</w:t>
      </w:r>
      <w:r>
        <w:rPr>
          <w:rFonts w:hint="eastAsia" w:asciiTheme="minorEastAsia" w:hAnsiTheme="minorEastAsia" w:eastAsiaTheme="minorEastAsia" w:cstheme="minorEastAsia"/>
          <w:color w:val="auto"/>
          <w:sz w:val="21"/>
          <w:szCs w:val="21"/>
          <w:highlight w:val="none"/>
        </w:rPr>
        <w:t>。</w:t>
      </w:r>
    </w:p>
    <w:p w14:paraId="12858413">
      <w:pPr>
        <w:pStyle w:val="51"/>
        <w:shd w:val="clear"/>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11.2为确保网上操作合法、有效和安全，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应当在响应截止时间前完成在“政府采购云平台”的身份认证，确保在电子投标过程中能够对相关数据电文进行加密和使用电子签名。</w:t>
      </w:r>
    </w:p>
    <w:p w14:paraId="6F7EE45C">
      <w:pPr>
        <w:pStyle w:val="51"/>
        <w:shd w:val="clear"/>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11.3竞争性磋商文件对响应文件签署、盖章的要求适用于电子签名。</w:t>
      </w:r>
    </w:p>
    <w:p w14:paraId="68BFF7E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响应文件的提交、补充、修改、撤回</w:t>
      </w:r>
    </w:p>
    <w:p w14:paraId="397B36E6">
      <w:pPr>
        <w:pStyle w:val="51"/>
        <w:shd w:val="clear"/>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5768831B">
      <w:pPr>
        <w:pStyle w:val="51"/>
        <w:shd w:val="clear"/>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12.2电子交易平台收到响应文件，将妥善保存并即时向供应商发出确认回执通知。在响应截止时间前，除供应商补充、修改或者撤回响应文件外，任何单位和个人不得解密或提取响应文件。</w:t>
      </w:r>
    </w:p>
    <w:p w14:paraId="1015CD79">
      <w:pPr>
        <w:pStyle w:val="51"/>
        <w:shd w:val="clear"/>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12.3采购人、采购代理机构可以视情况延长响应文件提交的截止时间。在上述情况下，采购代理机构与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以前在响应截止期方面的全部权利、责任和义务，将适用于延长至新的响应截止期。</w:t>
      </w:r>
    </w:p>
    <w:p w14:paraId="2BFF39FE">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响应有效期</w:t>
      </w:r>
    </w:p>
    <w:p w14:paraId="343C886E">
      <w:pPr>
        <w:shd w:val="clear"/>
        <w:spacing w:line="360" w:lineRule="auto"/>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响应有效期为从提交响应文件的截止之日起90天。</w:t>
      </w:r>
      <w:r>
        <w:rPr>
          <w:rFonts w:hint="eastAsia" w:asciiTheme="minorEastAsia" w:hAnsiTheme="minorEastAsia" w:eastAsiaTheme="minorEastAsia" w:cstheme="minorEastAsia"/>
          <w:b/>
          <w:color w:val="auto"/>
          <w:szCs w:val="21"/>
          <w:highlight w:val="none"/>
        </w:rPr>
        <w:t>供应商的响应文件中承诺的响应有效期少于竞争性磋商文件中载明的响应有效期的，响应无效。</w:t>
      </w:r>
    </w:p>
    <w:p w14:paraId="6E2716E3">
      <w:pPr>
        <w:pStyle w:val="51"/>
        <w:shd w:val="clear"/>
        <w:spacing w:before="0"/>
        <w:ind w:firstLine="0" w:firstLineChars="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四、响应文件开启、资格审查与信用信息查询</w:t>
      </w:r>
    </w:p>
    <w:p w14:paraId="193180AB">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响应文件开启 </w:t>
      </w:r>
    </w:p>
    <w:p w14:paraId="4DD19771">
      <w:pPr>
        <w:pStyle w:val="46"/>
        <w:shd w:val="clear"/>
        <w:spacing w:before="0" w:line="360" w:lineRule="auto"/>
        <w:ind w:left="0" w:firstLine="420" w:firstLineChars="200"/>
        <w:contextualSpacing/>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14.1采购代理机构按照竞争性磋商文件规定的时间通过电子交易平台组织响应文件开启，所有</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均应当准时在线参加。</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不足3家的，不得开启响应文件。</w:t>
      </w:r>
    </w:p>
    <w:p w14:paraId="1E25E84C">
      <w:pPr>
        <w:pStyle w:val="46"/>
        <w:shd w:val="clear"/>
        <w:spacing w:before="0" w:line="360" w:lineRule="auto"/>
        <w:ind w:left="0" w:firstLine="210" w:firstLineChars="100"/>
        <w:contextualSpacing/>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14.2开启响应文件时，电子交易平台按响应文件开启时间自动提取所有响应文件。采购代理机构依托电子交易平台发起开始解密指令，</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按照平台提示和竞争性磋商文件的规定在半小时内完成在线解密。</w:t>
      </w:r>
    </w:p>
    <w:p w14:paraId="07E3E73A">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资格审查</w:t>
      </w:r>
    </w:p>
    <w:p w14:paraId="7574F3AC">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15.1</w:t>
      </w:r>
      <w:r>
        <w:rPr>
          <w:rFonts w:hint="eastAsia" w:asciiTheme="minorEastAsia" w:hAnsiTheme="minorEastAsia" w:eastAsiaTheme="minorEastAsia" w:cstheme="minorEastAsia"/>
          <w:color w:val="auto"/>
          <w:sz w:val="21"/>
          <w:szCs w:val="21"/>
          <w:highlight w:val="none"/>
        </w:rPr>
        <w:t>响应文件开启</w:t>
      </w:r>
      <w:r>
        <w:rPr>
          <w:rFonts w:hint="eastAsia" w:asciiTheme="minorEastAsia" w:hAnsiTheme="minorEastAsia" w:eastAsiaTheme="minorEastAsia" w:cstheme="minorEastAsia"/>
          <w:color w:val="auto"/>
          <w:kern w:val="0"/>
          <w:sz w:val="21"/>
          <w:szCs w:val="21"/>
          <w:highlight w:val="none"/>
        </w:rPr>
        <w:t>后，采购人或采购代理机构依据法律法规和</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kern w:val="0"/>
          <w:sz w:val="21"/>
          <w:szCs w:val="21"/>
          <w:highlight w:val="none"/>
        </w:rPr>
        <w:t>文件的规定，对供应商的资格条件进行审查。</w:t>
      </w:r>
    </w:p>
    <w:p w14:paraId="21422099">
      <w:pPr>
        <w:pStyle w:val="51"/>
        <w:shd w:val="clear"/>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15.</w:t>
      </w:r>
      <w:r>
        <w:rPr>
          <w:rFonts w:hint="eastAsia" w:asciiTheme="minorEastAsia" w:hAnsiTheme="minorEastAsia" w:eastAsiaTheme="minorEastAsia" w:cstheme="minorEastAsia"/>
          <w:color w:val="auto"/>
          <w:sz w:val="21"/>
          <w:szCs w:val="21"/>
          <w:highlight w:val="none"/>
        </w:rPr>
        <w:t>2对未通过资格审查的供应商，采购人或采购代理机构告知其未通过的原因。</w:t>
      </w:r>
    </w:p>
    <w:p w14:paraId="2DD276E1">
      <w:pPr>
        <w:pStyle w:val="51"/>
        <w:shd w:val="clear"/>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15.</w:t>
      </w:r>
      <w:r>
        <w:rPr>
          <w:rFonts w:hint="eastAsia" w:asciiTheme="minorEastAsia" w:hAnsiTheme="minorEastAsia" w:eastAsiaTheme="minorEastAsia" w:cstheme="minorEastAsia"/>
          <w:color w:val="auto"/>
          <w:sz w:val="21"/>
          <w:szCs w:val="21"/>
          <w:highlight w:val="none"/>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14:paraId="2E5C4087">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信用信息查询</w:t>
      </w:r>
    </w:p>
    <w:p w14:paraId="0C585D9E">
      <w:pPr>
        <w:pStyle w:val="51"/>
        <w:shd w:val="clear"/>
        <w:spacing w:before="0"/>
        <w:ind w:firstLine="495" w:firstLineChars="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16.1信用信息查询渠道及截止时间：采购代理机构将通过“信用中国”网站(www.creditchina.gov.cn)、中国政府采购网(www.ccgp.gov.cn)渠道查询供应商响应截止时间当天的信用记录。</w:t>
      </w:r>
    </w:p>
    <w:p w14:paraId="7C263852">
      <w:pPr>
        <w:pStyle w:val="51"/>
        <w:shd w:val="clear"/>
        <w:spacing w:before="0"/>
        <w:ind w:firstLine="495" w:firstLineChars="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将被拒绝参与采购活动。</w:t>
      </w:r>
    </w:p>
    <w:p w14:paraId="681D40AE">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39593D88">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bookmarkStart w:id="26" w:name="_Toc91899903"/>
      <w:r>
        <w:rPr>
          <w:rFonts w:hint="eastAsia" w:asciiTheme="minorEastAsia" w:hAnsiTheme="minorEastAsia" w:eastAsiaTheme="minorEastAsia" w:cstheme="minorEastAsia"/>
          <w:b/>
          <w:color w:val="auto"/>
          <w:szCs w:val="21"/>
          <w:highlight w:val="none"/>
        </w:rPr>
        <w:t>磋商小组</w:t>
      </w:r>
    </w:p>
    <w:p w14:paraId="0AC9775B">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17.1 本次采购依法组建磋商小组。磋商小组由采购人代表和评审专家组成，评审专家从专家库随机抽取。</w:t>
      </w:r>
    </w:p>
    <w:p w14:paraId="3F80A8E2">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17.2 评审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31EE6384">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17.3 评审专家有下列情形之一的，应主动提出回避，采购当事人也可以要求该评审专家回避：</w:t>
      </w:r>
    </w:p>
    <w:p w14:paraId="533C5880">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17.3.1 参加采购活动前3年内与供应商存在劳动关系；</w:t>
      </w:r>
    </w:p>
    <w:p w14:paraId="16D6F174">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17.3.2 参加采购活动前3年内担任供应商的董事、监事；</w:t>
      </w:r>
    </w:p>
    <w:p w14:paraId="49214331">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17.3.3 参加采购活动前3年内是供应商的控股股东或者实际控制人；</w:t>
      </w:r>
    </w:p>
    <w:p w14:paraId="001316F6">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17.3.4 与供应商的法定代表人或者负责人有夫妻、直系血亲、三代以内旁系血亲或者近姻亲关系；</w:t>
      </w:r>
    </w:p>
    <w:p w14:paraId="165A718F">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17.3.5 与供应商有其他可能影响采购活动公平、公正进行的关系。</w:t>
      </w:r>
    </w:p>
    <w:p w14:paraId="1099119A">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00E834E">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17.4 磋商小组判断响应文件的有效性、合格性和响应情况，仅依据供应商所递交一切文件的真实表述，不受与本项目无直接关联的外部信息、传言而影响自身的专业判断。</w:t>
      </w:r>
    </w:p>
    <w:p w14:paraId="6D9E826B">
      <w:pPr>
        <w:pStyle w:val="51"/>
        <w:shd w:val="clear"/>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3542CC40">
      <w:pPr>
        <w:shd w:val="clear"/>
        <w:spacing w:line="360" w:lineRule="auto"/>
        <w:ind w:firstLine="482"/>
        <w:rPr>
          <w:rFonts w:asciiTheme="minorEastAsia" w:hAnsiTheme="minorEastAsia" w:eastAsiaTheme="minorEastAsia" w:cstheme="minorEastAsia"/>
          <w:b/>
          <w:color w:val="auto"/>
          <w:sz w:val="24"/>
          <w:highlight w:val="none"/>
        </w:rPr>
      </w:pPr>
    </w:p>
    <w:p w14:paraId="3BB0CD54">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六、成交</w:t>
      </w:r>
    </w:p>
    <w:p w14:paraId="394F41F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确定成交供应商</w:t>
      </w:r>
    </w:p>
    <w:p w14:paraId="518865F4">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color w:val="auto"/>
          <w:kern w:val="0"/>
          <w:sz w:val="21"/>
          <w:szCs w:val="21"/>
          <w:highlight w:val="none"/>
        </w:rPr>
        <w:t>采购人授权磋商小组直接确定排序第一的供应商为成交供应商。</w:t>
      </w:r>
    </w:p>
    <w:p w14:paraId="0C1ECFE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成交通知与成交结果公告</w:t>
      </w:r>
    </w:p>
    <w:p w14:paraId="48D4733A">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19.1自成交供应商确定之日起2个工作日内，采购代理机构通过电子交易平台向成交供应商发出成交通知书，同时编制发布采购结果公告。采购代理机构也可以以纸质形式进行成交通知。</w:t>
      </w:r>
    </w:p>
    <w:p w14:paraId="773A9E01">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r>
        <w:rPr>
          <w:rFonts w:hint="eastAsia" w:asciiTheme="minorEastAsia" w:hAnsiTheme="minorEastAsia" w:eastAsiaTheme="minorEastAsia" w:cstheme="minorEastAsia"/>
          <w:b/>
          <w:bCs/>
          <w:color w:val="auto"/>
          <w:kern w:val="0"/>
          <w:sz w:val="21"/>
          <w:szCs w:val="21"/>
          <w:highlight w:val="none"/>
        </w:rPr>
        <w:t>。</w:t>
      </w:r>
    </w:p>
    <w:p w14:paraId="3DBC0969">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19.3公告期限为1个工作日。</w:t>
      </w:r>
    </w:p>
    <w:p w14:paraId="406C64C4">
      <w:pPr>
        <w:shd w:val="clear"/>
        <w:snapToGrid w:val="0"/>
        <w:spacing w:line="360" w:lineRule="auto"/>
        <w:ind w:firstLine="643"/>
        <w:rPr>
          <w:rFonts w:asciiTheme="minorEastAsia" w:hAnsiTheme="minorEastAsia" w:eastAsiaTheme="minorEastAsia" w:cstheme="minorEastAsia"/>
          <w:b/>
          <w:color w:val="auto"/>
          <w:sz w:val="32"/>
          <w:highlight w:val="none"/>
        </w:rPr>
      </w:pPr>
    </w:p>
    <w:p w14:paraId="47826FA3">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573DC2A6">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合同授予</w:t>
      </w:r>
    </w:p>
    <w:p w14:paraId="1D96545E">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合同主要条款详见第五部分拟签订的合同文本。</w:t>
      </w:r>
    </w:p>
    <w:p w14:paraId="448F6B91">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合同的签订</w:t>
      </w:r>
    </w:p>
    <w:p w14:paraId="4980DA03">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21.1 采购人与成交供应商应当通过电子交易平台在成交通知书发出之日起30日内，按照竞争性磋商文件及成交供应商的响应文件确定的事项签订采购合同，并在合同签订之日起2个工作日内依法发布合同公告。</w:t>
      </w:r>
    </w:p>
    <w:p w14:paraId="2ECE050C">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2</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zh-CN"/>
        </w:rPr>
        <w:t>.2成交供应商按规定的日期、时间、地点，由法定代表人或其授权代表与采购人代表签订合同。如成交人为联合体的，由联合体成员各方法定代表人或其授权代表与采购人代表签订合同。</w:t>
      </w:r>
    </w:p>
    <w:p w14:paraId="5547F2ED">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21.3如签订合同并生效后，供应商无故拒绝或延期，除按照合同条款处理外，列入不良行为记录名单，并给予通报。</w:t>
      </w:r>
    </w:p>
    <w:p w14:paraId="023B1F2A">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21.4</w:t>
      </w:r>
      <w:r>
        <w:rPr>
          <w:rFonts w:hint="eastAsia" w:asciiTheme="minorEastAsia" w:hAnsiTheme="minorEastAsia" w:eastAsiaTheme="minorEastAsia" w:cstheme="minorEastAsia"/>
          <w:color w:val="auto"/>
          <w:kern w:val="0"/>
          <w:sz w:val="21"/>
          <w:szCs w:val="21"/>
          <w:highlight w:val="none"/>
          <w:lang w:val="zh-CN"/>
        </w:rPr>
        <w:t>成交</w:t>
      </w:r>
      <w:r>
        <w:rPr>
          <w:rFonts w:hint="eastAsia" w:asciiTheme="minorEastAsia" w:hAnsiTheme="minorEastAsia" w:eastAsiaTheme="minorEastAsia" w:cstheme="minorEastAsia"/>
          <w:color w:val="auto"/>
          <w:kern w:val="0"/>
          <w:sz w:val="21"/>
          <w:szCs w:val="21"/>
          <w:highlight w:val="none"/>
        </w:rPr>
        <w:t>供应商拒绝与采购人签订合同的，列入不良行为记录名单，采购人、采购代理机构重新开展采购活动。</w:t>
      </w:r>
    </w:p>
    <w:p w14:paraId="3F328548">
      <w:pPr>
        <w:pStyle w:val="51"/>
        <w:shd w:val="clear"/>
        <w:spacing w:before="0"/>
        <w:ind w:firstLine="420"/>
        <w:rPr>
          <w:rFonts w:asciiTheme="minorEastAsia" w:hAnsiTheme="minorEastAsia" w:eastAsiaTheme="minorEastAsia" w:cstheme="minorEastAsia"/>
          <w:color w:val="auto"/>
          <w:kern w:val="0"/>
          <w:sz w:val="21"/>
          <w:szCs w:val="21"/>
          <w:highlight w:val="none"/>
        </w:rPr>
      </w:pPr>
    </w:p>
    <w:p w14:paraId="702972B1">
      <w:pPr>
        <w:shd w:val="clear"/>
        <w:snapToGrid w:val="0"/>
        <w:spacing w:line="360" w:lineRule="auto"/>
        <w:ind w:firstLine="3357" w:firstLineChars="104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0A0FFE4A">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电子交易活动的中止</w:t>
      </w:r>
    </w:p>
    <w:p w14:paraId="07558635">
      <w:pPr>
        <w:shd w:val="clear"/>
        <w:tabs>
          <w:tab w:val="left" w:pos="0"/>
        </w:tabs>
        <w:spacing w:line="360" w:lineRule="auto"/>
        <w:ind w:firstLine="42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采购过程中出现以下情形，导致电子交易平台无法正常运行，或者无法保证电子交易的公平、公正和安全时，采购代理机构可中止电子交易活动：</w:t>
      </w:r>
    </w:p>
    <w:p w14:paraId="3C6BAD4D">
      <w:pPr>
        <w:pStyle w:val="51"/>
        <w:shd w:val="clear"/>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22.1电子交易平台发生故障而无法登录访问的； </w:t>
      </w:r>
    </w:p>
    <w:p w14:paraId="4BDCD9C4">
      <w:pPr>
        <w:pStyle w:val="51"/>
        <w:shd w:val="clear"/>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22.2电子交易平台应用或数据库出现错误，不能进行正常操作的；</w:t>
      </w:r>
    </w:p>
    <w:p w14:paraId="4E5D369C">
      <w:pPr>
        <w:pStyle w:val="51"/>
        <w:shd w:val="clear"/>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22.3电子交易平台发现严重安全漏洞，有潜在泄密危险的；</w:t>
      </w:r>
    </w:p>
    <w:p w14:paraId="04E79AF2">
      <w:pPr>
        <w:pStyle w:val="51"/>
        <w:shd w:val="clear"/>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22.4病毒发作导致不能进行正常操作的； </w:t>
      </w:r>
    </w:p>
    <w:p w14:paraId="671ECBCD">
      <w:pPr>
        <w:pStyle w:val="51"/>
        <w:shd w:val="clear"/>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22.5其他无法保证电子交易的公平、公正和安全的情况。</w:t>
      </w:r>
    </w:p>
    <w:p w14:paraId="6B58CE99">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磋商保证金的交纳与退还</w:t>
      </w:r>
    </w:p>
    <w:p w14:paraId="3B7B71CD">
      <w:pPr>
        <w:pStyle w:val="51"/>
        <w:shd w:val="clear"/>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 供应商须按规定提交磋商保证金。否则作无效响应处理。</w:t>
      </w:r>
    </w:p>
    <w:p w14:paraId="6C4466D7">
      <w:pPr>
        <w:pStyle w:val="51"/>
        <w:shd w:val="clear"/>
        <w:snapToGrid w:val="0"/>
        <w:spacing w:before="0"/>
        <w:ind w:left="420" w:leftChars="200"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23.2保证金形式：单位网银、转账支票、汇票、汇兑。</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23.3未成交供应商的磋商保证金在成交通知书发出后5个工作日内退还。</w:t>
      </w:r>
    </w:p>
    <w:p w14:paraId="60C3EF6A">
      <w:pPr>
        <w:pStyle w:val="51"/>
        <w:shd w:val="clear"/>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23.4成交人应在成交通知书发出后按采购文件规定的时间内与采购人签订合同，并交纳采购文件规定的履约保证金，成交人的磋商保证金在合同签订后5个工作日内退还。</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 xml:space="preserve">    23.5保证金不计息。</w:t>
      </w:r>
    </w:p>
    <w:p w14:paraId="7CE337D5">
      <w:pPr>
        <w:shd w:val="clear"/>
        <w:snapToGrid w:val="0"/>
        <w:spacing w:line="360" w:lineRule="auto"/>
        <w:ind w:firstLine="643"/>
        <w:rPr>
          <w:rFonts w:asciiTheme="minorEastAsia" w:hAnsiTheme="minorEastAsia" w:eastAsiaTheme="minorEastAsia" w:cstheme="minorEastAsia"/>
          <w:b/>
          <w:color w:val="auto"/>
          <w:sz w:val="32"/>
          <w:highlight w:val="none"/>
        </w:rPr>
      </w:pPr>
    </w:p>
    <w:p w14:paraId="4780325C">
      <w:pPr>
        <w:shd w:val="clear"/>
        <w:snapToGrid w:val="0"/>
        <w:spacing w:line="360" w:lineRule="auto"/>
        <w:ind w:firstLine="643"/>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2E60031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验收</w:t>
      </w:r>
    </w:p>
    <w:bookmarkEnd w:id="23"/>
    <w:bookmarkEnd w:id="24"/>
    <w:bookmarkEnd w:id="26"/>
    <w:p w14:paraId="5A1C7DCE">
      <w:pPr>
        <w:shd w:val="clear"/>
        <w:tabs>
          <w:tab w:val="left" w:pos="0"/>
        </w:tabs>
        <w:spacing w:line="360" w:lineRule="auto"/>
        <w:ind w:firstLine="42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24.1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810005">
      <w:pPr>
        <w:shd w:val="clear"/>
        <w:tabs>
          <w:tab w:val="left" w:pos="0"/>
        </w:tabs>
        <w:spacing w:line="360" w:lineRule="auto"/>
        <w:ind w:firstLine="42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24.2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A45F2C">
      <w:pPr>
        <w:shd w:val="clear"/>
        <w:tabs>
          <w:tab w:val="left" w:pos="0"/>
        </w:tabs>
        <w:spacing w:line="360" w:lineRule="auto"/>
        <w:ind w:firstLine="42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24.3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r>
        <w:rPr>
          <w:rFonts w:hint="eastAsia" w:asciiTheme="minorEastAsia" w:hAnsiTheme="minorEastAsia" w:eastAsiaTheme="minorEastAsia" w:cstheme="minorEastAsia"/>
          <w:color w:val="auto"/>
          <w:kern w:val="0"/>
          <w:szCs w:val="21"/>
          <w:highlight w:val="none"/>
        </w:rPr>
        <w:br w:type="page"/>
      </w:r>
    </w:p>
    <w:p w14:paraId="66781A7C">
      <w:pPr>
        <w:shd w:val="clear"/>
        <w:tabs>
          <w:tab w:val="left" w:pos="0"/>
        </w:tabs>
        <w:spacing w:line="360" w:lineRule="auto"/>
        <w:ind w:firstLine="723"/>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第三部分   采购需求</w:t>
      </w:r>
    </w:p>
    <w:p w14:paraId="765AC43B">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一、采购内容与服务要求</w:t>
      </w:r>
    </w:p>
    <w:tbl>
      <w:tblPr>
        <w:tblStyle w:val="27"/>
        <w:tblW w:w="52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2537"/>
        <w:gridCol w:w="2344"/>
        <w:gridCol w:w="2623"/>
      </w:tblGrid>
      <w:tr w14:paraId="437B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20" w:type="pct"/>
            <w:vAlign w:val="center"/>
          </w:tcPr>
          <w:p w14:paraId="50853816">
            <w:pPr>
              <w:shd w:val="clear"/>
              <w:spacing w:line="360" w:lineRule="exact"/>
              <w:jc w:val="center"/>
              <w:rPr>
                <w:rFonts w:ascii="宋体" w:hAnsi="宋体"/>
                <w:b/>
                <w:color w:val="auto"/>
                <w:sz w:val="24"/>
                <w:highlight w:val="none"/>
              </w:rPr>
            </w:pPr>
            <w:r>
              <w:rPr>
                <w:rFonts w:hint="eastAsia" w:ascii="宋体" w:hAnsi="宋体"/>
                <w:b/>
                <w:color w:val="auto"/>
                <w:sz w:val="24"/>
                <w:highlight w:val="none"/>
              </w:rPr>
              <w:t>项目名称</w:t>
            </w:r>
          </w:p>
        </w:tc>
        <w:tc>
          <w:tcPr>
            <w:tcW w:w="1312" w:type="pct"/>
            <w:vAlign w:val="center"/>
          </w:tcPr>
          <w:p w14:paraId="48E98C08">
            <w:pPr>
              <w:shd w:val="clear"/>
              <w:spacing w:line="360" w:lineRule="exact"/>
              <w:jc w:val="center"/>
              <w:rPr>
                <w:rFonts w:ascii="宋体" w:hAnsi="宋体"/>
                <w:b/>
                <w:color w:val="auto"/>
                <w:sz w:val="24"/>
                <w:highlight w:val="none"/>
              </w:rPr>
            </w:pPr>
            <w:r>
              <w:rPr>
                <w:rFonts w:hint="eastAsia" w:ascii="宋体" w:hAnsi="宋体"/>
                <w:b/>
                <w:color w:val="auto"/>
                <w:sz w:val="24"/>
                <w:highlight w:val="none"/>
              </w:rPr>
              <w:t>服务范围</w:t>
            </w:r>
          </w:p>
        </w:tc>
        <w:tc>
          <w:tcPr>
            <w:tcW w:w="1212" w:type="pct"/>
            <w:vAlign w:val="center"/>
          </w:tcPr>
          <w:p w14:paraId="10DE6B15">
            <w:pPr>
              <w:shd w:val="clear"/>
              <w:spacing w:line="360" w:lineRule="exact"/>
              <w:jc w:val="center"/>
              <w:rPr>
                <w:rFonts w:ascii="宋体" w:hAnsi="宋体"/>
                <w:b/>
                <w:color w:val="auto"/>
                <w:sz w:val="24"/>
                <w:highlight w:val="none"/>
              </w:rPr>
            </w:pPr>
            <w:r>
              <w:rPr>
                <w:rFonts w:hint="eastAsia" w:ascii="宋体" w:hAnsi="宋体"/>
                <w:b/>
                <w:color w:val="auto"/>
                <w:sz w:val="24"/>
                <w:highlight w:val="none"/>
              </w:rPr>
              <w:t>编制时间要求</w:t>
            </w:r>
          </w:p>
        </w:tc>
        <w:tc>
          <w:tcPr>
            <w:tcW w:w="1356" w:type="pct"/>
            <w:vAlign w:val="center"/>
          </w:tcPr>
          <w:p w14:paraId="7FC1649F">
            <w:pPr>
              <w:shd w:val="clear"/>
              <w:spacing w:line="360" w:lineRule="exact"/>
              <w:jc w:val="center"/>
              <w:rPr>
                <w:rFonts w:ascii="宋体" w:hAnsi="宋体"/>
                <w:b/>
                <w:color w:val="auto"/>
                <w:sz w:val="24"/>
                <w:highlight w:val="none"/>
              </w:rPr>
            </w:pPr>
            <w:r>
              <w:rPr>
                <w:rFonts w:hint="eastAsia" w:ascii="宋体" w:hAnsi="宋体"/>
                <w:b/>
                <w:color w:val="auto"/>
                <w:sz w:val="24"/>
                <w:highlight w:val="none"/>
              </w:rPr>
              <w:t>服务期限</w:t>
            </w:r>
          </w:p>
        </w:tc>
      </w:tr>
      <w:tr w14:paraId="4BA6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120" w:type="pct"/>
            <w:vAlign w:val="center"/>
          </w:tcPr>
          <w:p w14:paraId="0ED682E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年产950万件新型电子元器件生产项目招标控制价及预算编制服务项目</w:t>
            </w:r>
          </w:p>
        </w:tc>
        <w:tc>
          <w:tcPr>
            <w:tcW w:w="1312" w:type="pct"/>
          </w:tcPr>
          <w:p w14:paraId="1647555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年产950万件新型电子元器件生产项目招标控制价及预算编制</w:t>
            </w:r>
          </w:p>
        </w:tc>
        <w:tc>
          <w:tcPr>
            <w:tcW w:w="1212" w:type="pct"/>
            <w:vAlign w:val="center"/>
          </w:tcPr>
          <w:p w14:paraId="443DB0F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接到招标人完整施工图后30日历天内完成编制。</w:t>
            </w:r>
          </w:p>
        </w:tc>
        <w:tc>
          <w:tcPr>
            <w:tcW w:w="1356" w:type="pct"/>
            <w:vAlign w:val="center"/>
          </w:tcPr>
          <w:p w14:paraId="3463618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年产950万件新型电子元器件生产项目招标控制价及预算编制服务完成。</w:t>
            </w:r>
          </w:p>
        </w:tc>
      </w:tr>
    </w:tbl>
    <w:p w14:paraId="3173FE9D">
      <w:pPr>
        <w:shd w:val="clear"/>
        <w:spacing w:line="360" w:lineRule="auto"/>
        <w:ind w:firstLine="472" w:firstLineChars="196"/>
        <w:rPr>
          <w:b/>
          <w:color w:val="auto"/>
          <w:sz w:val="24"/>
          <w:highlight w:val="none"/>
        </w:rPr>
      </w:pPr>
      <w:r>
        <w:rPr>
          <w:rFonts w:hint="eastAsia"/>
          <w:b/>
          <w:color w:val="auto"/>
          <w:sz w:val="24"/>
          <w:highlight w:val="none"/>
        </w:rPr>
        <w:t>二、服务质量要求及考核标准</w:t>
      </w:r>
    </w:p>
    <w:p w14:paraId="6DE79D97">
      <w:pPr>
        <w:shd w:val="clea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1、须安排资深且责任心强的各专业咨询人员组成本项目的服务小组，小组成员不得更换。项目负责人必须承担本项目主要的编制工作。做好</w:t>
      </w:r>
      <w:r>
        <w:rPr>
          <w:rFonts w:hint="eastAsia" w:ascii="宋体" w:hAnsi="宋体" w:cs="宋体"/>
          <w:color w:val="auto"/>
          <w:sz w:val="24"/>
          <w:highlight w:val="none"/>
        </w:rPr>
        <w:t>招标控制价及预算编制</w:t>
      </w:r>
      <w:r>
        <w:rPr>
          <w:rFonts w:hint="eastAsia" w:ascii="宋体" w:hAnsi="宋体" w:cs="仿宋_GB2312"/>
          <w:color w:val="auto"/>
          <w:sz w:val="24"/>
          <w:highlight w:val="none"/>
        </w:rPr>
        <w:t>工作，并出具报告，协助委托人做好采购答疑和核对工作，提供完整的工程量计算底稿。</w:t>
      </w:r>
    </w:p>
    <w:p w14:paraId="55C74B60">
      <w:pPr>
        <w:shd w:val="clea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2、工期要求：编制时间为</w:t>
      </w:r>
      <w:r>
        <w:rPr>
          <w:rFonts w:hint="eastAsia" w:ascii="宋体" w:hAnsi="宋体" w:cs="仿宋_GB2312"/>
          <w:color w:val="auto"/>
          <w:sz w:val="24"/>
          <w:highlight w:val="none"/>
          <w:u w:val="single"/>
        </w:rPr>
        <w:t xml:space="preserve"> 30 </w:t>
      </w:r>
      <w:r>
        <w:rPr>
          <w:rFonts w:hint="eastAsia" w:ascii="宋体" w:hAnsi="宋体" w:cs="仿宋_GB2312"/>
          <w:color w:val="auto"/>
          <w:sz w:val="24"/>
          <w:highlight w:val="none"/>
        </w:rPr>
        <w:t>日历天以内，编制工期从成交供应商接到采购人完整施工图开始计算，除因采购人原因造成的工期延误外，每延迟一天，支付违约金</w:t>
      </w:r>
      <w:r>
        <w:rPr>
          <w:rFonts w:hint="eastAsia" w:ascii="宋体" w:hAnsi="宋体" w:cs="仿宋_GB2312"/>
          <w:color w:val="auto"/>
          <w:sz w:val="24"/>
          <w:highlight w:val="none"/>
          <w:u w:val="single"/>
        </w:rPr>
        <w:t xml:space="preserve"> 5000 </w:t>
      </w:r>
      <w:r>
        <w:rPr>
          <w:rFonts w:hint="eastAsia" w:ascii="宋体" w:hAnsi="宋体" w:cs="仿宋_GB2312"/>
          <w:color w:val="auto"/>
          <w:sz w:val="24"/>
          <w:highlight w:val="none"/>
        </w:rPr>
        <w:t>元（违约金从预算编制服务费中扣除）。</w:t>
      </w:r>
    </w:p>
    <w:p w14:paraId="37B19FC4">
      <w:pPr>
        <w:shd w:val="clear"/>
        <w:spacing w:line="360" w:lineRule="auto"/>
        <w:ind w:firstLine="456" w:firstLineChars="200"/>
        <w:outlineLvl w:val="1"/>
        <w:rPr>
          <w:rFonts w:ascii="宋体" w:hAnsi="宋体" w:cs="仿宋_GB2312"/>
          <w:color w:val="auto"/>
          <w:spacing w:val="-6"/>
          <w:sz w:val="24"/>
          <w:highlight w:val="none"/>
        </w:rPr>
      </w:pPr>
      <w:r>
        <w:rPr>
          <w:rFonts w:hint="eastAsia" w:ascii="宋体" w:hAnsi="宋体" w:cs="仿宋_GB2312"/>
          <w:color w:val="auto"/>
          <w:spacing w:val="-6"/>
          <w:sz w:val="24"/>
          <w:highlight w:val="none"/>
        </w:rPr>
        <w:t>3、配合要求：成交供应商需配合采购人根据工程进度及要求提供编制服务。（编制项目数量不定，具体根据采购人要求。）</w:t>
      </w:r>
    </w:p>
    <w:p w14:paraId="2836F290">
      <w:pPr>
        <w:shd w:val="clear"/>
        <w:spacing w:line="360" w:lineRule="auto"/>
        <w:ind w:firstLine="470" w:firstLineChars="196"/>
        <w:rPr>
          <w:b/>
          <w:color w:val="auto"/>
          <w:sz w:val="24"/>
          <w:highlight w:val="none"/>
        </w:rPr>
      </w:pPr>
      <w:r>
        <w:rPr>
          <w:rFonts w:hint="eastAsia" w:ascii="宋体" w:hAnsi="宋体" w:cs="宋体"/>
          <w:color w:val="auto"/>
          <w:sz w:val="24"/>
          <w:highlight w:val="none"/>
        </w:rPr>
        <w:t>三</w:t>
      </w:r>
      <w:r>
        <w:rPr>
          <w:rFonts w:hint="eastAsia"/>
          <w:b/>
          <w:color w:val="auto"/>
          <w:sz w:val="24"/>
          <w:highlight w:val="none"/>
        </w:rPr>
        <w:t>、对拟投入本项目服务人员的要求</w:t>
      </w:r>
    </w:p>
    <w:tbl>
      <w:tblPr>
        <w:tblStyle w:val="27"/>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932"/>
        <w:gridCol w:w="1374"/>
        <w:gridCol w:w="2884"/>
        <w:gridCol w:w="1092"/>
        <w:gridCol w:w="1435"/>
      </w:tblGrid>
      <w:tr w14:paraId="3681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97" w:type="dxa"/>
            <w:vAlign w:val="center"/>
          </w:tcPr>
          <w:p w14:paraId="6FF8F5DA">
            <w:pPr>
              <w:shd w:val="clear"/>
              <w:jc w:val="center"/>
              <w:rPr>
                <w:rFonts w:ascii="宋体" w:hAnsi="宋体"/>
                <w:color w:val="auto"/>
                <w:sz w:val="24"/>
                <w:highlight w:val="none"/>
              </w:rPr>
            </w:pPr>
            <w:r>
              <w:rPr>
                <w:rFonts w:hint="eastAsia" w:ascii="宋体" w:hAnsi="宋体"/>
                <w:color w:val="auto"/>
                <w:sz w:val="24"/>
                <w:highlight w:val="none"/>
              </w:rPr>
              <w:t>序号</w:t>
            </w:r>
          </w:p>
        </w:tc>
        <w:tc>
          <w:tcPr>
            <w:tcW w:w="1932" w:type="dxa"/>
            <w:vAlign w:val="center"/>
          </w:tcPr>
          <w:p w14:paraId="59C2A9C9">
            <w:pPr>
              <w:shd w:val="clear"/>
              <w:jc w:val="center"/>
              <w:rPr>
                <w:rFonts w:ascii="宋体" w:hAnsi="宋体"/>
                <w:color w:val="auto"/>
                <w:sz w:val="24"/>
                <w:highlight w:val="none"/>
              </w:rPr>
            </w:pPr>
            <w:r>
              <w:rPr>
                <w:rFonts w:hint="eastAsia" w:ascii="宋体" w:hAnsi="宋体"/>
                <w:bCs/>
                <w:color w:val="auto"/>
                <w:sz w:val="24"/>
                <w:highlight w:val="none"/>
              </w:rPr>
              <w:t>投入本项目服务人员的专业岗位</w:t>
            </w:r>
          </w:p>
        </w:tc>
        <w:tc>
          <w:tcPr>
            <w:tcW w:w="1374" w:type="dxa"/>
            <w:vAlign w:val="center"/>
          </w:tcPr>
          <w:p w14:paraId="22F7EF07">
            <w:pPr>
              <w:shd w:val="clear"/>
              <w:jc w:val="center"/>
              <w:rPr>
                <w:rFonts w:ascii="宋体" w:hAnsi="宋体"/>
                <w:color w:val="auto"/>
                <w:sz w:val="24"/>
                <w:highlight w:val="none"/>
              </w:rPr>
            </w:pPr>
            <w:r>
              <w:rPr>
                <w:rFonts w:hint="eastAsia" w:ascii="宋体" w:hAnsi="宋体"/>
                <w:color w:val="auto"/>
                <w:sz w:val="24"/>
                <w:highlight w:val="none"/>
              </w:rPr>
              <w:t>专业要求</w:t>
            </w:r>
          </w:p>
        </w:tc>
        <w:tc>
          <w:tcPr>
            <w:tcW w:w="2884" w:type="dxa"/>
            <w:vAlign w:val="center"/>
          </w:tcPr>
          <w:p w14:paraId="208E0652">
            <w:pPr>
              <w:shd w:val="clear"/>
              <w:jc w:val="center"/>
              <w:rPr>
                <w:rFonts w:ascii="宋体" w:hAnsi="宋体"/>
                <w:color w:val="auto"/>
                <w:sz w:val="24"/>
                <w:highlight w:val="none"/>
              </w:rPr>
            </w:pPr>
            <w:r>
              <w:rPr>
                <w:rFonts w:hint="eastAsia" w:ascii="宋体" w:hAnsi="宋体"/>
                <w:color w:val="auto"/>
                <w:sz w:val="24"/>
                <w:highlight w:val="none"/>
              </w:rPr>
              <w:t>技术职称或执业资格要求</w:t>
            </w:r>
          </w:p>
        </w:tc>
        <w:tc>
          <w:tcPr>
            <w:tcW w:w="1092" w:type="dxa"/>
            <w:vAlign w:val="center"/>
          </w:tcPr>
          <w:p w14:paraId="4B0D8A2B">
            <w:pPr>
              <w:shd w:val="clear"/>
              <w:jc w:val="center"/>
              <w:rPr>
                <w:rFonts w:ascii="宋体" w:hAnsi="宋体"/>
                <w:color w:val="auto"/>
                <w:sz w:val="24"/>
                <w:highlight w:val="none"/>
              </w:rPr>
            </w:pPr>
            <w:r>
              <w:rPr>
                <w:rFonts w:hint="eastAsia" w:ascii="宋体" w:hAnsi="宋体"/>
                <w:color w:val="auto"/>
                <w:sz w:val="24"/>
                <w:highlight w:val="none"/>
              </w:rPr>
              <w:t>数量要求（人）</w:t>
            </w:r>
          </w:p>
        </w:tc>
        <w:tc>
          <w:tcPr>
            <w:tcW w:w="1435" w:type="dxa"/>
            <w:vAlign w:val="center"/>
          </w:tcPr>
          <w:p w14:paraId="140A0AF9">
            <w:pPr>
              <w:shd w:val="clear"/>
              <w:jc w:val="center"/>
              <w:rPr>
                <w:rFonts w:ascii="宋体" w:hAnsi="宋体"/>
                <w:color w:val="auto"/>
                <w:sz w:val="24"/>
                <w:highlight w:val="none"/>
              </w:rPr>
            </w:pPr>
            <w:r>
              <w:rPr>
                <w:rFonts w:hint="eastAsia" w:ascii="宋体" w:hAnsi="宋体"/>
                <w:color w:val="auto"/>
                <w:sz w:val="24"/>
                <w:highlight w:val="none"/>
              </w:rPr>
              <w:t>备注</w:t>
            </w:r>
          </w:p>
        </w:tc>
      </w:tr>
      <w:tr w14:paraId="2A45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7" w:type="dxa"/>
            <w:vAlign w:val="center"/>
          </w:tcPr>
          <w:p w14:paraId="0C0BDDFB">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1</w:t>
            </w:r>
          </w:p>
        </w:tc>
        <w:tc>
          <w:tcPr>
            <w:tcW w:w="1932" w:type="dxa"/>
            <w:vAlign w:val="center"/>
          </w:tcPr>
          <w:p w14:paraId="5B7B69F4">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项目负责人</w:t>
            </w:r>
          </w:p>
        </w:tc>
        <w:tc>
          <w:tcPr>
            <w:tcW w:w="1374" w:type="dxa"/>
            <w:vAlign w:val="center"/>
          </w:tcPr>
          <w:p w14:paraId="7836DFA0">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土建或安装专业</w:t>
            </w:r>
          </w:p>
        </w:tc>
        <w:tc>
          <w:tcPr>
            <w:tcW w:w="2884" w:type="dxa"/>
            <w:vAlign w:val="center"/>
          </w:tcPr>
          <w:p w14:paraId="74D54005">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一级注册造价工程师</w:t>
            </w:r>
          </w:p>
        </w:tc>
        <w:tc>
          <w:tcPr>
            <w:tcW w:w="1092" w:type="dxa"/>
            <w:vAlign w:val="center"/>
          </w:tcPr>
          <w:p w14:paraId="298C5E8E">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1</w:t>
            </w:r>
          </w:p>
        </w:tc>
        <w:tc>
          <w:tcPr>
            <w:tcW w:w="1435" w:type="dxa"/>
            <w:vMerge w:val="restart"/>
            <w:vAlign w:val="center"/>
          </w:tcPr>
          <w:p w14:paraId="734E9009">
            <w:pPr>
              <w:shd w:val="clear"/>
              <w:spacing w:line="360" w:lineRule="auto"/>
              <w:jc w:val="center"/>
              <w:rPr>
                <w:rFonts w:ascii="宋体" w:hAnsi="宋体"/>
                <w:color w:val="auto"/>
                <w:sz w:val="24"/>
                <w:highlight w:val="none"/>
              </w:rPr>
            </w:pPr>
            <w:r>
              <w:rPr>
                <w:rFonts w:ascii="宋体" w:hAnsi="宋体"/>
                <w:color w:val="auto"/>
                <w:sz w:val="24"/>
                <w:highlight w:val="none"/>
              </w:rPr>
              <w:t>其中</w:t>
            </w:r>
            <w:r>
              <w:rPr>
                <w:rFonts w:hint="eastAsia" w:ascii="宋体" w:hAnsi="宋体"/>
                <w:color w:val="auto"/>
                <w:sz w:val="24"/>
                <w:highlight w:val="none"/>
              </w:rPr>
              <w:t>一级注册造价工程师人数不得低于3人。</w:t>
            </w:r>
          </w:p>
        </w:tc>
      </w:tr>
      <w:tr w14:paraId="660F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97" w:type="dxa"/>
            <w:vAlign w:val="center"/>
          </w:tcPr>
          <w:p w14:paraId="4C6AFAF9">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2</w:t>
            </w:r>
          </w:p>
        </w:tc>
        <w:tc>
          <w:tcPr>
            <w:tcW w:w="1932" w:type="dxa"/>
            <w:vAlign w:val="center"/>
          </w:tcPr>
          <w:p w14:paraId="03999920">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建  筑</w:t>
            </w:r>
          </w:p>
        </w:tc>
        <w:tc>
          <w:tcPr>
            <w:tcW w:w="1374" w:type="dxa"/>
            <w:vAlign w:val="center"/>
          </w:tcPr>
          <w:p w14:paraId="2621164D">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土建专业</w:t>
            </w:r>
          </w:p>
        </w:tc>
        <w:tc>
          <w:tcPr>
            <w:tcW w:w="2884" w:type="dxa"/>
            <w:vAlign w:val="center"/>
          </w:tcPr>
          <w:p w14:paraId="4989E345">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一级或二级注册造价工程师</w:t>
            </w:r>
          </w:p>
        </w:tc>
        <w:tc>
          <w:tcPr>
            <w:tcW w:w="1092" w:type="dxa"/>
            <w:vAlign w:val="center"/>
          </w:tcPr>
          <w:p w14:paraId="07C1974C">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3</w:t>
            </w:r>
          </w:p>
        </w:tc>
        <w:tc>
          <w:tcPr>
            <w:tcW w:w="1435" w:type="dxa"/>
            <w:vMerge w:val="continue"/>
            <w:vAlign w:val="center"/>
          </w:tcPr>
          <w:p w14:paraId="7E690C6C">
            <w:pPr>
              <w:shd w:val="clear"/>
              <w:spacing w:line="360" w:lineRule="auto"/>
              <w:jc w:val="center"/>
              <w:rPr>
                <w:rFonts w:ascii="宋体" w:hAnsi="宋体"/>
                <w:color w:val="auto"/>
                <w:sz w:val="24"/>
                <w:highlight w:val="none"/>
              </w:rPr>
            </w:pPr>
          </w:p>
        </w:tc>
      </w:tr>
      <w:tr w14:paraId="5402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97" w:type="dxa"/>
            <w:vAlign w:val="center"/>
          </w:tcPr>
          <w:p w14:paraId="03FDDC42">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3</w:t>
            </w:r>
          </w:p>
        </w:tc>
        <w:tc>
          <w:tcPr>
            <w:tcW w:w="1932" w:type="dxa"/>
            <w:vAlign w:val="center"/>
          </w:tcPr>
          <w:p w14:paraId="75D2B528">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市  政</w:t>
            </w:r>
          </w:p>
        </w:tc>
        <w:tc>
          <w:tcPr>
            <w:tcW w:w="1374" w:type="dxa"/>
            <w:vAlign w:val="center"/>
          </w:tcPr>
          <w:p w14:paraId="702A8575">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土建专业</w:t>
            </w:r>
          </w:p>
        </w:tc>
        <w:tc>
          <w:tcPr>
            <w:tcW w:w="2884" w:type="dxa"/>
            <w:vAlign w:val="center"/>
          </w:tcPr>
          <w:p w14:paraId="386AD73E">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一级或二级注册造价工程师</w:t>
            </w:r>
          </w:p>
        </w:tc>
        <w:tc>
          <w:tcPr>
            <w:tcW w:w="1092" w:type="dxa"/>
            <w:vAlign w:val="center"/>
          </w:tcPr>
          <w:p w14:paraId="777F1317">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2</w:t>
            </w:r>
          </w:p>
        </w:tc>
        <w:tc>
          <w:tcPr>
            <w:tcW w:w="1435" w:type="dxa"/>
            <w:vMerge w:val="continue"/>
            <w:vAlign w:val="center"/>
          </w:tcPr>
          <w:p w14:paraId="73F29A65">
            <w:pPr>
              <w:shd w:val="clear"/>
              <w:spacing w:line="360" w:lineRule="auto"/>
              <w:jc w:val="center"/>
              <w:rPr>
                <w:rFonts w:ascii="宋体" w:hAnsi="宋体"/>
                <w:color w:val="auto"/>
                <w:sz w:val="24"/>
                <w:highlight w:val="none"/>
              </w:rPr>
            </w:pPr>
          </w:p>
        </w:tc>
      </w:tr>
      <w:tr w14:paraId="3097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7" w:type="dxa"/>
            <w:vAlign w:val="center"/>
          </w:tcPr>
          <w:p w14:paraId="615C78EC">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4</w:t>
            </w:r>
          </w:p>
        </w:tc>
        <w:tc>
          <w:tcPr>
            <w:tcW w:w="1932" w:type="dxa"/>
            <w:vAlign w:val="center"/>
          </w:tcPr>
          <w:p w14:paraId="130487B0">
            <w:pPr>
              <w:shd w:val="clear"/>
              <w:spacing w:line="320" w:lineRule="exact"/>
              <w:jc w:val="center"/>
              <w:rPr>
                <w:rFonts w:ascii="宋体" w:hAnsi="宋体"/>
                <w:color w:val="auto"/>
                <w:sz w:val="24"/>
                <w:highlight w:val="none"/>
              </w:rPr>
            </w:pPr>
            <w:r>
              <w:rPr>
                <w:rFonts w:hint="eastAsia" w:ascii="宋体" w:hAnsi="宋体"/>
                <w:color w:val="auto"/>
                <w:sz w:val="24"/>
                <w:highlight w:val="none"/>
              </w:rPr>
              <w:t>安  装</w:t>
            </w:r>
          </w:p>
        </w:tc>
        <w:tc>
          <w:tcPr>
            <w:tcW w:w="1374" w:type="dxa"/>
            <w:vAlign w:val="center"/>
          </w:tcPr>
          <w:p w14:paraId="26E3E9BE">
            <w:pPr>
              <w:shd w:val="clear"/>
              <w:spacing w:line="320" w:lineRule="exact"/>
              <w:jc w:val="center"/>
              <w:rPr>
                <w:rFonts w:ascii="宋体" w:hAnsi="宋体"/>
                <w:color w:val="auto"/>
                <w:sz w:val="24"/>
                <w:highlight w:val="none"/>
              </w:rPr>
            </w:pPr>
            <w:r>
              <w:rPr>
                <w:rFonts w:hint="eastAsia" w:ascii="宋体" w:hAnsi="宋体"/>
                <w:color w:val="auto"/>
                <w:sz w:val="24"/>
                <w:highlight w:val="none"/>
              </w:rPr>
              <w:t>安装专业</w:t>
            </w:r>
          </w:p>
        </w:tc>
        <w:tc>
          <w:tcPr>
            <w:tcW w:w="2884" w:type="dxa"/>
            <w:vAlign w:val="center"/>
          </w:tcPr>
          <w:p w14:paraId="772BFAC4">
            <w:pPr>
              <w:shd w:val="clear"/>
              <w:spacing w:line="320" w:lineRule="exact"/>
              <w:jc w:val="center"/>
              <w:rPr>
                <w:rFonts w:ascii="宋体" w:hAnsi="宋体"/>
                <w:color w:val="auto"/>
                <w:sz w:val="24"/>
                <w:highlight w:val="none"/>
              </w:rPr>
            </w:pPr>
            <w:r>
              <w:rPr>
                <w:rFonts w:hint="eastAsia" w:ascii="宋体" w:hAnsi="宋体"/>
                <w:color w:val="auto"/>
                <w:sz w:val="24"/>
                <w:highlight w:val="none"/>
              </w:rPr>
              <w:t>一级或二级注册造价工程师</w:t>
            </w:r>
          </w:p>
        </w:tc>
        <w:tc>
          <w:tcPr>
            <w:tcW w:w="1092" w:type="dxa"/>
            <w:vAlign w:val="center"/>
          </w:tcPr>
          <w:p w14:paraId="2C828F29">
            <w:pPr>
              <w:shd w:val="clear"/>
              <w:spacing w:line="320" w:lineRule="exact"/>
              <w:jc w:val="center"/>
              <w:rPr>
                <w:rFonts w:ascii="宋体" w:hAnsi="宋体" w:eastAsia="Calibri"/>
                <w:color w:val="auto"/>
                <w:sz w:val="24"/>
                <w:highlight w:val="none"/>
              </w:rPr>
            </w:pPr>
            <w:r>
              <w:rPr>
                <w:rFonts w:hint="eastAsia" w:ascii="宋体" w:hAnsi="宋体" w:cs="宋体"/>
                <w:color w:val="auto"/>
                <w:sz w:val="24"/>
                <w:highlight w:val="none"/>
              </w:rPr>
              <w:t>2</w:t>
            </w:r>
          </w:p>
        </w:tc>
        <w:tc>
          <w:tcPr>
            <w:tcW w:w="1435" w:type="dxa"/>
            <w:vMerge w:val="continue"/>
            <w:vAlign w:val="center"/>
          </w:tcPr>
          <w:p w14:paraId="1897EA07">
            <w:pPr>
              <w:shd w:val="clear"/>
              <w:spacing w:line="320" w:lineRule="exact"/>
              <w:jc w:val="center"/>
              <w:rPr>
                <w:rFonts w:ascii="宋体" w:hAnsi="宋体"/>
                <w:color w:val="auto"/>
                <w:sz w:val="24"/>
                <w:highlight w:val="none"/>
              </w:rPr>
            </w:pPr>
          </w:p>
        </w:tc>
      </w:tr>
      <w:tr w14:paraId="4EC5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7" w:type="dxa"/>
            <w:vAlign w:val="center"/>
          </w:tcPr>
          <w:p w14:paraId="26F0A0C3">
            <w:pPr>
              <w:shd w:val="clear"/>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5</w:t>
            </w:r>
          </w:p>
        </w:tc>
        <w:tc>
          <w:tcPr>
            <w:tcW w:w="1932" w:type="dxa"/>
            <w:vAlign w:val="center"/>
          </w:tcPr>
          <w:p w14:paraId="4F79E0CB">
            <w:pPr>
              <w:shd w:val="clear"/>
              <w:spacing w:line="320" w:lineRule="exact"/>
              <w:jc w:val="center"/>
              <w:rPr>
                <w:rFonts w:ascii="宋体" w:hAnsi="宋体"/>
                <w:color w:val="auto"/>
                <w:sz w:val="24"/>
                <w:highlight w:val="none"/>
              </w:rPr>
            </w:pPr>
            <w:r>
              <w:rPr>
                <w:rFonts w:hint="eastAsia" w:ascii="宋体" w:hAnsi="宋体"/>
                <w:color w:val="auto"/>
                <w:sz w:val="24"/>
                <w:highlight w:val="none"/>
              </w:rPr>
              <w:t>绿  化</w:t>
            </w:r>
          </w:p>
        </w:tc>
        <w:tc>
          <w:tcPr>
            <w:tcW w:w="1374" w:type="dxa"/>
            <w:vAlign w:val="center"/>
          </w:tcPr>
          <w:p w14:paraId="7D7F2967">
            <w:pPr>
              <w:shd w:val="clear"/>
              <w:spacing w:line="320" w:lineRule="exact"/>
              <w:jc w:val="center"/>
              <w:rPr>
                <w:rFonts w:ascii="宋体" w:hAnsi="宋体"/>
                <w:color w:val="auto"/>
                <w:sz w:val="24"/>
                <w:highlight w:val="none"/>
              </w:rPr>
            </w:pPr>
            <w:r>
              <w:rPr>
                <w:rFonts w:hint="eastAsia" w:ascii="宋体" w:hAnsi="宋体"/>
                <w:color w:val="auto"/>
                <w:sz w:val="24"/>
                <w:highlight w:val="none"/>
              </w:rPr>
              <w:t>土建专业</w:t>
            </w:r>
          </w:p>
        </w:tc>
        <w:tc>
          <w:tcPr>
            <w:tcW w:w="2884" w:type="dxa"/>
            <w:vAlign w:val="center"/>
          </w:tcPr>
          <w:p w14:paraId="76378E47">
            <w:pPr>
              <w:shd w:val="clear"/>
              <w:spacing w:line="320" w:lineRule="exact"/>
              <w:jc w:val="center"/>
              <w:rPr>
                <w:rFonts w:ascii="宋体" w:hAnsi="宋体" w:eastAsia="Calibri"/>
                <w:color w:val="auto"/>
                <w:sz w:val="24"/>
                <w:highlight w:val="none"/>
              </w:rPr>
            </w:pPr>
            <w:r>
              <w:rPr>
                <w:rFonts w:hint="eastAsia" w:ascii="宋体" w:hAnsi="宋体"/>
                <w:color w:val="auto"/>
                <w:sz w:val="24"/>
                <w:highlight w:val="none"/>
              </w:rPr>
              <w:t>一级或二级注册造价工程师</w:t>
            </w:r>
          </w:p>
        </w:tc>
        <w:tc>
          <w:tcPr>
            <w:tcW w:w="1092" w:type="dxa"/>
            <w:vAlign w:val="center"/>
          </w:tcPr>
          <w:p w14:paraId="645C1ACA">
            <w:pPr>
              <w:shd w:val="clear"/>
              <w:spacing w:line="320" w:lineRule="exact"/>
              <w:jc w:val="center"/>
              <w:rPr>
                <w:rFonts w:ascii="宋体" w:hAnsi="宋体"/>
                <w:color w:val="auto"/>
                <w:sz w:val="24"/>
                <w:highlight w:val="none"/>
              </w:rPr>
            </w:pPr>
            <w:r>
              <w:rPr>
                <w:rFonts w:hint="eastAsia" w:ascii="宋体" w:hAnsi="宋体" w:cs="宋体"/>
                <w:color w:val="auto"/>
                <w:sz w:val="24"/>
                <w:highlight w:val="none"/>
              </w:rPr>
              <w:t>1</w:t>
            </w:r>
          </w:p>
        </w:tc>
        <w:tc>
          <w:tcPr>
            <w:tcW w:w="1435" w:type="dxa"/>
            <w:vMerge w:val="continue"/>
            <w:vAlign w:val="center"/>
          </w:tcPr>
          <w:p w14:paraId="1CFAA057">
            <w:pPr>
              <w:shd w:val="clear"/>
              <w:spacing w:line="320" w:lineRule="exact"/>
              <w:jc w:val="center"/>
              <w:rPr>
                <w:rFonts w:ascii="宋体" w:hAnsi="宋体"/>
                <w:color w:val="auto"/>
                <w:sz w:val="24"/>
                <w:highlight w:val="none"/>
              </w:rPr>
            </w:pPr>
          </w:p>
        </w:tc>
      </w:tr>
    </w:tbl>
    <w:p w14:paraId="6CCD9087">
      <w:pPr>
        <w:shd w:val="clear"/>
        <w:spacing w:line="360" w:lineRule="auto"/>
        <w:ind w:firstLine="456" w:firstLineChars="200"/>
        <w:outlineLvl w:val="1"/>
        <w:rPr>
          <w:rFonts w:ascii="宋体" w:hAnsi="宋体" w:cs="仿宋_GB2312"/>
          <w:color w:val="auto"/>
          <w:spacing w:val="-6"/>
          <w:sz w:val="24"/>
          <w:highlight w:val="none"/>
        </w:rPr>
      </w:pPr>
      <w:r>
        <w:rPr>
          <w:rFonts w:hint="eastAsia" w:ascii="宋体" w:hAnsi="宋体" w:cs="仿宋_GB2312"/>
          <w:color w:val="auto"/>
          <w:spacing w:val="-6"/>
          <w:sz w:val="24"/>
          <w:highlight w:val="none"/>
        </w:rPr>
        <w:t>磋商响应文件中提供证书复印件。2018 年 7 月 20 日发布“建人[2018]67 号”文件之前取得的造价工程师与一级等同。</w:t>
      </w:r>
    </w:p>
    <w:p w14:paraId="7F9AA2CD">
      <w:pPr>
        <w:shd w:val="clear"/>
        <w:tabs>
          <w:tab w:val="left" w:pos="1140"/>
        </w:tabs>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拟投入项目人员注册单位须与供应商名称一致，且必须为供应商正式职工，磋商响应文件中提供2025年04月或05月社保缴纳证明。</w:t>
      </w:r>
    </w:p>
    <w:p w14:paraId="64FA9855">
      <w:pPr>
        <w:pStyle w:val="81"/>
        <w:shd w:val="clear"/>
        <w:ind w:firstLine="482"/>
        <w:rPr>
          <w:rFonts w:cs="宋体"/>
          <w:b/>
          <w:bCs/>
          <w:color w:val="auto"/>
          <w:kern w:val="2"/>
          <w:sz w:val="24"/>
          <w:szCs w:val="24"/>
          <w:highlight w:val="none"/>
        </w:rPr>
      </w:pPr>
      <w:r>
        <w:rPr>
          <w:rFonts w:hint="eastAsia" w:cs="宋体"/>
          <w:b/>
          <w:bCs/>
          <w:color w:val="auto"/>
          <w:kern w:val="2"/>
          <w:sz w:val="24"/>
          <w:szCs w:val="24"/>
          <w:highlight w:val="none"/>
        </w:rPr>
        <w:t>四</w:t>
      </w:r>
      <w:r>
        <w:rPr>
          <w:rFonts w:cs="宋体"/>
          <w:b/>
          <w:bCs/>
          <w:color w:val="auto"/>
          <w:kern w:val="2"/>
          <w:sz w:val="24"/>
          <w:szCs w:val="24"/>
          <w:highlight w:val="none"/>
        </w:rPr>
        <w:t>、</w:t>
      </w:r>
      <w:r>
        <w:rPr>
          <w:rFonts w:hint="eastAsia" w:cs="宋体"/>
          <w:b/>
          <w:bCs/>
          <w:color w:val="auto"/>
          <w:kern w:val="2"/>
          <w:sz w:val="24"/>
          <w:szCs w:val="24"/>
          <w:highlight w:val="none"/>
        </w:rPr>
        <w:t>结算</w:t>
      </w:r>
      <w:r>
        <w:rPr>
          <w:rFonts w:cs="宋体"/>
          <w:b/>
          <w:bCs/>
          <w:color w:val="auto"/>
          <w:kern w:val="2"/>
          <w:sz w:val="24"/>
          <w:szCs w:val="24"/>
          <w:highlight w:val="none"/>
        </w:rPr>
        <w:t>方式</w:t>
      </w:r>
    </w:p>
    <w:p w14:paraId="2169DED9">
      <w:pPr>
        <w:shd w:val="clear"/>
        <w:spacing w:line="360" w:lineRule="auto"/>
        <w:ind w:firstLine="456" w:firstLineChars="200"/>
        <w:outlineLvl w:val="1"/>
        <w:rPr>
          <w:rFonts w:ascii="宋体" w:hAnsi="宋体" w:cs="仿宋_GB2312"/>
          <w:color w:val="auto"/>
          <w:spacing w:val="-6"/>
          <w:sz w:val="24"/>
          <w:highlight w:val="none"/>
        </w:rPr>
      </w:pPr>
      <w:r>
        <w:rPr>
          <w:rFonts w:hint="eastAsia" w:ascii="宋体" w:hAnsi="宋体" w:cs="仿宋_GB2312"/>
          <w:color w:val="auto"/>
          <w:spacing w:val="-6"/>
          <w:sz w:val="24"/>
          <w:highlight w:val="none"/>
        </w:rPr>
        <w:t>根据招标控制价及预算编制费（指奉评审发[2021]14 号文）规定的收费标准*成交折扣确定，计费额为单个报告编制金额。</w:t>
      </w:r>
    </w:p>
    <w:p w14:paraId="44E8CC9D">
      <w:pPr>
        <w:shd w:val="clear"/>
        <w:spacing w:line="360" w:lineRule="auto"/>
        <w:ind w:firstLine="456" w:firstLineChars="200"/>
        <w:outlineLvl w:val="1"/>
        <w:rPr>
          <w:rFonts w:ascii="宋体" w:hAnsi="宋体" w:cs="仿宋_GB2312"/>
          <w:color w:val="auto"/>
          <w:spacing w:val="-6"/>
          <w:sz w:val="24"/>
          <w:highlight w:val="none"/>
        </w:rPr>
      </w:pPr>
      <w:r>
        <w:rPr>
          <w:rFonts w:hint="eastAsia" w:ascii="宋体" w:hAnsi="宋体" w:cs="仿宋_GB2312"/>
          <w:color w:val="auto"/>
          <w:spacing w:val="-6"/>
          <w:sz w:val="24"/>
          <w:highlight w:val="none"/>
        </w:rPr>
        <w:t>最终结算价不得超过本项目对应的最高限价。</w:t>
      </w:r>
    </w:p>
    <w:p w14:paraId="506A2939">
      <w:pPr>
        <w:widowControl w:val="0"/>
        <w:shd w:val="clear"/>
        <w:spacing w:line="360" w:lineRule="auto"/>
        <w:ind w:firstLine="472" w:firstLineChars="196"/>
        <w:jc w:val="both"/>
        <w:rPr>
          <w:b/>
          <w:color w:val="auto"/>
          <w:sz w:val="24"/>
          <w:highlight w:val="none"/>
        </w:rPr>
      </w:pPr>
      <w:r>
        <w:rPr>
          <w:rFonts w:hint="eastAsia"/>
          <w:b/>
          <w:color w:val="auto"/>
          <w:sz w:val="24"/>
          <w:highlight w:val="none"/>
        </w:rPr>
        <w:t>五、商务条款要求表</w:t>
      </w:r>
    </w:p>
    <w:tbl>
      <w:tblPr>
        <w:tblStyle w:val="27"/>
        <w:tblW w:w="8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2"/>
        <w:gridCol w:w="6767"/>
      </w:tblGrid>
      <w:tr w14:paraId="2706E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62DA8F2F">
            <w:pPr>
              <w:shd w:val="clear"/>
              <w:rPr>
                <w:color w:val="auto"/>
                <w:highlight w:val="none"/>
              </w:rPr>
            </w:pPr>
            <w:r>
              <w:rPr>
                <w:rFonts w:hint="eastAsia"/>
                <w:color w:val="auto"/>
                <w:highlight w:val="none"/>
              </w:rPr>
              <w:t>项目</w:t>
            </w:r>
          </w:p>
        </w:tc>
        <w:tc>
          <w:tcPr>
            <w:tcW w:w="6767" w:type="dxa"/>
            <w:tcBorders>
              <w:top w:val="single" w:color="auto" w:sz="4" w:space="0"/>
              <w:left w:val="single" w:color="auto" w:sz="4" w:space="0"/>
              <w:bottom w:val="single" w:color="auto" w:sz="4" w:space="0"/>
              <w:right w:val="single" w:color="auto" w:sz="4" w:space="0"/>
            </w:tcBorders>
            <w:vAlign w:val="center"/>
          </w:tcPr>
          <w:p w14:paraId="5F5DE6E4">
            <w:pPr>
              <w:shd w:val="clear"/>
              <w:rPr>
                <w:color w:val="auto"/>
                <w:highlight w:val="none"/>
              </w:rPr>
            </w:pPr>
            <w:r>
              <w:rPr>
                <w:rFonts w:hint="eastAsia"/>
                <w:color w:val="auto"/>
                <w:highlight w:val="none"/>
              </w:rPr>
              <w:t>要求</w:t>
            </w:r>
          </w:p>
        </w:tc>
      </w:tr>
      <w:tr w14:paraId="2AF3B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5E50B143">
            <w:pPr>
              <w:shd w:val="clear"/>
              <w:rPr>
                <w:color w:val="auto"/>
                <w:highlight w:val="none"/>
              </w:rPr>
            </w:pPr>
            <w:r>
              <w:rPr>
                <w:rFonts w:hint="eastAsia"/>
                <w:color w:val="auto"/>
                <w:highlight w:val="none"/>
              </w:rPr>
              <w:t>付款方式</w:t>
            </w:r>
          </w:p>
        </w:tc>
        <w:tc>
          <w:tcPr>
            <w:tcW w:w="6767" w:type="dxa"/>
            <w:tcBorders>
              <w:top w:val="single" w:color="auto" w:sz="4" w:space="0"/>
              <w:left w:val="single" w:color="auto" w:sz="4" w:space="0"/>
              <w:bottom w:val="single" w:color="auto" w:sz="4" w:space="0"/>
              <w:right w:val="single" w:color="auto" w:sz="4" w:space="0"/>
            </w:tcBorders>
            <w:vAlign w:val="center"/>
          </w:tcPr>
          <w:p w14:paraId="2D38DA22">
            <w:pPr>
              <w:shd w:val="clear"/>
              <w:rPr>
                <w:color w:val="auto"/>
                <w:highlight w:val="none"/>
              </w:rPr>
            </w:pPr>
            <w:r>
              <w:rPr>
                <w:rFonts w:hint="eastAsia"/>
                <w:color w:val="auto"/>
                <w:highlight w:val="none"/>
              </w:rPr>
              <w:t>编制报告出具且在采购人收到真实、合法、有效的增值税</w:t>
            </w:r>
            <w:r>
              <w:rPr>
                <w:rFonts w:hint="eastAsia"/>
                <w:color w:val="auto"/>
                <w:highlight w:val="none"/>
              </w:rPr>
              <w:t>专用</w:t>
            </w:r>
            <w:r>
              <w:rPr>
                <w:rFonts w:hint="eastAsia"/>
                <w:color w:val="auto"/>
                <w:highlight w:val="none"/>
              </w:rPr>
              <w:t>发票后30日内付清。</w:t>
            </w:r>
          </w:p>
        </w:tc>
      </w:tr>
      <w:tr w14:paraId="3FEC3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642A6281">
            <w:pPr>
              <w:shd w:val="clear"/>
              <w:rPr>
                <w:color w:val="auto"/>
                <w:highlight w:val="none"/>
              </w:rPr>
            </w:pPr>
            <w:r>
              <w:rPr>
                <w:rFonts w:hint="eastAsia"/>
                <w:color w:val="auto"/>
                <w:highlight w:val="none"/>
              </w:rPr>
              <w:t>履约担保</w:t>
            </w:r>
          </w:p>
        </w:tc>
        <w:tc>
          <w:tcPr>
            <w:tcW w:w="6767" w:type="dxa"/>
            <w:tcBorders>
              <w:top w:val="single" w:color="auto" w:sz="4" w:space="0"/>
              <w:left w:val="single" w:color="auto" w:sz="4" w:space="0"/>
              <w:bottom w:val="single" w:color="auto" w:sz="4" w:space="0"/>
              <w:right w:val="single" w:color="auto" w:sz="4" w:space="0"/>
            </w:tcBorders>
            <w:vAlign w:val="center"/>
          </w:tcPr>
          <w:p w14:paraId="643396F0">
            <w:pPr>
              <w:shd w:val="clear"/>
              <w:autoSpaceDN w:val="0"/>
              <w:textAlignment w:val="center"/>
              <w:rPr>
                <w:color w:val="auto"/>
                <w:highlight w:val="none"/>
              </w:rPr>
            </w:pPr>
            <w:r>
              <w:rPr>
                <w:color w:val="auto"/>
                <w:highlight w:val="none"/>
              </w:rPr>
              <w:t>履约</w:t>
            </w:r>
            <w:r>
              <w:rPr>
                <w:rFonts w:hint="eastAsia"/>
                <w:color w:val="auto"/>
                <w:highlight w:val="none"/>
              </w:rPr>
              <w:t>担保</w:t>
            </w:r>
            <w:r>
              <w:rPr>
                <w:color w:val="auto"/>
                <w:highlight w:val="none"/>
              </w:rPr>
              <w:t>形式：</w:t>
            </w:r>
            <w:r>
              <w:rPr>
                <w:rFonts w:hint="eastAsia"/>
                <w:color w:val="auto"/>
                <w:highlight w:val="none"/>
              </w:rPr>
              <w:t>电汇、银行保函、保险公司保函。</w:t>
            </w:r>
          </w:p>
          <w:p w14:paraId="22FEC937">
            <w:pPr>
              <w:shd w:val="clear"/>
              <w:autoSpaceDN w:val="0"/>
              <w:textAlignment w:val="center"/>
              <w:rPr>
                <w:color w:val="auto"/>
                <w:highlight w:val="none"/>
              </w:rPr>
            </w:pPr>
            <w:r>
              <w:rPr>
                <w:color w:val="auto"/>
                <w:highlight w:val="none"/>
              </w:rPr>
              <w:t>履约担保的收取及退还：</w:t>
            </w:r>
            <w:r>
              <w:rPr>
                <w:rFonts w:hint="eastAsia"/>
                <w:color w:val="auto"/>
                <w:highlight w:val="none"/>
              </w:rPr>
              <w:t>叁仟元</w:t>
            </w:r>
            <w:r>
              <w:rPr>
                <w:color w:val="auto"/>
                <w:highlight w:val="none"/>
              </w:rPr>
              <w:t>整</w:t>
            </w:r>
            <w:r>
              <w:rPr>
                <w:rFonts w:hint="eastAsia"/>
                <w:color w:val="auto"/>
                <w:highlight w:val="none"/>
              </w:rPr>
              <w:t>，合同签订后七个工作日内提交给采购人。</w:t>
            </w:r>
            <w:r>
              <w:rPr>
                <w:color w:val="auto"/>
                <w:highlight w:val="none"/>
              </w:rPr>
              <w:t>合同履行完毕后5日内无息退还。</w:t>
            </w:r>
          </w:p>
        </w:tc>
      </w:tr>
      <w:tr w14:paraId="39710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692DB5B1">
            <w:pPr>
              <w:shd w:val="clear"/>
              <w:rPr>
                <w:color w:val="auto"/>
                <w:highlight w:val="none"/>
              </w:rPr>
            </w:pPr>
            <w:r>
              <w:rPr>
                <w:rFonts w:hint="eastAsia"/>
                <w:color w:val="auto"/>
                <w:highlight w:val="none"/>
              </w:rPr>
              <w:t>提交服务成果时间</w:t>
            </w:r>
          </w:p>
        </w:tc>
        <w:tc>
          <w:tcPr>
            <w:tcW w:w="6767" w:type="dxa"/>
            <w:tcBorders>
              <w:top w:val="single" w:color="auto" w:sz="4" w:space="0"/>
              <w:left w:val="single" w:color="auto" w:sz="4" w:space="0"/>
              <w:bottom w:val="single" w:color="auto" w:sz="4" w:space="0"/>
              <w:right w:val="single" w:color="auto" w:sz="4" w:space="0"/>
            </w:tcBorders>
            <w:vAlign w:val="center"/>
          </w:tcPr>
          <w:p w14:paraId="558D1674">
            <w:pPr>
              <w:shd w:val="clear"/>
              <w:autoSpaceDN w:val="0"/>
              <w:textAlignment w:val="center"/>
              <w:rPr>
                <w:color w:val="auto"/>
                <w:highlight w:val="none"/>
              </w:rPr>
            </w:pPr>
            <w:r>
              <w:rPr>
                <w:color w:val="auto"/>
                <w:highlight w:val="none"/>
              </w:rPr>
              <w:t>资料完整的情况下</w:t>
            </w:r>
            <w:r>
              <w:rPr>
                <w:rFonts w:hint="eastAsia"/>
                <w:color w:val="auto"/>
                <w:highlight w:val="none"/>
              </w:rPr>
              <w:t>30日历天内完成。</w:t>
            </w:r>
          </w:p>
        </w:tc>
      </w:tr>
      <w:tr w14:paraId="4AA8E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4C6AEFF7">
            <w:pPr>
              <w:shd w:val="clear"/>
              <w:rPr>
                <w:color w:val="auto"/>
                <w:highlight w:val="none"/>
              </w:rPr>
            </w:pPr>
            <w:r>
              <w:rPr>
                <w:rFonts w:hint="eastAsia"/>
                <w:color w:val="auto"/>
                <w:highlight w:val="none"/>
              </w:rPr>
              <w:t>合同终止</w:t>
            </w:r>
          </w:p>
        </w:tc>
        <w:tc>
          <w:tcPr>
            <w:tcW w:w="6767" w:type="dxa"/>
            <w:tcBorders>
              <w:top w:val="single" w:color="auto" w:sz="4" w:space="0"/>
              <w:left w:val="single" w:color="auto" w:sz="4" w:space="0"/>
              <w:bottom w:val="single" w:color="auto" w:sz="4" w:space="0"/>
              <w:right w:val="single" w:color="auto" w:sz="4" w:space="0"/>
            </w:tcBorders>
            <w:vAlign w:val="center"/>
          </w:tcPr>
          <w:p w14:paraId="11F67B65">
            <w:pPr>
              <w:shd w:val="clear"/>
              <w:rPr>
                <w:color w:val="auto"/>
                <w:highlight w:val="none"/>
              </w:rPr>
            </w:pPr>
            <w:r>
              <w:rPr>
                <w:rFonts w:hint="eastAsia"/>
                <w:color w:val="auto"/>
                <w:highlight w:val="none"/>
              </w:rPr>
              <w:t>供应商在合同有效期内，不得以任何理由终止合同，确有特殊情况的，须提前2个月向采购人提出书面申请，经采购人同意后，方可终止合同，同时酌情扣除保证金。因供应商不能保证工作质量，或发生重大差错事故的，采购人有权终止合同，成交供应商承担全部责任。</w:t>
            </w:r>
          </w:p>
        </w:tc>
      </w:tr>
    </w:tbl>
    <w:p w14:paraId="6572F265">
      <w:pPr>
        <w:widowControl w:val="0"/>
        <w:shd w:val="clear"/>
        <w:spacing w:line="360" w:lineRule="auto"/>
        <w:ind w:firstLine="472" w:firstLineChars="196"/>
        <w:jc w:val="both"/>
        <w:rPr>
          <w:b/>
          <w:color w:val="auto"/>
          <w:sz w:val="24"/>
          <w:highlight w:val="none"/>
        </w:rPr>
      </w:pPr>
    </w:p>
    <w:p w14:paraId="0092D486">
      <w:pPr>
        <w:widowControl w:val="0"/>
        <w:shd w:val="clear"/>
        <w:spacing w:line="360" w:lineRule="auto"/>
        <w:ind w:firstLine="472" w:firstLineChars="196"/>
        <w:jc w:val="both"/>
        <w:rPr>
          <w:b/>
          <w:color w:val="auto"/>
          <w:sz w:val="24"/>
          <w:highlight w:val="none"/>
        </w:rPr>
      </w:pPr>
      <w:r>
        <w:rPr>
          <w:rFonts w:hint="eastAsia"/>
          <w:b/>
          <w:color w:val="auto"/>
          <w:sz w:val="24"/>
          <w:highlight w:val="none"/>
        </w:rPr>
        <w:t>六、特别说明</w:t>
      </w:r>
    </w:p>
    <w:p w14:paraId="557BEC53">
      <w:pPr>
        <w:widowControl w:val="0"/>
        <w:shd w:val="clear"/>
        <w:spacing w:line="360" w:lineRule="auto"/>
        <w:ind w:firstLine="472" w:firstLineChars="196"/>
        <w:jc w:val="both"/>
        <w:rPr>
          <w:b/>
          <w:color w:val="auto"/>
          <w:sz w:val="24"/>
          <w:highlight w:val="none"/>
        </w:rPr>
      </w:pPr>
      <w:r>
        <w:rPr>
          <w:rFonts w:hint="eastAsia"/>
          <w:b/>
          <w:color w:val="auto"/>
          <w:sz w:val="24"/>
          <w:highlight w:val="none"/>
        </w:rPr>
        <w:t>供应商需对以上采购需求完全响应，不得有负偏离，否则作无效磋商响应文件处理。</w:t>
      </w:r>
    </w:p>
    <w:p w14:paraId="620831EF">
      <w:pPr>
        <w:shd w:val="clear"/>
        <w:ind w:firstLine="723"/>
        <w:rPr>
          <w:rFonts w:asciiTheme="minorEastAsia" w:hAnsiTheme="minorEastAsia" w:eastAsiaTheme="minorEastAsia" w:cstheme="minorEastAsia"/>
          <w:b/>
          <w:color w:val="auto"/>
          <w:sz w:val="36"/>
          <w:szCs w:val="36"/>
          <w:highlight w:val="none"/>
        </w:rPr>
      </w:pPr>
      <w:r>
        <w:rPr>
          <w:rFonts w:asciiTheme="minorEastAsia" w:hAnsiTheme="minorEastAsia" w:eastAsiaTheme="minorEastAsia" w:cstheme="minorEastAsia"/>
          <w:b/>
          <w:color w:val="auto"/>
          <w:sz w:val="36"/>
          <w:szCs w:val="36"/>
          <w:highlight w:val="none"/>
        </w:rPr>
        <w:br w:type="page"/>
      </w:r>
      <w:r>
        <w:rPr>
          <w:rFonts w:hint="eastAsia" w:asciiTheme="minorEastAsia" w:hAnsiTheme="minorEastAsia" w:eastAsiaTheme="minorEastAsia" w:cstheme="minorEastAsia"/>
          <w:b/>
          <w:color w:val="auto"/>
          <w:sz w:val="36"/>
          <w:szCs w:val="36"/>
          <w:highlight w:val="none"/>
        </w:rPr>
        <w:t xml:space="preserve">            第四部分   </w:t>
      </w:r>
      <w:bookmarkStart w:id="27" w:name="_Toc184308038"/>
      <w:bookmarkEnd w:id="27"/>
      <w:bookmarkStart w:id="28" w:name="_Toc184308058"/>
      <w:bookmarkEnd w:id="28"/>
      <w:bookmarkStart w:id="29" w:name="_Toc184313259"/>
      <w:bookmarkEnd w:id="29"/>
      <w:bookmarkStart w:id="30" w:name="_Toc184310304"/>
      <w:bookmarkEnd w:id="30"/>
      <w:bookmarkStart w:id="31" w:name="_Toc184308084"/>
      <w:bookmarkEnd w:id="31"/>
      <w:bookmarkStart w:id="32" w:name="_Toc184313268"/>
      <w:bookmarkEnd w:id="32"/>
      <w:bookmarkStart w:id="33" w:name="_Toc184308079"/>
      <w:bookmarkEnd w:id="33"/>
      <w:bookmarkStart w:id="34" w:name="_Toc184313257"/>
      <w:bookmarkEnd w:id="34"/>
      <w:bookmarkStart w:id="35" w:name="_Toc184314423"/>
      <w:bookmarkEnd w:id="35"/>
      <w:bookmarkStart w:id="36" w:name="_Toc184313252"/>
      <w:bookmarkEnd w:id="36"/>
      <w:bookmarkStart w:id="37" w:name="_Toc184308098"/>
      <w:bookmarkEnd w:id="37"/>
      <w:bookmarkStart w:id="38" w:name="_Toc184310334"/>
      <w:bookmarkEnd w:id="38"/>
      <w:bookmarkStart w:id="39" w:name="_Toc184310338"/>
      <w:bookmarkEnd w:id="39"/>
      <w:bookmarkStart w:id="40" w:name="_Toc184308068"/>
      <w:bookmarkEnd w:id="40"/>
      <w:bookmarkStart w:id="41" w:name="_Toc184313265"/>
      <w:bookmarkEnd w:id="41"/>
      <w:bookmarkStart w:id="42" w:name="_Toc184310341"/>
      <w:bookmarkEnd w:id="42"/>
      <w:bookmarkStart w:id="43" w:name="_Toc184312097"/>
      <w:bookmarkEnd w:id="43"/>
      <w:bookmarkStart w:id="44" w:name="_Toc184308087"/>
      <w:bookmarkEnd w:id="44"/>
      <w:bookmarkStart w:id="45" w:name="_Toc184314457"/>
      <w:bookmarkEnd w:id="45"/>
      <w:bookmarkStart w:id="46" w:name="_Toc184312125"/>
      <w:bookmarkEnd w:id="46"/>
      <w:bookmarkStart w:id="47" w:name="_Toc184313282"/>
      <w:bookmarkEnd w:id="47"/>
      <w:bookmarkStart w:id="48" w:name="_Toc184313307"/>
      <w:bookmarkEnd w:id="48"/>
      <w:bookmarkStart w:id="49" w:name="_Toc184308052"/>
      <w:bookmarkEnd w:id="49"/>
      <w:bookmarkStart w:id="50" w:name="_Toc184314443"/>
      <w:bookmarkEnd w:id="50"/>
      <w:bookmarkStart w:id="51" w:name="_Toc184310292"/>
      <w:bookmarkEnd w:id="51"/>
      <w:bookmarkStart w:id="52" w:name="_Toc184310335"/>
      <w:bookmarkEnd w:id="52"/>
      <w:bookmarkStart w:id="53" w:name="_Toc184312134"/>
      <w:bookmarkEnd w:id="53"/>
      <w:bookmarkStart w:id="54" w:name="_Toc184314424"/>
      <w:bookmarkEnd w:id="54"/>
      <w:bookmarkStart w:id="55" w:name="_Toc184314430"/>
      <w:bookmarkEnd w:id="55"/>
      <w:bookmarkStart w:id="56" w:name="_Toc184313278"/>
      <w:bookmarkEnd w:id="56"/>
      <w:bookmarkStart w:id="57" w:name="_Toc184314411"/>
      <w:bookmarkEnd w:id="57"/>
      <w:bookmarkStart w:id="58" w:name="_Toc184312102"/>
      <w:bookmarkEnd w:id="58"/>
      <w:bookmarkStart w:id="59" w:name="_Toc184310287"/>
      <w:bookmarkEnd w:id="59"/>
      <w:bookmarkStart w:id="60" w:name="_Toc184313242"/>
      <w:bookmarkEnd w:id="60"/>
      <w:bookmarkStart w:id="61" w:name="_Toc184312123"/>
      <w:bookmarkEnd w:id="61"/>
      <w:bookmarkStart w:id="62" w:name="_Toc184314412"/>
      <w:bookmarkEnd w:id="62"/>
      <w:bookmarkStart w:id="63" w:name="_Toc184312110"/>
      <w:bookmarkEnd w:id="63"/>
      <w:bookmarkStart w:id="64" w:name="_Toc184310321"/>
      <w:bookmarkEnd w:id="64"/>
      <w:bookmarkStart w:id="65" w:name="_Toc184312105"/>
      <w:bookmarkEnd w:id="65"/>
      <w:bookmarkStart w:id="66" w:name="_Toc184312107"/>
      <w:bookmarkEnd w:id="66"/>
      <w:bookmarkStart w:id="67" w:name="_Toc184313261"/>
      <w:bookmarkEnd w:id="67"/>
      <w:bookmarkStart w:id="68" w:name="_Toc184313301"/>
      <w:bookmarkEnd w:id="68"/>
      <w:bookmarkStart w:id="69" w:name="_Toc184312095"/>
      <w:bookmarkEnd w:id="69"/>
      <w:bookmarkStart w:id="70" w:name="_Toc184308070"/>
      <w:bookmarkEnd w:id="70"/>
      <w:bookmarkStart w:id="71" w:name="_Toc184308047"/>
      <w:bookmarkEnd w:id="71"/>
      <w:bookmarkStart w:id="72" w:name="_Toc184314438"/>
      <w:bookmarkEnd w:id="72"/>
      <w:bookmarkStart w:id="73" w:name="_Toc184308104"/>
      <w:bookmarkEnd w:id="73"/>
      <w:bookmarkStart w:id="74" w:name="_Toc184308067"/>
      <w:bookmarkEnd w:id="74"/>
      <w:bookmarkStart w:id="75" w:name="_Toc184308092"/>
      <w:bookmarkEnd w:id="75"/>
      <w:bookmarkStart w:id="76" w:name="_Toc184314469"/>
      <w:bookmarkEnd w:id="76"/>
      <w:bookmarkStart w:id="77" w:name="_Toc184308055"/>
      <w:bookmarkEnd w:id="77"/>
      <w:bookmarkStart w:id="78" w:name="_Toc184314453"/>
      <w:bookmarkEnd w:id="78"/>
      <w:bookmarkStart w:id="79" w:name="_Toc184314415"/>
      <w:bookmarkEnd w:id="79"/>
      <w:bookmarkStart w:id="80" w:name="_Toc184313293"/>
      <w:bookmarkEnd w:id="80"/>
      <w:bookmarkStart w:id="81" w:name="_Toc184308061"/>
      <w:bookmarkEnd w:id="81"/>
      <w:bookmarkStart w:id="82" w:name="_Toc184308053"/>
      <w:bookmarkEnd w:id="82"/>
      <w:bookmarkStart w:id="83" w:name="_Toc184308041"/>
      <w:bookmarkEnd w:id="83"/>
      <w:bookmarkStart w:id="84" w:name="_Toc184314448"/>
      <w:bookmarkEnd w:id="84"/>
      <w:bookmarkStart w:id="85" w:name="_Toc184314478"/>
      <w:bookmarkEnd w:id="85"/>
      <w:bookmarkStart w:id="86" w:name="_Toc184312074"/>
      <w:bookmarkEnd w:id="86"/>
      <w:bookmarkStart w:id="87" w:name="_Toc184312081"/>
      <w:bookmarkEnd w:id="87"/>
      <w:bookmarkStart w:id="88" w:name="_Toc184314468"/>
      <w:bookmarkEnd w:id="88"/>
      <w:bookmarkStart w:id="89" w:name="_Toc184308062"/>
      <w:bookmarkEnd w:id="89"/>
      <w:bookmarkStart w:id="90" w:name="_Toc184314416"/>
      <w:bookmarkEnd w:id="90"/>
      <w:bookmarkStart w:id="91" w:name="_Toc184312104"/>
      <w:bookmarkEnd w:id="91"/>
      <w:bookmarkStart w:id="92" w:name="_Toc184312127"/>
      <w:bookmarkEnd w:id="92"/>
      <w:bookmarkStart w:id="93" w:name="_Toc184313262"/>
      <w:bookmarkEnd w:id="93"/>
      <w:bookmarkStart w:id="94" w:name="_Toc184312086"/>
      <w:bookmarkEnd w:id="94"/>
      <w:bookmarkStart w:id="95" w:name="_Toc184313256"/>
      <w:bookmarkEnd w:id="95"/>
      <w:bookmarkStart w:id="96" w:name="_Toc184310320"/>
      <w:bookmarkEnd w:id="96"/>
      <w:bookmarkStart w:id="97" w:name="_Toc184310337"/>
      <w:bookmarkEnd w:id="97"/>
      <w:bookmarkStart w:id="98" w:name="_Toc184312100"/>
      <w:bookmarkEnd w:id="98"/>
      <w:bookmarkStart w:id="99" w:name="_Toc184313238"/>
      <w:bookmarkEnd w:id="99"/>
      <w:bookmarkStart w:id="100" w:name="_Toc184314466"/>
      <w:bookmarkEnd w:id="100"/>
      <w:bookmarkStart w:id="101" w:name="_Toc184314450"/>
      <w:bookmarkEnd w:id="101"/>
      <w:bookmarkStart w:id="102" w:name="_Toc184308042"/>
      <w:bookmarkEnd w:id="102"/>
      <w:bookmarkStart w:id="103" w:name="_Toc184314413"/>
      <w:bookmarkEnd w:id="103"/>
      <w:bookmarkStart w:id="104" w:name="_Toc184310330"/>
      <w:bookmarkEnd w:id="104"/>
      <w:bookmarkStart w:id="105" w:name="_Toc184308101"/>
      <w:bookmarkEnd w:id="105"/>
      <w:bookmarkStart w:id="106" w:name="_Toc184308075"/>
      <w:bookmarkEnd w:id="106"/>
      <w:bookmarkStart w:id="107" w:name="_Toc184314474"/>
      <w:bookmarkEnd w:id="107"/>
      <w:bookmarkStart w:id="108" w:name="_Toc184310319"/>
      <w:bookmarkEnd w:id="108"/>
      <w:bookmarkStart w:id="109" w:name="_Toc184310331"/>
      <w:bookmarkEnd w:id="109"/>
      <w:bookmarkStart w:id="110" w:name="_Toc184310279"/>
      <w:bookmarkEnd w:id="110"/>
      <w:bookmarkStart w:id="111" w:name="_Toc184313303"/>
      <w:bookmarkEnd w:id="111"/>
      <w:bookmarkStart w:id="112" w:name="_Toc184314420"/>
      <w:bookmarkEnd w:id="112"/>
      <w:bookmarkStart w:id="113" w:name="_Toc184308108"/>
      <w:bookmarkEnd w:id="113"/>
      <w:bookmarkStart w:id="114" w:name="_Toc184313288"/>
      <w:bookmarkEnd w:id="114"/>
      <w:bookmarkStart w:id="115" w:name="_Toc184308043"/>
      <w:bookmarkEnd w:id="115"/>
      <w:bookmarkStart w:id="116" w:name="_Toc184312115"/>
      <w:bookmarkEnd w:id="116"/>
      <w:bookmarkStart w:id="117" w:name="_Toc184314428"/>
      <w:bookmarkEnd w:id="117"/>
      <w:bookmarkStart w:id="118" w:name="_Toc184314467"/>
      <w:bookmarkEnd w:id="118"/>
      <w:bookmarkStart w:id="119" w:name="_Toc184313279"/>
      <w:bookmarkEnd w:id="119"/>
      <w:bookmarkStart w:id="120" w:name="_Toc184312068"/>
      <w:bookmarkEnd w:id="120"/>
      <w:bookmarkStart w:id="121" w:name="_Toc184310318"/>
      <w:bookmarkEnd w:id="121"/>
      <w:bookmarkStart w:id="122" w:name="_Toc184312139"/>
      <w:bookmarkEnd w:id="122"/>
      <w:bookmarkStart w:id="123" w:name="_Toc184313286"/>
      <w:bookmarkEnd w:id="123"/>
      <w:bookmarkStart w:id="124" w:name="_Toc184308056"/>
      <w:bookmarkEnd w:id="124"/>
      <w:bookmarkStart w:id="125" w:name="_Toc184313306"/>
      <w:bookmarkEnd w:id="125"/>
      <w:bookmarkStart w:id="126" w:name="_Toc184308065"/>
      <w:bookmarkEnd w:id="126"/>
      <w:bookmarkStart w:id="127" w:name="_Toc184313274"/>
      <w:bookmarkEnd w:id="127"/>
      <w:bookmarkStart w:id="128" w:name="_Toc184310336"/>
      <w:bookmarkEnd w:id="128"/>
      <w:bookmarkStart w:id="129" w:name="_Toc184313298"/>
      <w:bookmarkEnd w:id="129"/>
      <w:bookmarkStart w:id="130" w:name="_Toc184314459"/>
      <w:bookmarkEnd w:id="130"/>
      <w:bookmarkStart w:id="131" w:name="_Toc184313302"/>
      <w:bookmarkEnd w:id="131"/>
      <w:bookmarkStart w:id="132" w:name="_Toc184310314"/>
      <w:bookmarkEnd w:id="132"/>
      <w:bookmarkStart w:id="133" w:name="_Toc184314482"/>
      <w:bookmarkEnd w:id="133"/>
      <w:bookmarkStart w:id="134" w:name="_Toc184310324"/>
      <w:bookmarkEnd w:id="134"/>
      <w:bookmarkStart w:id="135" w:name="_Toc184310332"/>
      <w:bookmarkEnd w:id="135"/>
      <w:bookmarkStart w:id="136" w:name="_Toc184313285"/>
      <w:bookmarkEnd w:id="136"/>
      <w:bookmarkStart w:id="137" w:name="_Toc184314455"/>
      <w:bookmarkEnd w:id="137"/>
      <w:bookmarkStart w:id="138" w:name="_Toc184310295"/>
      <w:bookmarkEnd w:id="138"/>
      <w:bookmarkStart w:id="139" w:name="_Toc184312103"/>
      <w:bookmarkEnd w:id="139"/>
      <w:bookmarkStart w:id="140" w:name="_Toc184312116"/>
      <w:bookmarkEnd w:id="140"/>
      <w:bookmarkStart w:id="141" w:name="_Toc184314432"/>
      <w:bookmarkEnd w:id="141"/>
      <w:bookmarkStart w:id="142" w:name="_Toc184313270"/>
      <w:bookmarkEnd w:id="142"/>
      <w:bookmarkStart w:id="143" w:name="_Toc184312118"/>
      <w:bookmarkEnd w:id="143"/>
      <w:bookmarkStart w:id="144" w:name="_Toc184310291"/>
      <w:bookmarkEnd w:id="144"/>
      <w:bookmarkStart w:id="145" w:name="_Toc184313263"/>
      <w:bookmarkEnd w:id="145"/>
      <w:bookmarkStart w:id="146" w:name="_Toc184308036"/>
      <w:bookmarkEnd w:id="146"/>
      <w:bookmarkStart w:id="147" w:name="_Toc184313287"/>
      <w:bookmarkEnd w:id="147"/>
      <w:bookmarkStart w:id="148" w:name="_Toc184310326"/>
      <w:bookmarkEnd w:id="148"/>
      <w:bookmarkStart w:id="149" w:name="_Toc184308063"/>
      <w:bookmarkEnd w:id="149"/>
      <w:bookmarkStart w:id="150" w:name="_Toc184308080"/>
      <w:bookmarkEnd w:id="150"/>
      <w:bookmarkStart w:id="151" w:name="_Toc184314449"/>
      <w:bookmarkEnd w:id="151"/>
      <w:bookmarkStart w:id="152" w:name="_Toc184313292"/>
      <w:bookmarkEnd w:id="152"/>
      <w:bookmarkStart w:id="153" w:name="_Toc184314441"/>
      <w:bookmarkEnd w:id="153"/>
      <w:bookmarkStart w:id="154" w:name="_Toc184312078"/>
      <w:bookmarkEnd w:id="154"/>
      <w:bookmarkStart w:id="155" w:name="_Toc184313305"/>
      <w:bookmarkEnd w:id="155"/>
      <w:bookmarkStart w:id="156" w:name="_Toc184314476"/>
      <w:bookmarkEnd w:id="156"/>
      <w:bookmarkStart w:id="157" w:name="_Toc184308091"/>
      <w:bookmarkEnd w:id="157"/>
      <w:bookmarkStart w:id="158" w:name="_Toc184314439"/>
      <w:bookmarkEnd w:id="158"/>
      <w:bookmarkStart w:id="159" w:name="_Toc184308050"/>
      <w:bookmarkEnd w:id="159"/>
      <w:bookmarkStart w:id="160" w:name="_Toc184313264"/>
      <w:bookmarkEnd w:id="160"/>
      <w:bookmarkStart w:id="161" w:name="_Toc184308077"/>
      <w:bookmarkEnd w:id="161"/>
      <w:bookmarkStart w:id="162" w:name="_Toc184310273"/>
      <w:bookmarkEnd w:id="162"/>
      <w:bookmarkStart w:id="163" w:name="_Toc184310323"/>
      <w:bookmarkEnd w:id="163"/>
      <w:bookmarkStart w:id="164" w:name="_Toc184313243"/>
      <w:bookmarkEnd w:id="164"/>
      <w:bookmarkStart w:id="165" w:name="_Toc184310310"/>
      <w:bookmarkEnd w:id="165"/>
      <w:bookmarkStart w:id="166" w:name="_Toc184314433"/>
      <w:bookmarkEnd w:id="166"/>
      <w:bookmarkStart w:id="167" w:name="_Toc184312114"/>
      <w:bookmarkEnd w:id="167"/>
      <w:bookmarkStart w:id="168" w:name="_Toc184308073"/>
      <w:bookmarkEnd w:id="168"/>
      <w:bookmarkStart w:id="169" w:name="_Toc184314421"/>
      <w:bookmarkEnd w:id="169"/>
      <w:bookmarkStart w:id="170" w:name="_Toc184314472"/>
      <w:bookmarkEnd w:id="170"/>
      <w:bookmarkStart w:id="171" w:name="_Toc184312094"/>
      <w:bookmarkEnd w:id="171"/>
      <w:bookmarkStart w:id="172" w:name="_Toc184308049"/>
      <w:bookmarkEnd w:id="172"/>
      <w:bookmarkStart w:id="173" w:name="_Toc184313294"/>
      <w:bookmarkEnd w:id="173"/>
      <w:bookmarkStart w:id="174" w:name="_Toc184313241"/>
      <w:bookmarkEnd w:id="174"/>
      <w:bookmarkStart w:id="175" w:name="_Toc184314437"/>
      <w:bookmarkEnd w:id="175"/>
      <w:bookmarkStart w:id="176" w:name="_Toc184313310"/>
      <w:bookmarkEnd w:id="176"/>
      <w:bookmarkStart w:id="177" w:name="_Toc184310272"/>
      <w:bookmarkEnd w:id="177"/>
      <w:bookmarkStart w:id="178" w:name="_Toc184310316"/>
      <w:bookmarkEnd w:id="178"/>
      <w:bookmarkStart w:id="179" w:name="_Toc184314473"/>
      <w:bookmarkEnd w:id="179"/>
      <w:bookmarkStart w:id="180" w:name="_Toc184313308"/>
      <w:bookmarkEnd w:id="180"/>
      <w:bookmarkStart w:id="181" w:name="_Toc184314462"/>
      <w:bookmarkEnd w:id="181"/>
      <w:bookmarkStart w:id="182" w:name="_Toc184314422"/>
      <w:bookmarkEnd w:id="182"/>
      <w:bookmarkStart w:id="183" w:name="_Toc184312133"/>
      <w:bookmarkEnd w:id="183"/>
      <w:bookmarkStart w:id="184" w:name="_Toc184312089"/>
      <w:bookmarkEnd w:id="184"/>
      <w:bookmarkStart w:id="185" w:name="_Toc184308107"/>
      <w:bookmarkEnd w:id="185"/>
      <w:bookmarkStart w:id="186" w:name="_Toc184313296"/>
      <w:bookmarkEnd w:id="186"/>
      <w:bookmarkStart w:id="187" w:name="_Toc184310325"/>
      <w:bookmarkEnd w:id="187"/>
      <w:bookmarkStart w:id="188" w:name="_Toc184308066"/>
      <w:bookmarkEnd w:id="188"/>
      <w:bookmarkStart w:id="189" w:name="_Toc184312070"/>
      <w:bookmarkEnd w:id="189"/>
      <w:bookmarkStart w:id="190" w:name="_Toc184312128"/>
      <w:bookmarkEnd w:id="190"/>
      <w:bookmarkStart w:id="191" w:name="_Toc184314426"/>
      <w:bookmarkEnd w:id="191"/>
      <w:bookmarkStart w:id="192" w:name="_Toc184312108"/>
      <w:bookmarkEnd w:id="192"/>
      <w:bookmarkStart w:id="193" w:name="_Toc184312079"/>
      <w:bookmarkEnd w:id="193"/>
      <w:bookmarkStart w:id="194" w:name="_Toc184312085"/>
      <w:bookmarkEnd w:id="194"/>
      <w:bookmarkStart w:id="195" w:name="_Toc184313272"/>
      <w:bookmarkEnd w:id="195"/>
      <w:bookmarkStart w:id="196" w:name="_Toc184312087"/>
      <w:bookmarkEnd w:id="196"/>
      <w:bookmarkStart w:id="197" w:name="_Toc184313244"/>
      <w:bookmarkEnd w:id="197"/>
      <w:bookmarkStart w:id="198" w:name="_Toc184314477"/>
      <w:bookmarkEnd w:id="198"/>
      <w:bookmarkStart w:id="199" w:name="_Toc184310286"/>
      <w:bookmarkEnd w:id="199"/>
      <w:bookmarkStart w:id="200" w:name="_Toc184314452"/>
      <w:bookmarkEnd w:id="200"/>
      <w:bookmarkStart w:id="201" w:name="_Toc184312132"/>
      <w:bookmarkEnd w:id="201"/>
      <w:bookmarkStart w:id="202" w:name="_Toc184310322"/>
      <w:bookmarkEnd w:id="202"/>
      <w:bookmarkStart w:id="203" w:name="_Toc184314436"/>
      <w:bookmarkEnd w:id="203"/>
      <w:bookmarkStart w:id="204" w:name="_Toc184313290"/>
      <w:bookmarkEnd w:id="204"/>
      <w:bookmarkStart w:id="205" w:name="_Toc184310282"/>
      <w:bookmarkEnd w:id="205"/>
      <w:bookmarkStart w:id="206" w:name="_Toc184314475"/>
      <w:bookmarkEnd w:id="206"/>
      <w:bookmarkStart w:id="207" w:name="_Toc184314451"/>
      <w:bookmarkEnd w:id="207"/>
      <w:bookmarkStart w:id="208" w:name="_Toc184313280"/>
      <w:bookmarkEnd w:id="208"/>
      <w:bookmarkStart w:id="209" w:name="_Toc184314458"/>
      <w:bookmarkEnd w:id="209"/>
      <w:bookmarkStart w:id="210" w:name="_Toc184310284"/>
      <w:bookmarkEnd w:id="210"/>
      <w:bookmarkStart w:id="211" w:name="_Toc184310275"/>
      <w:bookmarkEnd w:id="211"/>
      <w:bookmarkStart w:id="212" w:name="_Toc184312091"/>
      <w:bookmarkEnd w:id="212"/>
      <w:bookmarkStart w:id="213" w:name="_Toc184310313"/>
      <w:bookmarkEnd w:id="213"/>
      <w:bookmarkStart w:id="214" w:name="_Toc184310305"/>
      <w:bookmarkEnd w:id="214"/>
      <w:bookmarkStart w:id="215" w:name="_Toc184308051"/>
      <w:bookmarkEnd w:id="215"/>
      <w:bookmarkStart w:id="216" w:name="_Toc184308059"/>
      <w:bookmarkEnd w:id="216"/>
      <w:bookmarkStart w:id="217" w:name="_Toc184313239"/>
      <w:bookmarkEnd w:id="217"/>
      <w:bookmarkStart w:id="218" w:name="_Toc184310277"/>
      <w:bookmarkEnd w:id="218"/>
      <w:bookmarkStart w:id="219" w:name="_Toc184314456"/>
      <w:bookmarkEnd w:id="219"/>
      <w:bookmarkStart w:id="220" w:name="_Toc184308045"/>
      <w:bookmarkEnd w:id="220"/>
      <w:bookmarkStart w:id="221" w:name="_Toc184312126"/>
      <w:bookmarkEnd w:id="221"/>
      <w:bookmarkStart w:id="222" w:name="_Toc184310299"/>
      <w:bookmarkEnd w:id="222"/>
      <w:bookmarkStart w:id="223" w:name="_Toc184314480"/>
      <w:bookmarkEnd w:id="223"/>
      <w:bookmarkStart w:id="224" w:name="_Toc184310342"/>
      <w:bookmarkEnd w:id="224"/>
      <w:bookmarkStart w:id="225" w:name="_Toc184314414"/>
      <w:bookmarkEnd w:id="225"/>
      <w:bookmarkStart w:id="226" w:name="_Toc184312113"/>
      <w:bookmarkEnd w:id="226"/>
      <w:bookmarkStart w:id="227" w:name="_Toc184310294"/>
      <w:bookmarkEnd w:id="227"/>
      <w:bookmarkStart w:id="228" w:name="_Toc184314445"/>
      <w:bookmarkEnd w:id="228"/>
      <w:bookmarkStart w:id="229" w:name="_Toc184310303"/>
      <w:bookmarkEnd w:id="229"/>
      <w:bookmarkStart w:id="230" w:name="_Toc184312084"/>
      <w:bookmarkEnd w:id="230"/>
      <w:bookmarkStart w:id="231" w:name="_Toc184312135"/>
      <w:bookmarkEnd w:id="231"/>
      <w:bookmarkStart w:id="232" w:name="_Toc184312076"/>
      <w:bookmarkEnd w:id="232"/>
      <w:bookmarkStart w:id="233" w:name="_Toc184312119"/>
      <w:bookmarkEnd w:id="233"/>
      <w:bookmarkStart w:id="234" w:name="_Toc184312069"/>
      <w:bookmarkEnd w:id="234"/>
      <w:bookmarkStart w:id="235" w:name="_Toc184310280"/>
      <w:bookmarkEnd w:id="235"/>
      <w:bookmarkStart w:id="236" w:name="_Toc184310300"/>
      <w:bookmarkEnd w:id="236"/>
      <w:bookmarkStart w:id="237" w:name="_Toc184313275"/>
      <w:bookmarkEnd w:id="237"/>
      <w:bookmarkStart w:id="238" w:name="_Toc184312129"/>
      <w:bookmarkEnd w:id="238"/>
      <w:bookmarkStart w:id="239" w:name="_Toc184313304"/>
      <w:bookmarkEnd w:id="239"/>
      <w:bookmarkStart w:id="240" w:name="_Toc184312122"/>
      <w:bookmarkEnd w:id="240"/>
      <w:bookmarkStart w:id="241" w:name="_Toc184308083"/>
      <w:bookmarkEnd w:id="241"/>
      <w:bookmarkStart w:id="242" w:name="_Toc184314425"/>
      <w:bookmarkEnd w:id="242"/>
      <w:bookmarkStart w:id="243" w:name="_Toc184308076"/>
      <w:bookmarkEnd w:id="243"/>
      <w:bookmarkStart w:id="244" w:name="_Toc184312120"/>
      <w:bookmarkEnd w:id="244"/>
      <w:bookmarkStart w:id="245" w:name="_Toc184314465"/>
      <w:bookmarkEnd w:id="245"/>
      <w:bookmarkStart w:id="246" w:name="_Toc184312071"/>
      <w:bookmarkEnd w:id="246"/>
      <w:bookmarkStart w:id="247" w:name="_Toc184314417"/>
      <w:bookmarkEnd w:id="247"/>
      <w:bookmarkStart w:id="248" w:name="_Toc184310340"/>
      <w:bookmarkEnd w:id="248"/>
      <w:bookmarkStart w:id="249" w:name="_Toc184310329"/>
      <w:bookmarkEnd w:id="249"/>
      <w:bookmarkStart w:id="250" w:name="_Toc184312082"/>
      <w:bookmarkEnd w:id="250"/>
      <w:bookmarkStart w:id="251" w:name="_Toc184313260"/>
      <w:bookmarkEnd w:id="251"/>
      <w:bookmarkStart w:id="252" w:name="_Toc184308097"/>
      <w:bookmarkEnd w:id="252"/>
      <w:bookmarkStart w:id="253" w:name="_Toc184314427"/>
      <w:bookmarkEnd w:id="253"/>
      <w:bookmarkStart w:id="254" w:name="_Toc184310276"/>
      <w:bookmarkEnd w:id="254"/>
      <w:bookmarkStart w:id="255" w:name="_Toc184314460"/>
      <w:bookmarkEnd w:id="255"/>
      <w:bookmarkStart w:id="256" w:name="_Toc184310285"/>
      <w:bookmarkEnd w:id="256"/>
      <w:bookmarkStart w:id="257" w:name="_Toc184313309"/>
      <w:bookmarkEnd w:id="257"/>
      <w:bookmarkStart w:id="258" w:name="_Toc184310339"/>
      <w:bookmarkEnd w:id="258"/>
      <w:bookmarkStart w:id="259" w:name="_Toc184308103"/>
      <w:bookmarkEnd w:id="259"/>
      <w:bookmarkStart w:id="260" w:name="_Toc184314464"/>
      <w:bookmarkEnd w:id="260"/>
      <w:bookmarkStart w:id="261" w:name="_Toc184314429"/>
      <w:bookmarkEnd w:id="261"/>
      <w:bookmarkStart w:id="262" w:name="_Toc184314419"/>
      <w:bookmarkEnd w:id="262"/>
      <w:bookmarkStart w:id="263" w:name="_Toc184314442"/>
      <w:bookmarkEnd w:id="263"/>
      <w:bookmarkStart w:id="264" w:name="_Toc184313269"/>
      <w:bookmarkEnd w:id="264"/>
      <w:bookmarkStart w:id="265" w:name="_Toc184312075"/>
      <w:bookmarkEnd w:id="265"/>
      <w:bookmarkStart w:id="266" w:name="_Toc184308100"/>
      <w:bookmarkEnd w:id="266"/>
      <w:bookmarkStart w:id="267" w:name="_Toc184308074"/>
      <w:bookmarkEnd w:id="267"/>
      <w:bookmarkStart w:id="268" w:name="_Toc184310308"/>
      <w:bookmarkEnd w:id="268"/>
      <w:bookmarkStart w:id="269" w:name="_Toc184308057"/>
      <w:bookmarkEnd w:id="269"/>
      <w:bookmarkStart w:id="270" w:name="_Toc184313248"/>
      <w:bookmarkEnd w:id="270"/>
      <w:bookmarkStart w:id="271" w:name="_Toc184312130"/>
      <w:bookmarkEnd w:id="271"/>
      <w:bookmarkStart w:id="272" w:name="_Toc184313246"/>
      <w:bookmarkEnd w:id="272"/>
      <w:bookmarkStart w:id="273" w:name="_Toc184308048"/>
      <w:bookmarkEnd w:id="273"/>
      <w:bookmarkStart w:id="274" w:name="_Toc184308106"/>
      <w:bookmarkEnd w:id="274"/>
      <w:bookmarkStart w:id="275" w:name="_Toc184313247"/>
      <w:bookmarkEnd w:id="275"/>
      <w:bookmarkStart w:id="276" w:name="_Toc184308072"/>
      <w:bookmarkEnd w:id="276"/>
      <w:bookmarkStart w:id="277" w:name="_Toc184313240"/>
      <w:bookmarkEnd w:id="277"/>
      <w:bookmarkStart w:id="278" w:name="_Toc184314463"/>
      <w:bookmarkEnd w:id="278"/>
      <w:bookmarkStart w:id="279" w:name="_Toc184310343"/>
      <w:bookmarkEnd w:id="279"/>
      <w:bookmarkStart w:id="280" w:name="_Toc184312067"/>
      <w:bookmarkEnd w:id="280"/>
      <w:bookmarkStart w:id="281" w:name="_Toc184312099"/>
      <w:bookmarkEnd w:id="281"/>
      <w:bookmarkStart w:id="282" w:name="_Toc184314470"/>
      <w:bookmarkEnd w:id="282"/>
      <w:bookmarkStart w:id="283" w:name="_Toc184313289"/>
      <w:bookmarkEnd w:id="283"/>
      <w:bookmarkStart w:id="284" w:name="_Toc184308044"/>
      <w:bookmarkEnd w:id="284"/>
      <w:bookmarkStart w:id="285" w:name="_Toc184308039"/>
      <w:bookmarkEnd w:id="285"/>
      <w:bookmarkStart w:id="286" w:name="_Toc184313266"/>
      <w:bookmarkEnd w:id="286"/>
      <w:bookmarkStart w:id="287" w:name="_Toc184310298"/>
      <w:bookmarkEnd w:id="287"/>
      <w:bookmarkStart w:id="288" w:name="_Toc184313300"/>
      <w:bookmarkEnd w:id="288"/>
      <w:bookmarkStart w:id="289" w:name="_Toc184314461"/>
      <w:bookmarkEnd w:id="289"/>
      <w:bookmarkStart w:id="290" w:name="_Toc184313267"/>
      <w:bookmarkEnd w:id="290"/>
      <w:bookmarkStart w:id="291" w:name="_Toc184313291"/>
      <w:bookmarkEnd w:id="291"/>
      <w:bookmarkStart w:id="292" w:name="_Toc184312083"/>
      <w:bookmarkEnd w:id="292"/>
      <w:bookmarkStart w:id="293" w:name="_Toc184308037"/>
      <w:bookmarkEnd w:id="293"/>
      <w:bookmarkStart w:id="294" w:name="_Toc184308071"/>
      <w:bookmarkEnd w:id="294"/>
      <w:bookmarkStart w:id="295" w:name="_Toc184308046"/>
      <w:bookmarkEnd w:id="295"/>
      <w:bookmarkStart w:id="296" w:name="_Toc184314434"/>
      <w:bookmarkEnd w:id="296"/>
      <w:bookmarkStart w:id="297" w:name="_Toc184308105"/>
      <w:bookmarkEnd w:id="297"/>
      <w:bookmarkStart w:id="298" w:name="_Toc184313277"/>
      <w:bookmarkEnd w:id="298"/>
      <w:bookmarkStart w:id="299" w:name="_Toc184312109"/>
      <w:bookmarkEnd w:id="299"/>
      <w:bookmarkStart w:id="300" w:name="_Toc184313271"/>
      <w:bookmarkEnd w:id="300"/>
      <w:bookmarkStart w:id="301" w:name="_Toc184313284"/>
      <w:bookmarkEnd w:id="301"/>
      <w:bookmarkStart w:id="302" w:name="_Toc184314435"/>
      <w:bookmarkEnd w:id="302"/>
      <w:bookmarkStart w:id="303" w:name="_Toc184308102"/>
      <w:bookmarkEnd w:id="303"/>
      <w:bookmarkStart w:id="304" w:name="_Toc184312117"/>
      <w:bookmarkEnd w:id="304"/>
      <w:bookmarkStart w:id="305" w:name="_Toc184312124"/>
      <w:bookmarkEnd w:id="305"/>
      <w:bookmarkStart w:id="306" w:name="_Toc184308088"/>
      <w:bookmarkEnd w:id="306"/>
      <w:bookmarkStart w:id="307" w:name="_Toc184313249"/>
      <w:bookmarkEnd w:id="307"/>
      <w:bookmarkStart w:id="308" w:name="_Toc184310301"/>
      <w:bookmarkEnd w:id="308"/>
      <w:bookmarkStart w:id="309" w:name="_Toc184312072"/>
      <w:bookmarkEnd w:id="309"/>
      <w:bookmarkStart w:id="310" w:name="_Toc184313276"/>
      <w:bookmarkEnd w:id="310"/>
      <w:bookmarkStart w:id="311" w:name="_Toc184313281"/>
      <w:bookmarkEnd w:id="311"/>
      <w:bookmarkStart w:id="312" w:name="_Toc184310281"/>
      <w:bookmarkEnd w:id="312"/>
      <w:bookmarkStart w:id="313" w:name="_Toc184312077"/>
      <w:bookmarkEnd w:id="313"/>
      <w:bookmarkStart w:id="314" w:name="_Toc184314440"/>
      <w:bookmarkEnd w:id="314"/>
      <w:bookmarkStart w:id="315" w:name="_Toc184308093"/>
      <w:bookmarkEnd w:id="315"/>
      <w:bookmarkStart w:id="316" w:name="_Toc184308082"/>
      <w:bookmarkEnd w:id="316"/>
      <w:bookmarkStart w:id="317" w:name="_Toc184310288"/>
      <w:bookmarkEnd w:id="317"/>
      <w:bookmarkStart w:id="318" w:name="_Toc184310283"/>
      <w:bookmarkEnd w:id="318"/>
      <w:bookmarkStart w:id="319" w:name="_Toc184310312"/>
      <w:bookmarkEnd w:id="319"/>
      <w:bookmarkStart w:id="320" w:name="_Toc184308069"/>
      <w:bookmarkEnd w:id="320"/>
      <w:bookmarkStart w:id="321" w:name="_Toc184308060"/>
      <w:bookmarkEnd w:id="321"/>
      <w:bookmarkStart w:id="322" w:name="_Toc184312080"/>
      <w:bookmarkEnd w:id="322"/>
      <w:bookmarkStart w:id="323" w:name="_Toc184310311"/>
      <w:bookmarkEnd w:id="323"/>
      <w:bookmarkStart w:id="324" w:name="_Toc184308090"/>
      <w:bookmarkEnd w:id="324"/>
      <w:bookmarkStart w:id="325" w:name="_Toc184314410"/>
      <w:bookmarkEnd w:id="325"/>
      <w:bookmarkStart w:id="326" w:name="_Toc184314447"/>
      <w:bookmarkEnd w:id="326"/>
      <w:bookmarkStart w:id="327" w:name="_Toc184312137"/>
      <w:bookmarkEnd w:id="327"/>
      <w:bookmarkStart w:id="328" w:name="_Toc184308094"/>
      <w:bookmarkEnd w:id="328"/>
      <w:bookmarkStart w:id="329" w:name="_Toc184313299"/>
      <w:bookmarkEnd w:id="329"/>
      <w:bookmarkStart w:id="330" w:name="_Toc184313251"/>
      <w:bookmarkEnd w:id="330"/>
      <w:bookmarkStart w:id="331" w:name="_Toc184308089"/>
      <w:bookmarkEnd w:id="331"/>
      <w:bookmarkStart w:id="332" w:name="_Toc184313245"/>
      <w:bookmarkEnd w:id="332"/>
      <w:bookmarkStart w:id="333" w:name="_Toc184310278"/>
      <w:bookmarkEnd w:id="333"/>
      <w:bookmarkStart w:id="334" w:name="_Toc184310297"/>
      <w:bookmarkEnd w:id="334"/>
      <w:bookmarkStart w:id="335" w:name="_Toc184312096"/>
      <w:bookmarkEnd w:id="335"/>
      <w:bookmarkStart w:id="336" w:name="_Toc184313254"/>
      <w:bookmarkEnd w:id="336"/>
      <w:bookmarkStart w:id="337" w:name="_Toc184312111"/>
      <w:bookmarkEnd w:id="337"/>
      <w:bookmarkStart w:id="338" w:name="_Toc184312121"/>
      <w:bookmarkEnd w:id="338"/>
      <w:bookmarkStart w:id="339" w:name="_Toc184310327"/>
      <w:bookmarkEnd w:id="339"/>
      <w:bookmarkStart w:id="340" w:name="_Toc184314418"/>
      <w:bookmarkEnd w:id="340"/>
      <w:bookmarkStart w:id="341" w:name="_Toc184308064"/>
      <w:bookmarkEnd w:id="341"/>
      <w:bookmarkStart w:id="342" w:name="_Toc184310328"/>
      <w:bookmarkEnd w:id="342"/>
      <w:bookmarkStart w:id="343" w:name="_Toc184314454"/>
      <w:bookmarkEnd w:id="343"/>
      <w:bookmarkStart w:id="344" w:name="_Toc184312131"/>
      <w:bookmarkEnd w:id="344"/>
      <w:bookmarkStart w:id="345" w:name="_Toc184308085"/>
      <w:bookmarkEnd w:id="345"/>
      <w:bookmarkStart w:id="346" w:name="_Toc184310317"/>
      <w:bookmarkEnd w:id="346"/>
      <w:bookmarkStart w:id="347" w:name="_Toc184313258"/>
      <w:bookmarkEnd w:id="347"/>
      <w:bookmarkStart w:id="348" w:name="_Toc184312106"/>
      <w:bookmarkEnd w:id="348"/>
      <w:bookmarkStart w:id="349" w:name="_Toc184313297"/>
      <w:bookmarkEnd w:id="349"/>
      <w:bookmarkStart w:id="350" w:name="_Toc184314431"/>
      <w:bookmarkEnd w:id="350"/>
      <w:bookmarkStart w:id="351" w:name="_Toc184310289"/>
      <w:bookmarkEnd w:id="351"/>
      <w:bookmarkStart w:id="352" w:name="_Toc184310290"/>
      <w:bookmarkEnd w:id="352"/>
      <w:bookmarkStart w:id="353" w:name="_Toc184314479"/>
      <w:bookmarkEnd w:id="353"/>
      <w:bookmarkStart w:id="354" w:name="_Toc184308099"/>
      <w:bookmarkEnd w:id="354"/>
      <w:bookmarkStart w:id="355" w:name="_Toc184314481"/>
      <w:bookmarkEnd w:id="355"/>
      <w:bookmarkStart w:id="356" w:name="_Toc184314444"/>
      <w:bookmarkEnd w:id="356"/>
      <w:bookmarkStart w:id="357" w:name="_Toc184310309"/>
      <w:bookmarkEnd w:id="357"/>
      <w:bookmarkStart w:id="358" w:name="_Toc184308086"/>
      <w:bookmarkEnd w:id="358"/>
      <w:bookmarkStart w:id="359" w:name="_Toc184308040"/>
      <w:bookmarkEnd w:id="359"/>
      <w:bookmarkStart w:id="360" w:name="_Toc184312092"/>
      <w:bookmarkEnd w:id="360"/>
      <w:bookmarkStart w:id="361" w:name="_Toc184310274"/>
      <w:bookmarkEnd w:id="361"/>
      <w:bookmarkStart w:id="362" w:name="_Toc184313273"/>
      <w:bookmarkEnd w:id="362"/>
      <w:bookmarkStart w:id="363" w:name="_Toc184310306"/>
      <w:bookmarkEnd w:id="363"/>
      <w:bookmarkStart w:id="364" w:name="_Toc184313253"/>
      <w:bookmarkEnd w:id="364"/>
      <w:bookmarkStart w:id="365" w:name="_Toc184314471"/>
      <w:bookmarkEnd w:id="365"/>
      <w:bookmarkStart w:id="366" w:name="_Toc184312098"/>
      <w:bookmarkEnd w:id="366"/>
      <w:bookmarkStart w:id="367" w:name="_Toc184312138"/>
      <w:bookmarkEnd w:id="367"/>
      <w:bookmarkStart w:id="368" w:name="_Toc184312112"/>
      <w:bookmarkEnd w:id="368"/>
      <w:bookmarkStart w:id="369" w:name="_Toc184312101"/>
      <w:bookmarkEnd w:id="369"/>
      <w:bookmarkStart w:id="370" w:name="_Toc184308081"/>
      <w:bookmarkEnd w:id="370"/>
      <w:bookmarkStart w:id="371" w:name="_Toc184308078"/>
      <w:bookmarkEnd w:id="371"/>
      <w:bookmarkStart w:id="372" w:name="_Toc184313283"/>
      <w:bookmarkEnd w:id="372"/>
      <w:bookmarkStart w:id="373" w:name="_Toc184310293"/>
      <w:bookmarkEnd w:id="373"/>
      <w:bookmarkStart w:id="374" w:name="_Toc184313295"/>
      <w:bookmarkEnd w:id="374"/>
      <w:bookmarkStart w:id="375" w:name="_Toc184308054"/>
      <w:bookmarkEnd w:id="375"/>
      <w:bookmarkStart w:id="376" w:name="_Toc184310302"/>
      <w:bookmarkEnd w:id="376"/>
      <w:bookmarkStart w:id="377" w:name="_Toc184312088"/>
      <w:bookmarkEnd w:id="377"/>
      <w:bookmarkStart w:id="378" w:name="_Toc184310296"/>
      <w:bookmarkEnd w:id="378"/>
      <w:bookmarkStart w:id="379" w:name="_Toc184313255"/>
      <w:bookmarkEnd w:id="379"/>
      <w:bookmarkStart w:id="380" w:name="_Toc184310333"/>
      <w:bookmarkEnd w:id="380"/>
      <w:bookmarkStart w:id="381" w:name="_Toc184308096"/>
      <w:bookmarkEnd w:id="381"/>
      <w:bookmarkStart w:id="382" w:name="_Toc184312136"/>
      <w:bookmarkEnd w:id="382"/>
      <w:bookmarkStart w:id="383" w:name="_Toc184310307"/>
      <w:bookmarkEnd w:id="383"/>
      <w:bookmarkStart w:id="384" w:name="_Toc184310315"/>
      <w:bookmarkEnd w:id="384"/>
      <w:bookmarkStart w:id="385" w:name="_Toc184312090"/>
      <w:bookmarkEnd w:id="385"/>
      <w:bookmarkStart w:id="386" w:name="_Toc184312093"/>
      <w:bookmarkEnd w:id="386"/>
      <w:bookmarkStart w:id="387" w:name="_Toc184314446"/>
      <w:bookmarkEnd w:id="387"/>
      <w:bookmarkStart w:id="388" w:name="_Toc184308095"/>
      <w:bookmarkEnd w:id="388"/>
      <w:bookmarkStart w:id="389" w:name="_Toc184312073"/>
      <w:bookmarkEnd w:id="389"/>
      <w:bookmarkStart w:id="390" w:name="_Toc184313250"/>
      <w:bookmarkEnd w:id="390"/>
      <w:bookmarkStart w:id="391" w:name="_Toc184310344"/>
      <w:bookmarkEnd w:id="391"/>
      <w:r>
        <w:rPr>
          <w:rFonts w:hint="eastAsia" w:asciiTheme="minorEastAsia" w:hAnsiTheme="minorEastAsia" w:eastAsiaTheme="minorEastAsia" w:cstheme="minorEastAsia"/>
          <w:b/>
          <w:color w:val="auto"/>
          <w:sz w:val="36"/>
          <w:szCs w:val="36"/>
          <w:highlight w:val="none"/>
        </w:rPr>
        <w:t>评审办法</w:t>
      </w:r>
    </w:p>
    <w:p w14:paraId="0DE49366">
      <w:pPr>
        <w:shd w:val="clear"/>
        <w:snapToGrid w:val="0"/>
        <w:spacing w:line="360" w:lineRule="auto"/>
        <w:ind w:firstLine="643"/>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评审办法前附表</w:t>
      </w:r>
    </w:p>
    <w:tbl>
      <w:tblPr>
        <w:tblStyle w:val="27"/>
        <w:tblW w:w="9369" w:type="dxa"/>
        <w:tblInd w:w="9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2"/>
        <w:gridCol w:w="7207"/>
      </w:tblGrid>
      <w:tr w14:paraId="267A1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2162" w:type="dxa"/>
            <w:noWrap/>
            <w:vAlign w:val="center"/>
          </w:tcPr>
          <w:p w14:paraId="5504F133">
            <w:pPr>
              <w:shd w:val="clear"/>
              <w:spacing w:line="240" w:lineRule="exact"/>
              <w:jc w:val="center"/>
              <w:rPr>
                <w:color w:val="auto"/>
                <w:szCs w:val="21"/>
                <w:highlight w:val="none"/>
              </w:rPr>
            </w:pPr>
            <w:r>
              <w:rPr>
                <w:rFonts w:hint="eastAsia"/>
                <w:color w:val="auto"/>
                <w:szCs w:val="21"/>
                <w:highlight w:val="none"/>
              </w:rPr>
              <w:t>因素分值</w:t>
            </w:r>
          </w:p>
        </w:tc>
        <w:tc>
          <w:tcPr>
            <w:tcW w:w="7207" w:type="dxa"/>
            <w:noWrap/>
            <w:vAlign w:val="center"/>
          </w:tcPr>
          <w:p w14:paraId="3126DDCA">
            <w:pPr>
              <w:shd w:val="clear"/>
              <w:spacing w:line="240" w:lineRule="exact"/>
              <w:jc w:val="center"/>
              <w:rPr>
                <w:color w:val="auto"/>
                <w:szCs w:val="21"/>
                <w:highlight w:val="none"/>
              </w:rPr>
            </w:pPr>
            <w:r>
              <w:rPr>
                <w:rFonts w:hint="eastAsia"/>
                <w:color w:val="auto"/>
                <w:szCs w:val="21"/>
                <w:highlight w:val="none"/>
              </w:rPr>
              <w:t>细项评审因素划分</w:t>
            </w:r>
          </w:p>
        </w:tc>
      </w:tr>
      <w:tr w14:paraId="5C5EA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9369" w:type="dxa"/>
            <w:gridSpan w:val="2"/>
            <w:vAlign w:val="center"/>
          </w:tcPr>
          <w:p w14:paraId="784009B9">
            <w:pPr>
              <w:shd w:val="clear"/>
              <w:spacing w:line="240" w:lineRule="exact"/>
              <w:jc w:val="center"/>
              <w:rPr>
                <w:rFonts w:ascii="宋体" w:hAnsi="宋体" w:cs="宋体"/>
                <w:color w:val="auto"/>
                <w:kern w:val="0"/>
                <w:szCs w:val="21"/>
                <w:highlight w:val="none"/>
              </w:rPr>
            </w:pPr>
            <w:r>
              <w:rPr>
                <w:rFonts w:ascii="宋体" w:hAnsi="宋体" w:cs="宋体"/>
                <w:color w:val="auto"/>
                <w:kern w:val="0"/>
                <w:szCs w:val="21"/>
                <w:highlight w:val="none"/>
              </w:rPr>
              <w:t>资信技术分（</w:t>
            </w:r>
            <w:r>
              <w:rPr>
                <w:rFonts w:hint="eastAsia" w:ascii="宋体" w:hAnsi="宋体" w:cs="宋体"/>
                <w:color w:val="auto"/>
                <w:kern w:val="0"/>
                <w:szCs w:val="21"/>
                <w:highlight w:val="none"/>
              </w:rPr>
              <w:t>90分</w:t>
            </w:r>
            <w:r>
              <w:rPr>
                <w:rFonts w:ascii="宋体" w:hAnsi="宋体" w:cs="宋体"/>
                <w:color w:val="auto"/>
                <w:kern w:val="0"/>
                <w:szCs w:val="21"/>
                <w:highlight w:val="none"/>
              </w:rPr>
              <w:t>）</w:t>
            </w:r>
          </w:p>
        </w:tc>
      </w:tr>
      <w:tr w14:paraId="350C6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4" w:hRule="atLeast"/>
        </w:trPr>
        <w:tc>
          <w:tcPr>
            <w:tcW w:w="2162" w:type="dxa"/>
            <w:vMerge w:val="restart"/>
            <w:tcBorders>
              <w:right w:val="single" w:color="auto" w:sz="4" w:space="0"/>
            </w:tcBorders>
            <w:noWrap/>
            <w:vAlign w:val="center"/>
          </w:tcPr>
          <w:p w14:paraId="6A10ECA1">
            <w:pPr>
              <w:shd w:val="clear"/>
              <w:spacing w:line="360" w:lineRule="auto"/>
              <w:rPr>
                <w:color w:val="auto"/>
                <w:szCs w:val="21"/>
                <w:highlight w:val="none"/>
              </w:rPr>
            </w:pPr>
            <w:r>
              <w:rPr>
                <w:rFonts w:hint="eastAsia"/>
                <w:color w:val="auto"/>
                <w:szCs w:val="21"/>
                <w:highlight w:val="none"/>
              </w:rPr>
              <w:t>一、实施方案（72分）</w:t>
            </w:r>
          </w:p>
          <w:p w14:paraId="1DCB5E17">
            <w:pPr>
              <w:pStyle w:val="8"/>
              <w:shd w:val="clear"/>
              <w:spacing w:line="360" w:lineRule="auto"/>
              <w:jc w:val="center"/>
              <w:rPr>
                <w:color w:val="auto"/>
                <w:szCs w:val="21"/>
                <w:highlight w:val="none"/>
              </w:rPr>
            </w:pPr>
          </w:p>
        </w:tc>
        <w:tc>
          <w:tcPr>
            <w:tcW w:w="7207" w:type="dxa"/>
            <w:tcBorders>
              <w:left w:val="single" w:color="auto" w:sz="4" w:space="0"/>
            </w:tcBorders>
            <w:noWrap/>
            <w:vAlign w:val="center"/>
          </w:tcPr>
          <w:p w14:paraId="50E97E87">
            <w:pPr>
              <w:shd w:val="clear"/>
              <w:rPr>
                <w:color w:val="auto"/>
                <w:highlight w:val="none"/>
              </w:rPr>
            </w:pPr>
            <w:r>
              <w:rPr>
                <w:rFonts w:hint="eastAsia"/>
                <w:color w:val="auto"/>
                <w:highlight w:val="none"/>
              </w:rPr>
              <w:t>1</w:t>
            </w:r>
            <w:r>
              <w:rPr>
                <w:rFonts w:hint="eastAsia"/>
                <w:color w:val="auto"/>
                <w:highlight w:val="none"/>
                <w:lang w:val="zh-CN"/>
              </w:rPr>
              <w:t>、总体服务方案</w:t>
            </w:r>
            <w:r>
              <w:rPr>
                <w:rFonts w:hint="eastAsia"/>
                <w:color w:val="auto"/>
                <w:highlight w:val="none"/>
              </w:rPr>
              <w:t>（10</w:t>
            </w:r>
            <w:r>
              <w:rPr>
                <w:rFonts w:hint="eastAsia"/>
                <w:color w:val="auto"/>
                <w:highlight w:val="none"/>
                <w:lang w:val="zh-CN"/>
              </w:rPr>
              <w:t>分</w:t>
            </w:r>
            <w:r>
              <w:rPr>
                <w:rFonts w:hint="eastAsia"/>
                <w:color w:val="auto"/>
                <w:highlight w:val="none"/>
              </w:rPr>
              <w:t>）</w:t>
            </w:r>
          </w:p>
          <w:p w14:paraId="1AF65637">
            <w:pPr>
              <w:shd w:val="clear"/>
              <w:rPr>
                <w:color w:val="auto"/>
                <w:highlight w:val="none"/>
              </w:rPr>
            </w:pPr>
            <w:r>
              <w:rPr>
                <w:rFonts w:hint="eastAsia"/>
                <w:color w:val="auto"/>
                <w:highlight w:val="none"/>
                <w:lang w:val="zh-CN"/>
              </w:rPr>
              <w:t>工作范围和目标完整得2分；各部分内容描述详细得2分；各阶段流程详细科学得2分；工作思路清晰有针对性得2分；</w:t>
            </w:r>
            <w:r>
              <w:rPr>
                <w:rFonts w:hint="eastAsia" w:ascii="宋体" w:hAnsi="宋体" w:cs="宋体"/>
                <w:color w:val="auto"/>
                <w:szCs w:val="21"/>
                <w:highlight w:val="none"/>
              </w:rPr>
              <w:t>方案贴合项目实际</w:t>
            </w:r>
            <w:r>
              <w:rPr>
                <w:rFonts w:hint="eastAsia"/>
                <w:color w:val="auto"/>
                <w:highlight w:val="none"/>
                <w:lang w:val="zh-CN"/>
              </w:rPr>
              <w:t>有针对性得2分；</w:t>
            </w:r>
            <w:r>
              <w:rPr>
                <w:rFonts w:hint="eastAsia" w:ascii="宋体" w:hAnsi="宋体"/>
                <w:color w:val="auto"/>
                <w:szCs w:val="21"/>
                <w:highlight w:val="none"/>
              </w:rPr>
              <w:t>以上各项内容有所欠缺的对应项得1分。不合理或未提供的对应项不得分。</w:t>
            </w:r>
          </w:p>
        </w:tc>
      </w:tr>
      <w:tr w14:paraId="13FFA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1" w:hRule="atLeast"/>
        </w:trPr>
        <w:tc>
          <w:tcPr>
            <w:tcW w:w="2162" w:type="dxa"/>
            <w:vMerge w:val="continue"/>
            <w:tcBorders>
              <w:right w:val="single" w:color="auto" w:sz="4" w:space="0"/>
            </w:tcBorders>
            <w:noWrap/>
            <w:vAlign w:val="center"/>
          </w:tcPr>
          <w:p w14:paraId="70B49FEC">
            <w:pPr>
              <w:pStyle w:val="8"/>
              <w:shd w:val="clear"/>
              <w:spacing w:line="360" w:lineRule="auto"/>
              <w:jc w:val="center"/>
              <w:rPr>
                <w:color w:val="auto"/>
                <w:szCs w:val="21"/>
                <w:highlight w:val="none"/>
              </w:rPr>
            </w:pPr>
          </w:p>
        </w:tc>
        <w:tc>
          <w:tcPr>
            <w:tcW w:w="7207" w:type="dxa"/>
            <w:tcBorders>
              <w:left w:val="single" w:color="auto" w:sz="4" w:space="0"/>
            </w:tcBorders>
            <w:noWrap/>
            <w:vAlign w:val="center"/>
          </w:tcPr>
          <w:p w14:paraId="69823779">
            <w:pPr>
              <w:shd w:val="clear"/>
              <w:rPr>
                <w:color w:val="auto"/>
                <w:highlight w:val="none"/>
              </w:rPr>
            </w:pPr>
            <w:r>
              <w:rPr>
                <w:rFonts w:hint="eastAsia"/>
                <w:color w:val="auto"/>
                <w:highlight w:val="none"/>
                <w:lang w:val="zh-CN"/>
              </w:rPr>
              <w:t>2、质量保障</w:t>
            </w:r>
            <w:r>
              <w:rPr>
                <w:rFonts w:hint="eastAsia"/>
                <w:color w:val="auto"/>
                <w:highlight w:val="none"/>
              </w:rPr>
              <w:t>（8</w:t>
            </w:r>
            <w:r>
              <w:rPr>
                <w:rFonts w:hint="eastAsia"/>
                <w:color w:val="auto"/>
                <w:highlight w:val="none"/>
                <w:lang w:val="zh-CN"/>
              </w:rPr>
              <w:t>分</w:t>
            </w:r>
            <w:r>
              <w:rPr>
                <w:rFonts w:hint="eastAsia"/>
                <w:color w:val="auto"/>
                <w:highlight w:val="none"/>
              </w:rPr>
              <w:t>）</w:t>
            </w:r>
          </w:p>
          <w:p w14:paraId="1B0E7DCE">
            <w:pPr>
              <w:shd w:val="clear"/>
              <w:rPr>
                <w:color w:val="auto"/>
                <w:highlight w:val="none"/>
                <w:lang w:val="zh-CN"/>
              </w:rPr>
            </w:pPr>
            <w:r>
              <w:rPr>
                <w:rFonts w:hint="eastAsia" w:ascii="宋体" w:hAnsi="宋体" w:cs="宋体"/>
                <w:color w:val="auto"/>
                <w:kern w:val="0"/>
                <w:szCs w:val="21"/>
                <w:highlight w:val="none"/>
              </w:rPr>
              <w:t>针对本项目服务质量体系完善得2分；控制手段</w:t>
            </w:r>
            <w:r>
              <w:rPr>
                <w:rFonts w:hint="eastAsia"/>
                <w:color w:val="auto"/>
                <w:highlight w:val="none"/>
                <w:lang w:val="zh-CN"/>
              </w:rPr>
              <w:t>详细得2分；明确有针对性得2分；</w:t>
            </w:r>
            <w:r>
              <w:rPr>
                <w:rFonts w:hint="eastAsia" w:ascii="宋体" w:hAnsi="宋体" w:cs="宋体"/>
                <w:color w:val="auto"/>
                <w:kern w:val="0"/>
                <w:szCs w:val="21"/>
                <w:highlight w:val="none"/>
              </w:rPr>
              <w:t>保证成果质量的措施及承诺内容</w:t>
            </w:r>
            <w:r>
              <w:rPr>
                <w:rFonts w:hint="eastAsia"/>
                <w:color w:val="auto"/>
                <w:highlight w:val="none"/>
                <w:lang w:val="zh-CN"/>
              </w:rPr>
              <w:t>详细得2分；</w:t>
            </w:r>
            <w:r>
              <w:rPr>
                <w:rFonts w:hint="eastAsia" w:ascii="宋体" w:hAnsi="宋体"/>
                <w:color w:val="auto"/>
                <w:szCs w:val="21"/>
                <w:highlight w:val="none"/>
              </w:rPr>
              <w:t>以上各项内容有所欠缺的对应项得1分。不合理或未提供的对应项不得分。</w:t>
            </w:r>
          </w:p>
        </w:tc>
      </w:tr>
      <w:tr w14:paraId="167A5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6" w:hRule="atLeast"/>
        </w:trPr>
        <w:tc>
          <w:tcPr>
            <w:tcW w:w="2162" w:type="dxa"/>
            <w:vMerge w:val="continue"/>
            <w:tcBorders>
              <w:right w:val="single" w:color="auto" w:sz="4" w:space="0"/>
            </w:tcBorders>
            <w:noWrap/>
            <w:vAlign w:val="center"/>
          </w:tcPr>
          <w:p w14:paraId="5999A7E6">
            <w:pPr>
              <w:pStyle w:val="8"/>
              <w:shd w:val="clear"/>
              <w:spacing w:line="360" w:lineRule="auto"/>
              <w:jc w:val="center"/>
              <w:rPr>
                <w:color w:val="auto"/>
                <w:szCs w:val="21"/>
                <w:highlight w:val="none"/>
              </w:rPr>
            </w:pPr>
          </w:p>
        </w:tc>
        <w:tc>
          <w:tcPr>
            <w:tcW w:w="7207" w:type="dxa"/>
            <w:tcBorders>
              <w:left w:val="single" w:color="auto" w:sz="4" w:space="0"/>
            </w:tcBorders>
            <w:noWrap/>
            <w:vAlign w:val="center"/>
          </w:tcPr>
          <w:p w14:paraId="143ED623">
            <w:pPr>
              <w:shd w:val="clear"/>
              <w:rPr>
                <w:color w:val="auto"/>
                <w:highlight w:val="none"/>
              </w:rPr>
            </w:pPr>
            <w:r>
              <w:rPr>
                <w:rFonts w:hint="eastAsia"/>
                <w:color w:val="auto"/>
                <w:highlight w:val="none"/>
              </w:rPr>
              <w:t>3</w:t>
            </w:r>
            <w:r>
              <w:rPr>
                <w:rFonts w:hint="eastAsia"/>
                <w:color w:val="auto"/>
                <w:highlight w:val="none"/>
                <w:lang w:val="zh-CN"/>
              </w:rPr>
              <w:t>、进度保障</w:t>
            </w:r>
            <w:r>
              <w:rPr>
                <w:rFonts w:hint="eastAsia"/>
                <w:color w:val="auto"/>
                <w:highlight w:val="none"/>
              </w:rPr>
              <w:t>（8</w:t>
            </w:r>
            <w:r>
              <w:rPr>
                <w:rFonts w:hint="eastAsia"/>
                <w:color w:val="auto"/>
                <w:highlight w:val="none"/>
                <w:lang w:val="zh-CN"/>
              </w:rPr>
              <w:t>分</w:t>
            </w:r>
            <w:r>
              <w:rPr>
                <w:rFonts w:hint="eastAsia"/>
                <w:color w:val="auto"/>
                <w:highlight w:val="none"/>
              </w:rPr>
              <w:t>）</w:t>
            </w:r>
          </w:p>
          <w:p w14:paraId="3B4C0A33">
            <w:pPr>
              <w:shd w:val="clear"/>
              <w:rPr>
                <w:color w:val="auto"/>
                <w:highlight w:val="none"/>
              </w:rPr>
            </w:pPr>
            <w:r>
              <w:rPr>
                <w:rFonts w:hint="eastAsia"/>
                <w:color w:val="auto"/>
                <w:highlight w:val="none"/>
                <w:lang w:val="zh-CN"/>
              </w:rPr>
              <w:t>针对本项目进度控制方法（包括组织、计划、经济等手段）内容详细得2分；明确有针对性得2分；进度控制措施（包括组织、技术、经济等措施）内容齐全得2分；明确有针对性得2分；</w:t>
            </w:r>
            <w:r>
              <w:rPr>
                <w:rFonts w:hint="eastAsia" w:ascii="宋体" w:hAnsi="宋体"/>
                <w:color w:val="auto"/>
                <w:szCs w:val="21"/>
                <w:highlight w:val="none"/>
              </w:rPr>
              <w:t>以上各项内容有所欠缺的对应项得1分。不合理或未提供的对应项不得分。</w:t>
            </w:r>
          </w:p>
        </w:tc>
      </w:tr>
      <w:tr w14:paraId="66411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162" w:type="dxa"/>
            <w:vMerge w:val="continue"/>
            <w:tcBorders>
              <w:right w:val="single" w:color="auto" w:sz="4" w:space="0"/>
            </w:tcBorders>
            <w:noWrap/>
            <w:vAlign w:val="center"/>
          </w:tcPr>
          <w:p w14:paraId="5D377696">
            <w:pPr>
              <w:pStyle w:val="8"/>
              <w:shd w:val="clear"/>
              <w:spacing w:line="360" w:lineRule="auto"/>
              <w:jc w:val="center"/>
              <w:rPr>
                <w:color w:val="auto"/>
                <w:szCs w:val="21"/>
                <w:highlight w:val="none"/>
              </w:rPr>
            </w:pPr>
          </w:p>
        </w:tc>
        <w:tc>
          <w:tcPr>
            <w:tcW w:w="7207" w:type="dxa"/>
            <w:tcBorders>
              <w:left w:val="single" w:color="auto" w:sz="4" w:space="0"/>
            </w:tcBorders>
            <w:noWrap/>
            <w:vAlign w:val="center"/>
          </w:tcPr>
          <w:p w14:paraId="02A7C445">
            <w:pPr>
              <w:shd w:val="clear"/>
              <w:rPr>
                <w:color w:val="auto"/>
                <w:highlight w:val="none"/>
                <w:lang w:val="zh-CN"/>
              </w:rPr>
            </w:pPr>
            <w:r>
              <w:rPr>
                <w:rFonts w:hint="eastAsia"/>
                <w:color w:val="auto"/>
                <w:highlight w:val="none"/>
                <w:lang w:val="zh-CN"/>
              </w:rPr>
              <w:t>4、重难点分析方案</w:t>
            </w:r>
            <w:r>
              <w:rPr>
                <w:rFonts w:hint="eastAsia"/>
                <w:color w:val="auto"/>
                <w:highlight w:val="none"/>
              </w:rPr>
              <w:t>（8</w:t>
            </w:r>
            <w:r>
              <w:rPr>
                <w:rFonts w:hint="eastAsia"/>
                <w:color w:val="auto"/>
                <w:highlight w:val="none"/>
                <w:lang w:val="zh-CN"/>
              </w:rPr>
              <w:t>分</w:t>
            </w:r>
            <w:r>
              <w:rPr>
                <w:rFonts w:hint="eastAsia"/>
                <w:color w:val="auto"/>
                <w:highlight w:val="none"/>
              </w:rPr>
              <w:t>）</w:t>
            </w:r>
          </w:p>
          <w:p w14:paraId="691F4C11">
            <w:pPr>
              <w:shd w:val="clear"/>
              <w:rPr>
                <w:color w:val="auto"/>
                <w:highlight w:val="none"/>
                <w:lang w:val="zh-CN"/>
              </w:rPr>
            </w:pPr>
            <w:r>
              <w:rPr>
                <w:rFonts w:hint="eastAsia" w:ascii="宋体" w:hAnsi="宋体" w:cs="宋体"/>
                <w:color w:val="auto"/>
                <w:szCs w:val="21"/>
                <w:highlight w:val="none"/>
              </w:rPr>
              <w:t>针对本项目的重点、难点和关键节点的</w:t>
            </w:r>
            <w:r>
              <w:rPr>
                <w:rFonts w:hint="eastAsia"/>
                <w:color w:val="auto"/>
                <w:highlight w:val="none"/>
                <w:lang w:val="zh-CN"/>
              </w:rPr>
              <w:t>内容分析全面得2分；贴合项目实际得2分；要点突出得2分；解决方案切实可行得2分；</w:t>
            </w:r>
            <w:r>
              <w:rPr>
                <w:rFonts w:hint="eastAsia" w:ascii="宋体" w:hAnsi="宋体"/>
                <w:color w:val="auto"/>
                <w:szCs w:val="21"/>
                <w:highlight w:val="none"/>
              </w:rPr>
              <w:t>以上各项内容有所欠缺的对应项得1分</w:t>
            </w:r>
            <w:r>
              <w:rPr>
                <w:rFonts w:hint="eastAsia" w:ascii="宋体" w:hAnsi="宋体" w:cs="宋体"/>
                <w:color w:val="auto"/>
                <w:kern w:val="0"/>
                <w:szCs w:val="21"/>
                <w:highlight w:val="none"/>
              </w:rPr>
              <w:t>。</w:t>
            </w:r>
            <w:r>
              <w:rPr>
                <w:rFonts w:hint="eastAsia" w:ascii="宋体" w:hAnsi="宋体"/>
                <w:color w:val="auto"/>
                <w:szCs w:val="21"/>
                <w:highlight w:val="none"/>
              </w:rPr>
              <w:t>不合理或未提供的对应项不得分。</w:t>
            </w:r>
          </w:p>
        </w:tc>
      </w:tr>
      <w:tr w14:paraId="4DF74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162" w:type="dxa"/>
            <w:vMerge w:val="continue"/>
            <w:tcBorders>
              <w:right w:val="single" w:color="auto" w:sz="4" w:space="0"/>
            </w:tcBorders>
            <w:noWrap/>
            <w:vAlign w:val="center"/>
          </w:tcPr>
          <w:p w14:paraId="50668D75">
            <w:pPr>
              <w:pStyle w:val="8"/>
              <w:shd w:val="clear"/>
              <w:spacing w:line="360" w:lineRule="auto"/>
              <w:jc w:val="center"/>
              <w:rPr>
                <w:color w:val="auto"/>
                <w:szCs w:val="21"/>
                <w:highlight w:val="none"/>
              </w:rPr>
            </w:pPr>
          </w:p>
        </w:tc>
        <w:tc>
          <w:tcPr>
            <w:tcW w:w="7207" w:type="dxa"/>
            <w:tcBorders>
              <w:left w:val="single" w:color="auto" w:sz="4" w:space="0"/>
            </w:tcBorders>
            <w:noWrap/>
            <w:vAlign w:val="center"/>
          </w:tcPr>
          <w:p w14:paraId="30FEFC78">
            <w:pPr>
              <w:shd w:val="clear"/>
              <w:rPr>
                <w:rFonts w:ascii="宋体" w:hAnsi="宋体" w:cs="宋体"/>
                <w:color w:val="auto"/>
                <w:szCs w:val="21"/>
                <w:highlight w:val="none"/>
              </w:rPr>
            </w:pPr>
            <w:r>
              <w:rPr>
                <w:rFonts w:hint="eastAsia"/>
                <w:color w:val="auto"/>
                <w:highlight w:val="none"/>
                <w:lang w:val="zh-CN"/>
              </w:rPr>
              <w:t>5、</w:t>
            </w:r>
            <w:r>
              <w:rPr>
                <w:rFonts w:hint="eastAsia" w:ascii="宋体" w:hAnsi="宋体" w:cs="宋体"/>
                <w:color w:val="auto"/>
                <w:szCs w:val="21"/>
                <w:highlight w:val="none"/>
              </w:rPr>
              <w:t>应急保障方案（6分）</w:t>
            </w:r>
          </w:p>
          <w:p w14:paraId="0011C784">
            <w:pPr>
              <w:shd w:val="clear"/>
              <w:rPr>
                <w:color w:val="auto"/>
                <w:highlight w:val="none"/>
                <w:lang w:val="zh-CN"/>
              </w:rPr>
            </w:pPr>
            <w:r>
              <w:rPr>
                <w:rFonts w:ascii="宋体" w:hAnsi="宋体" w:cs="宋体"/>
                <w:color w:val="auto"/>
                <w:szCs w:val="21"/>
                <w:highlight w:val="none"/>
              </w:rPr>
              <w:t>供应商针对本项目的</w:t>
            </w:r>
            <w:r>
              <w:rPr>
                <w:rFonts w:hint="eastAsia" w:ascii="宋体" w:hAnsi="宋体" w:cs="宋体"/>
                <w:color w:val="auto"/>
                <w:szCs w:val="21"/>
                <w:highlight w:val="none"/>
              </w:rPr>
              <w:t>应急保障方案（包括临时性人员调集、突发情况处置）内容全面得2分；有具体保障计划得2分；保障方案针对可行得2分；</w:t>
            </w:r>
            <w:r>
              <w:rPr>
                <w:rFonts w:hint="eastAsia" w:ascii="宋体" w:hAnsi="宋体"/>
                <w:color w:val="auto"/>
                <w:szCs w:val="21"/>
                <w:highlight w:val="none"/>
              </w:rPr>
              <w:t>以上各项内容有所欠缺的对应项得1分。不合理或未提供的对应项不得分。</w:t>
            </w:r>
          </w:p>
        </w:tc>
      </w:tr>
      <w:tr w14:paraId="79986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162" w:type="dxa"/>
            <w:vMerge w:val="continue"/>
            <w:tcBorders>
              <w:right w:val="single" w:color="auto" w:sz="4" w:space="0"/>
            </w:tcBorders>
            <w:noWrap/>
            <w:vAlign w:val="center"/>
          </w:tcPr>
          <w:p w14:paraId="26C9B227">
            <w:pPr>
              <w:pStyle w:val="8"/>
              <w:shd w:val="clear"/>
              <w:spacing w:line="360" w:lineRule="auto"/>
              <w:jc w:val="center"/>
              <w:rPr>
                <w:color w:val="auto"/>
                <w:szCs w:val="21"/>
                <w:highlight w:val="none"/>
              </w:rPr>
            </w:pPr>
          </w:p>
        </w:tc>
        <w:tc>
          <w:tcPr>
            <w:tcW w:w="7207" w:type="dxa"/>
            <w:tcBorders>
              <w:left w:val="single" w:color="auto" w:sz="4" w:space="0"/>
            </w:tcBorders>
            <w:noWrap/>
            <w:vAlign w:val="center"/>
          </w:tcPr>
          <w:p w14:paraId="23E141FE">
            <w:pPr>
              <w:shd w:val="clear"/>
              <w:rPr>
                <w:color w:val="auto"/>
                <w:highlight w:val="none"/>
                <w:lang w:val="zh-CN"/>
              </w:rPr>
            </w:pPr>
            <w:r>
              <w:rPr>
                <w:rFonts w:hint="eastAsia"/>
                <w:color w:val="auto"/>
                <w:highlight w:val="none"/>
                <w:lang w:val="zh-CN"/>
              </w:rPr>
              <w:t>6、合理化建议（6分）</w:t>
            </w:r>
          </w:p>
          <w:p w14:paraId="00EFF0AF">
            <w:pPr>
              <w:shd w:val="clear"/>
              <w:rPr>
                <w:color w:val="auto"/>
                <w:highlight w:val="none"/>
                <w:lang w:val="zh-CN"/>
              </w:rPr>
            </w:pPr>
            <w:r>
              <w:rPr>
                <w:rFonts w:hint="eastAsia"/>
                <w:color w:val="auto"/>
                <w:highlight w:val="none"/>
                <w:lang w:val="zh-CN"/>
              </w:rPr>
              <w:t>针对项目特点提供的合理化建议内容详细得2分；具有针对性得2分；科学可行得2分；</w:t>
            </w:r>
            <w:r>
              <w:rPr>
                <w:rFonts w:hint="eastAsia" w:ascii="宋体" w:hAnsi="宋体"/>
                <w:color w:val="auto"/>
                <w:szCs w:val="21"/>
                <w:highlight w:val="none"/>
              </w:rPr>
              <w:t>以上各项内容有所欠缺的对应项得1分</w:t>
            </w:r>
            <w:r>
              <w:rPr>
                <w:rFonts w:hint="eastAsia"/>
                <w:color w:val="auto"/>
                <w:highlight w:val="none"/>
                <w:lang w:val="zh-CN"/>
              </w:rPr>
              <w:t>。</w:t>
            </w:r>
            <w:r>
              <w:rPr>
                <w:rFonts w:hint="eastAsia" w:ascii="宋体" w:hAnsi="宋体"/>
                <w:color w:val="auto"/>
                <w:szCs w:val="21"/>
                <w:highlight w:val="none"/>
              </w:rPr>
              <w:t>不合理或未提供的对应项不得分。</w:t>
            </w:r>
          </w:p>
        </w:tc>
      </w:tr>
      <w:tr w14:paraId="48ED0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162" w:type="dxa"/>
            <w:vMerge w:val="continue"/>
            <w:tcBorders>
              <w:right w:val="single" w:color="auto" w:sz="4" w:space="0"/>
            </w:tcBorders>
            <w:noWrap/>
            <w:vAlign w:val="center"/>
          </w:tcPr>
          <w:p w14:paraId="298891B6">
            <w:pPr>
              <w:pStyle w:val="8"/>
              <w:shd w:val="clear"/>
              <w:spacing w:line="360" w:lineRule="auto"/>
              <w:jc w:val="center"/>
              <w:rPr>
                <w:color w:val="auto"/>
                <w:szCs w:val="21"/>
                <w:highlight w:val="none"/>
              </w:rPr>
            </w:pPr>
          </w:p>
        </w:tc>
        <w:tc>
          <w:tcPr>
            <w:tcW w:w="7207" w:type="dxa"/>
            <w:tcBorders>
              <w:left w:val="single" w:color="auto" w:sz="4" w:space="0"/>
            </w:tcBorders>
            <w:noWrap/>
            <w:vAlign w:val="center"/>
          </w:tcPr>
          <w:p w14:paraId="35A57C33">
            <w:pPr>
              <w:shd w:val="clear"/>
              <w:rPr>
                <w:color w:val="auto"/>
                <w:highlight w:val="none"/>
                <w:lang w:val="zh-CN"/>
              </w:rPr>
            </w:pPr>
            <w:r>
              <w:rPr>
                <w:rFonts w:hint="eastAsia"/>
                <w:color w:val="auto"/>
                <w:highlight w:val="none"/>
                <w:lang w:val="zh-CN"/>
              </w:rPr>
              <w:t>7、</w:t>
            </w:r>
            <w:r>
              <w:rPr>
                <w:rFonts w:hint="eastAsia" w:ascii="宋体" w:hAnsi="宋体" w:cs="宋体"/>
                <w:color w:val="auto"/>
                <w:szCs w:val="21"/>
                <w:highlight w:val="none"/>
              </w:rPr>
              <w:t>针对咨询服务的合规性管控、过程管理时效性措施</w:t>
            </w:r>
            <w:r>
              <w:rPr>
                <w:rFonts w:hint="eastAsia"/>
                <w:color w:val="auto"/>
                <w:highlight w:val="none"/>
                <w:lang w:val="zh-CN"/>
              </w:rPr>
              <w:t>方法内容详细得2分；明确有针对性得2分；措施完善得2分；</w:t>
            </w:r>
            <w:r>
              <w:rPr>
                <w:rFonts w:hint="eastAsia" w:ascii="宋体" w:hAnsi="宋体"/>
                <w:color w:val="auto"/>
                <w:szCs w:val="21"/>
                <w:highlight w:val="none"/>
              </w:rPr>
              <w:t>以上各项内容有所欠缺的对应项得1分。不合理或未提供的对应项不得分。</w:t>
            </w:r>
            <w:r>
              <w:rPr>
                <w:rFonts w:hint="eastAsia"/>
                <w:color w:val="auto"/>
                <w:highlight w:val="none"/>
                <w:lang w:val="zh-CN"/>
              </w:rPr>
              <w:t>（6分）</w:t>
            </w:r>
          </w:p>
        </w:tc>
      </w:tr>
      <w:tr w14:paraId="6BD8D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4" w:hRule="atLeast"/>
        </w:trPr>
        <w:tc>
          <w:tcPr>
            <w:tcW w:w="2162" w:type="dxa"/>
            <w:vMerge w:val="continue"/>
            <w:tcBorders>
              <w:right w:val="single" w:color="auto" w:sz="4" w:space="0"/>
            </w:tcBorders>
            <w:noWrap/>
            <w:vAlign w:val="center"/>
          </w:tcPr>
          <w:p w14:paraId="0C63BB02">
            <w:pPr>
              <w:pStyle w:val="8"/>
              <w:shd w:val="clear"/>
              <w:spacing w:line="360" w:lineRule="auto"/>
              <w:jc w:val="center"/>
              <w:rPr>
                <w:color w:val="auto"/>
                <w:szCs w:val="21"/>
                <w:highlight w:val="none"/>
              </w:rPr>
            </w:pPr>
          </w:p>
        </w:tc>
        <w:tc>
          <w:tcPr>
            <w:tcW w:w="7207" w:type="dxa"/>
            <w:tcBorders>
              <w:left w:val="single" w:color="auto" w:sz="4" w:space="0"/>
            </w:tcBorders>
            <w:noWrap/>
            <w:vAlign w:val="center"/>
          </w:tcPr>
          <w:p w14:paraId="2174D29A">
            <w:pPr>
              <w:shd w:val="clear"/>
              <w:rPr>
                <w:color w:val="auto"/>
                <w:highlight w:val="none"/>
                <w:lang w:val="zh-CN"/>
              </w:rPr>
            </w:pPr>
            <w:r>
              <w:rPr>
                <w:rFonts w:hint="eastAsia"/>
                <w:color w:val="auto"/>
                <w:highlight w:val="none"/>
                <w:lang w:val="zh-CN"/>
              </w:rPr>
              <w:t>8、</w:t>
            </w:r>
            <w:r>
              <w:rPr>
                <w:rFonts w:hint="eastAsia" w:ascii="宋体" w:hAnsi="宋体" w:cs="宋体"/>
                <w:color w:val="auto"/>
                <w:szCs w:val="21"/>
                <w:highlight w:val="none"/>
              </w:rPr>
              <w:t>针对咨询组成员在廉政防范方面的措施内容详细得2分；针对性强得2分；措施科学得2分。</w:t>
            </w:r>
            <w:r>
              <w:rPr>
                <w:rFonts w:hint="eastAsia" w:ascii="宋体" w:hAnsi="宋体"/>
                <w:color w:val="auto"/>
                <w:szCs w:val="21"/>
                <w:highlight w:val="none"/>
              </w:rPr>
              <w:t>以上各项内容有所欠缺的对应项得1分</w:t>
            </w:r>
            <w:r>
              <w:rPr>
                <w:rFonts w:hint="eastAsia"/>
                <w:color w:val="auto"/>
                <w:highlight w:val="none"/>
                <w:lang w:val="zh-CN"/>
              </w:rPr>
              <w:t>。</w:t>
            </w:r>
            <w:r>
              <w:rPr>
                <w:rFonts w:hint="eastAsia" w:ascii="宋体" w:hAnsi="宋体"/>
                <w:color w:val="auto"/>
                <w:szCs w:val="21"/>
                <w:highlight w:val="none"/>
              </w:rPr>
              <w:t>不合理或未提供的对应项不得分。</w:t>
            </w:r>
            <w:r>
              <w:rPr>
                <w:rFonts w:hint="eastAsia"/>
                <w:color w:val="auto"/>
                <w:highlight w:val="none"/>
                <w:lang w:val="zh-CN"/>
              </w:rPr>
              <w:t>（6分）</w:t>
            </w:r>
          </w:p>
        </w:tc>
      </w:tr>
      <w:tr w14:paraId="2CDA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2162" w:type="dxa"/>
            <w:vMerge w:val="continue"/>
            <w:tcBorders>
              <w:right w:val="single" w:color="auto" w:sz="4" w:space="0"/>
            </w:tcBorders>
            <w:noWrap/>
            <w:vAlign w:val="center"/>
          </w:tcPr>
          <w:p w14:paraId="1EB09792">
            <w:pPr>
              <w:pStyle w:val="8"/>
              <w:shd w:val="clear"/>
              <w:spacing w:line="360" w:lineRule="auto"/>
              <w:jc w:val="center"/>
              <w:rPr>
                <w:color w:val="auto"/>
                <w:szCs w:val="21"/>
                <w:highlight w:val="none"/>
              </w:rPr>
            </w:pPr>
          </w:p>
        </w:tc>
        <w:tc>
          <w:tcPr>
            <w:tcW w:w="7207" w:type="dxa"/>
            <w:tcBorders>
              <w:left w:val="single" w:color="auto" w:sz="4" w:space="0"/>
            </w:tcBorders>
            <w:noWrap/>
            <w:vAlign w:val="center"/>
          </w:tcPr>
          <w:p w14:paraId="033B76F6">
            <w:pPr>
              <w:shd w:val="clear"/>
              <w:rPr>
                <w:color w:val="auto"/>
                <w:highlight w:val="none"/>
                <w:lang w:val="zh-CN"/>
              </w:rPr>
            </w:pPr>
            <w:r>
              <w:rPr>
                <w:rFonts w:hint="eastAsia" w:ascii="宋体" w:hAnsi="宋体" w:cs="宋体"/>
                <w:color w:val="auto"/>
                <w:szCs w:val="21"/>
                <w:highlight w:val="none"/>
              </w:rPr>
              <w:t>9、</w:t>
            </w:r>
            <w:r>
              <w:rPr>
                <w:rFonts w:hint="eastAsia"/>
                <w:color w:val="auto"/>
                <w:highlight w:val="none"/>
                <w:lang w:val="zh-CN"/>
              </w:rPr>
              <w:t>企业内部质量管理、控制制度，制度建立规范、完善得2分；科学严谨得2分；方法先进得2分。</w:t>
            </w:r>
            <w:r>
              <w:rPr>
                <w:rFonts w:hint="eastAsia" w:ascii="宋体" w:hAnsi="宋体"/>
                <w:color w:val="auto"/>
                <w:szCs w:val="21"/>
                <w:highlight w:val="none"/>
              </w:rPr>
              <w:t>以上各项内容有所欠缺的对应项得1分</w:t>
            </w:r>
            <w:r>
              <w:rPr>
                <w:rFonts w:hint="eastAsia"/>
                <w:color w:val="auto"/>
                <w:highlight w:val="none"/>
                <w:lang w:val="zh-CN"/>
              </w:rPr>
              <w:t>。</w:t>
            </w:r>
            <w:r>
              <w:rPr>
                <w:rFonts w:hint="eastAsia" w:ascii="宋体" w:hAnsi="宋体"/>
                <w:color w:val="auto"/>
                <w:szCs w:val="21"/>
                <w:highlight w:val="none"/>
              </w:rPr>
              <w:t>不合理或未提供的对应项不得分。</w:t>
            </w:r>
            <w:r>
              <w:rPr>
                <w:rFonts w:hint="eastAsia"/>
                <w:color w:val="auto"/>
                <w:highlight w:val="none"/>
                <w:lang w:val="zh-CN"/>
              </w:rPr>
              <w:t>（6分）</w:t>
            </w:r>
          </w:p>
        </w:tc>
      </w:tr>
      <w:tr w14:paraId="6FBFB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2162" w:type="dxa"/>
            <w:vMerge w:val="continue"/>
            <w:tcBorders>
              <w:right w:val="single" w:color="auto" w:sz="4" w:space="0"/>
            </w:tcBorders>
            <w:noWrap/>
            <w:vAlign w:val="center"/>
          </w:tcPr>
          <w:p w14:paraId="30210D7D">
            <w:pPr>
              <w:pStyle w:val="8"/>
              <w:shd w:val="clear"/>
              <w:spacing w:line="360" w:lineRule="auto"/>
              <w:jc w:val="center"/>
              <w:rPr>
                <w:rFonts w:ascii="宋体" w:hAnsi="宋体"/>
                <w:color w:val="auto"/>
                <w:szCs w:val="21"/>
                <w:highlight w:val="none"/>
              </w:rPr>
            </w:pPr>
          </w:p>
        </w:tc>
        <w:tc>
          <w:tcPr>
            <w:tcW w:w="7207" w:type="dxa"/>
            <w:tcBorders>
              <w:left w:val="single" w:color="auto" w:sz="4" w:space="0"/>
            </w:tcBorders>
            <w:noWrap/>
            <w:vAlign w:val="center"/>
          </w:tcPr>
          <w:p w14:paraId="66B00D6E">
            <w:pPr>
              <w:shd w:val="clear"/>
              <w:rPr>
                <w:color w:val="auto"/>
                <w:highlight w:val="none"/>
                <w:lang w:val="zh-CN"/>
              </w:rPr>
            </w:pPr>
            <w:r>
              <w:rPr>
                <w:rFonts w:hint="eastAsia"/>
                <w:color w:val="auto"/>
                <w:highlight w:val="none"/>
                <w:lang w:val="zh-CN"/>
              </w:rPr>
              <w:t>10、企业内部档案管理制度，制度建立规范、完善得2分；科学严谨、方法先进得2分。</w:t>
            </w:r>
            <w:r>
              <w:rPr>
                <w:rFonts w:hint="eastAsia" w:ascii="宋体" w:hAnsi="宋体"/>
                <w:color w:val="auto"/>
                <w:szCs w:val="21"/>
                <w:highlight w:val="none"/>
              </w:rPr>
              <w:t>以上各项内容有所欠缺的对应项得1分</w:t>
            </w:r>
            <w:r>
              <w:rPr>
                <w:rFonts w:hint="eastAsia"/>
                <w:color w:val="auto"/>
                <w:highlight w:val="none"/>
                <w:lang w:val="zh-CN"/>
              </w:rPr>
              <w:t>。</w:t>
            </w:r>
            <w:r>
              <w:rPr>
                <w:rFonts w:hint="eastAsia" w:ascii="宋体" w:hAnsi="宋体"/>
                <w:color w:val="auto"/>
                <w:szCs w:val="21"/>
                <w:highlight w:val="none"/>
              </w:rPr>
              <w:t>不合理或未提供的对应项不得分。</w:t>
            </w:r>
            <w:r>
              <w:rPr>
                <w:rFonts w:hint="eastAsia"/>
                <w:color w:val="auto"/>
                <w:highlight w:val="none"/>
                <w:lang w:val="zh-CN"/>
              </w:rPr>
              <w:t>（4分）</w:t>
            </w:r>
          </w:p>
        </w:tc>
      </w:tr>
      <w:tr w14:paraId="47BAD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2162" w:type="dxa"/>
            <w:vMerge w:val="continue"/>
            <w:tcBorders>
              <w:right w:val="single" w:color="auto" w:sz="4" w:space="0"/>
            </w:tcBorders>
            <w:noWrap/>
            <w:vAlign w:val="center"/>
          </w:tcPr>
          <w:p w14:paraId="631FAD06">
            <w:pPr>
              <w:pStyle w:val="8"/>
              <w:shd w:val="clear"/>
              <w:spacing w:line="360" w:lineRule="auto"/>
              <w:jc w:val="center"/>
              <w:rPr>
                <w:rFonts w:ascii="宋体" w:hAnsi="宋体"/>
                <w:color w:val="auto"/>
                <w:szCs w:val="21"/>
                <w:highlight w:val="none"/>
              </w:rPr>
            </w:pPr>
          </w:p>
        </w:tc>
        <w:tc>
          <w:tcPr>
            <w:tcW w:w="7207" w:type="dxa"/>
            <w:tcBorders>
              <w:left w:val="single" w:color="auto" w:sz="4" w:space="0"/>
            </w:tcBorders>
            <w:noWrap/>
            <w:vAlign w:val="center"/>
          </w:tcPr>
          <w:p w14:paraId="04D98A44">
            <w:pPr>
              <w:shd w:val="clear"/>
              <w:rPr>
                <w:color w:val="auto"/>
                <w:highlight w:val="none"/>
                <w:lang w:val="zh-CN"/>
              </w:rPr>
            </w:pPr>
            <w:r>
              <w:rPr>
                <w:rFonts w:hint="eastAsia"/>
                <w:color w:val="auto"/>
                <w:highlight w:val="none"/>
                <w:lang w:val="zh-CN"/>
              </w:rPr>
              <w:t>11、对所在地行业政策、规定了解全面得2分；理解深刻、有独特见解得2分；</w:t>
            </w:r>
            <w:r>
              <w:rPr>
                <w:rFonts w:hint="eastAsia" w:ascii="宋体" w:hAnsi="宋体"/>
                <w:color w:val="auto"/>
                <w:szCs w:val="21"/>
                <w:highlight w:val="none"/>
              </w:rPr>
              <w:t>以上各项内容有所欠缺的对应项得1分。不合理或未提供的对应项不得分。（4分）</w:t>
            </w:r>
          </w:p>
        </w:tc>
      </w:tr>
      <w:tr w14:paraId="01C5D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2162" w:type="dxa"/>
            <w:tcBorders>
              <w:bottom w:val="single" w:color="auto" w:sz="4" w:space="0"/>
            </w:tcBorders>
            <w:noWrap/>
            <w:vAlign w:val="center"/>
          </w:tcPr>
          <w:p w14:paraId="39A74F32">
            <w:pPr>
              <w:shd w:val="clear"/>
              <w:spacing w:line="360" w:lineRule="auto"/>
              <w:rPr>
                <w:color w:val="auto"/>
                <w:szCs w:val="21"/>
                <w:highlight w:val="none"/>
              </w:rPr>
            </w:pPr>
            <w:r>
              <w:rPr>
                <w:rFonts w:hint="eastAsia"/>
                <w:color w:val="auto"/>
                <w:szCs w:val="21"/>
                <w:highlight w:val="none"/>
              </w:rPr>
              <w:t>二、专业能力</w:t>
            </w:r>
            <w:r>
              <w:rPr>
                <w:rFonts w:hint="eastAsia"/>
                <w:color w:val="auto"/>
                <w:szCs w:val="21"/>
                <w:highlight w:val="none"/>
                <w:lang w:val="zh-CN"/>
              </w:rPr>
              <w:t>（</w:t>
            </w:r>
            <w:r>
              <w:rPr>
                <w:rFonts w:hint="eastAsia"/>
                <w:color w:val="auto"/>
                <w:szCs w:val="21"/>
                <w:highlight w:val="none"/>
              </w:rPr>
              <w:t>2分</w:t>
            </w:r>
            <w:r>
              <w:rPr>
                <w:rFonts w:hint="eastAsia"/>
                <w:color w:val="auto"/>
                <w:szCs w:val="21"/>
                <w:highlight w:val="none"/>
                <w:lang w:val="zh-CN"/>
              </w:rPr>
              <w:t>）</w:t>
            </w:r>
          </w:p>
        </w:tc>
        <w:tc>
          <w:tcPr>
            <w:tcW w:w="7207" w:type="dxa"/>
            <w:noWrap/>
            <w:vAlign w:val="center"/>
          </w:tcPr>
          <w:p w14:paraId="7662367C">
            <w:pPr>
              <w:shd w:val="clear"/>
              <w:rPr>
                <w:color w:val="auto"/>
                <w:highlight w:val="none"/>
              </w:rPr>
            </w:pPr>
            <w:r>
              <w:rPr>
                <w:rFonts w:hint="eastAsia"/>
                <w:color w:val="auto"/>
                <w:highlight w:val="none"/>
                <w:lang w:val="zh-CN"/>
              </w:rPr>
              <w:t>投标人在工程造价咨询成果质量、管理能力、良好行为情况等方面获得过省级及以上造价管理部门评定的得2分。</w:t>
            </w:r>
            <w:r>
              <w:rPr>
                <w:rFonts w:hint="eastAsia"/>
                <w:color w:val="auto"/>
                <w:highlight w:val="none"/>
              </w:rPr>
              <w:t>未提供的不得分。</w:t>
            </w:r>
          </w:p>
          <w:p w14:paraId="6B3D3400">
            <w:pPr>
              <w:shd w:val="clear"/>
              <w:rPr>
                <w:color w:val="auto"/>
                <w:highlight w:val="none"/>
                <w:lang w:val="zh-CN"/>
              </w:rPr>
            </w:pPr>
            <w:r>
              <w:rPr>
                <w:rFonts w:hint="eastAsia"/>
                <w:color w:val="auto"/>
                <w:highlight w:val="none"/>
                <w:lang w:val="zh-CN"/>
              </w:rPr>
              <w:t>（投标文件中提供造价管理部门的评定证明材料。）</w:t>
            </w:r>
          </w:p>
        </w:tc>
      </w:tr>
      <w:tr w14:paraId="193C1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162" w:type="dxa"/>
            <w:tcBorders>
              <w:bottom w:val="single" w:color="auto" w:sz="4" w:space="0"/>
            </w:tcBorders>
            <w:noWrap/>
            <w:vAlign w:val="center"/>
          </w:tcPr>
          <w:p w14:paraId="6947DC0C">
            <w:pPr>
              <w:shd w:val="clear"/>
              <w:spacing w:line="360" w:lineRule="auto"/>
              <w:rPr>
                <w:rFonts w:ascii="宋体" w:hAnsi="宋体"/>
                <w:color w:val="auto"/>
                <w:szCs w:val="21"/>
                <w:highlight w:val="none"/>
              </w:rPr>
            </w:pPr>
            <w:r>
              <w:rPr>
                <w:rFonts w:hint="eastAsia" w:ascii="宋体" w:hAnsi="宋体"/>
                <w:color w:val="auto"/>
                <w:szCs w:val="21"/>
                <w:highlight w:val="none"/>
              </w:rPr>
              <w:t>三、项目负责人能力（1分）</w:t>
            </w:r>
          </w:p>
        </w:tc>
        <w:tc>
          <w:tcPr>
            <w:tcW w:w="7207" w:type="dxa"/>
            <w:noWrap/>
            <w:vAlign w:val="center"/>
          </w:tcPr>
          <w:p w14:paraId="40E0BF0D">
            <w:pPr>
              <w:shd w:val="clear"/>
              <w:rPr>
                <w:color w:val="auto"/>
                <w:highlight w:val="none"/>
                <w:lang w:val="zh-CN"/>
              </w:rPr>
            </w:pPr>
            <w:r>
              <w:rPr>
                <w:rFonts w:hint="eastAsia"/>
                <w:color w:val="auto"/>
                <w:highlight w:val="none"/>
                <w:lang w:val="zh-CN"/>
              </w:rPr>
              <w:t>拟派项目负责人具有高级职称得1分。</w:t>
            </w:r>
          </w:p>
          <w:p w14:paraId="3F56E7F5">
            <w:pPr>
              <w:shd w:val="clear"/>
              <w:rPr>
                <w:color w:val="auto"/>
                <w:highlight w:val="none"/>
                <w:lang w:val="zh-CN"/>
              </w:rPr>
            </w:pPr>
            <w:r>
              <w:rPr>
                <w:rFonts w:hint="eastAsia"/>
                <w:color w:val="auto"/>
                <w:highlight w:val="none"/>
                <w:lang w:val="zh-CN"/>
              </w:rPr>
              <w:t>（投标文件中提供职称证书证明材料。）</w:t>
            </w:r>
          </w:p>
        </w:tc>
      </w:tr>
      <w:tr w14:paraId="0C375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atLeast"/>
        </w:trPr>
        <w:tc>
          <w:tcPr>
            <w:tcW w:w="2162" w:type="dxa"/>
            <w:tcBorders>
              <w:bottom w:val="single" w:color="auto" w:sz="4" w:space="0"/>
            </w:tcBorders>
            <w:noWrap/>
            <w:vAlign w:val="center"/>
          </w:tcPr>
          <w:p w14:paraId="613D597E">
            <w:pPr>
              <w:shd w:val="clear"/>
              <w:spacing w:line="360" w:lineRule="auto"/>
              <w:rPr>
                <w:rFonts w:ascii="宋体" w:hAnsi="宋体"/>
                <w:color w:val="auto"/>
                <w:szCs w:val="21"/>
                <w:highlight w:val="none"/>
              </w:rPr>
            </w:pPr>
            <w:r>
              <w:rPr>
                <w:rFonts w:hint="eastAsia" w:ascii="宋体" w:hAnsi="宋体"/>
                <w:color w:val="auto"/>
                <w:szCs w:val="21"/>
                <w:highlight w:val="none"/>
              </w:rPr>
              <w:t>四、项目组人员能力（2分）</w:t>
            </w:r>
          </w:p>
        </w:tc>
        <w:tc>
          <w:tcPr>
            <w:tcW w:w="7207" w:type="dxa"/>
            <w:noWrap/>
            <w:vAlign w:val="center"/>
          </w:tcPr>
          <w:p w14:paraId="1B88473D">
            <w:pPr>
              <w:shd w:val="clear"/>
              <w:rPr>
                <w:color w:val="auto"/>
                <w:highlight w:val="none"/>
                <w:lang w:val="zh-CN"/>
              </w:rPr>
            </w:pPr>
            <w:r>
              <w:rPr>
                <w:rFonts w:hint="eastAsia"/>
                <w:color w:val="auto"/>
                <w:highlight w:val="none"/>
                <w:lang w:val="zh-CN"/>
              </w:rPr>
              <w:t>项目组人员能力：投标人在满足招标需求对于项目组人员配备的前提下，对配置的项目组人员中有获得过省级及以上造价管理部门颁布的荣誉称号的每个得1分，最高得2分。（</w:t>
            </w:r>
            <w:r>
              <w:rPr>
                <w:rFonts w:hint="eastAsia"/>
                <w:color w:val="auto"/>
                <w:highlight w:val="none"/>
              </w:rPr>
              <w:t>单人最多得1分</w:t>
            </w:r>
            <w:r>
              <w:rPr>
                <w:rFonts w:hint="eastAsia"/>
                <w:color w:val="auto"/>
                <w:highlight w:val="none"/>
                <w:lang w:val="zh-CN"/>
              </w:rPr>
              <w:t>）</w:t>
            </w:r>
          </w:p>
          <w:p w14:paraId="679A49F8">
            <w:pPr>
              <w:shd w:val="clear"/>
              <w:rPr>
                <w:color w:val="auto"/>
                <w:highlight w:val="none"/>
                <w:lang w:val="zh-CN"/>
              </w:rPr>
            </w:pPr>
            <w:r>
              <w:rPr>
                <w:rFonts w:hint="eastAsia"/>
                <w:color w:val="auto"/>
                <w:highlight w:val="none"/>
                <w:lang w:val="zh-CN"/>
              </w:rPr>
              <w:t>（投标文件中提供相关证明材料。）</w:t>
            </w:r>
          </w:p>
        </w:tc>
      </w:tr>
      <w:tr w14:paraId="6A925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2162" w:type="dxa"/>
            <w:tcBorders>
              <w:bottom w:val="single" w:color="auto" w:sz="4" w:space="0"/>
            </w:tcBorders>
            <w:noWrap/>
            <w:vAlign w:val="center"/>
          </w:tcPr>
          <w:p w14:paraId="680C61AD">
            <w:pPr>
              <w:shd w:val="clear"/>
              <w:spacing w:line="360" w:lineRule="auto"/>
              <w:rPr>
                <w:rFonts w:ascii="宋体" w:hAnsi="宋体"/>
                <w:color w:val="auto"/>
                <w:szCs w:val="21"/>
                <w:highlight w:val="none"/>
              </w:rPr>
            </w:pPr>
            <w:r>
              <w:rPr>
                <w:rFonts w:hint="eastAsia" w:ascii="宋体" w:hAnsi="宋体"/>
                <w:color w:val="auto"/>
                <w:szCs w:val="21"/>
                <w:highlight w:val="none"/>
              </w:rPr>
              <w:t>五、现场答辩（4分）</w:t>
            </w:r>
          </w:p>
        </w:tc>
        <w:tc>
          <w:tcPr>
            <w:tcW w:w="7207" w:type="dxa"/>
            <w:noWrap/>
            <w:vAlign w:val="center"/>
          </w:tcPr>
          <w:p w14:paraId="72B999F4">
            <w:pPr>
              <w:shd w:val="clear"/>
              <w:rPr>
                <w:color w:val="auto"/>
                <w:highlight w:val="none"/>
                <w:lang w:val="zh-CN"/>
              </w:rPr>
            </w:pPr>
            <w:r>
              <w:rPr>
                <w:rFonts w:hint="eastAsia"/>
                <w:color w:val="auto"/>
                <w:highlight w:val="none"/>
                <w:lang w:val="zh-CN"/>
              </w:rPr>
              <w:t>对投标人拟派项目负责人的现场答辩情况进行评议。（4分）</w:t>
            </w:r>
          </w:p>
          <w:p w14:paraId="1ACDB652">
            <w:pPr>
              <w:shd w:val="clear"/>
              <w:rPr>
                <w:color w:val="auto"/>
                <w:highlight w:val="none"/>
                <w:lang w:val="zh-CN"/>
              </w:rPr>
            </w:pPr>
            <w:r>
              <w:rPr>
                <w:rFonts w:hint="eastAsia"/>
                <w:color w:val="auto"/>
                <w:highlight w:val="none"/>
                <w:lang w:val="zh-CN"/>
              </w:rPr>
              <w:t>1、问题理解全面得2分；有所欠缺得1分。</w:t>
            </w:r>
          </w:p>
          <w:p w14:paraId="2127A16C">
            <w:pPr>
              <w:shd w:val="clear"/>
              <w:rPr>
                <w:color w:val="auto"/>
                <w:highlight w:val="none"/>
                <w:lang w:val="zh-CN"/>
              </w:rPr>
            </w:pPr>
            <w:r>
              <w:rPr>
                <w:rFonts w:hint="eastAsia"/>
                <w:color w:val="auto"/>
                <w:highlight w:val="none"/>
                <w:lang w:val="zh-CN"/>
              </w:rPr>
              <w:t>2、问题分析准确得2分；有所欠缺得1分。</w:t>
            </w:r>
          </w:p>
          <w:p w14:paraId="487D443A">
            <w:pPr>
              <w:shd w:val="clear"/>
              <w:rPr>
                <w:color w:val="auto"/>
                <w:szCs w:val="20"/>
                <w:highlight w:val="none"/>
                <w:lang w:val="zh-CN"/>
              </w:rPr>
            </w:pPr>
            <w:r>
              <w:rPr>
                <w:rFonts w:hint="eastAsia"/>
                <w:color w:val="auto"/>
                <w:highlight w:val="none"/>
                <w:lang w:val="zh-CN"/>
              </w:rPr>
              <w:t>（答辩地点详见开标地点，同时提供身份证明材料。未参加或资料证明不全的不得分。时间控制在五分钟以内。）</w:t>
            </w:r>
          </w:p>
        </w:tc>
      </w:tr>
      <w:tr w14:paraId="23AE0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2162" w:type="dxa"/>
            <w:noWrap/>
            <w:vAlign w:val="center"/>
          </w:tcPr>
          <w:p w14:paraId="02F41B26">
            <w:pPr>
              <w:shd w:val="clear"/>
              <w:spacing w:line="360" w:lineRule="auto"/>
              <w:rPr>
                <w:color w:val="auto"/>
                <w:szCs w:val="21"/>
                <w:highlight w:val="none"/>
              </w:rPr>
            </w:pPr>
            <w:r>
              <w:rPr>
                <w:color w:val="auto"/>
                <w:szCs w:val="21"/>
                <w:highlight w:val="none"/>
              </w:rPr>
              <w:t>六、履约</w:t>
            </w:r>
            <w:r>
              <w:rPr>
                <w:rFonts w:hint="eastAsia"/>
                <w:color w:val="auto"/>
                <w:szCs w:val="21"/>
                <w:highlight w:val="none"/>
              </w:rPr>
              <w:t>能力</w:t>
            </w:r>
            <w:r>
              <w:rPr>
                <w:rFonts w:hint="eastAsia"/>
                <w:color w:val="auto"/>
                <w:szCs w:val="21"/>
                <w:highlight w:val="none"/>
                <w:lang w:val="zh-CN"/>
              </w:rPr>
              <w:t>（</w:t>
            </w:r>
            <w:r>
              <w:rPr>
                <w:rFonts w:hint="eastAsia"/>
                <w:color w:val="auto"/>
                <w:szCs w:val="21"/>
                <w:highlight w:val="none"/>
              </w:rPr>
              <w:t>1分</w:t>
            </w:r>
            <w:r>
              <w:rPr>
                <w:rFonts w:hint="eastAsia"/>
                <w:color w:val="auto"/>
                <w:szCs w:val="21"/>
                <w:highlight w:val="none"/>
                <w:lang w:val="zh-CN"/>
              </w:rPr>
              <w:t>）</w:t>
            </w:r>
          </w:p>
        </w:tc>
        <w:tc>
          <w:tcPr>
            <w:tcW w:w="7207" w:type="dxa"/>
            <w:noWrap/>
            <w:vAlign w:val="center"/>
          </w:tcPr>
          <w:p w14:paraId="589A22E1">
            <w:pPr>
              <w:shd w:val="clear"/>
              <w:rPr>
                <w:color w:val="auto"/>
                <w:highlight w:val="none"/>
                <w:lang w:val="zh-CN"/>
              </w:rPr>
            </w:pPr>
            <w:r>
              <w:rPr>
                <w:rFonts w:hint="eastAsia"/>
                <w:color w:val="auto"/>
                <w:highlight w:val="none"/>
                <w:lang w:val="zh-CN"/>
              </w:rPr>
              <w:t>投标人自2021年1月1日以来</w:t>
            </w:r>
            <w:r>
              <w:rPr>
                <w:rFonts w:hint="eastAsia"/>
                <w:color w:val="auto"/>
                <w:highlight w:val="none"/>
              </w:rPr>
              <w:t>具有</w:t>
            </w:r>
            <w:r>
              <w:rPr>
                <w:rFonts w:hint="eastAsia"/>
                <w:color w:val="auto"/>
                <w:highlight w:val="none"/>
                <w:lang w:val="zh-CN"/>
              </w:rPr>
              <w:t>造价咨询服务项目案例的每提供一个得0.5分，最多得1分（投标文件需提供合同、中标通知书复印件，未提供或提供不全的不得分，</w:t>
            </w:r>
            <w:r>
              <w:rPr>
                <w:rFonts w:hint="eastAsia"/>
                <w:color w:val="auto"/>
                <w:highlight w:val="none"/>
              </w:rPr>
              <w:t>时间以合同签订时间为准</w:t>
            </w:r>
            <w:r>
              <w:rPr>
                <w:rFonts w:hint="eastAsia"/>
                <w:color w:val="auto"/>
                <w:highlight w:val="none"/>
                <w:lang w:val="zh-CN"/>
              </w:rPr>
              <w:t>）。</w:t>
            </w:r>
          </w:p>
        </w:tc>
      </w:tr>
      <w:tr w14:paraId="46B8B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2" w:hRule="atLeast"/>
        </w:trPr>
        <w:tc>
          <w:tcPr>
            <w:tcW w:w="2162" w:type="dxa"/>
            <w:noWrap/>
            <w:vAlign w:val="center"/>
          </w:tcPr>
          <w:p w14:paraId="15FEA47B">
            <w:pPr>
              <w:shd w:val="clear"/>
              <w:spacing w:line="360" w:lineRule="auto"/>
              <w:rPr>
                <w:rFonts w:ascii="宋体" w:hAnsi="宋体"/>
                <w:color w:val="auto"/>
                <w:szCs w:val="21"/>
                <w:highlight w:val="none"/>
              </w:rPr>
            </w:pPr>
            <w:r>
              <w:rPr>
                <w:rFonts w:hint="eastAsia" w:ascii="宋体" w:hAnsi="宋体"/>
                <w:color w:val="auto"/>
                <w:szCs w:val="21"/>
                <w:highlight w:val="none"/>
              </w:rPr>
              <w:t>七、体系认证（3分）</w:t>
            </w:r>
          </w:p>
        </w:tc>
        <w:tc>
          <w:tcPr>
            <w:tcW w:w="7207" w:type="dxa"/>
            <w:noWrap/>
            <w:vAlign w:val="center"/>
          </w:tcPr>
          <w:p w14:paraId="53549969">
            <w:pPr>
              <w:shd w:val="clear"/>
              <w:rPr>
                <w:color w:val="auto"/>
                <w:szCs w:val="21"/>
                <w:highlight w:val="none"/>
                <w:lang w:val="zh-CN"/>
              </w:rPr>
            </w:pPr>
            <w:r>
              <w:rPr>
                <w:rFonts w:hint="eastAsia"/>
                <w:color w:val="auto"/>
                <w:szCs w:val="21"/>
                <w:highlight w:val="none"/>
                <w:lang w:val="zh-CN"/>
              </w:rPr>
              <w:t>投标人具有有效期内质量管理体系认证证书、职业健康安全管理体系认证证书、环境管理体系认证证书且</w:t>
            </w:r>
            <w:r>
              <w:rPr>
                <w:rFonts w:hint="eastAsia" w:ascii="宋体" w:hAnsi="宋体" w:cs="宋体"/>
                <w:color w:val="auto"/>
                <w:szCs w:val="21"/>
                <w:highlight w:val="none"/>
              </w:rPr>
              <w:t>认证范围与本项目所涉服务内容相关联</w:t>
            </w:r>
            <w:r>
              <w:rPr>
                <w:rFonts w:hint="eastAsia"/>
                <w:color w:val="auto"/>
                <w:szCs w:val="21"/>
                <w:highlight w:val="none"/>
                <w:lang w:val="zh-CN"/>
              </w:rPr>
              <w:t>的每提供一项得1分，共3分。</w:t>
            </w:r>
          </w:p>
          <w:p w14:paraId="594FA143">
            <w:pPr>
              <w:shd w:val="clear"/>
              <w:rPr>
                <w:rFonts w:ascii="宋体" w:hAnsi="宋体"/>
                <w:color w:val="auto"/>
                <w:szCs w:val="21"/>
                <w:highlight w:val="none"/>
              </w:rPr>
            </w:pPr>
            <w:r>
              <w:rPr>
                <w:rFonts w:hint="eastAsia" w:ascii="宋体" w:hAnsi="宋体" w:cs="宋体"/>
                <w:color w:val="auto"/>
                <w:szCs w:val="21"/>
                <w:highlight w:val="none"/>
              </w:rPr>
              <w:t>注：提供以上有效认证证书复印件和“全国认证认可信息公共服务平台”查询截图并加盖投标人公章，否则不予认可。</w:t>
            </w:r>
          </w:p>
        </w:tc>
      </w:tr>
      <w:tr w14:paraId="6AC7F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162" w:type="dxa"/>
            <w:noWrap/>
            <w:vAlign w:val="center"/>
          </w:tcPr>
          <w:p w14:paraId="2E2E033C">
            <w:pPr>
              <w:shd w:val="clear"/>
              <w:rPr>
                <w:color w:val="auto"/>
                <w:highlight w:val="none"/>
                <w:lang w:val="zh-CN"/>
              </w:rPr>
            </w:pPr>
            <w:r>
              <w:rPr>
                <w:rFonts w:hint="eastAsia"/>
                <w:color w:val="auto"/>
                <w:highlight w:val="none"/>
                <w:lang w:val="zh-CN"/>
              </w:rPr>
              <w:t>八、服务便捷性 (4分)</w:t>
            </w:r>
          </w:p>
        </w:tc>
        <w:tc>
          <w:tcPr>
            <w:tcW w:w="7207" w:type="dxa"/>
            <w:noWrap/>
            <w:vAlign w:val="center"/>
          </w:tcPr>
          <w:p w14:paraId="06E4A279">
            <w:pPr>
              <w:shd w:val="clear"/>
              <w:rPr>
                <w:color w:val="auto"/>
                <w:highlight w:val="none"/>
                <w:lang w:val="zh-CN"/>
              </w:rPr>
            </w:pPr>
            <w:r>
              <w:rPr>
                <w:rFonts w:hint="eastAsia"/>
                <w:color w:val="auto"/>
                <w:highlight w:val="none"/>
                <w:lang w:val="zh-CN"/>
              </w:rPr>
              <w:t>投标人针对本项目服务交流便捷性保障方案：</w:t>
            </w:r>
            <w:r>
              <w:rPr>
                <w:rFonts w:hint="eastAsia" w:ascii="宋体" w:hAnsi="宋体" w:cs="宋体"/>
                <w:color w:val="auto"/>
                <w:szCs w:val="21"/>
                <w:highlight w:val="none"/>
              </w:rPr>
              <w:t>能迅速响应招标人的服务需求，且服务人员迅速到达招标人指定地方得2分</w:t>
            </w:r>
            <w:r>
              <w:rPr>
                <w:rFonts w:hint="eastAsia"/>
                <w:color w:val="auto"/>
                <w:highlight w:val="none"/>
                <w:lang w:val="zh-CN"/>
              </w:rPr>
              <w:t>；保障方案支撑性强得2分；有所欠缺的</w:t>
            </w:r>
            <w:r>
              <w:rPr>
                <w:rFonts w:hint="eastAsia" w:ascii="宋体" w:hAnsi="宋体"/>
                <w:color w:val="auto"/>
                <w:szCs w:val="21"/>
                <w:highlight w:val="none"/>
              </w:rPr>
              <w:t>对应项</w:t>
            </w:r>
            <w:r>
              <w:rPr>
                <w:rFonts w:hint="eastAsia"/>
                <w:color w:val="auto"/>
                <w:highlight w:val="none"/>
                <w:lang w:val="zh-CN"/>
              </w:rPr>
              <w:t>得1分。</w:t>
            </w:r>
            <w:r>
              <w:rPr>
                <w:rFonts w:hint="eastAsia" w:ascii="宋体" w:hAnsi="宋体"/>
                <w:color w:val="auto"/>
                <w:szCs w:val="21"/>
                <w:highlight w:val="none"/>
              </w:rPr>
              <w:t>不合理或未提供的对应项不得分。</w:t>
            </w:r>
            <w:r>
              <w:rPr>
                <w:rFonts w:hint="eastAsia"/>
                <w:color w:val="auto"/>
                <w:highlight w:val="none"/>
                <w:lang w:val="zh-CN"/>
              </w:rPr>
              <w:t>（投标文件中提供具体可行性方案等。）</w:t>
            </w:r>
          </w:p>
        </w:tc>
      </w:tr>
      <w:tr w14:paraId="4A17E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4" w:hRule="atLeast"/>
        </w:trPr>
        <w:tc>
          <w:tcPr>
            <w:tcW w:w="2162" w:type="dxa"/>
            <w:noWrap/>
            <w:vAlign w:val="center"/>
          </w:tcPr>
          <w:p w14:paraId="4EF6B89E">
            <w:pPr>
              <w:shd w:val="clear"/>
              <w:rPr>
                <w:color w:val="auto"/>
                <w:highlight w:val="none"/>
                <w:lang w:val="zh-CN"/>
              </w:rPr>
            </w:pPr>
            <w:r>
              <w:rPr>
                <w:rFonts w:hint="eastAsia"/>
                <w:color w:val="auto"/>
                <w:highlight w:val="none"/>
                <w:lang w:val="zh-CN"/>
              </w:rPr>
              <w:t>九、政府采购政策加分（</w:t>
            </w:r>
            <w:r>
              <w:rPr>
                <w:color w:val="auto"/>
                <w:highlight w:val="none"/>
                <w:lang w:val="zh-CN"/>
              </w:rPr>
              <w:t>1</w:t>
            </w:r>
            <w:r>
              <w:rPr>
                <w:rFonts w:hint="eastAsia"/>
                <w:color w:val="auto"/>
                <w:highlight w:val="none"/>
                <w:lang w:val="zh-CN"/>
              </w:rPr>
              <w:t>分）</w:t>
            </w:r>
          </w:p>
        </w:tc>
        <w:tc>
          <w:tcPr>
            <w:tcW w:w="7207" w:type="dxa"/>
            <w:noWrap/>
            <w:vAlign w:val="center"/>
          </w:tcPr>
          <w:p w14:paraId="539301A6">
            <w:pPr>
              <w:shd w:val="clear"/>
              <w:rPr>
                <w:color w:val="auto"/>
                <w:highlight w:val="none"/>
                <w:lang w:val="zh-CN"/>
              </w:rPr>
            </w:pPr>
            <w:r>
              <w:rPr>
                <w:rFonts w:hint="eastAsia"/>
                <w:color w:val="auto"/>
                <w:highlight w:val="none"/>
                <w:lang w:val="zh-CN"/>
              </w:rPr>
              <w:t>投标人是国家认定少数民族地区企业的加1分。</w:t>
            </w:r>
          </w:p>
        </w:tc>
      </w:tr>
      <w:tr w14:paraId="1B042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9369" w:type="dxa"/>
            <w:gridSpan w:val="2"/>
            <w:noWrap/>
            <w:vAlign w:val="center"/>
          </w:tcPr>
          <w:p w14:paraId="040C4C3F">
            <w:pPr>
              <w:shd w:val="clear"/>
              <w:jc w:val="center"/>
              <w:rPr>
                <w:color w:val="auto"/>
                <w:highlight w:val="none"/>
                <w:lang w:val="zh-CN"/>
              </w:rPr>
            </w:pPr>
            <w:r>
              <w:rPr>
                <w:rFonts w:hint="eastAsia"/>
                <w:color w:val="auto"/>
                <w:highlight w:val="none"/>
                <w:lang w:val="zh-CN"/>
              </w:rPr>
              <w:t>磋商报价分（</w:t>
            </w:r>
            <w:r>
              <w:rPr>
                <w:rFonts w:hint="eastAsia"/>
                <w:color w:val="auto"/>
                <w:highlight w:val="none"/>
              </w:rPr>
              <w:t>10分</w:t>
            </w:r>
            <w:r>
              <w:rPr>
                <w:rFonts w:hint="eastAsia"/>
                <w:color w:val="auto"/>
                <w:highlight w:val="none"/>
                <w:lang w:val="zh-CN"/>
              </w:rPr>
              <w:t>）</w:t>
            </w:r>
          </w:p>
        </w:tc>
      </w:tr>
      <w:tr w14:paraId="76142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1" w:hRule="atLeast"/>
        </w:trPr>
        <w:tc>
          <w:tcPr>
            <w:tcW w:w="2162" w:type="dxa"/>
            <w:noWrap/>
            <w:vAlign w:val="center"/>
          </w:tcPr>
          <w:p w14:paraId="63A9A045">
            <w:pPr>
              <w:shd w:val="clear"/>
              <w:rPr>
                <w:color w:val="auto"/>
                <w:highlight w:val="none"/>
                <w:lang w:val="zh-CN"/>
              </w:rPr>
            </w:pPr>
            <w:r>
              <w:rPr>
                <w:rFonts w:hint="eastAsia"/>
                <w:color w:val="auto"/>
                <w:highlight w:val="none"/>
                <w:lang w:val="zh-CN"/>
              </w:rPr>
              <w:t>磋商报价</w:t>
            </w:r>
            <w:r>
              <w:rPr>
                <w:color w:val="auto"/>
                <w:highlight w:val="none"/>
                <w:lang w:val="zh-CN"/>
              </w:rPr>
              <w:t>（</w:t>
            </w:r>
            <w:r>
              <w:rPr>
                <w:rFonts w:hint="eastAsia"/>
                <w:color w:val="auto"/>
                <w:highlight w:val="none"/>
                <w:lang w:val="zh-CN"/>
              </w:rPr>
              <w:t>10分</w:t>
            </w:r>
            <w:r>
              <w:rPr>
                <w:color w:val="auto"/>
                <w:highlight w:val="none"/>
                <w:lang w:val="zh-CN"/>
              </w:rPr>
              <w:t>）</w:t>
            </w:r>
          </w:p>
        </w:tc>
        <w:tc>
          <w:tcPr>
            <w:tcW w:w="7207" w:type="dxa"/>
            <w:noWrap/>
            <w:vAlign w:val="center"/>
          </w:tcPr>
          <w:p w14:paraId="226E2296">
            <w:pPr>
              <w:shd w:val="clear"/>
              <w:spacing w:line="360" w:lineRule="auto"/>
              <w:rPr>
                <w:rFonts w:ascii="Times New Roman" w:hAnsi="Times New Roman"/>
                <w:color w:val="auto"/>
                <w:szCs w:val="21"/>
                <w:highlight w:val="none"/>
              </w:rPr>
            </w:pPr>
            <w:r>
              <w:rPr>
                <w:rFonts w:hint="eastAsia"/>
                <w:color w:val="auto"/>
                <w:highlight w:val="none"/>
                <w:lang w:val="zh-CN"/>
              </w:rPr>
              <w:t>本项目磋商报价为折扣（单位：%），</w:t>
            </w:r>
            <w:r>
              <w:rPr>
                <w:rFonts w:hint="eastAsia" w:ascii="Times New Roman" w:hAnsi="Times New Roman"/>
                <w:color w:val="auto"/>
                <w:szCs w:val="21"/>
                <w:highlight w:val="none"/>
              </w:rPr>
              <w:t>满足磋商文件要求且参与评审的最终折扣最低的价格为磋商基准价，其价格分为满分。其他供应商的价格分按照下列公式计算：</w:t>
            </w:r>
          </w:p>
          <w:p w14:paraId="33E6A9DB">
            <w:pPr>
              <w:shd w:val="clear"/>
              <w:spacing w:line="360" w:lineRule="auto"/>
              <w:rPr>
                <w:color w:val="auto"/>
                <w:highlight w:val="none"/>
              </w:rPr>
            </w:pPr>
            <w:r>
              <w:rPr>
                <w:rFonts w:hint="eastAsia"/>
                <w:color w:val="auto"/>
                <w:highlight w:val="none"/>
                <w:lang w:val="zh-CN"/>
              </w:rPr>
              <w:t>参与评审价格=</w:t>
            </w:r>
            <w:r>
              <w:rPr>
                <w:rFonts w:hint="eastAsia" w:ascii="Times New Roman" w:hAnsi="Times New Roman"/>
                <w:color w:val="auto"/>
                <w:szCs w:val="21"/>
                <w:highlight w:val="none"/>
              </w:rPr>
              <w:t>磋商报价</w:t>
            </w:r>
            <w:r>
              <w:rPr>
                <w:rFonts w:hint="eastAsia"/>
                <w:color w:val="auto"/>
                <w:highlight w:val="none"/>
                <w:lang w:val="zh-CN"/>
              </w:rPr>
              <w:t>×（1-小微企业价格扣除优惠值10%）</w:t>
            </w:r>
          </w:p>
          <w:p w14:paraId="53E4EAE9">
            <w:pPr>
              <w:shd w:val="clear"/>
              <w:rPr>
                <w:color w:val="auto"/>
                <w:highlight w:val="none"/>
                <w:lang w:val="zh-CN"/>
              </w:rPr>
            </w:pPr>
            <w:r>
              <w:rPr>
                <w:rFonts w:hint="eastAsia" w:ascii="Times New Roman" w:hAnsi="Times New Roman"/>
                <w:color w:val="auto"/>
                <w:szCs w:val="21"/>
                <w:highlight w:val="none"/>
              </w:rPr>
              <w:t>磋商报价得分=（磋商基准价/参与评审的最终综合折扣）×价格权值×100</w:t>
            </w:r>
          </w:p>
        </w:tc>
      </w:tr>
    </w:tbl>
    <w:p w14:paraId="79F8D920">
      <w:pPr>
        <w:shd w:val="clear"/>
        <w:snapToGrid w:val="0"/>
        <w:spacing w:line="360" w:lineRule="auto"/>
        <w:ind w:firstLine="643"/>
        <w:jc w:val="center"/>
        <w:rPr>
          <w:rFonts w:asciiTheme="minorEastAsia" w:hAnsiTheme="minorEastAsia" w:eastAsiaTheme="minorEastAsia" w:cstheme="minorEastAsia"/>
          <w:b/>
          <w:color w:val="auto"/>
          <w:sz w:val="32"/>
          <w:szCs w:val="20"/>
          <w:highlight w:val="none"/>
        </w:rPr>
      </w:pPr>
    </w:p>
    <w:p w14:paraId="30C517A1">
      <w:pPr>
        <w:shd w:val="clear"/>
        <w:ind w:firstLine="560"/>
        <w:rPr>
          <w:rFonts w:asciiTheme="minorEastAsia" w:hAnsiTheme="minorEastAsia" w:eastAsiaTheme="minorEastAsia" w:cstheme="minorEastAsia"/>
          <w:color w:val="auto"/>
          <w:sz w:val="28"/>
          <w:highlight w:val="none"/>
        </w:rPr>
      </w:pPr>
    </w:p>
    <w:p w14:paraId="74CEF93E">
      <w:pPr>
        <w:shd w:val="clear"/>
        <w:snapToGrid w:val="0"/>
        <w:spacing w:line="440" w:lineRule="exact"/>
        <w:ind w:firstLine="422" w:firstLineChars="200"/>
        <w:rPr>
          <w:rFonts w:asciiTheme="minorEastAsia" w:hAnsiTheme="minorEastAsia" w:eastAsiaTheme="minorEastAsia" w:cstheme="minorEastAsia"/>
          <w:b/>
          <w:color w:val="auto"/>
          <w:kern w:val="0"/>
          <w:szCs w:val="21"/>
          <w:highlight w:val="none"/>
          <w:lang w:val="zh-CN"/>
        </w:rPr>
      </w:pPr>
      <w:r>
        <w:rPr>
          <w:rFonts w:hint="eastAsia" w:asciiTheme="minorEastAsia" w:hAnsiTheme="minorEastAsia" w:eastAsiaTheme="minorEastAsia" w:cstheme="minorEastAsia"/>
          <w:b/>
          <w:color w:val="auto"/>
          <w:szCs w:val="21"/>
          <w:highlight w:val="none"/>
        </w:rPr>
        <w:t>备注：</w:t>
      </w:r>
      <w:r>
        <w:rPr>
          <w:rFonts w:hint="eastAsia" w:asciiTheme="minorEastAsia" w:hAnsiTheme="minorEastAsia" w:eastAsiaTheme="minorEastAsia" w:cstheme="minorEastAsia"/>
          <w:color w:val="auto"/>
          <w:kern w:val="0"/>
          <w:szCs w:val="21"/>
          <w:highlight w:val="none"/>
          <w:lang w:val="zh-CN"/>
        </w:rPr>
        <w:t>供应商编制响应文件（商务技术文件部分）时，建议按此目录（序号和内容）提供评审标准相应的商务技术资料。</w:t>
      </w:r>
    </w:p>
    <w:p w14:paraId="0087201D">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p>
    <w:p w14:paraId="0FA631AF">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一、评审方法</w:t>
      </w:r>
    </w:p>
    <w:bookmarkEnd w:id="25"/>
    <w:p w14:paraId="7954D58C">
      <w:pPr>
        <w:shd w:val="clear"/>
        <w:spacing w:line="360" w:lineRule="auto"/>
        <w:ind w:firstLine="413" w:firstLineChars="196"/>
        <w:rPr>
          <w:rFonts w:asciiTheme="minorEastAsia" w:hAnsiTheme="minorEastAsia" w:eastAsiaTheme="minorEastAsia" w:cstheme="minorEastAsia"/>
          <w:color w:val="auto"/>
          <w:kern w:val="0"/>
          <w:szCs w:val="21"/>
          <w:highlight w:val="none"/>
        </w:rPr>
      </w:pPr>
      <w:bookmarkStart w:id="392" w:name="第五部分"/>
      <w:bookmarkStart w:id="393" w:name="_Toc86217003"/>
      <w:r>
        <w:rPr>
          <w:rFonts w:hint="eastAsia" w:asciiTheme="minorEastAsia" w:hAnsiTheme="minorEastAsia" w:eastAsiaTheme="minorEastAsia" w:cstheme="minorEastAsia"/>
          <w:b/>
          <w:color w:val="auto"/>
          <w:kern w:val="0"/>
          <w:szCs w:val="21"/>
          <w:highlight w:val="none"/>
        </w:rPr>
        <w:t>1.本项目采用综合评分法。</w:t>
      </w:r>
      <w:r>
        <w:rPr>
          <w:rFonts w:hint="eastAsia" w:asciiTheme="minorEastAsia" w:hAnsiTheme="minorEastAsia" w:eastAsiaTheme="minorEastAsia" w:cstheme="minorEastAsia"/>
          <w:color w:val="auto"/>
          <w:kern w:val="0"/>
          <w:szCs w:val="21"/>
          <w:highlight w:val="none"/>
        </w:rPr>
        <w:t>综合评分法，是指响应文件满足</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文件全部实质性要求，且按照评审因素的量化指标评审得分最高的</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为成交候选供应商的评审方法。</w:t>
      </w:r>
    </w:p>
    <w:p w14:paraId="1804089B">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二、评审标准</w:t>
      </w:r>
    </w:p>
    <w:p w14:paraId="48B16131">
      <w:pPr>
        <w:shd w:val="clear"/>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color w:val="auto"/>
          <w:szCs w:val="21"/>
          <w:highlight w:val="none"/>
        </w:rPr>
        <w:t>评审标准：</w:t>
      </w:r>
      <w:r>
        <w:rPr>
          <w:rFonts w:hint="eastAsia" w:asciiTheme="minorEastAsia" w:hAnsiTheme="minorEastAsia" w:eastAsiaTheme="minorEastAsia" w:cstheme="minorEastAsia"/>
          <w:color w:val="auto"/>
          <w:kern w:val="0"/>
          <w:szCs w:val="21"/>
          <w:highlight w:val="none"/>
        </w:rPr>
        <w:t>见评审办法前附表。</w:t>
      </w:r>
    </w:p>
    <w:p w14:paraId="0D7D0FD5">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三、评审程序</w:t>
      </w:r>
    </w:p>
    <w:p w14:paraId="379F0349">
      <w:pPr>
        <w:shd w:val="clea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3.1 符合性审查。</w:t>
      </w:r>
      <w:r>
        <w:rPr>
          <w:rFonts w:hint="eastAsia" w:asciiTheme="minorEastAsia" w:hAnsiTheme="minorEastAsia" w:eastAsiaTheme="minorEastAsia" w:cstheme="minorEastAsia"/>
          <w:color w:val="auto"/>
          <w:kern w:val="0"/>
          <w:szCs w:val="21"/>
          <w:highlight w:val="none"/>
        </w:rPr>
        <w:t>磋商小组应当对符合资格的</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的响应文件进行符合性审查，以确定其是否满足</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文件的实质性要求。不满足</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文件的实质性要求的，响应无效。</w:t>
      </w:r>
    </w:p>
    <w:p w14:paraId="6FBBB997">
      <w:pPr>
        <w:shd w:val="clea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3.2磋商</w:t>
      </w:r>
    </w:p>
    <w:p w14:paraId="5F3C6A76">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Cs w:val="21"/>
          <w:highlight w:val="none"/>
        </w:rPr>
        <w:t>项目需求的技术、服务条款”以及“合同条款”进行实质性变动</w:t>
      </w:r>
      <w:r>
        <w:rPr>
          <w:rFonts w:hint="eastAsia" w:asciiTheme="minorEastAsia" w:hAnsiTheme="minorEastAsia" w:eastAsiaTheme="minorEastAsia" w:cstheme="minorEastAsia"/>
          <w:color w:val="auto"/>
          <w:kern w:val="0"/>
          <w:szCs w:val="21"/>
          <w:highlight w:val="none"/>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70936DB8">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3.2.2</w:t>
      </w:r>
      <w:r>
        <w:rPr>
          <w:rFonts w:hint="eastAsia" w:asciiTheme="minorEastAsia" w:hAnsiTheme="minorEastAsia" w:eastAsiaTheme="minorEastAsia" w:cstheme="minorEastAsia"/>
          <w:b/>
          <w:bCs/>
          <w:color w:val="auto"/>
          <w:kern w:val="0"/>
          <w:szCs w:val="21"/>
          <w:highlight w:val="none"/>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b/>
          <w:bCs/>
          <w:color w:val="auto"/>
          <w:kern w:val="0"/>
          <w:szCs w:val="21"/>
          <w:highlight w:val="none"/>
        </w:rPr>
        <w:t>未在规定时间内在线提交第二次报价（即最终报价）视为无效磋商响应文件。</w:t>
      </w:r>
      <w:r>
        <w:rPr>
          <w:rFonts w:hint="eastAsia" w:asciiTheme="minorEastAsia" w:hAnsiTheme="minorEastAsia" w:eastAsiaTheme="minorEastAsia" w:cstheme="minorEastAsia"/>
          <w:color w:val="auto"/>
          <w:kern w:val="0"/>
          <w:szCs w:val="21"/>
          <w:highlight w:val="none"/>
        </w:rPr>
        <w:t>已提交响应文件的供应商，在提交最终报价之前，可以根据磋商情况退出磋商。</w:t>
      </w:r>
    </w:p>
    <w:p w14:paraId="411E97CE">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3.2.3经磋商确定最终采购需求和提交最后报价的供应商后，由磋商小组采用综合评分法对提交最后报价的供应商的响应文件和最后报价进行综合评分。</w:t>
      </w:r>
    </w:p>
    <w:p w14:paraId="44620745">
      <w:pPr>
        <w:shd w:val="clea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3.3 商务技术评审。</w:t>
      </w:r>
      <w:r>
        <w:rPr>
          <w:rFonts w:hint="eastAsia" w:asciiTheme="minorEastAsia" w:hAnsiTheme="minorEastAsia" w:eastAsiaTheme="minorEastAsia" w:cstheme="minorEastAsia"/>
          <w:color w:val="auto"/>
          <w:kern w:val="0"/>
          <w:szCs w:val="21"/>
          <w:highlight w:val="none"/>
        </w:rPr>
        <w:t>磋商小组应当按照</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文件中规定的评审方法和标准，对符合性审查合格的响应文件进行商务和技术评估。</w:t>
      </w:r>
    </w:p>
    <w:p w14:paraId="33C8A252">
      <w:pPr>
        <w:shd w:val="clea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3.4 汇总商务技术得分。</w:t>
      </w:r>
      <w:r>
        <w:rPr>
          <w:rFonts w:hint="eastAsia" w:asciiTheme="minorEastAsia" w:hAnsiTheme="minorEastAsia" w:eastAsiaTheme="minorEastAsia" w:cstheme="minorEastAsia"/>
          <w:color w:val="auto"/>
          <w:kern w:val="0"/>
          <w:szCs w:val="21"/>
          <w:highlight w:val="none"/>
        </w:rPr>
        <w:t>磋商小组各成员应当独立对每个</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的商务和技术文件进行评价，并汇总商务技术得分情况。</w:t>
      </w:r>
    </w:p>
    <w:p w14:paraId="5C04F3A4">
      <w:pPr>
        <w:shd w:val="clea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3.5 报价评审。</w:t>
      </w:r>
    </w:p>
    <w:p w14:paraId="5FBB68C6">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磋商小组对供应商提交的报价进行评审。</w:t>
      </w:r>
    </w:p>
    <w:p w14:paraId="416FF096">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3.5.1响应文件报价出现前后不一致的，按照下列规定修正：</w:t>
      </w:r>
    </w:p>
    <w:p w14:paraId="4CAFACEC">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3.5.1.1电子交易平台生成的开标记录表(报价表)内容与响应文件中报价一览表(报价表)不一致的，以响应文件中报价一览表(报价表)为准；</w:t>
      </w:r>
    </w:p>
    <w:p w14:paraId="2979A81B">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3.5.1.2响应文件中报价一览表(报价表)内容与响应文件中相应内容不一致的，以报价一览表(报价表)为准；</w:t>
      </w:r>
    </w:p>
    <w:p w14:paraId="5CABA4AF">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3.5.1.3 大写金额和小写金额不一致的，以大写金额为准;</w:t>
      </w:r>
    </w:p>
    <w:p w14:paraId="41FAD28E">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3.5.1.4 单价金额小数点或者百分比有明显错位的，以报价一览表的总价为准，并修改单价;</w:t>
      </w:r>
    </w:p>
    <w:p w14:paraId="45D16893">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3.5.1.5同时出现两种以上不一致的，按照3.5.1规定的顺序修正。修正后的报价经</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确认后产生约束力。</w:t>
      </w:r>
    </w:p>
    <w:p w14:paraId="4DAC8FE4">
      <w:pPr>
        <w:shd w:val="clear"/>
        <w:snapToGri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3.5.2响应文件出现不是唯一的、有选择性磋商报价的，响应无效。</w:t>
      </w:r>
    </w:p>
    <w:p w14:paraId="02488C6D">
      <w:pPr>
        <w:shd w:val="clear"/>
        <w:snapToGri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3.5.3磋商报价超过</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文件中规定的预算金额或者最高限价的，响应无效。</w:t>
      </w:r>
    </w:p>
    <w:p w14:paraId="18CD6D79">
      <w:pPr>
        <w:pStyle w:val="51"/>
        <w:shd w:val="clear"/>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3.5.4磋商小组认为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的报价明显低于其他通过符合性审查</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的报价，有可能影响产品质量或者不能诚信履约的，应当要求其在30分钟内提供书面说明，必要时提交相关证明材料;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不能证明其报价合理性的，磋商小组应当将其作为无效响应处理。</w:t>
      </w:r>
    </w:p>
    <w:p w14:paraId="6EFEA036">
      <w:pPr>
        <w:shd w:val="clea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3.6</w:t>
      </w:r>
      <w:r>
        <w:rPr>
          <w:rFonts w:hint="eastAsia" w:asciiTheme="minorEastAsia" w:hAnsiTheme="minorEastAsia" w:eastAsiaTheme="minorEastAsia" w:cstheme="minorEastAsia"/>
          <w:b/>
          <w:bCs/>
          <w:color w:val="auto"/>
          <w:kern w:val="0"/>
          <w:szCs w:val="21"/>
          <w:highlight w:val="none"/>
        </w:rPr>
        <w:t>综合评议。</w:t>
      </w:r>
      <w:r>
        <w:rPr>
          <w:rFonts w:hint="eastAsia" w:asciiTheme="minorEastAsia" w:hAnsiTheme="minorEastAsia" w:eastAsiaTheme="minorEastAsia" w:cstheme="minorEastAsia"/>
          <w:color w:val="auto"/>
          <w:kern w:val="0"/>
          <w:szCs w:val="21"/>
          <w:highlight w:val="none"/>
        </w:rPr>
        <w:t>评分汇总（汇总各评委的评分，计算所有评委评出的总分的算术平均值作为供应商的综合得分）；按综合得分从高到低排序。</w:t>
      </w:r>
    </w:p>
    <w:p w14:paraId="33E60DC0">
      <w:pPr>
        <w:shd w:val="clea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3.7</w:t>
      </w:r>
      <w:r>
        <w:rPr>
          <w:rFonts w:hint="eastAsia" w:asciiTheme="minorEastAsia" w:hAnsiTheme="minorEastAsia" w:eastAsiaTheme="minorEastAsia" w:cstheme="minorEastAsia"/>
          <w:b/>
          <w:bCs/>
          <w:color w:val="auto"/>
          <w:kern w:val="0"/>
          <w:szCs w:val="21"/>
          <w:highlight w:val="none"/>
        </w:rPr>
        <w:t>磋商小组根据综合评分情况</w:t>
      </w:r>
      <w:r>
        <w:rPr>
          <w:rFonts w:hint="eastAsia" w:asciiTheme="minorEastAsia" w:hAnsiTheme="minorEastAsia" w:eastAsiaTheme="minorEastAsia" w:cstheme="minorEastAsia"/>
          <w:color w:val="auto"/>
          <w:kern w:val="0"/>
          <w:szCs w:val="21"/>
          <w:highlight w:val="none"/>
        </w:rPr>
        <w:t>，按照评审得分由高到低顺序推荐3名成交候选供应商。评审得分相同的，按照最后报价由低到高的顺序推荐。评审得分且最后报价相同的，按照技术指标优劣顺序推荐。</w:t>
      </w:r>
    </w:p>
    <w:p w14:paraId="3E46BDB8">
      <w:pPr>
        <w:shd w:val="clea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3.8编写评审报告。</w:t>
      </w:r>
      <w:r>
        <w:rPr>
          <w:rFonts w:hint="eastAsia" w:asciiTheme="minorEastAsia" w:hAnsiTheme="minorEastAsia" w:eastAsiaTheme="minorEastAsia" w:cstheme="minorEastAsia"/>
          <w:color w:val="auto"/>
          <w:kern w:val="0"/>
          <w:szCs w:val="21"/>
          <w:highlight w:val="none"/>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42B835">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四、评审中的其他事项</w:t>
      </w:r>
    </w:p>
    <w:p w14:paraId="478ED194">
      <w:pPr>
        <w:pStyle w:val="51"/>
        <w:shd w:val="clear"/>
        <w:spacing w:before="0"/>
        <w:ind w:firstLine="422"/>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4.1响应澄清、说明或者补正。</w:t>
      </w:r>
      <w:r>
        <w:rPr>
          <w:rFonts w:hint="eastAsia" w:asciiTheme="minorEastAsia" w:hAnsiTheme="minorEastAsia" w:eastAsiaTheme="minorEastAsia" w:cstheme="minorEastAsia"/>
          <w:color w:val="auto"/>
          <w:kern w:val="0"/>
          <w:sz w:val="21"/>
          <w:szCs w:val="21"/>
          <w:highlight w:val="none"/>
        </w:rPr>
        <w:t>对于响应文件中含义不明确、同类问题表述不一致或者有明显文字和计算错误的内容需要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作出必要的澄清、说明或者补正的，磋商小组和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通过电子交易平台交换数据电文，</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提交澄清、说明或补正的时间不得少于半小时，</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已经明确表示澄清说明或补正完毕的除外。</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的澄清、说明或者补正不得超出响应文件的范围或者改变响应文件的实质性内容。</w:t>
      </w:r>
    </w:p>
    <w:p w14:paraId="5DBA7E05">
      <w:pPr>
        <w:pStyle w:val="12"/>
        <w:shd w:val="clear"/>
        <w:spacing w:line="360" w:lineRule="auto"/>
        <w:ind w:firstLine="42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4.2响应无效的情形。</w:t>
      </w:r>
    </w:p>
    <w:p w14:paraId="28F065BD">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4.2.1 没有响应</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文件实质性要求的响应将被视为无效响应。</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疏忽、笔误所造成的差错，可允许其在评审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文件要求的，应认定其响应无效。</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修改、补正响应文件后，不影响磋商小组对其响应文件所作的评价和评分结果。</w:t>
      </w:r>
    </w:p>
    <w:p w14:paraId="3478AAE5">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4.2.2 在电子开评标时，如发现下列情形之一的，将被视为无效响应文件：</w:t>
      </w:r>
    </w:p>
    <w:p w14:paraId="4EA16A17">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4.2.2.1电子投标文件解密失败的；</w:t>
      </w:r>
    </w:p>
    <w:p w14:paraId="3FB61388">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4.2.2.2响应文件未按</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文件要求加密、签字、盖章的；</w:t>
      </w:r>
    </w:p>
    <w:p w14:paraId="54E2125E">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 在资格审查、符合性审查和商务评审时，如发现下列情形之一的，将被视为无效响应文件：</w:t>
      </w:r>
    </w:p>
    <w:p w14:paraId="02710295">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4.2.3.1 资格证明文件不全的或者不符合</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文件标明的资格要求的；</w:t>
      </w:r>
    </w:p>
    <w:p w14:paraId="5FE77D17">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4.2.3.2 响应文件未按</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文件要求签署、盖章的；</w:t>
      </w:r>
    </w:p>
    <w:p w14:paraId="3727D744">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4.2.3.3 响应代表人未能出具身份证明或身份证明与法定代表授权委托书不符的。</w:t>
      </w:r>
    </w:p>
    <w:p w14:paraId="0A91E4F4">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4.2.3.4 响应文件格式不规范、项目不齐全或者内容虚假的；</w:t>
      </w:r>
    </w:p>
    <w:p w14:paraId="38F3C807">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文件要求的（经磋商小组认定并允许其当场更正的笔误除外）；</w:t>
      </w:r>
    </w:p>
    <w:p w14:paraId="2F1CF6B6">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4.2.3.6 响应有效期、交货时间、质保期等商务条款不能满足</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文件要求的；</w:t>
      </w:r>
    </w:p>
    <w:p w14:paraId="1F0BC37A">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4.2.3.7单位负责人为同一人或者存在直接控股、管理关系的不同供应商参加同一合同项下的采购活动的；</w:t>
      </w:r>
    </w:p>
    <w:p w14:paraId="716C8E91">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4.2.3.8为采购项目提供整体设计、规范编制或者项目管理、监理、检测等服务的供应商参加该采购项目的其他采购活动的；</w:t>
      </w:r>
    </w:p>
    <w:p w14:paraId="17F4D2E6">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4.2.3.9商务技术文件中出现本项目磋商报价或单价的。</w:t>
      </w:r>
    </w:p>
    <w:p w14:paraId="3B0E464F">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4.3.在技术评审时，如发现下列情形之一的，将被视为无效响应文件：</w:t>
      </w:r>
    </w:p>
    <w:p w14:paraId="437B9162">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4.3.1采购需求响应有负偏离的；</w:t>
      </w:r>
    </w:p>
    <w:p w14:paraId="2233CCCE">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4.3.2 技术方案不明确，存在一个或一个以上备选（替代）技术方案的；</w:t>
      </w:r>
    </w:p>
    <w:p w14:paraId="4B56F3B7">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4.3.3 与其他参加本次磋商</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的响应文件（技术文件）的文字表述内容差错相同2处以上的；</w:t>
      </w:r>
    </w:p>
    <w:p w14:paraId="05B30622">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4.3.4采购人拟采购的产品属于政府强制采购的节能产品品目清单范围的，</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未按竞争性磋商文件要求提供国家确定的认证机构出具的、处于有效期之内的节能产品认证证书的。</w:t>
      </w:r>
    </w:p>
    <w:p w14:paraId="67820254">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4.4 在报价评审时，如发现下列情形之一的，响应文件将被视为无效：</w:t>
      </w:r>
    </w:p>
    <w:p w14:paraId="3D09829F">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4.4.1</w:t>
      </w:r>
      <w:r>
        <w:rPr>
          <w:rFonts w:hint="eastAsia" w:ascii="宋体" w:hAnsi="宋体" w:cs="宋体"/>
          <w:bCs/>
          <w:snapToGrid w:val="0"/>
          <w:color w:val="auto"/>
          <w:szCs w:val="21"/>
          <w:highlight w:val="none"/>
        </w:rPr>
        <w:t>未按采购文件要求形式进行报价的或</w:t>
      </w:r>
      <w:r>
        <w:rPr>
          <w:rFonts w:hint="eastAsia" w:asciiTheme="minorEastAsia" w:hAnsiTheme="minorEastAsia" w:eastAsiaTheme="minorEastAsia" w:cstheme="minorEastAsia"/>
          <w:color w:val="auto"/>
          <w:kern w:val="0"/>
          <w:szCs w:val="21"/>
          <w:highlight w:val="none"/>
        </w:rPr>
        <w:t>未采用人民币报价或者未按照竞争性磋商文件标明的币种报价的；</w:t>
      </w:r>
    </w:p>
    <w:p w14:paraId="6844F835">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4.4.2 报价超过</w:t>
      </w:r>
      <w:r>
        <w:rPr>
          <w:rFonts w:hint="eastAsia" w:ascii="宋体" w:hAnsi="宋体" w:cs="宋体"/>
          <w:bCs/>
          <w:snapToGrid w:val="0"/>
          <w:color w:val="auto"/>
          <w:szCs w:val="21"/>
          <w:highlight w:val="none"/>
        </w:rPr>
        <w:t>最高折扣</w:t>
      </w:r>
      <w:r>
        <w:rPr>
          <w:rFonts w:hint="eastAsia" w:asciiTheme="minorEastAsia" w:hAnsiTheme="minorEastAsia" w:eastAsiaTheme="minorEastAsia" w:cstheme="minorEastAsia"/>
          <w:color w:val="auto"/>
          <w:kern w:val="0"/>
          <w:szCs w:val="21"/>
          <w:highlight w:val="none"/>
        </w:rPr>
        <w:t>；</w:t>
      </w:r>
    </w:p>
    <w:p w14:paraId="3C9808DB">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4.4.3 磋商报价具有选择性的；</w:t>
      </w:r>
    </w:p>
    <w:p w14:paraId="7301839D">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4.4.4 磋商报价中出现缺项、漏项或被磋商小组认定为有可能影响产品质量或者不能诚信履约的且不能在合理的时间内证明其报价合理性的；</w:t>
      </w:r>
    </w:p>
    <w:p w14:paraId="59120146">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4.4.5供应商对根据修正原则修正后的报价不确认的。</w:t>
      </w:r>
    </w:p>
    <w:p w14:paraId="6832D4D3">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4.5其他无效情形：</w:t>
      </w:r>
    </w:p>
    <w:p w14:paraId="366F950D">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4.5.1 不同供应商的投标文件出自同一终端设备或在相同Internet主机分配地址（相同IP地址）进行网上报名、投标的；不同供应商的电子投标（响应）文件上传计算机的网卡MAC地址或硬盘序列号等硬件信息相同的；</w:t>
      </w:r>
    </w:p>
    <w:p w14:paraId="39BA9AD9">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4.5.2 上传的电子投标（响应）文件若出现使用本项目其他投标（响应）供应商的数字证书加密的，或者加盖本项目其他投标（响应）供应商的电子印章的；</w:t>
      </w:r>
    </w:p>
    <w:p w14:paraId="19A14876">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4.5.3 不同供应商的投标（响应）文件的内容存在3处（含）以上错误一致的；</w:t>
      </w:r>
    </w:p>
    <w:p w14:paraId="49BC9049">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4.5.4 不同供应商联系人为同一人或不同联系人的联系电话一致的；</w:t>
      </w:r>
    </w:p>
    <w:p w14:paraId="71B2E314">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4.5.5 法律、法规、规章（适用本市的）及省级以上规范性文件（适用本市的）规定的其他无效情形。</w:t>
      </w:r>
    </w:p>
    <w:p w14:paraId="4CA08688">
      <w:pPr>
        <w:shd w:val="clea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rPr>
        <w:t>5.采购终止的情形。</w:t>
      </w:r>
      <w:r>
        <w:rPr>
          <w:rFonts w:hint="eastAsia" w:asciiTheme="minorEastAsia" w:hAnsiTheme="minorEastAsia" w:eastAsiaTheme="minorEastAsia" w:cstheme="minorEastAsia"/>
          <w:color w:val="auto"/>
          <w:kern w:val="0"/>
          <w:szCs w:val="21"/>
          <w:highlight w:val="none"/>
        </w:rPr>
        <w:t>在本项目磋商采购中，出现下列情形之一的，应当终止竞争性磋商采购活动，发布项目终止公告并说明原因，重新开展采购活动：</w:t>
      </w:r>
    </w:p>
    <w:p w14:paraId="7E0CAAA8">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5.1因情况变化，不再符合规定的竞争性磋商采购方式适用情形的；</w:t>
      </w:r>
    </w:p>
    <w:p w14:paraId="5B84474B">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5.2出现影响采购公正的违法、违规行为的；</w:t>
      </w:r>
    </w:p>
    <w:p w14:paraId="720E4CB4">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544E2CAE">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5.4电子交易平台无法正常运行，无法保证电子交易的公平、公正和安全的情况。</w:t>
      </w:r>
    </w:p>
    <w:p w14:paraId="3A01A2E9">
      <w:pPr>
        <w:pStyle w:val="12"/>
        <w:shd w:val="clear"/>
        <w:snapToGrid w:val="0"/>
        <w:spacing w:line="360" w:lineRule="auto"/>
        <w:ind w:firstLine="42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6.修改竞争性磋商文件，重新组织采购活动。</w:t>
      </w:r>
      <w:r>
        <w:rPr>
          <w:rFonts w:hint="eastAsia" w:asciiTheme="minorEastAsia" w:hAnsiTheme="minorEastAsia" w:eastAsiaTheme="minorEastAsia" w:cstheme="minorEastAsia"/>
          <w:color w:val="auto"/>
          <w:sz w:val="21"/>
          <w:szCs w:val="21"/>
          <w:highlight w:val="none"/>
        </w:rPr>
        <w:t>磋商小组发现竞争性磋商文件存在歧义、重大缺陷导致评审工作无法进行，或者竞争性磋商文件内容违反国家有关强制性规定的，将停止评审工作，并与采购人、采购代理机构沟通并作书面记录。采购人、采购代理机构确认后，将修改竞争性磋商文件，重新组织采购活动。</w:t>
      </w:r>
    </w:p>
    <w:p w14:paraId="16EEDFA4">
      <w:pPr>
        <w:pStyle w:val="12"/>
        <w:shd w:val="clear"/>
        <w:adjustRightInd w:val="0"/>
        <w:snapToGrid w:val="0"/>
        <w:spacing w:line="360" w:lineRule="auto"/>
        <w:ind w:firstLine="42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7.重新开展采购。</w:t>
      </w:r>
      <w:r>
        <w:rPr>
          <w:rFonts w:hint="eastAsia" w:asciiTheme="minorEastAsia" w:hAnsiTheme="minorEastAsia" w:eastAsiaTheme="minorEastAsia" w:cstheme="minorEastAsia"/>
          <w:color w:val="auto"/>
          <w:sz w:val="21"/>
          <w:szCs w:val="21"/>
          <w:highlight w:val="none"/>
        </w:rPr>
        <w:t>有政府采购法第七十一条、第七十二条规定的违法行为之一，影响或者可能影响中标、成交结果的，依照下列规定处理：</w:t>
      </w:r>
    </w:p>
    <w:p w14:paraId="4BD11B53">
      <w:pPr>
        <w:pStyle w:val="12"/>
        <w:shd w:val="clea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7.1未确定成交或者成交人的，终止本次采购活动，重新开展采购活动。</w:t>
      </w:r>
    </w:p>
    <w:p w14:paraId="21A94A74">
      <w:pPr>
        <w:pStyle w:val="12"/>
        <w:shd w:val="clea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7.2已确定成交或者成交人但尚未签订采购合同的，成交或者成交结果无效，重新开展采购活动。</w:t>
      </w:r>
    </w:p>
    <w:p w14:paraId="6F8D7D61">
      <w:pPr>
        <w:pStyle w:val="12"/>
        <w:shd w:val="clea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7.3采购合同已签订但尚未履行的，撤销合同，重新开展采购活动。</w:t>
      </w:r>
    </w:p>
    <w:p w14:paraId="0807BD0B">
      <w:pPr>
        <w:pStyle w:val="12"/>
        <w:shd w:val="clea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7.4采购合同已经履行，给采购人、供应商造成损失的，由责任人承担赔偿责任。</w:t>
      </w:r>
    </w:p>
    <w:p w14:paraId="6CC3638B">
      <w:pPr>
        <w:pStyle w:val="12"/>
        <w:shd w:val="clear"/>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7.5采购当事人有其他违反采购法</w:t>
      </w:r>
      <w:r>
        <w:rPr>
          <w:rFonts w:hint="eastAsia" w:asciiTheme="minorEastAsia" w:hAnsiTheme="minorEastAsia" w:eastAsiaTheme="minorEastAsia" w:cstheme="minorEastAsia"/>
          <w:color w:val="auto"/>
          <w:kern w:val="0"/>
          <w:sz w:val="21"/>
          <w:szCs w:val="21"/>
          <w:highlight w:val="none"/>
        </w:rPr>
        <w:t>或者政府采购法实施条例等法律法规规定</w:t>
      </w:r>
      <w:r>
        <w:rPr>
          <w:rFonts w:hint="eastAsia" w:asciiTheme="minorEastAsia" w:hAnsiTheme="minorEastAsia" w:eastAsiaTheme="minorEastAsia" w:cstheme="minorEastAsia"/>
          <w:color w:val="auto"/>
          <w:sz w:val="21"/>
          <w:szCs w:val="21"/>
          <w:highlight w:val="none"/>
        </w:rPr>
        <w:t>的行为，经改正后仍然影响或者可能影响中标、成交结果或者依法被认定为中标、成交无效的，依照7.1-7.4规定处理。</w:t>
      </w:r>
    </w:p>
    <w:p w14:paraId="18CD2198">
      <w:pPr>
        <w:shd w:val="clear"/>
        <w:spacing w:line="360" w:lineRule="auto"/>
        <w:ind w:firstLine="723"/>
        <w:rPr>
          <w:rFonts w:asciiTheme="minorEastAsia" w:hAnsiTheme="minorEastAsia" w:eastAsiaTheme="minorEastAsia" w:cstheme="minorEastAsia"/>
          <w:b/>
          <w:color w:val="auto"/>
          <w:sz w:val="36"/>
          <w:szCs w:val="36"/>
          <w:highlight w:val="none"/>
        </w:rPr>
      </w:pPr>
    </w:p>
    <w:p w14:paraId="47F3CC27">
      <w:pPr>
        <w:pStyle w:val="12"/>
        <w:numPr>
          <w:ilvl w:val="0"/>
          <w:numId w:val="3"/>
        </w:numPr>
        <w:shd w:val="clea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color w:val="auto"/>
          <w:sz w:val="36"/>
          <w:szCs w:val="36"/>
          <w:highlight w:val="none"/>
        </w:rPr>
        <w:t>合同文本</w:t>
      </w:r>
    </w:p>
    <w:p w14:paraId="1349BAB4">
      <w:pPr>
        <w:pStyle w:val="52"/>
        <w:shd w:val="clear"/>
        <w:ind w:left="0" w:leftChars="0" w:firstLine="0" w:firstLineChars="0"/>
        <w:rPr>
          <w:rFonts w:asciiTheme="minorEastAsia" w:hAnsiTheme="minorEastAsia" w:eastAsiaTheme="minorEastAsia" w:cstheme="minorEastAsia"/>
          <w:color w:val="auto"/>
          <w:szCs w:val="24"/>
          <w:highlight w:val="none"/>
        </w:rPr>
      </w:pPr>
    </w:p>
    <w:p w14:paraId="0D46FDD1">
      <w:pPr>
        <w:pStyle w:val="52"/>
        <w:shd w:val="clear"/>
        <w:rPr>
          <w:rFonts w:asciiTheme="minorEastAsia" w:hAnsiTheme="minorEastAsia" w:eastAsiaTheme="minorEastAsia" w:cstheme="minorEastAsia"/>
          <w:color w:val="auto"/>
          <w:szCs w:val="24"/>
          <w:highlight w:val="none"/>
        </w:rPr>
      </w:pPr>
    </w:p>
    <w:p w14:paraId="5ED5D4D0">
      <w:pPr>
        <w:pStyle w:val="52"/>
        <w:shd w:val="clear"/>
        <w:ind w:left="0" w:leftChars="0" w:firstLine="0" w:firstLineChars="0"/>
        <w:rPr>
          <w:rFonts w:asciiTheme="minorEastAsia" w:hAnsiTheme="minorEastAsia" w:eastAsiaTheme="minorEastAsia" w:cstheme="minorEastAsia"/>
          <w:color w:val="auto"/>
          <w:szCs w:val="24"/>
          <w:highlight w:val="none"/>
        </w:rPr>
      </w:pPr>
    </w:p>
    <w:p w14:paraId="076B3B4C">
      <w:pPr>
        <w:shd w:val="clear"/>
        <w:spacing w:before="120" w:line="360" w:lineRule="auto"/>
        <w:ind w:firstLine="480"/>
        <w:rPr>
          <w:rFonts w:asciiTheme="minorEastAsia" w:hAnsiTheme="minorEastAsia" w:eastAsiaTheme="minorEastAsia" w:cstheme="minorEastAsia"/>
          <w:color w:val="auto"/>
          <w:sz w:val="24"/>
          <w:highlight w:val="none"/>
        </w:rPr>
      </w:pPr>
    </w:p>
    <w:p w14:paraId="3DE7BE0A">
      <w:pPr>
        <w:shd w:val="clear"/>
        <w:spacing w:before="120" w:line="360" w:lineRule="auto"/>
        <w:ind w:left="960"/>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sz w:val="28"/>
          <w:szCs w:val="28"/>
          <w:highlight w:val="none"/>
          <w:u w:val="single"/>
        </w:rPr>
        <w:t>年产950万件新型电子元器件生产项目招标控制价及预算编制服务项目</w:t>
      </w:r>
    </w:p>
    <w:p w14:paraId="5380DF1D">
      <w:pPr>
        <w:pStyle w:val="44"/>
        <w:shd w:val="clear"/>
        <w:spacing w:before="120"/>
        <w:ind w:firstLine="480"/>
        <w:rPr>
          <w:rFonts w:asciiTheme="minorEastAsia" w:hAnsiTheme="minorEastAsia" w:eastAsiaTheme="minorEastAsia" w:cstheme="minorEastAsia"/>
          <w:color w:val="auto"/>
          <w:szCs w:val="24"/>
          <w:highlight w:val="none"/>
        </w:rPr>
      </w:pPr>
    </w:p>
    <w:p w14:paraId="2B88D181">
      <w:pPr>
        <w:pStyle w:val="44"/>
        <w:shd w:val="clear"/>
        <w:spacing w:before="120"/>
        <w:ind w:firstLine="480"/>
        <w:rPr>
          <w:rFonts w:asciiTheme="minorEastAsia" w:hAnsiTheme="minorEastAsia" w:eastAsiaTheme="minorEastAsia" w:cstheme="minorEastAsia"/>
          <w:color w:val="auto"/>
          <w:szCs w:val="24"/>
          <w:highlight w:val="none"/>
        </w:rPr>
      </w:pPr>
    </w:p>
    <w:p w14:paraId="6D2C87E0">
      <w:pPr>
        <w:shd w:val="clear"/>
        <w:spacing w:line="360" w:lineRule="auto"/>
        <w:ind w:firstLine="480"/>
        <w:rPr>
          <w:rFonts w:asciiTheme="minorEastAsia" w:hAnsiTheme="minorEastAsia" w:eastAsiaTheme="minorEastAsia" w:cstheme="minorEastAsia"/>
          <w:color w:val="auto"/>
          <w:sz w:val="24"/>
          <w:highlight w:val="none"/>
        </w:rPr>
      </w:pPr>
    </w:p>
    <w:p w14:paraId="41A6DDF9">
      <w:pPr>
        <w:shd w:val="clear"/>
        <w:spacing w:before="120" w:line="600" w:lineRule="auto"/>
        <w:ind w:left="960" w:firstLine="720" w:firstLineChars="3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宁波锦铭科技有限公司</w:t>
      </w:r>
      <w:r>
        <w:rPr>
          <w:rFonts w:hint="eastAsia" w:asciiTheme="minorEastAsia" w:hAnsiTheme="minorEastAsia" w:eastAsiaTheme="minorEastAsia" w:cstheme="minorEastAsia"/>
          <w:color w:val="auto"/>
          <w:sz w:val="24"/>
          <w:highlight w:val="none"/>
        </w:rPr>
        <w:t xml:space="preserve">    </w:t>
      </w:r>
    </w:p>
    <w:p w14:paraId="465A5EF8">
      <w:pPr>
        <w:shd w:val="clear"/>
        <w:spacing w:before="120" w:line="600" w:lineRule="auto"/>
        <w:ind w:left="960"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1580E30C">
      <w:pPr>
        <w:shd w:val="clea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4CD5DAE3">
      <w:pPr>
        <w:shd w:val="clea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2B6AC4D3">
      <w:pPr>
        <w:shd w:val="clear"/>
        <w:spacing w:line="360" w:lineRule="auto"/>
        <w:jc w:val="center"/>
        <w:outlineLvl w:val="1"/>
        <w:rPr>
          <w:b/>
          <w:bCs/>
          <w:color w:val="auto"/>
          <w:highlight w:val="none"/>
        </w:rPr>
      </w:pPr>
      <w:r>
        <w:rPr>
          <w:rFonts w:asciiTheme="minorEastAsia" w:hAnsiTheme="minorEastAsia" w:eastAsiaTheme="minorEastAsia" w:cstheme="minorEastAsia"/>
          <w:b/>
          <w:color w:val="auto"/>
          <w:sz w:val="36"/>
          <w:szCs w:val="20"/>
          <w:highlight w:val="none"/>
        </w:rPr>
        <w:br w:type="page"/>
      </w:r>
      <w:r>
        <w:rPr>
          <w:b/>
          <w:bCs/>
          <w:color w:val="auto"/>
          <w:highlight w:val="none"/>
        </w:rPr>
        <w:t>第一部分</w:t>
      </w:r>
      <w:r>
        <w:rPr>
          <w:rFonts w:hint="eastAsia"/>
          <w:b/>
          <w:bCs/>
          <w:color w:val="auto"/>
          <w:highlight w:val="none"/>
        </w:rPr>
        <w:t xml:space="preserve"> </w:t>
      </w:r>
      <w:r>
        <w:rPr>
          <w:b/>
          <w:bCs/>
          <w:color w:val="auto"/>
          <w:highlight w:val="none"/>
        </w:rPr>
        <w:t>协议书</w:t>
      </w:r>
    </w:p>
    <w:p w14:paraId="3C75965A">
      <w:pPr>
        <w:pStyle w:val="86"/>
        <w:shd w:val="clear"/>
        <w:spacing w:line="360" w:lineRule="auto"/>
        <w:jc w:val="left"/>
        <w:rPr>
          <w:rFonts w:ascii="Times New Roman" w:hAnsi="Times New Roman"/>
          <w:color w:val="auto"/>
          <w:highlight w:val="none"/>
          <w:u w:val="single"/>
        </w:rPr>
      </w:pPr>
      <w:r>
        <w:rPr>
          <w:rFonts w:hint="eastAsia" w:ascii="Times New Roman" w:hAnsi="Times New Roman"/>
          <w:color w:val="auto"/>
          <w:highlight w:val="none"/>
        </w:rPr>
        <w:t>甲方（全称）：</w:t>
      </w:r>
      <w:r>
        <w:rPr>
          <w:rFonts w:hint="eastAsia" w:ascii="Times New Roman" w:hAnsi="Times New Roman"/>
          <w:color w:val="auto"/>
          <w:highlight w:val="none"/>
          <w:u w:val="single"/>
        </w:rPr>
        <w:t>宁波锦铭科技有限公司</w:t>
      </w:r>
    </w:p>
    <w:p w14:paraId="009397D0">
      <w:pPr>
        <w:pStyle w:val="86"/>
        <w:shd w:val="clear"/>
        <w:spacing w:line="360" w:lineRule="auto"/>
        <w:jc w:val="left"/>
        <w:rPr>
          <w:rFonts w:ascii="Times New Roman" w:hAnsi="Times New Roman"/>
          <w:color w:val="auto"/>
          <w:highlight w:val="none"/>
        </w:rPr>
      </w:pPr>
      <w:r>
        <w:rPr>
          <w:rFonts w:hint="eastAsia" w:ascii="Times New Roman" w:hAnsi="Times New Roman"/>
          <w:color w:val="auto"/>
          <w:highlight w:val="none"/>
        </w:rPr>
        <w:t>乙方（全称）：</w:t>
      </w:r>
      <w:r>
        <w:rPr>
          <w:rFonts w:hint="eastAsia" w:ascii="Times New Roman" w:hAnsi="Times New Roman"/>
          <w:color w:val="auto"/>
          <w:highlight w:val="none"/>
          <w:u w:val="single"/>
        </w:rPr>
        <w:t xml:space="preserve">                    </w:t>
      </w:r>
    </w:p>
    <w:p w14:paraId="3D81703F">
      <w:pPr>
        <w:pStyle w:val="86"/>
        <w:shd w:val="clear"/>
        <w:spacing w:line="360" w:lineRule="auto"/>
        <w:ind w:firstLine="420" w:firstLineChars="200"/>
        <w:jc w:val="left"/>
        <w:rPr>
          <w:rFonts w:ascii="Times New Roman" w:hAnsi="Times New Roman"/>
          <w:color w:val="auto"/>
          <w:highlight w:val="none"/>
        </w:rPr>
      </w:pPr>
      <w:r>
        <w:rPr>
          <w:rFonts w:hint="eastAsia" w:ascii="Times New Roman" w:hAnsi="Times New Roman"/>
          <w:color w:val="auto"/>
          <w:highlight w:val="none"/>
        </w:rPr>
        <w:t>根据《中华人民共和国民法典》及其他有关法律、法规，遵循平等、自愿、公平和诚实信用的原则，双方就下述建设工程委托工程咨询服务事项协商一致，订立本合同。</w:t>
      </w:r>
    </w:p>
    <w:p w14:paraId="25D548B8">
      <w:pPr>
        <w:pStyle w:val="23"/>
        <w:shd w:val="clear"/>
        <w:spacing w:before="0" w:after="0" w:line="360" w:lineRule="auto"/>
        <w:jc w:val="left"/>
        <w:rPr>
          <w:rFonts w:ascii="Times New Roman" w:hAnsi="Times New Roman" w:cs="宋体"/>
          <w:color w:val="auto"/>
          <w:sz w:val="21"/>
          <w:szCs w:val="21"/>
          <w:highlight w:val="none"/>
        </w:rPr>
      </w:pPr>
      <w:bookmarkStart w:id="394" w:name="_Toc32460"/>
      <w:bookmarkStart w:id="395" w:name="_Toc5641"/>
      <w:bookmarkStart w:id="396" w:name="_Toc422322471"/>
      <w:bookmarkStart w:id="397" w:name="_Toc16903"/>
      <w:bookmarkStart w:id="398" w:name="_Toc1046"/>
      <w:bookmarkStart w:id="399" w:name="_Toc419045056"/>
      <w:r>
        <w:rPr>
          <w:rFonts w:hint="eastAsia" w:ascii="Times New Roman" w:hAnsi="Times New Roman" w:cs="宋体"/>
          <w:color w:val="auto"/>
          <w:sz w:val="21"/>
          <w:szCs w:val="21"/>
          <w:highlight w:val="none"/>
        </w:rPr>
        <w:t>一、工程概况</w:t>
      </w:r>
      <w:bookmarkEnd w:id="394"/>
      <w:bookmarkEnd w:id="395"/>
      <w:bookmarkEnd w:id="396"/>
      <w:bookmarkEnd w:id="397"/>
      <w:bookmarkEnd w:id="398"/>
    </w:p>
    <w:p w14:paraId="4F999AFE">
      <w:pPr>
        <w:shd w:val="clear"/>
        <w:spacing w:line="360" w:lineRule="auto"/>
        <w:ind w:firstLine="420" w:firstLineChars="200"/>
        <w:rPr>
          <w:rFonts w:cs="宋体"/>
          <w:color w:val="auto"/>
          <w:szCs w:val="21"/>
          <w:highlight w:val="none"/>
          <w:u w:val="single"/>
        </w:rPr>
      </w:pPr>
      <w:r>
        <w:rPr>
          <w:rFonts w:hint="eastAsia" w:cs="宋体"/>
          <w:color w:val="auto"/>
          <w:szCs w:val="21"/>
          <w:highlight w:val="none"/>
        </w:rPr>
        <w:t>1.工程名称：</w:t>
      </w:r>
      <w:r>
        <w:rPr>
          <w:rFonts w:hint="eastAsia" w:cs="宋体"/>
          <w:color w:val="auto"/>
          <w:szCs w:val="21"/>
          <w:highlight w:val="none"/>
          <w:u w:val="single"/>
        </w:rPr>
        <w:t>年产950万件新型电子元器件生产项目</w:t>
      </w:r>
    </w:p>
    <w:p w14:paraId="779E4840">
      <w:pPr>
        <w:shd w:val="clear"/>
        <w:spacing w:line="360" w:lineRule="auto"/>
        <w:ind w:firstLine="420" w:firstLineChars="200"/>
        <w:rPr>
          <w:rFonts w:cs="宋体"/>
          <w:color w:val="auto"/>
          <w:szCs w:val="21"/>
          <w:highlight w:val="none"/>
          <w:u w:val="single"/>
        </w:rPr>
      </w:pPr>
      <w:r>
        <w:rPr>
          <w:rFonts w:hint="eastAsia" w:cs="宋体"/>
          <w:color w:val="auto"/>
          <w:szCs w:val="21"/>
          <w:highlight w:val="none"/>
        </w:rPr>
        <w:t>2.工程地点：</w:t>
      </w:r>
      <w:bookmarkEnd w:id="399"/>
      <w:r>
        <w:rPr>
          <w:rFonts w:hint="eastAsia" w:cs="宋体"/>
          <w:color w:val="auto"/>
          <w:szCs w:val="21"/>
          <w:highlight w:val="none"/>
          <w:u w:val="single"/>
        </w:rPr>
        <w:t>位于宁波市奉化区。</w:t>
      </w:r>
    </w:p>
    <w:p w14:paraId="61342294">
      <w:pPr>
        <w:shd w:val="clear"/>
        <w:spacing w:line="360" w:lineRule="auto"/>
        <w:ind w:firstLine="420" w:firstLineChars="200"/>
        <w:rPr>
          <w:rFonts w:cs="宋体"/>
          <w:color w:val="auto"/>
          <w:szCs w:val="21"/>
          <w:highlight w:val="none"/>
        </w:rPr>
      </w:pPr>
      <w:r>
        <w:rPr>
          <w:rFonts w:hint="eastAsia" w:cs="宋体"/>
          <w:color w:val="auto"/>
          <w:szCs w:val="21"/>
          <w:highlight w:val="none"/>
        </w:rPr>
        <w:t>3.工程规模：</w:t>
      </w:r>
      <w:r>
        <w:rPr>
          <w:rFonts w:hint="eastAsia" w:cs="宋体"/>
          <w:color w:val="auto"/>
          <w:szCs w:val="21"/>
          <w:highlight w:val="none"/>
          <w:u w:val="single"/>
        </w:rPr>
        <w:t>/。</w:t>
      </w:r>
    </w:p>
    <w:p w14:paraId="3B23F51E">
      <w:pPr>
        <w:pStyle w:val="86"/>
        <w:shd w:val="clear"/>
        <w:spacing w:line="360" w:lineRule="auto"/>
        <w:ind w:firstLine="420" w:firstLineChars="200"/>
        <w:jc w:val="left"/>
        <w:rPr>
          <w:rFonts w:ascii="Times New Roman" w:hAnsi="Times New Roman"/>
          <w:color w:val="auto"/>
          <w:highlight w:val="none"/>
          <w:u w:val="single"/>
        </w:rPr>
      </w:pPr>
      <w:bookmarkStart w:id="400" w:name="_Toc24913"/>
      <w:bookmarkStart w:id="401" w:name="_Toc422322472"/>
      <w:bookmarkStart w:id="402" w:name="_Toc419045059"/>
      <w:r>
        <w:rPr>
          <w:rFonts w:hint="eastAsia" w:ascii="Times New Roman" w:hAnsi="Times New Roman"/>
          <w:color w:val="auto"/>
          <w:highlight w:val="none"/>
        </w:rPr>
        <w:t>4.项目估算总投资：</w:t>
      </w:r>
      <w:r>
        <w:rPr>
          <w:rFonts w:hint="eastAsia" w:ascii="Times New Roman" w:hAnsi="Times New Roman"/>
          <w:color w:val="auto"/>
          <w:highlight w:val="none"/>
          <w:u w:val="single"/>
        </w:rPr>
        <w:t xml:space="preserve">        </w:t>
      </w:r>
      <w:r>
        <w:rPr>
          <w:rFonts w:hint="eastAsia" w:ascii="Times New Roman" w:hAnsi="Times New Roman"/>
          <w:color w:val="auto"/>
          <w:highlight w:val="none"/>
        </w:rPr>
        <w:t>。</w:t>
      </w:r>
    </w:p>
    <w:p w14:paraId="01874939">
      <w:pPr>
        <w:pStyle w:val="86"/>
        <w:shd w:val="clear"/>
        <w:spacing w:line="360" w:lineRule="auto"/>
        <w:jc w:val="left"/>
        <w:rPr>
          <w:rFonts w:ascii="Times New Roman" w:hAnsi="Times New Roman"/>
          <w:color w:val="auto"/>
          <w:highlight w:val="none"/>
        </w:rPr>
      </w:pPr>
      <w:r>
        <w:rPr>
          <w:rFonts w:hint="eastAsia" w:ascii="Times New Roman" w:hAnsi="Times New Roman"/>
          <w:color w:val="auto"/>
          <w:highlight w:val="none"/>
        </w:rPr>
        <w:t xml:space="preserve">    5.资金来源：</w:t>
      </w:r>
      <w:r>
        <w:rPr>
          <w:rFonts w:hint="eastAsia" w:ascii="Times New Roman" w:hAnsi="Times New Roman"/>
          <w:color w:val="auto"/>
          <w:highlight w:val="none"/>
          <w:u w:val="single"/>
        </w:rPr>
        <w:t xml:space="preserve">      </w:t>
      </w:r>
      <w:r>
        <w:rPr>
          <w:color w:val="auto"/>
          <w:highlight w:val="none"/>
          <w:u w:val="single"/>
        </w:rPr>
        <w:t>。</w:t>
      </w:r>
    </w:p>
    <w:p w14:paraId="2EE515C4">
      <w:pPr>
        <w:pStyle w:val="86"/>
        <w:shd w:val="clear"/>
        <w:spacing w:line="360" w:lineRule="auto"/>
        <w:ind w:firstLine="420" w:firstLineChars="200"/>
        <w:jc w:val="left"/>
        <w:rPr>
          <w:rFonts w:ascii="Times New Roman" w:hAnsi="Times New Roman"/>
          <w:color w:val="auto"/>
          <w:highlight w:val="none"/>
          <w:u w:val="single"/>
        </w:rPr>
      </w:pPr>
      <w:r>
        <w:rPr>
          <w:rFonts w:hint="eastAsia" w:ascii="Times New Roman" w:hAnsi="Times New Roman"/>
          <w:color w:val="auto"/>
          <w:highlight w:val="none"/>
        </w:rPr>
        <w:t>6.建设工期或周期：约</w:t>
      </w:r>
      <w:r>
        <w:rPr>
          <w:rFonts w:hint="eastAsia" w:ascii="Times New Roman" w:hAnsi="Times New Roman"/>
          <w:color w:val="auto"/>
          <w:highlight w:val="none"/>
          <w:u w:val="single"/>
        </w:rPr>
        <w:t xml:space="preserve">      </w:t>
      </w:r>
    </w:p>
    <w:p w14:paraId="374880AC">
      <w:pPr>
        <w:pStyle w:val="86"/>
        <w:shd w:val="clear"/>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7.其他：</w:t>
      </w:r>
      <w:r>
        <w:rPr>
          <w:rFonts w:hint="eastAsia" w:ascii="Times New Roman" w:hAnsi="Times New Roman"/>
          <w:color w:val="auto"/>
          <w:highlight w:val="none"/>
          <w:u w:val="single"/>
        </w:rPr>
        <w:t xml:space="preserve">  无  </w:t>
      </w:r>
      <w:r>
        <w:rPr>
          <w:rFonts w:hint="eastAsia" w:ascii="Times New Roman" w:hAnsi="Times New Roman"/>
          <w:color w:val="auto"/>
          <w:highlight w:val="none"/>
        </w:rPr>
        <w:t>。</w:t>
      </w:r>
      <w:bookmarkStart w:id="403" w:name="7"/>
      <w:bookmarkEnd w:id="403"/>
    </w:p>
    <w:p w14:paraId="521BD947">
      <w:pPr>
        <w:pStyle w:val="23"/>
        <w:shd w:val="clear"/>
        <w:spacing w:before="0" w:after="0" w:line="360" w:lineRule="auto"/>
        <w:jc w:val="left"/>
        <w:rPr>
          <w:rFonts w:ascii="Times New Roman" w:hAnsi="Times New Roman" w:cs="宋体"/>
          <w:color w:val="auto"/>
          <w:sz w:val="21"/>
          <w:szCs w:val="21"/>
          <w:highlight w:val="none"/>
        </w:rPr>
      </w:pPr>
      <w:bookmarkStart w:id="404" w:name="_Toc2439"/>
      <w:bookmarkStart w:id="405" w:name="_Toc8937"/>
      <w:bookmarkStart w:id="406" w:name="_Toc26089"/>
      <w:r>
        <w:rPr>
          <w:rFonts w:hint="eastAsia" w:ascii="Times New Roman" w:hAnsi="Times New Roman" w:cs="宋体"/>
          <w:color w:val="auto"/>
          <w:sz w:val="21"/>
          <w:szCs w:val="21"/>
          <w:highlight w:val="none"/>
        </w:rPr>
        <w:t>二、服务范围及工作内容</w:t>
      </w:r>
      <w:bookmarkEnd w:id="400"/>
      <w:bookmarkEnd w:id="401"/>
      <w:bookmarkEnd w:id="402"/>
      <w:bookmarkEnd w:id="404"/>
      <w:bookmarkEnd w:id="405"/>
      <w:bookmarkEnd w:id="406"/>
    </w:p>
    <w:p w14:paraId="55D8A6BA">
      <w:pPr>
        <w:shd w:val="clear"/>
        <w:spacing w:line="360" w:lineRule="auto"/>
        <w:ind w:firstLine="435"/>
        <w:rPr>
          <w:rFonts w:cs="宋体"/>
          <w:color w:val="auto"/>
          <w:szCs w:val="21"/>
          <w:highlight w:val="none"/>
        </w:rPr>
      </w:pPr>
      <w:r>
        <w:rPr>
          <w:rFonts w:hint="eastAsia" w:cs="宋体"/>
          <w:color w:val="auto"/>
          <w:szCs w:val="21"/>
          <w:highlight w:val="none"/>
        </w:rPr>
        <w:t>双方约定的服务范围及工作内容：</w:t>
      </w:r>
      <w:r>
        <w:rPr>
          <w:rFonts w:cs="宋体"/>
          <w:color w:val="auto"/>
          <w:szCs w:val="21"/>
          <w:highlight w:val="none"/>
        </w:rPr>
        <w:t xml:space="preserve"> </w:t>
      </w:r>
    </w:p>
    <w:p w14:paraId="466C42BB">
      <w:pPr>
        <w:shd w:val="clear"/>
        <w:spacing w:line="360" w:lineRule="auto"/>
        <w:ind w:firstLine="435"/>
        <w:rPr>
          <w:rFonts w:cs="宋体"/>
          <w:color w:val="auto"/>
          <w:szCs w:val="21"/>
          <w:highlight w:val="none"/>
        </w:rPr>
      </w:pPr>
    </w:p>
    <w:p w14:paraId="54F37967">
      <w:pPr>
        <w:pStyle w:val="23"/>
        <w:shd w:val="clear"/>
        <w:spacing w:before="0" w:after="0" w:line="360" w:lineRule="auto"/>
        <w:ind w:firstLine="422" w:firstLineChars="200"/>
        <w:jc w:val="left"/>
        <w:rPr>
          <w:rFonts w:ascii="Times New Roman" w:hAnsi="Times New Roman" w:cs="宋体"/>
          <w:color w:val="auto"/>
          <w:sz w:val="21"/>
          <w:szCs w:val="21"/>
          <w:highlight w:val="none"/>
        </w:rPr>
      </w:pPr>
      <w:bookmarkStart w:id="407" w:name="_Toc422322473"/>
      <w:bookmarkStart w:id="408" w:name="_Toc419045060"/>
      <w:bookmarkStart w:id="409" w:name="_Toc1317"/>
      <w:bookmarkStart w:id="410" w:name="_Toc4017"/>
      <w:bookmarkStart w:id="411" w:name="_Toc32544"/>
      <w:bookmarkStart w:id="412" w:name="_Toc25621"/>
      <w:r>
        <w:rPr>
          <w:rFonts w:hint="eastAsia" w:ascii="Times New Roman" w:hAnsi="Times New Roman" w:cs="宋体"/>
          <w:color w:val="auto"/>
          <w:sz w:val="21"/>
          <w:szCs w:val="21"/>
          <w:highlight w:val="none"/>
        </w:rPr>
        <w:t>三、服务期限</w:t>
      </w:r>
      <w:bookmarkEnd w:id="407"/>
      <w:bookmarkEnd w:id="408"/>
      <w:bookmarkEnd w:id="409"/>
      <w:bookmarkEnd w:id="410"/>
      <w:bookmarkEnd w:id="411"/>
      <w:bookmarkEnd w:id="412"/>
    </w:p>
    <w:p w14:paraId="700063B8">
      <w:pPr>
        <w:pStyle w:val="86"/>
        <w:shd w:val="clear"/>
        <w:spacing w:line="360" w:lineRule="auto"/>
        <w:ind w:firstLine="420" w:firstLineChars="200"/>
        <w:jc w:val="left"/>
        <w:rPr>
          <w:rFonts w:ascii="Times New Roman" w:hAnsi="Times New Roman"/>
          <w:color w:val="auto"/>
          <w:highlight w:val="none"/>
        </w:rPr>
      </w:pPr>
      <w:r>
        <w:rPr>
          <w:rFonts w:hint="eastAsia" w:ascii="Times New Roman" w:hAnsi="Times New Roman"/>
          <w:color w:val="auto"/>
          <w:highlight w:val="none"/>
        </w:rPr>
        <w:t>本合同约定的服务自</w:t>
      </w:r>
      <w:r>
        <w:rPr>
          <w:rFonts w:hint="eastAsia" w:ascii="Times New Roman" w:hAnsi="Times New Roman"/>
          <w:color w:val="auto"/>
          <w:highlight w:val="none"/>
          <w:u w:val="single"/>
        </w:rPr>
        <w:t>2025</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日开始实施，至</w:t>
      </w:r>
      <w:r>
        <w:rPr>
          <w:rFonts w:hint="eastAsia" w:ascii="Times New Roman" w:hAnsi="Times New Roman"/>
          <w:color w:val="auto"/>
          <w:highlight w:val="none"/>
          <w:u w:val="single"/>
        </w:rPr>
        <w:t>2025</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bookmarkStart w:id="413" w:name="9"/>
      <w:r>
        <w:rPr>
          <w:rFonts w:hint="eastAsia" w:ascii="Times New Roman" w:hAnsi="Times New Roman"/>
          <w:color w:val="auto"/>
          <w:highlight w:val="none"/>
          <w:u w:val="single"/>
        </w:rPr>
        <w:t xml:space="preserve">  </w:t>
      </w:r>
      <w:r>
        <w:rPr>
          <w:rFonts w:hint="eastAsia" w:ascii="Times New Roman" w:hAnsi="Times New Roman"/>
          <w:color w:val="auto"/>
          <w:highlight w:val="none"/>
        </w:rPr>
        <w:t>日终结（延期实施的除外）。</w:t>
      </w:r>
      <w:bookmarkEnd w:id="413"/>
    </w:p>
    <w:p w14:paraId="2F6A0ED3">
      <w:pPr>
        <w:pStyle w:val="23"/>
        <w:shd w:val="clear"/>
        <w:spacing w:before="0" w:after="0" w:line="360" w:lineRule="auto"/>
        <w:jc w:val="left"/>
        <w:rPr>
          <w:rFonts w:ascii="Times New Roman" w:hAnsi="Times New Roman" w:cs="宋体"/>
          <w:color w:val="auto"/>
          <w:sz w:val="21"/>
          <w:szCs w:val="21"/>
          <w:highlight w:val="none"/>
        </w:rPr>
      </w:pPr>
      <w:bookmarkStart w:id="414" w:name="_Toc6062"/>
      <w:bookmarkStart w:id="415" w:name="_Toc422322474"/>
      <w:bookmarkStart w:id="416" w:name="_Toc2565"/>
      <w:bookmarkStart w:id="417" w:name="_Toc13247"/>
      <w:bookmarkStart w:id="418" w:name="_Toc419045061"/>
      <w:bookmarkStart w:id="419" w:name="_Toc219"/>
      <w:r>
        <w:rPr>
          <w:rFonts w:hint="eastAsia" w:ascii="Times New Roman" w:hAnsi="Times New Roman" w:cs="宋体"/>
          <w:color w:val="auto"/>
          <w:sz w:val="21"/>
          <w:szCs w:val="21"/>
          <w:highlight w:val="none"/>
        </w:rPr>
        <w:t>四、质量标准</w:t>
      </w:r>
      <w:bookmarkEnd w:id="414"/>
      <w:bookmarkEnd w:id="415"/>
      <w:bookmarkEnd w:id="416"/>
      <w:bookmarkEnd w:id="417"/>
      <w:bookmarkEnd w:id="418"/>
      <w:bookmarkEnd w:id="419"/>
    </w:p>
    <w:p w14:paraId="76F27DE6">
      <w:pPr>
        <w:shd w:val="clear"/>
        <w:spacing w:line="360" w:lineRule="auto"/>
        <w:ind w:firstLine="420" w:firstLineChars="200"/>
        <w:rPr>
          <w:rFonts w:cs="宋体"/>
          <w:color w:val="auto"/>
          <w:szCs w:val="21"/>
          <w:highlight w:val="none"/>
          <w:u w:val="single"/>
        </w:rPr>
      </w:pPr>
      <w:r>
        <w:rPr>
          <w:rFonts w:hint="eastAsia" w:cs="宋体"/>
          <w:color w:val="auto"/>
          <w:szCs w:val="21"/>
          <w:highlight w:val="none"/>
        </w:rPr>
        <w:t>工程咨询成果文件应符合：</w:t>
      </w:r>
      <w:r>
        <w:rPr>
          <w:rFonts w:hint="eastAsia" w:cs="宋体"/>
          <w:color w:val="auto"/>
          <w:szCs w:val="21"/>
          <w:highlight w:val="none"/>
          <w:u w:val="single"/>
        </w:rPr>
        <w:t>符合现行国家或行业有关规定、标准、规范的要求。</w:t>
      </w:r>
    </w:p>
    <w:p w14:paraId="16E2F5CB">
      <w:pPr>
        <w:pStyle w:val="23"/>
        <w:shd w:val="clear"/>
        <w:spacing w:before="0" w:after="0" w:line="360" w:lineRule="auto"/>
        <w:jc w:val="left"/>
        <w:rPr>
          <w:rFonts w:ascii="Times New Roman" w:hAnsi="Times New Roman" w:cs="宋体"/>
          <w:color w:val="auto"/>
          <w:sz w:val="21"/>
          <w:szCs w:val="21"/>
          <w:highlight w:val="none"/>
        </w:rPr>
      </w:pPr>
      <w:bookmarkStart w:id="420" w:name="_Toc3876"/>
      <w:bookmarkStart w:id="421" w:name="_Toc419045062"/>
      <w:bookmarkStart w:id="422" w:name="_Toc25925"/>
      <w:bookmarkStart w:id="423" w:name="_Toc413"/>
      <w:bookmarkStart w:id="424" w:name="_Toc32342"/>
      <w:bookmarkStart w:id="425" w:name="_Toc422322475"/>
      <w:r>
        <w:rPr>
          <w:rFonts w:hint="eastAsia" w:ascii="Times New Roman" w:hAnsi="Times New Roman" w:cs="宋体"/>
          <w:color w:val="auto"/>
          <w:sz w:val="21"/>
          <w:szCs w:val="21"/>
          <w:highlight w:val="none"/>
        </w:rPr>
        <w:t>五、酬金或计取方式</w:t>
      </w:r>
      <w:bookmarkEnd w:id="420"/>
      <w:bookmarkEnd w:id="421"/>
      <w:bookmarkEnd w:id="422"/>
      <w:bookmarkEnd w:id="423"/>
      <w:bookmarkEnd w:id="424"/>
      <w:bookmarkEnd w:id="425"/>
    </w:p>
    <w:p w14:paraId="5B9ABD8A">
      <w:pPr>
        <w:pStyle w:val="14"/>
        <w:shd w:val="clear"/>
        <w:spacing w:line="360" w:lineRule="auto"/>
        <w:rPr>
          <w:rFonts w:ascii="Times New Roman" w:hAnsi="Times New Roman"/>
          <w:color w:val="auto"/>
          <w:highlight w:val="none"/>
        </w:rPr>
      </w:pPr>
      <w:bookmarkStart w:id="426" w:name="_Toc15964"/>
      <w:bookmarkStart w:id="427" w:name="_Toc12071"/>
      <w:bookmarkStart w:id="428" w:name="_Toc422322476"/>
      <w:bookmarkStart w:id="429" w:name="_Toc14505"/>
      <w:bookmarkStart w:id="430" w:name="_Toc419045058"/>
      <w:bookmarkStart w:id="431" w:name="_Toc22652"/>
    </w:p>
    <w:p w14:paraId="05C7F696">
      <w:pPr>
        <w:pStyle w:val="23"/>
        <w:shd w:val="clear"/>
        <w:spacing w:before="0" w:after="0" w:line="360" w:lineRule="auto"/>
        <w:jc w:val="left"/>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六、合同文件的构成</w:t>
      </w:r>
      <w:bookmarkEnd w:id="426"/>
      <w:bookmarkEnd w:id="427"/>
      <w:bookmarkEnd w:id="428"/>
      <w:bookmarkEnd w:id="429"/>
      <w:bookmarkEnd w:id="430"/>
      <w:bookmarkEnd w:id="431"/>
    </w:p>
    <w:p w14:paraId="7B906A88">
      <w:pPr>
        <w:pStyle w:val="14"/>
        <w:shd w:val="clear"/>
        <w:spacing w:line="360" w:lineRule="auto"/>
        <w:rPr>
          <w:rFonts w:ascii="Times New Roman" w:hAnsi="Times New Roman" w:cs="宋体"/>
          <w:color w:val="auto"/>
          <w:highlight w:val="none"/>
        </w:rPr>
      </w:pPr>
      <w:r>
        <w:rPr>
          <w:rFonts w:hint="eastAsia" w:ascii="Times New Roman" w:hAnsi="Times New Roman" w:cs="宋体"/>
          <w:color w:val="auto"/>
          <w:highlight w:val="none"/>
        </w:rPr>
        <w:t>本协议书与下列文件一起构成合同文件：</w:t>
      </w:r>
    </w:p>
    <w:p w14:paraId="4158A1A5">
      <w:pPr>
        <w:pStyle w:val="86"/>
        <w:shd w:val="clear"/>
        <w:spacing w:line="360" w:lineRule="auto"/>
        <w:ind w:firstLine="420" w:firstLineChars="200"/>
        <w:jc w:val="left"/>
        <w:rPr>
          <w:rFonts w:ascii="Times New Roman" w:hAnsi="Times New Roman"/>
          <w:color w:val="auto"/>
          <w:highlight w:val="none"/>
        </w:rPr>
      </w:pPr>
      <w:r>
        <w:rPr>
          <w:rFonts w:hint="eastAsia" w:ascii="Times New Roman" w:hAnsi="Times New Roman"/>
          <w:color w:val="auto"/>
          <w:highlight w:val="none"/>
        </w:rPr>
        <w:t>1.成交通知书或委托书（如有）；</w:t>
      </w:r>
    </w:p>
    <w:p w14:paraId="7715C6F7">
      <w:pPr>
        <w:pStyle w:val="86"/>
        <w:shd w:val="clear"/>
        <w:spacing w:line="360" w:lineRule="auto"/>
        <w:ind w:firstLine="420" w:firstLineChars="200"/>
        <w:jc w:val="left"/>
        <w:rPr>
          <w:rFonts w:ascii="Times New Roman" w:hAnsi="Times New Roman"/>
          <w:color w:val="auto"/>
          <w:highlight w:val="none"/>
        </w:rPr>
      </w:pPr>
      <w:r>
        <w:rPr>
          <w:rFonts w:hint="eastAsia" w:ascii="Times New Roman" w:hAnsi="Times New Roman"/>
          <w:color w:val="auto"/>
          <w:highlight w:val="none"/>
        </w:rPr>
        <w:t>2.</w:t>
      </w:r>
      <w:r>
        <w:rPr>
          <w:rFonts w:hint="eastAsia"/>
          <w:color w:val="auto"/>
          <w:highlight w:val="none"/>
        </w:rPr>
        <w:t xml:space="preserve"> </w:t>
      </w:r>
      <w:r>
        <w:rPr>
          <w:rFonts w:hint="eastAsia" w:ascii="Times New Roman" w:hAnsi="Times New Roman"/>
          <w:color w:val="auto"/>
          <w:highlight w:val="none"/>
        </w:rPr>
        <w:t>报价一览表或工程咨询服务建议书（如有）；</w:t>
      </w:r>
    </w:p>
    <w:p w14:paraId="767668DA">
      <w:pPr>
        <w:pStyle w:val="86"/>
        <w:shd w:val="clear"/>
        <w:spacing w:line="360" w:lineRule="auto"/>
        <w:ind w:firstLine="420" w:firstLineChars="200"/>
        <w:jc w:val="left"/>
        <w:rPr>
          <w:rFonts w:ascii="Times New Roman" w:hAnsi="Times New Roman"/>
          <w:color w:val="auto"/>
          <w:highlight w:val="none"/>
        </w:rPr>
      </w:pPr>
      <w:r>
        <w:rPr>
          <w:rFonts w:hint="eastAsia" w:ascii="Times New Roman" w:hAnsi="Times New Roman"/>
          <w:color w:val="auto"/>
          <w:highlight w:val="none"/>
        </w:rPr>
        <w:t>3.专用条件及附录；</w:t>
      </w:r>
    </w:p>
    <w:p w14:paraId="3744A310">
      <w:pPr>
        <w:pStyle w:val="86"/>
        <w:shd w:val="clear"/>
        <w:spacing w:line="360" w:lineRule="auto"/>
        <w:ind w:firstLine="420" w:firstLineChars="200"/>
        <w:jc w:val="left"/>
        <w:rPr>
          <w:rFonts w:ascii="Times New Roman" w:hAnsi="Times New Roman"/>
          <w:color w:val="auto"/>
          <w:highlight w:val="none"/>
        </w:rPr>
      </w:pPr>
      <w:r>
        <w:rPr>
          <w:rFonts w:hint="eastAsia" w:ascii="Times New Roman" w:hAnsi="Times New Roman"/>
          <w:color w:val="auto"/>
          <w:highlight w:val="none"/>
        </w:rPr>
        <w:t>4.通用条件；</w:t>
      </w:r>
    </w:p>
    <w:p w14:paraId="064F8FFC">
      <w:pPr>
        <w:pStyle w:val="86"/>
        <w:shd w:val="clear"/>
        <w:spacing w:line="360" w:lineRule="auto"/>
        <w:ind w:firstLine="420" w:firstLineChars="200"/>
        <w:jc w:val="left"/>
        <w:rPr>
          <w:rFonts w:ascii="Times New Roman" w:hAnsi="Times New Roman"/>
          <w:color w:val="auto"/>
          <w:highlight w:val="none"/>
        </w:rPr>
      </w:pPr>
      <w:r>
        <w:rPr>
          <w:rFonts w:hint="eastAsia" w:ascii="Times New Roman" w:hAnsi="Times New Roman"/>
          <w:color w:val="auto"/>
          <w:highlight w:val="none"/>
        </w:rPr>
        <w:t>5.其他合同文件。</w:t>
      </w:r>
    </w:p>
    <w:p w14:paraId="2280E1F9">
      <w:pPr>
        <w:pStyle w:val="86"/>
        <w:shd w:val="clear"/>
        <w:spacing w:line="360" w:lineRule="auto"/>
        <w:ind w:firstLine="420" w:firstLineChars="200"/>
        <w:jc w:val="left"/>
        <w:rPr>
          <w:rFonts w:ascii="Times New Roman" w:hAnsi="Times New Roman"/>
          <w:color w:val="auto"/>
          <w:highlight w:val="none"/>
        </w:rPr>
      </w:pPr>
      <w:r>
        <w:rPr>
          <w:rFonts w:hint="eastAsia" w:ascii="Times New Roman" w:hAnsi="Times New Roman"/>
          <w:color w:val="auto"/>
          <w:highlight w:val="none"/>
        </w:rPr>
        <w:t>上述各项合同文件包括合同当事人就该项合同文件所作出的补充和修改，属于同一类内容的文件，应以最新签署的为准。</w:t>
      </w:r>
    </w:p>
    <w:p w14:paraId="5CD7180E">
      <w:pPr>
        <w:pStyle w:val="86"/>
        <w:shd w:val="clear"/>
        <w:spacing w:line="360" w:lineRule="auto"/>
        <w:ind w:firstLine="420" w:firstLineChars="200"/>
        <w:jc w:val="left"/>
        <w:rPr>
          <w:rFonts w:ascii="Times New Roman" w:hAnsi="Times New Roman"/>
          <w:bCs/>
          <w:smallCaps/>
          <w:color w:val="auto"/>
          <w:highlight w:val="none"/>
        </w:rPr>
      </w:pPr>
      <w:r>
        <w:rPr>
          <w:rFonts w:hint="eastAsia" w:ascii="Times New Roman" w:hAnsi="Times New Roman"/>
          <w:color w:val="auto"/>
          <w:highlight w:val="none"/>
        </w:rPr>
        <w:t>在合同订立及履行过程中形成的与合同有关的文件（包括补充协议）均构成合同文件的组成部分。</w:t>
      </w:r>
    </w:p>
    <w:p w14:paraId="3F442B86">
      <w:pPr>
        <w:pStyle w:val="23"/>
        <w:shd w:val="clear"/>
        <w:spacing w:before="0" w:after="0" w:line="360" w:lineRule="auto"/>
        <w:jc w:val="left"/>
        <w:rPr>
          <w:rStyle w:val="85"/>
          <w:rFonts w:ascii="Times New Roman" w:hAnsi="Times New Roman" w:cs="宋体"/>
          <w:b/>
          <w:bCs/>
          <w:color w:val="auto"/>
          <w:kern w:val="0"/>
          <w:sz w:val="21"/>
          <w:szCs w:val="21"/>
          <w:highlight w:val="none"/>
        </w:rPr>
      </w:pPr>
      <w:bookmarkStart w:id="432" w:name="_Toc419045057"/>
      <w:bookmarkStart w:id="433" w:name="_Toc4160"/>
      <w:bookmarkStart w:id="434" w:name="_Toc422322477"/>
      <w:bookmarkStart w:id="435" w:name="_Toc30828"/>
      <w:bookmarkStart w:id="436" w:name="_Toc15095"/>
      <w:bookmarkStart w:id="437" w:name="_Toc16826"/>
      <w:r>
        <w:rPr>
          <w:rStyle w:val="85"/>
          <w:rFonts w:hint="eastAsia" w:ascii="Times New Roman" w:hAnsi="Times New Roman" w:cs="宋体"/>
          <w:b/>
          <w:bCs w:val="0"/>
          <w:color w:val="auto"/>
          <w:kern w:val="0"/>
          <w:sz w:val="21"/>
          <w:szCs w:val="21"/>
          <w:highlight w:val="none"/>
        </w:rPr>
        <w:t>七、词语</w:t>
      </w:r>
      <w:bookmarkEnd w:id="432"/>
      <w:r>
        <w:rPr>
          <w:rStyle w:val="85"/>
          <w:rFonts w:hint="eastAsia" w:ascii="Times New Roman" w:hAnsi="Times New Roman" w:cs="宋体"/>
          <w:b/>
          <w:bCs w:val="0"/>
          <w:color w:val="auto"/>
          <w:kern w:val="0"/>
          <w:sz w:val="21"/>
          <w:szCs w:val="21"/>
          <w:highlight w:val="none"/>
        </w:rPr>
        <w:t>定义</w:t>
      </w:r>
      <w:bookmarkEnd w:id="433"/>
      <w:bookmarkEnd w:id="434"/>
      <w:bookmarkEnd w:id="435"/>
      <w:bookmarkEnd w:id="436"/>
      <w:bookmarkEnd w:id="437"/>
    </w:p>
    <w:p w14:paraId="25D4F7BC">
      <w:pPr>
        <w:shd w:val="clear"/>
        <w:spacing w:line="360" w:lineRule="auto"/>
        <w:ind w:firstLine="420" w:firstLineChars="200"/>
        <w:rPr>
          <w:rFonts w:cs="宋体"/>
          <w:color w:val="auto"/>
          <w:szCs w:val="21"/>
          <w:highlight w:val="none"/>
        </w:rPr>
      </w:pPr>
      <w:bookmarkStart w:id="438" w:name="8"/>
      <w:r>
        <w:rPr>
          <w:rFonts w:hint="eastAsia" w:cs="宋体"/>
          <w:color w:val="auto"/>
          <w:szCs w:val="21"/>
          <w:highlight w:val="none"/>
        </w:rPr>
        <w:t>协议书中相关词语的含义与通用条件中的定义与解释相同。</w:t>
      </w:r>
      <w:bookmarkEnd w:id="438"/>
    </w:p>
    <w:p w14:paraId="5733BE5E">
      <w:pPr>
        <w:pStyle w:val="23"/>
        <w:shd w:val="clear"/>
        <w:spacing w:before="0" w:after="0" w:line="360" w:lineRule="auto"/>
        <w:jc w:val="left"/>
        <w:rPr>
          <w:rFonts w:ascii="Times New Roman" w:hAnsi="Times New Roman" w:cs="宋体"/>
          <w:color w:val="auto"/>
          <w:sz w:val="21"/>
          <w:szCs w:val="21"/>
          <w:highlight w:val="none"/>
        </w:rPr>
      </w:pPr>
      <w:bookmarkStart w:id="439" w:name="_Toc28319"/>
      <w:bookmarkStart w:id="440" w:name="_Toc422322478"/>
      <w:bookmarkStart w:id="441" w:name="_Toc6111"/>
      <w:bookmarkStart w:id="442" w:name="_Toc27818"/>
      <w:bookmarkStart w:id="443" w:name="_Toc419045063"/>
      <w:bookmarkStart w:id="444" w:name="_Toc5204"/>
      <w:r>
        <w:rPr>
          <w:rFonts w:hint="eastAsia" w:ascii="Times New Roman" w:hAnsi="Times New Roman" w:cs="宋体"/>
          <w:color w:val="auto"/>
          <w:sz w:val="21"/>
          <w:szCs w:val="21"/>
          <w:highlight w:val="none"/>
        </w:rPr>
        <w:t>八、合同订立</w:t>
      </w:r>
      <w:bookmarkEnd w:id="439"/>
      <w:bookmarkEnd w:id="440"/>
      <w:bookmarkEnd w:id="441"/>
      <w:bookmarkEnd w:id="442"/>
      <w:bookmarkEnd w:id="443"/>
      <w:bookmarkEnd w:id="444"/>
    </w:p>
    <w:p w14:paraId="65FCC9FB">
      <w:pPr>
        <w:pStyle w:val="86"/>
        <w:shd w:val="clear"/>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1.订立时间：</w:t>
      </w:r>
      <w:r>
        <w:rPr>
          <w:rFonts w:hint="eastAsia" w:ascii="Times New Roman" w:hAnsi="Times New Roman"/>
          <w:color w:val="auto"/>
          <w:highlight w:val="none"/>
          <w:u w:val="single"/>
        </w:rPr>
        <w:t xml:space="preserve"> 2025 </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w:t>
      </w:r>
    </w:p>
    <w:p w14:paraId="39B52419">
      <w:pPr>
        <w:pStyle w:val="86"/>
        <w:shd w:val="clear"/>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2.订立地点：</w:t>
      </w:r>
      <w:r>
        <w:rPr>
          <w:rFonts w:hint="eastAsia" w:ascii="Times New Roman" w:hAnsi="Times New Roman"/>
          <w:color w:val="auto"/>
          <w:highlight w:val="none"/>
          <w:u w:val="single"/>
        </w:rPr>
        <w:t xml:space="preserve">                       </w:t>
      </w:r>
      <w:r>
        <w:rPr>
          <w:rFonts w:hint="eastAsia" w:ascii="Times New Roman" w:hAnsi="Times New Roman"/>
          <w:color w:val="auto"/>
          <w:highlight w:val="none"/>
        </w:rPr>
        <w:t>。</w:t>
      </w:r>
    </w:p>
    <w:p w14:paraId="2C6C3172">
      <w:pPr>
        <w:pStyle w:val="23"/>
        <w:shd w:val="clear"/>
        <w:spacing w:before="0" w:after="0" w:line="360" w:lineRule="auto"/>
        <w:jc w:val="left"/>
        <w:rPr>
          <w:rFonts w:ascii="Times New Roman" w:hAnsi="Times New Roman" w:cs="宋体"/>
          <w:color w:val="auto"/>
          <w:sz w:val="21"/>
          <w:szCs w:val="21"/>
          <w:highlight w:val="none"/>
        </w:rPr>
      </w:pPr>
      <w:bookmarkStart w:id="445" w:name="_Toc32515"/>
      <w:bookmarkStart w:id="446" w:name="_Toc9123"/>
      <w:bookmarkStart w:id="447" w:name="_Toc419045064"/>
      <w:bookmarkStart w:id="448" w:name="_Toc25723"/>
      <w:bookmarkStart w:id="449" w:name="_Toc8769"/>
      <w:bookmarkStart w:id="450" w:name="_Toc422322479"/>
      <w:r>
        <w:rPr>
          <w:rFonts w:hint="eastAsia" w:ascii="Times New Roman" w:hAnsi="Times New Roman" w:cs="宋体"/>
          <w:color w:val="auto"/>
          <w:sz w:val="21"/>
          <w:szCs w:val="21"/>
          <w:highlight w:val="none"/>
        </w:rPr>
        <w:t>九、合同生效</w:t>
      </w:r>
      <w:bookmarkEnd w:id="445"/>
      <w:bookmarkEnd w:id="446"/>
      <w:bookmarkEnd w:id="447"/>
      <w:bookmarkEnd w:id="448"/>
      <w:bookmarkEnd w:id="449"/>
      <w:bookmarkEnd w:id="450"/>
    </w:p>
    <w:p w14:paraId="4F065AB9">
      <w:pPr>
        <w:pStyle w:val="86"/>
        <w:shd w:val="clear"/>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本合同自</w:t>
      </w:r>
      <w:r>
        <w:rPr>
          <w:rFonts w:hint="eastAsia" w:ascii="Times New Roman" w:hAnsi="Times New Roman"/>
          <w:color w:val="auto"/>
          <w:highlight w:val="none"/>
          <w:u w:val="single"/>
        </w:rPr>
        <w:t xml:space="preserve"> 双方盖章和签字后 </w:t>
      </w:r>
      <w:r>
        <w:rPr>
          <w:rFonts w:hint="eastAsia" w:ascii="Times New Roman" w:hAnsi="Times New Roman"/>
          <w:color w:val="auto"/>
          <w:highlight w:val="none"/>
        </w:rPr>
        <w:t>生效。</w:t>
      </w:r>
    </w:p>
    <w:p w14:paraId="0AD92BC7">
      <w:pPr>
        <w:pStyle w:val="23"/>
        <w:shd w:val="clear"/>
        <w:spacing w:before="0" w:after="0" w:line="360" w:lineRule="auto"/>
        <w:jc w:val="left"/>
        <w:rPr>
          <w:rFonts w:ascii="Times New Roman" w:hAnsi="Times New Roman" w:cs="宋体"/>
          <w:color w:val="auto"/>
          <w:sz w:val="21"/>
          <w:szCs w:val="21"/>
          <w:highlight w:val="none"/>
        </w:rPr>
      </w:pPr>
      <w:bookmarkStart w:id="451" w:name="_Toc419045065"/>
      <w:bookmarkStart w:id="452" w:name="_Toc18609"/>
      <w:bookmarkStart w:id="453" w:name="_Toc29000"/>
      <w:bookmarkStart w:id="454" w:name="_Toc31260"/>
      <w:bookmarkStart w:id="455" w:name="_Toc422322480"/>
      <w:bookmarkStart w:id="456" w:name="_Toc21971"/>
      <w:r>
        <w:rPr>
          <w:rFonts w:hint="eastAsia" w:ascii="Times New Roman" w:hAnsi="Times New Roman" w:cs="宋体"/>
          <w:color w:val="auto"/>
          <w:sz w:val="21"/>
          <w:szCs w:val="21"/>
          <w:highlight w:val="none"/>
        </w:rPr>
        <w:t>十、合同份数</w:t>
      </w:r>
      <w:bookmarkEnd w:id="451"/>
      <w:bookmarkEnd w:id="452"/>
      <w:bookmarkEnd w:id="453"/>
      <w:bookmarkEnd w:id="454"/>
      <w:bookmarkEnd w:id="455"/>
      <w:bookmarkEnd w:id="456"/>
    </w:p>
    <w:p w14:paraId="0716E2AF">
      <w:pPr>
        <w:pStyle w:val="86"/>
        <w:shd w:val="clear"/>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本合同一式</w:t>
      </w:r>
      <w:r>
        <w:rPr>
          <w:rFonts w:hint="eastAsia" w:ascii="Times New Roman" w:hAnsi="Times New Roman"/>
          <w:color w:val="auto"/>
          <w:highlight w:val="none"/>
          <w:u w:val="single"/>
        </w:rPr>
        <w:t xml:space="preserve">   </w:t>
      </w:r>
      <w:r>
        <w:rPr>
          <w:rFonts w:hint="eastAsia" w:ascii="Times New Roman" w:hAnsi="Times New Roman"/>
          <w:color w:val="auto"/>
          <w:highlight w:val="none"/>
        </w:rPr>
        <w:t>份，具有同等法律效力，其中委托人执</w:t>
      </w:r>
      <w:r>
        <w:rPr>
          <w:rFonts w:hint="eastAsia" w:ascii="Times New Roman" w:hAnsi="Times New Roman"/>
          <w:color w:val="auto"/>
          <w:highlight w:val="none"/>
          <w:u w:val="single"/>
        </w:rPr>
        <w:t xml:space="preserve">   </w:t>
      </w:r>
      <w:r>
        <w:rPr>
          <w:rFonts w:hint="eastAsia" w:ascii="Times New Roman" w:hAnsi="Times New Roman"/>
          <w:color w:val="auto"/>
          <w:highlight w:val="none"/>
        </w:rPr>
        <w:t>份，咨询人执</w:t>
      </w:r>
      <w:r>
        <w:rPr>
          <w:rFonts w:hint="eastAsia" w:ascii="Times New Roman" w:hAnsi="Times New Roman"/>
          <w:color w:val="auto"/>
          <w:highlight w:val="none"/>
          <w:u w:val="single"/>
        </w:rPr>
        <w:t xml:space="preserve">   </w:t>
      </w:r>
      <w:r>
        <w:rPr>
          <w:rFonts w:hint="eastAsia" w:ascii="Times New Roman" w:hAnsi="Times New Roman"/>
          <w:color w:val="auto"/>
          <w:highlight w:val="none"/>
        </w:rPr>
        <w:t>份。</w:t>
      </w:r>
    </w:p>
    <w:p w14:paraId="458D7EA4">
      <w:pPr>
        <w:pStyle w:val="86"/>
        <w:shd w:val="clear"/>
        <w:spacing w:line="360" w:lineRule="auto"/>
        <w:ind w:firstLine="420" w:firstLineChars="200"/>
        <w:rPr>
          <w:rFonts w:ascii="Times New Roman" w:hAnsi="Times New Roman"/>
          <w:color w:val="auto"/>
          <w:highlight w:val="none"/>
        </w:rPr>
      </w:pPr>
    </w:p>
    <w:p w14:paraId="3959CF2B">
      <w:pPr>
        <w:pStyle w:val="86"/>
        <w:shd w:val="clear"/>
        <w:spacing w:line="360" w:lineRule="auto"/>
        <w:ind w:firstLine="420" w:firstLineChars="200"/>
        <w:rPr>
          <w:rFonts w:ascii="Times New Roman" w:hAnsi="Times New Roman"/>
          <w:color w:val="auto"/>
          <w:highlight w:val="none"/>
        </w:rPr>
      </w:pPr>
    </w:p>
    <w:p w14:paraId="1444BB13">
      <w:pPr>
        <w:pStyle w:val="86"/>
        <w:shd w:val="clear"/>
        <w:spacing w:line="360" w:lineRule="auto"/>
        <w:rPr>
          <w:rFonts w:ascii="Times New Roman" w:hAnsi="Times New Roman"/>
          <w:color w:val="auto"/>
          <w:highlight w:val="none"/>
        </w:rPr>
      </w:pPr>
      <w:r>
        <w:rPr>
          <w:rFonts w:hint="eastAsia" w:ascii="Times New Roman" w:hAnsi="Times New Roman"/>
          <w:color w:val="auto"/>
          <w:highlight w:val="none"/>
        </w:rPr>
        <w:t>甲方：</w:t>
      </w:r>
      <w:r>
        <w:rPr>
          <w:rFonts w:hint="eastAsia" w:ascii="Times New Roman" w:hAnsi="Times New Roman"/>
          <w:color w:val="auto"/>
          <w:highlight w:val="none"/>
          <w:u w:val="single"/>
        </w:rPr>
        <w:t xml:space="preserve">        </w:t>
      </w:r>
      <w:r>
        <w:rPr>
          <w:rFonts w:hint="eastAsia" w:ascii="Times New Roman" w:hAnsi="Times New Roman"/>
          <w:color w:val="auto"/>
          <w:highlight w:val="none"/>
        </w:rPr>
        <w:t>（盖章）              乙方：</w:t>
      </w:r>
      <w:r>
        <w:rPr>
          <w:rFonts w:hint="eastAsia" w:ascii="Times New Roman" w:hAnsi="Times New Roman"/>
          <w:color w:val="auto"/>
          <w:highlight w:val="none"/>
          <w:u w:val="single"/>
        </w:rPr>
        <w:t xml:space="preserve">          </w:t>
      </w:r>
      <w:r>
        <w:rPr>
          <w:rFonts w:hint="eastAsia" w:ascii="Times New Roman" w:hAnsi="Times New Roman"/>
          <w:color w:val="auto"/>
          <w:highlight w:val="none"/>
        </w:rPr>
        <w:t>（盖章）</w:t>
      </w:r>
    </w:p>
    <w:p w14:paraId="768BFB09">
      <w:pPr>
        <w:pStyle w:val="86"/>
        <w:shd w:val="clear"/>
        <w:spacing w:line="360" w:lineRule="auto"/>
        <w:rPr>
          <w:rFonts w:ascii="Times New Roman" w:hAnsi="Times New Roman"/>
          <w:color w:val="auto"/>
          <w:highlight w:val="none"/>
        </w:rPr>
      </w:pPr>
      <w:r>
        <w:rPr>
          <w:rFonts w:hint="eastAsia" w:ascii="Times New Roman" w:hAnsi="Times New Roman"/>
          <w:color w:val="auto"/>
          <w:highlight w:val="none"/>
        </w:rPr>
        <w:t>法定代表人或其授权的                 法定代表人或其授权的</w:t>
      </w:r>
    </w:p>
    <w:p w14:paraId="2F74A830">
      <w:pPr>
        <w:pStyle w:val="86"/>
        <w:shd w:val="clear"/>
        <w:spacing w:line="360" w:lineRule="auto"/>
        <w:rPr>
          <w:rFonts w:ascii="Times New Roman" w:hAnsi="Times New Roman"/>
          <w:color w:val="auto"/>
          <w:highlight w:val="none"/>
        </w:rPr>
      </w:pPr>
      <w:r>
        <w:rPr>
          <w:rFonts w:hint="eastAsia" w:ascii="Times New Roman" w:hAnsi="Times New Roman"/>
          <w:color w:val="auto"/>
          <w:highlight w:val="none"/>
        </w:rPr>
        <w:t>代理人：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（签字）          代理人：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（签字）</w:t>
      </w:r>
    </w:p>
    <w:p w14:paraId="1E0FA86A">
      <w:pPr>
        <w:pStyle w:val="86"/>
        <w:shd w:val="clear"/>
        <w:spacing w:line="360" w:lineRule="auto"/>
        <w:rPr>
          <w:rFonts w:ascii="Times New Roman" w:hAnsi="Times New Roman"/>
          <w:color w:val="auto"/>
          <w:highlight w:val="none"/>
        </w:rPr>
      </w:pPr>
      <w:r>
        <w:rPr>
          <w:rFonts w:hint="eastAsia" w:ascii="Times New Roman" w:hAnsi="Times New Roman"/>
          <w:color w:val="auto"/>
          <w:highlight w:val="none"/>
        </w:rPr>
        <w:t>组织机构代码：                      组织机构代码：</w:t>
      </w:r>
    </w:p>
    <w:p w14:paraId="6DE95129">
      <w:pPr>
        <w:pStyle w:val="86"/>
        <w:shd w:val="clear"/>
        <w:spacing w:line="360" w:lineRule="auto"/>
        <w:rPr>
          <w:rFonts w:ascii="Times New Roman" w:hAnsi="Times New Roman"/>
          <w:color w:val="auto"/>
          <w:highlight w:val="none"/>
        </w:rPr>
      </w:pPr>
      <w:r>
        <w:rPr>
          <w:rFonts w:hint="eastAsia" w:ascii="Times New Roman" w:hAnsi="Times New Roman"/>
          <w:color w:val="auto"/>
          <w:highlight w:val="none"/>
        </w:rPr>
        <w:t>纳税人识别码：                      纳税人识别码：</w:t>
      </w:r>
    </w:p>
    <w:p w14:paraId="7E471676">
      <w:pPr>
        <w:pStyle w:val="86"/>
        <w:shd w:val="clear"/>
        <w:spacing w:line="360" w:lineRule="auto"/>
        <w:rPr>
          <w:rFonts w:ascii="Times New Roman" w:hAnsi="Times New Roman"/>
          <w:color w:val="auto"/>
          <w:highlight w:val="none"/>
        </w:rPr>
      </w:pPr>
      <w:r>
        <w:rPr>
          <w:rFonts w:hint="eastAsia" w:ascii="Times New Roman" w:hAnsi="Times New Roman"/>
          <w:color w:val="auto"/>
          <w:highlight w:val="none"/>
        </w:rPr>
        <w:t>住    所：                          住    所：</w:t>
      </w:r>
    </w:p>
    <w:p w14:paraId="15A4EA95">
      <w:pPr>
        <w:pStyle w:val="86"/>
        <w:shd w:val="clear"/>
        <w:spacing w:line="360" w:lineRule="auto"/>
        <w:rPr>
          <w:rFonts w:ascii="Times New Roman" w:hAnsi="Times New Roman"/>
          <w:color w:val="auto"/>
          <w:highlight w:val="none"/>
        </w:rPr>
      </w:pPr>
      <w:r>
        <w:rPr>
          <w:rFonts w:hint="eastAsia" w:ascii="Times New Roman" w:hAnsi="Times New Roman"/>
          <w:color w:val="auto"/>
          <w:highlight w:val="none"/>
        </w:rPr>
        <w:t>账    号：                          账    号：</w:t>
      </w:r>
    </w:p>
    <w:p w14:paraId="5B239296">
      <w:pPr>
        <w:pStyle w:val="86"/>
        <w:shd w:val="clear"/>
        <w:spacing w:line="360" w:lineRule="auto"/>
        <w:jc w:val="left"/>
        <w:rPr>
          <w:rFonts w:ascii="Times New Roman" w:hAnsi="Times New Roman"/>
          <w:color w:val="auto"/>
          <w:highlight w:val="none"/>
        </w:rPr>
      </w:pPr>
      <w:r>
        <w:rPr>
          <w:rFonts w:hint="eastAsia" w:ascii="Times New Roman" w:hAnsi="Times New Roman"/>
          <w:color w:val="auto"/>
          <w:highlight w:val="none"/>
        </w:rPr>
        <w:t>开户银行：                          开户银行：</w:t>
      </w:r>
    </w:p>
    <w:p w14:paraId="2F8C053D">
      <w:pPr>
        <w:pStyle w:val="86"/>
        <w:shd w:val="clear"/>
        <w:spacing w:line="360" w:lineRule="auto"/>
        <w:jc w:val="left"/>
        <w:rPr>
          <w:rFonts w:ascii="Times New Roman" w:hAnsi="Times New Roman"/>
          <w:color w:val="auto"/>
          <w:highlight w:val="none"/>
        </w:rPr>
      </w:pPr>
      <w:r>
        <w:rPr>
          <w:rFonts w:hint="eastAsia" w:ascii="Times New Roman" w:hAnsi="Times New Roman"/>
          <w:color w:val="auto"/>
          <w:highlight w:val="none"/>
        </w:rPr>
        <w:t>邮政编码：                          邮政编码：</w:t>
      </w:r>
    </w:p>
    <w:p w14:paraId="665A4626">
      <w:pPr>
        <w:pStyle w:val="86"/>
        <w:shd w:val="clear"/>
        <w:spacing w:line="360" w:lineRule="auto"/>
        <w:jc w:val="left"/>
        <w:rPr>
          <w:rFonts w:ascii="Times New Roman" w:hAnsi="Times New Roman"/>
          <w:color w:val="auto"/>
          <w:highlight w:val="none"/>
        </w:rPr>
      </w:pPr>
      <w:r>
        <w:rPr>
          <w:rFonts w:hint="eastAsia" w:ascii="Times New Roman" w:hAnsi="Times New Roman"/>
          <w:color w:val="auto"/>
          <w:highlight w:val="none"/>
        </w:rPr>
        <w:t>电    话：                          电    话：</w:t>
      </w:r>
    </w:p>
    <w:p w14:paraId="7A288855">
      <w:pPr>
        <w:pStyle w:val="86"/>
        <w:shd w:val="clear"/>
        <w:spacing w:line="360" w:lineRule="auto"/>
        <w:jc w:val="left"/>
        <w:rPr>
          <w:rFonts w:ascii="Times New Roman" w:hAnsi="Times New Roman"/>
          <w:color w:val="auto"/>
          <w:highlight w:val="none"/>
        </w:rPr>
      </w:pPr>
      <w:r>
        <w:rPr>
          <w:rFonts w:hint="eastAsia" w:ascii="Times New Roman" w:hAnsi="Times New Roman"/>
          <w:color w:val="auto"/>
          <w:highlight w:val="none"/>
        </w:rPr>
        <w:t>传    真：                          传    真：</w:t>
      </w:r>
    </w:p>
    <w:p w14:paraId="27EF70C1">
      <w:pPr>
        <w:pStyle w:val="86"/>
        <w:shd w:val="clear"/>
        <w:spacing w:line="360" w:lineRule="auto"/>
        <w:jc w:val="left"/>
        <w:rPr>
          <w:rFonts w:ascii="Times New Roman" w:hAnsi="Times New Roman"/>
          <w:color w:val="auto"/>
          <w:highlight w:val="none"/>
        </w:rPr>
      </w:pPr>
      <w:r>
        <w:rPr>
          <w:rFonts w:hint="eastAsia" w:ascii="Times New Roman" w:hAnsi="Times New Roman"/>
          <w:color w:val="auto"/>
          <w:highlight w:val="none"/>
        </w:rPr>
        <w:t>电子信箱：                          电子信箱：</w:t>
      </w:r>
    </w:p>
    <w:p w14:paraId="1097369A">
      <w:pPr>
        <w:pStyle w:val="9"/>
        <w:shd w:val="clear"/>
        <w:jc w:val="center"/>
        <w:outlineLvl w:val="1"/>
        <w:rPr>
          <w:rFonts w:ascii="Times New Roman" w:cs="宋体"/>
          <w:color w:val="auto"/>
          <w:kern w:val="21"/>
          <w:sz w:val="21"/>
          <w:highlight w:val="none"/>
        </w:rPr>
      </w:pPr>
      <w:bookmarkStart w:id="457" w:name="12"/>
      <w:bookmarkEnd w:id="457"/>
      <w:bookmarkStart w:id="458" w:name="_Toc4576"/>
      <w:bookmarkStart w:id="459" w:name="_Toc14841"/>
      <w:bookmarkStart w:id="460" w:name="_Toc12554"/>
      <w:bookmarkStart w:id="461" w:name="_Toc419045066"/>
      <w:bookmarkStart w:id="462" w:name="_Toc422322481"/>
      <w:bookmarkStart w:id="463" w:name="_Toc23506"/>
      <w:r>
        <w:rPr>
          <w:rFonts w:ascii="Times New Roman" w:cs="宋体"/>
          <w:color w:val="auto"/>
          <w:kern w:val="21"/>
          <w:sz w:val="21"/>
          <w:highlight w:val="none"/>
        </w:rPr>
        <w:br w:type="page"/>
      </w:r>
      <w:r>
        <w:rPr>
          <w:rFonts w:hint="eastAsia"/>
          <w:b/>
          <w:bCs/>
          <w:color w:val="auto"/>
          <w:highlight w:val="none"/>
        </w:rPr>
        <w:t>第二部分　通用条件</w:t>
      </w:r>
      <w:bookmarkEnd w:id="458"/>
      <w:bookmarkEnd w:id="459"/>
      <w:bookmarkEnd w:id="460"/>
      <w:bookmarkEnd w:id="461"/>
      <w:bookmarkEnd w:id="462"/>
      <w:bookmarkEnd w:id="463"/>
    </w:p>
    <w:p w14:paraId="4956C8BA">
      <w:pPr>
        <w:shd w:val="clear"/>
        <w:spacing w:line="360" w:lineRule="auto"/>
        <w:jc w:val="center"/>
        <w:rPr>
          <w:rFonts w:cs="宋体"/>
          <w:color w:val="auto"/>
          <w:kern w:val="21"/>
          <w:szCs w:val="21"/>
          <w:highlight w:val="none"/>
        </w:rPr>
      </w:pPr>
      <w:r>
        <w:rPr>
          <w:rFonts w:hint="eastAsia" w:cs="宋体"/>
          <w:b/>
          <w:bCs/>
          <w:color w:val="auto"/>
          <w:kern w:val="21"/>
          <w:szCs w:val="21"/>
          <w:highlight w:val="none"/>
        </w:rPr>
        <w:t>（详见范本）</w:t>
      </w:r>
      <w:bookmarkStart w:id="464" w:name="_Toc419045098"/>
      <w:bookmarkStart w:id="465" w:name="_Toc422322521"/>
    </w:p>
    <w:p w14:paraId="3CB7EC1C">
      <w:pPr>
        <w:pStyle w:val="9"/>
        <w:shd w:val="clear"/>
        <w:jc w:val="center"/>
        <w:outlineLvl w:val="1"/>
        <w:rPr>
          <w:b/>
          <w:bCs/>
          <w:color w:val="auto"/>
          <w:highlight w:val="none"/>
        </w:rPr>
      </w:pPr>
      <w:bookmarkStart w:id="466" w:name="_Toc24261"/>
      <w:bookmarkStart w:id="467" w:name="_Toc21231"/>
      <w:bookmarkStart w:id="468" w:name="_Toc24658"/>
      <w:bookmarkStart w:id="469" w:name="_Toc16419"/>
      <w:r>
        <w:rPr>
          <w:rFonts w:hint="eastAsia"/>
          <w:b/>
          <w:bCs/>
          <w:color w:val="auto"/>
          <w:highlight w:val="none"/>
        </w:rPr>
        <w:t>第三部分　专用条件</w:t>
      </w:r>
      <w:bookmarkEnd w:id="464"/>
      <w:bookmarkEnd w:id="465"/>
      <w:bookmarkEnd w:id="466"/>
      <w:bookmarkEnd w:id="467"/>
      <w:bookmarkEnd w:id="468"/>
      <w:bookmarkEnd w:id="469"/>
    </w:p>
    <w:p w14:paraId="7DCC4170">
      <w:pPr>
        <w:pStyle w:val="23"/>
        <w:shd w:val="clear"/>
        <w:spacing w:before="0" w:after="0" w:line="360" w:lineRule="auto"/>
        <w:jc w:val="left"/>
        <w:rPr>
          <w:rFonts w:ascii="Times New Roman" w:hAnsi="Times New Roman" w:cs="宋体"/>
          <w:color w:val="auto"/>
          <w:kern w:val="21"/>
          <w:sz w:val="21"/>
          <w:szCs w:val="21"/>
          <w:highlight w:val="none"/>
        </w:rPr>
      </w:pPr>
      <w:bookmarkStart w:id="470" w:name="45"/>
      <w:bookmarkEnd w:id="470"/>
      <w:bookmarkStart w:id="471" w:name="_Toc3674"/>
      <w:bookmarkStart w:id="472" w:name="_Toc419045099"/>
      <w:bookmarkStart w:id="473" w:name="_Toc25001"/>
      <w:bookmarkStart w:id="474" w:name="_Toc21286"/>
      <w:bookmarkStart w:id="475" w:name="_Toc19471"/>
      <w:bookmarkStart w:id="476" w:name="_Toc422322522"/>
      <w:r>
        <w:rPr>
          <w:rFonts w:hint="eastAsia" w:ascii="Times New Roman" w:hAnsi="Times New Roman" w:cs="宋体"/>
          <w:color w:val="auto"/>
          <w:kern w:val="21"/>
          <w:sz w:val="21"/>
          <w:szCs w:val="21"/>
          <w:highlight w:val="none"/>
        </w:rPr>
        <w:t>1.词语定义、语言、解释顺序与适用法律</w:t>
      </w:r>
      <w:bookmarkEnd w:id="471"/>
      <w:bookmarkEnd w:id="472"/>
      <w:bookmarkEnd w:id="473"/>
      <w:bookmarkEnd w:id="474"/>
      <w:bookmarkEnd w:id="475"/>
      <w:bookmarkEnd w:id="476"/>
    </w:p>
    <w:p w14:paraId="1289E861">
      <w:pPr>
        <w:pStyle w:val="23"/>
        <w:shd w:val="clear"/>
        <w:spacing w:before="0" w:after="0" w:line="360" w:lineRule="auto"/>
        <w:jc w:val="left"/>
        <w:rPr>
          <w:rStyle w:val="83"/>
          <w:rFonts w:ascii="Times New Roman" w:hAnsi="Times New Roman" w:cs="宋体"/>
          <w:b/>
          <w:bCs w:val="0"/>
          <w:color w:val="auto"/>
          <w:kern w:val="21"/>
          <w:sz w:val="21"/>
          <w:szCs w:val="21"/>
          <w:highlight w:val="none"/>
        </w:rPr>
      </w:pPr>
      <w:bookmarkStart w:id="477" w:name="_Toc422322524"/>
      <w:bookmarkStart w:id="478" w:name="_Toc419045101"/>
      <w:bookmarkStart w:id="479" w:name="_Toc30044"/>
      <w:bookmarkStart w:id="480" w:name="_Toc6136"/>
      <w:bookmarkStart w:id="481" w:name="_Toc24459"/>
      <w:bookmarkStart w:id="482" w:name="_Toc24033"/>
      <w:r>
        <w:rPr>
          <w:rStyle w:val="83"/>
          <w:rFonts w:hint="eastAsia" w:ascii="Times New Roman" w:hAnsi="Times New Roman" w:cs="宋体"/>
          <w:b/>
          <w:bCs w:val="0"/>
          <w:color w:val="auto"/>
          <w:kern w:val="21"/>
          <w:sz w:val="21"/>
          <w:szCs w:val="21"/>
          <w:highlight w:val="none"/>
        </w:rPr>
        <w:t xml:space="preserve">1.2 </w:t>
      </w:r>
      <w:r>
        <w:rPr>
          <w:rFonts w:hint="eastAsia" w:ascii="Times New Roman" w:hAnsi="Times New Roman" w:cs="宋体"/>
          <w:color w:val="auto"/>
          <w:sz w:val="21"/>
          <w:szCs w:val="21"/>
          <w:highlight w:val="none"/>
        </w:rPr>
        <w:t>语言</w:t>
      </w:r>
      <w:bookmarkEnd w:id="477"/>
      <w:bookmarkEnd w:id="478"/>
    </w:p>
    <w:bookmarkEnd w:id="479"/>
    <w:bookmarkEnd w:id="480"/>
    <w:bookmarkEnd w:id="481"/>
    <w:bookmarkEnd w:id="482"/>
    <w:p w14:paraId="1CC29674">
      <w:pPr>
        <w:shd w:val="clear"/>
        <w:spacing w:line="360" w:lineRule="auto"/>
        <w:ind w:firstLine="420" w:firstLineChars="200"/>
        <w:rPr>
          <w:rStyle w:val="83"/>
          <w:rFonts w:ascii="Times New Roman" w:hAnsi="Times New Roman" w:cs="宋体"/>
          <w:b w:val="0"/>
          <w:color w:val="auto"/>
          <w:kern w:val="21"/>
          <w:szCs w:val="21"/>
          <w:highlight w:val="none"/>
        </w:rPr>
      </w:pPr>
      <w:r>
        <w:rPr>
          <w:rFonts w:hint="eastAsia" w:cs="宋体"/>
          <w:color w:val="auto"/>
          <w:kern w:val="21"/>
          <w:szCs w:val="21"/>
          <w:highlight w:val="none"/>
        </w:rPr>
        <w:t>本合同文件除使用中文外，还可用</w:t>
      </w:r>
      <w:r>
        <w:rPr>
          <w:rFonts w:hint="eastAsia" w:cs="宋体"/>
          <w:color w:val="auto"/>
          <w:kern w:val="21"/>
          <w:szCs w:val="21"/>
          <w:highlight w:val="none"/>
          <w:u w:val="single"/>
        </w:rPr>
        <w:t xml:space="preserve">  /  </w:t>
      </w:r>
      <w:r>
        <w:rPr>
          <w:rFonts w:hint="eastAsia" w:cs="宋体"/>
          <w:color w:val="auto"/>
          <w:kern w:val="21"/>
          <w:szCs w:val="21"/>
          <w:highlight w:val="none"/>
        </w:rPr>
        <w:t>。</w:t>
      </w:r>
    </w:p>
    <w:p w14:paraId="3DB2D883">
      <w:pPr>
        <w:pStyle w:val="19"/>
        <w:shd w:val="clear"/>
        <w:spacing w:before="0" w:after="0" w:line="360" w:lineRule="auto"/>
        <w:jc w:val="left"/>
        <w:rPr>
          <w:rFonts w:ascii="Times New Roman" w:hAnsi="Times New Roman" w:cs="宋体"/>
          <w:b w:val="0"/>
          <w:color w:val="auto"/>
          <w:kern w:val="21"/>
          <w:sz w:val="21"/>
          <w:szCs w:val="21"/>
          <w:highlight w:val="none"/>
        </w:rPr>
      </w:pPr>
      <w:bookmarkStart w:id="483" w:name="_Toc16083"/>
      <w:bookmarkStart w:id="484" w:name="_Toc5349"/>
      <w:bookmarkStart w:id="485" w:name="_Toc2516"/>
      <w:bookmarkStart w:id="486" w:name="_Toc5513"/>
      <w:bookmarkStart w:id="487" w:name="_Toc422322525"/>
      <w:r>
        <w:rPr>
          <w:rFonts w:hint="eastAsia" w:ascii="Times New Roman" w:hAnsi="Times New Roman" w:cs="宋体"/>
          <w:b w:val="0"/>
          <w:color w:val="auto"/>
          <w:kern w:val="21"/>
          <w:sz w:val="21"/>
          <w:szCs w:val="21"/>
          <w:highlight w:val="none"/>
        </w:rPr>
        <w:t>1.3合同文件的优先顺序</w:t>
      </w:r>
      <w:bookmarkEnd w:id="483"/>
      <w:bookmarkEnd w:id="484"/>
      <w:bookmarkEnd w:id="485"/>
      <w:bookmarkEnd w:id="486"/>
      <w:bookmarkEnd w:id="487"/>
    </w:p>
    <w:p w14:paraId="3ECA5C1F">
      <w:pPr>
        <w:shd w:val="clear"/>
        <w:spacing w:line="360" w:lineRule="auto"/>
        <w:ind w:firstLine="420" w:firstLineChars="200"/>
        <w:rPr>
          <w:rFonts w:cs="宋体"/>
          <w:color w:val="auto"/>
          <w:kern w:val="21"/>
          <w:szCs w:val="21"/>
          <w:highlight w:val="none"/>
          <w:u w:val="single"/>
        </w:rPr>
      </w:pPr>
      <w:r>
        <w:rPr>
          <w:rFonts w:hint="eastAsia" w:cs="宋体"/>
          <w:color w:val="auto"/>
          <w:kern w:val="21"/>
          <w:szCs w:val="21"/>
          <w:highlight w:val="none"/>
        </w:rPr>
        <w:t>本合同文件的解释顺序为：</w:t>
      </w:r>
      <w:r>
        <w:rPr>
          <w:rFonts w:hint="eastAsia" w:cs="宋体"/>
          <w:color w:val="auto"/>
          <w:kern w:val="21"/>
          <w:szCs w:val="21"/>
          <w:highlight w:val="none"/>
          <w:u w:val="single"/>
        </w:rPr>
        <w:t>同通用条款中的解释顺序</w:t>
      </w:r>
      <w:r>
        <w:rPr>
          <w:rFonts w:hint="eastAsia" w:cs="宋体"/>
          <w:color w:val="auto"/>
          <w:kern w:val="21"/>
          <w:szCs w:val="21"/>
          <w:highlight w:val="none"/>
        </w:rPr>
        <w:t>。</w:t>
      </w:r>
    </w:p>
    <w:p w14:paraId="4D585A5D">
      <w:pPr>
        <w:pStyle w:val="23"/>
        <w:shd w:val="clear"/>
        <w:spacing w:before="0" w:after="0" w:line="360" w:lineRule="auto"/>
        <w:jc w:val="left"/>
        <w:rPr>
          <w:rStyle w:val="83"/>
          <w:rFonts w:ascii="Times New Roman" w:hAnsi="Times New Roman" w:cs="宋体"/>
          <w:b/>
          <w:bCs w:val="0"/>
          <w:color w:val="auto"/>
          <w:kern w:val="21"/>
          <w:sz w:val="21"/>
          <w:szCs w:val="21"/>
          <w:highlight w:val="none"/>
        </w:rPr>
      </w:pPr>
      <w:bookmarkStart w:id="488" w:name="_Toc422322526"/>
      <w:bookmarkStart w:id="489" w:name="_Toc419045102"/>
      <w:bookmarkStart w:id="490" w:name="_Toc2504"/>
      <w:bookmarkStart w:id="491" w:name="_Toc297"/>
      <w:bookmarkStart w:id="492" w:name="_Toc30903"/>
      <w:bookmarkStart w:id="493" w:name="_Toc19622"/>
      <w:r>
        <w:rPr>
          <w:rStyle w:val="83"/>
          <w:rFonts w:hint="eastAsia" w:ascii="Times New Roman" w:hAnsi="Times New Roman" w:cs="宋体"/>
          <w:b/>
          <w:bCs w:val="0"/>
          <w:color w:val="auto"/>
          <w:kern w:val="21"/>
          <w:sz w:val="21"/>
          <w:szCs w:val="21"/>
          <w:highlight w:val="none"/>
        </w:rPr>
        <w:t>1.4</w:t>
      </w:r>
      <w:r>
        <w:rPr>
          <w:rFonts w:hint="eastAsia" w:ascii="Times New Roman" w:hAnsi="Times New Roman" w:cs="宋体"/>
          <w:color w:val="auto"/>
          <w:sz w:val="21"/>
          <w:szCs w:val="21"/>
          <w:highlight w:val="none"/>
        </w:rPr>
        <w:t>适用</w:t>
      </w:r>
      <w:r>
        <w:rPr>
          <w:rStyle w:val="83"/>
          <w:rFonts w:hint="eastAsia" w:ascii="Times New Roman" w:hAnsi="Times New Roman" w:cs="宋体"/>
          <w:b/>
          <w:bCs w:val="0"/>
          <w:color w:val="auto"/>
          <w:kern w:val="21"/>
          <w:sz w:val="21"/>
          <w:szCs w:val="21"/>
          <w:highlight w:val="none"/>
        </w:rPr>
        <w:t>法律</w:t>
      </w:r>
      <w:bookmarkEnd w:id="488"/>
      <w:bookmarkEnd w:id="489"/>
    </w:p>
    <w:bookmarkEnd w:id="490"/>
    <w:bookmarkEnd w:id="491"/>
    <w:bookmarkEnd w:id="492"/>
    <w:bookmarkEnd w:id="493"/>
    <w:p w14:paraId="798783CE">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本合同适用的其他规范性文件包括：</w:t>
      </w:r>
      <w:r>
        <w:rPr>
          <w:rFonts w:hint="eastAsia" w:cs="宋体"/>
          <w:color w:val="auto"/>
          <w:kern w:val="21"/>
          <w:szCs w:val="21"/>
          <w:highlight w:val="none"/>
          <w:u w:val="single"/>
        </w:rPr>
        <w:t xml:space="preserve">  /  </w:t>
      </w:r>
      <w:r>
        <w:rPr>
          <w:rFonts w:hint="eastAsia" w:cs="宋体"/>
          <w:color w:val="auto"/>
          <w:kern w:val="21"/>
          <w:szCs w:val="21"/>
          <w:highlight w:val="none"/>
        </w:rPr>
        <w:t>。</w:t>
      </w:r>
    </w:p>
    <w:p w14:paraId="14B9217E">
      <w:pPr>
        <w:pStyle w:val="23"/>
        <w:shd w:val="clear"/>
        <w:spacing w:before="0" w:after="0" w:line="360" w:lineRule="auto"/>
        <w:jc w:val="left"/>
        <w:rPr>
          <w:rFonts w:ascii="Times New Roman" w:hAnsi="Times New Roman" w:cs="宋体"/>
          <w:color w:val="auto"/>
          <w:kern w:val="21"/>
          <w:sz w:val="21"/>
          <w:szCs w:val="21"/>
          <w:highlight w:val="none"/>
        </w:rPr>
      </w:pPr>
      <w:bookmarkStart w:id="494" w:name="_Toc18045"/>
      <w:bookmarkStart w:id="495" w:name="_Toc422322527"/>
      <w:bookmarkStart w:id="496" w:name="_Toc29561"/>
      <w:bookmarkStart w:id="497" w:name="_Toc419045103"/>
      <w:bookmarkStart w:id="498" w:name="_Toc15275"/>
      <w:bookmarkStart w:id="499" w:name="_Toc2910"/>
      <w:r>
        <w:rPr>
          <w:rFonts w:hint="eastAsia" w:ascii="Times New Roman" w:hAnsi="Times New Roman" w:cs="宋体"/>
          <w:color w:val="auto"/>
          <w:kern w:val="21"/>
          <w:sz w:val="21"/>
          <w:szCs w:val="21"/>
          <w:highlight w:val="none"/>
        </w:rPr>
        <w:t>2.委托人的义务</w:t>
      </w:r>
      <w:bookmarkEnd w:id="494"/>
      <w:bookmarkEnd w:id="495"/>
      <w:bookmarkEnd w:id="496"/>
      <w:bookmarkEnd w:id="497"/>
      <w:bookmarkEnd w:id="498"/>
      <w:bookmarkEnd w:id="499"/>
    </w:p>
    <w:p w14:paraId="503855D4">
      <w:pPr>
        <w:pStyle w:val="23"/>
        <w:shd w:val="clear"/>
        <w:spacing w:before="0" w:after="0" w:line="360" w:lineRule="auto"/>
        <w:jc w:val="left"/>
        <w:rPr>
          <w:rStyle w:val="83"/>
          <w:rFonts w:ascii="Times New Roman" w:hAnsi="Times New Roman" w:cs="宋体"/>
          <w:b/>
          <w:bCs w:val="0"/>
          <w:color w:val="auto"/>
          <w:kern w:val="21"/>
          <w:sz w:val="21"/>
          <w:szCs w:val="21"/>
          <w:highlight w:val="none"/>
        </w:rPr>
      </w:pPr>
      <w:bookmarkStart w:id="500" w:name="_Toc422322528"/>
      <w:bookmarkStart w:id="501" w:name="_Toc419045104"/>
      <w:bookmarkStart w:id="502" w:name="_Toc28595"/>
      <w:bookmarkStart w:id="503" w:name="_Toc16947"/>
      <w:bookmarkStart w:id="504" w:name="_Toc19589"/>
      <w:bookmarkStart w:id="505" w:name="_Toc8526"/>
      <w:r>
        <w:rPr>
          <w:rStyle w:val="83"/>
          <w:rFonts w:hint="eastAsia" w:ascii="Times New Roman" w:hAnsi="Times New Roman" w:cs="宋体"/>
          <w:b/>
          <w:bCs w:val="0"/>
          <w:color w:val="auto"/>
          <w:kern w:val="21"/>
          <w:sz w:val="21"/>
          <w:szCs w:val="21"/>
          <w:highlight w:val="none"/>
        </w:rPr>
        <w:t>2.1</w:t>
      </w:r>
      <w:r>
        <w:rPr>
          <w:rFonts w:hint="eastAsia" w:ascii="Times New Roman" w:hAnsi="Times New Roman" w:cs="宋体"/>
          <w:color w:val="auto"/>
          <w:sz w:val="21"/>
          <w:szCs w:val="21"/>
          <w:highlight w:val="none"/>
        </w:rPr>
        <w:t>提供</w:t>
      </w:r>
      <w:r>
        <w:rPr>
          <w:rStyle w:val="83"/>
          <w:rFonts w:hint="eastAsia" w:ascii="Times New Roman" w:hAnsi="Times New Roman" w:cs="宋体"/>
          <w:b/>
          <w:bCs w:val="0"/>
          <w:color w:val="auto"/>
          <w:kern w:val="21"/>
          <w:sz w:val="21"/>
          <w:szCs w:val="21"/>
          <w:highlight w:val="none"/>
        </w:rPr>
        <w:t>资料</w:t>
      </w:r>
      <w:bookmarkEnd w:id="500"/>
      <w:bookmarkEnd w:id="501"/>
    </w:p>
    <w:bookmarkEnd w:id="502"/>
    <w:bookmarkEnd w:id="503"/>
    <w:bookmarkEnd w:id="504"/>
    <w:bookmarkEnd w:id="505"/>
    <w:p w14:paraId="2F1540C2">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委托人无偿向咨询人提供与本合同咨询业务有关资料的时间为：</w:t>
      </w:r>
      <w:r>
        <w:rPr>
          <w:rFonts w:hint="eastAsia" w:cs="宋体"/>
          <w:color w:val="auto"/>
          <w:kern w:val="21"/>
          <w:szCs w:val="21"/>
          <w:highlight w:val="none"/>
          <w:u w:val="single"/>
        </w:rPr>
        <w:t xml:space="preserve"> 签订本合同后提供 </w:t>
      </w:r>
      <w:r>
        <w:rPr>
          <w:rFonts w:hint="eastAsia" w:cs="宋体"/>
          <w:color w:val="auto"/>
          <w:kern w:val="21"/>
          <w:szCs w:val="21"/>
          <w:highlight w:val="none"/>
        </w:rPr>
        <w:t>。</w:t>
      </w:r>
    </w:p>
    <w:p w14:paraId="606ED957">
      <w:pPr>
        <w:pStyle w:val="23"/>
        <w:shd w:val="clear"/>
        <w:spacing w:before="0" w:after="0" w:line="360" w:lineRule="auto"/>
        <w:jc w:val="left"/>
        <w:rPr>
          <w:rStyle w:val="83"/>
          <w:rFonts w:ascii="Times New Roman" w:hAnsi="Times New Roman" w:cs="宋体"/>
          <w:b w:val="0"/>
          <w:bCs/>
          <w:color w:val="auto"/>
          <w:kern w:val="21"/>
          <w:sz w:val="21"/>
          <w:szCs w:val="21"/>
          <w:highlight w:val="none"/>
        </w:rPr>
      </w:pPr>
      <w:bookmarkStart w:id="506" w:name="_Toc422322529"/>
      <w:bookmarkStart w:id="507" w:name="_Toc419045105"/>
      <w:bookmarkStart w:id="508" w:name="_Toc10757"/>
      <w:bookmarkStart w:id="509" w:name="_Toc444"/>
      <w:bookmarkStart w:id="510" w:name="_Toc28485"/>
      <w:bookmarkStart w:id="511" w:name="_Toc14162"/>
      <w:r>
        <w:rPr>
          <w:rStyle w:val="83"/>
          <w:rFonts w:hint="eastAsia" w:ascii="Times New Roman" w:hAnsi="Times New Roman" w:cs="宋体"/>
          <w:b w:val="0"/>
          <w:bCs/>
          <w:color w:val="auto"/>
          <w:kern w:val="21"/>
          <w:sz w:val="21"/>
          <w:szCs w:val="21"/>
          <w:highlight w:val="none"/>
        </w:rPr>
        <w:t>2.2</w:t>
      </w:r>
      <w:r>
        <w:rPr>
          <w:rStyle w:val="83"/>
          <w:rFonts w:hint="eastAsia" w:ascii="Times New Roman" w:hAnsi="Times New Roman"/>
          <w:b w:val="0"/>
          <w:bCs w:val="0"/>
          <w:color w:val="auto"/>
          <w:kern w:val="21"/>
          <w:sz w:val="21"/>
          <w:szCs w:val="21"/>
          <w:highlight w:val="none"/>
        </w:rPr>
        <w:t>提供工作条件</w:t>
      </w:r>
      <w:bookmarkEnd w:id="506"/>
      <w:bookmarkEnd w:id="507"/>
    </w:p>
    <w:bookmarkEnd w:id="508"/>
    <w:bookmarkEnd w:id="509"/>
    <w:bookmarkEnd w:id="510"/>
    <w:bookmarkEnd w:id="511"/>
    <w:p w14:paraId="35B05B47">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项目咨询人员使用由委托人提供的房屋及设备，支付使用费的标准为：</w:t>
      </w:r>
      <w:r>
        <w:rPr>
          <w:rFonts w:hint="eastAsia" w:cs="宋体"/>
          <w:color w:val="auto"/>
          <w:kern w:val="21"/>
          <w:szCs w:val="21"/>
          <w:highlight w:val="none"/>
          <w:u w:val="single"/>
        </w:rPr>
        <w:t>不提供房屋及设备，如实际发生，另行商定</w:t>
      </w:r>
      <w:r>
        <w:rPr>
          <w:rFonts w:hint="eastAsia" w:cs="宋体"/>
          <w:color w:val="auto"/>
          <w:kern w:val="21"/>
          <w:szCs w:val="21"/>
          <w:highlight w:val="none"/>
        </w:rPr>
        <w:t>。</w:t>
      </w:r>
    </w:p>
    <w:p w14:paraId="36856A84">
      <w:pPr>
        <w:pStyle w:val="23"/>
        <w:shd w:val="clear"/>
        <w:spacing w:before="0" w:after="0" w:line="360" w:lineRule="auto"/>
        <w:jc w:val="left"/>
        <w:rPr>
          <w:rStyle w:val="83"/>
          <w:rFonts w:ascii="Times New Roman" w:hAnsi="Times New Roman" w:cs="宋体"/>
          <w:b w:val="0"/>
          <w:bCs/>
          <w:color w:val="auto"/>
          <w:kern w:val="21"/>
          <w:sz w:val="21"/>
          <w:szCs w:val="21"/>
          <w:highlight w:val="none"/>
        </w:rPr>
      </w:pPr>
      <w:bookmarkStart w:id="512" w:name="_Toc17261"/>
      <w:bookmarkStart w:id="513" w:name="_Toc24467"/>
      <w:bookmarkStart w:id="514" w:name="_Toc422322530"/>
      <w:bookmarkStart w:id="515" w:name="_Toc31512"/>
      <w:bookmarkStart w:id="516" w:name="_Toc8139"/>
      <w:bookmarkStart w:id="517" w:name="_Toc419045106"/>
      <w:r>
        <w:rPr>
          <w:rStyle w:val="83"/>
          <w:rFonts w:hint="eastAsia" w:ascii="Times New Roman" w:hAnsi="Times New Roman" w:cs="宋体"/>
          <w:b w:val="0"/>
          <w:bCs/>
          <w:color w:val="auto"/>
          <w:kern w:val="21"/>
          <w:sz w:val="21"/>
          <w:szCs w:val="21"/>
          <w:highlight w:val="none"/>
        </w:rPr>
        <w:t>2.3</w:t>
      </w:r>
      <w:r>
        <w:rPr>
          <w:rStyle w:val="83"/>
          <w:rFonts w:hint="eastAsia" w:ascii="Times New Roman" w:hAnsi="Times New Roman"/>
          <w:b w:val="0"/>
          <w:bCs w:val="0"/>
          <w:color w:val="auto"/>
          <w:kern w:val="21"/>
          <w:sz w:val="21"/>
          <w:szCs w:val="21"/>
          <w:highlight w:val="none"/>
        </w:rPr>
        <w:t>委托人</w:t>
      </w:r>
      <w:r>
        <w:rPr>
          <w:rStyle w:val="83"/>
          <w:rFonts w:hint="eastAsia" w:ascii="Times New Roman" w:hAnsi="Times New Roman" w:cs="宋体"/>
          <w:b w:val="0"/>
          <w:bCs/>
          <w:color w:val="auto"/>
          <w:kern w:val="21"/>
          <w:sz w:val="21"/>
          <w:szCs w:val="21"/>
          <w:highlight w:val="none"/>
        </w:rPr>
        <w:t>代表</w:t>
      </w:r>
      <w:bookmarkEnd w:id="512"/>
      <w:bookmarkEnd w:id="513"/>
      <w:bookmarkEnd w:id="514"/>
      <w:bookmarkEnd w:id="515"/>
      <w:bookmarkEnd w:id="516"/>
      <w:bookmarkEnd w:id="517"/>
    </w:p>
    <w:p w14:paraId="6C34F312">
      <w:pPr>
        <w:pStyle w:val="23"/>
        <w:shd w:val="clear"/>
        <w:spacing w:before="0" w:after="0" w:line="360" w:lineRule="auto"/>
        <w:jc w:val="left"/>
        <w:rPr>
          <w:rStyle w:val="83"/>
          <w:rFonts w:ascii="Times New Roman" w:hAnsi="Times New Roman" w:cs="宋体"/>
          <w:b/>
          <w:bCs/>
          <w:color w:val="auto"/>
          <w:kern w:val="21"/>
          <w:sz w:val="21"/>
          <w:szCs w:val="21"/>
          <w:highlight w:val="none"/>
        </w:rPr>
      </w:pPr>
      <w:r>
        <w:rPr>
          <w:rFonts w:hint="eastAsia" w:cs="宋体"/>
          <w:color w:val="auto"/>
          <w:kern w:val="21"/>
          <w:szCs w:val="21"/>
          <w:highlight w:val="none"/>
        </w:rPr>
        <w:t xml:space="preserve">    </w:t>
      </w:r>
      <w:r>
        <w:rPr>
          <w:rStyle w:val="83"/>
          <w:rFonts w:hint="eastAsia" w:ascii="Times New Roman" w:hAnsi="Times New Roman"/>
          <w:b w:val="0"/>
          <w:bCs w:val="0"/>
          <w:color w:val="auto"/>
          <w:kern w:val="21"/>
          <w:sz w:val="21"/>
          <w:szCs w:val="21"/>
          <w:highlight w:val="none"/>
        </w:rPr>
        <w:t>委托人代表为：         ，其权限范围  按委托人相关规定 。</w:t>
      </w:r>
    </w:p>
    <w:p w14:paraId="63E8C270">
      <w:pPr>
        <w:pStyle w:val="19"/>
        <w:shd w:val="clear"/>
        <w:spacing w:before="0" w:after="0" w:line="360" w:lineRule="auto"/>
        <w:jc w:val="left"/>
        <w:rPr>
          <w:rFonts w:ascii="Times New Roman" w:hAnsi="Times New Roman" w:cs="宋体"/>
          <w:b w:val="0"/>
          <w:color w:val="auto"/>
          <w:kern w:val="21"/>
          <w:sz w:val="21"/>
          <w:szCs w:val="21"/>
          <w:highlight w:val="none"/>
        </w:rPr>
      </w:pPr>
      <w:bookmarkStart w:id="518" w:name="_Toc4971"/>
      <w:bookmarkStart w:id="519" w:name="_Toc28314"/>
      <w:bookmarkStart w:id="520" w:name="_Toc14811"/>
      <w:bookmarkStart w:id="521" w:name="_Toc10358"/>
      <w:bookmarkStart w:id="522" w:name="_Toc422322531"/>
      <w:r>
        <w:rPr>
          <w:rFonts w:hint="eastAsia" w:ascii="Times New Roman" w:hAnsi="Times New Roman" w:cs="宋体"/>
          <w:b w:val="0"/>
          <w:color w:val="auto"/>
          <w:kern w:val="21"/>
          <w:sz w:val="21"/>
          <w:szCs w:val="21"/>
          <w:highlight w:val="none"/>
        </w:rPr>
        <w:t>2.4答复</w:t>
      </w:r>
      <w:bookmarkEnd w:id="518"/>
      <w:bookmarkEnd w:id="519"/>
      <w:bookmarkEnd w:id="520"/>
      <w:bookmarkEnd w:id="521"/>
      <w:bookmarkEnd w:id="522"/>
    </w:p>
    <w:p w14:paraId="7F0109ED">
      <w:pPr>
        <w:shd w:val="clear"/>
        <w:spacing w:line="360" w:lineRule="auto"/>
        <w:rPr>
          <w:rFonts w:cs="宋体"/>
          <w:color w:val="auto"/>
          <w:kern w:val="21"/>
          <w:szCs w:val="21"/>
          <w:highlight w:val="none"/>
        </w:rPr>
      </w:pPr>
      <w:r>
        <w:rPr>
          <w:rFonts w:hint="eastAsia" w:cs="宋体"/>
          <w:color w:val="auto"/>
          <w:kern w:val="21"/>
          <w:szCs w:val="21"/>
          <w:highlight w:val="none"/>
        </w:rPr>
        <w:t xml:space="preserve">    委托人同意在</w:t>
      </w:r>
      <w:r>
        <w:rPr>
          <w:rFonts w:hint="eastAsia" w:cs="宋体"/>
          <w:color w:val="auto"/>
          <w:kern w:val="21"/>
          <w:szCs w:val="21"/>
          <w:highlight w:val="none"/>
          <w:u w:val="single"/>
        </w:rPr>
        <w:t xml:space="preserve"> </w:t>
      </w:r>
      <w:r>
        <w:rPr>
          <w:rFonts w:cs="宋体"/>
          <w:color w:val="auto"/>
          <w:kern w:val="21"/>
          <w:szCs w:val="21"/>
          <w:highlight w:val="none"/>
          <w:u w:val="single"/>
        </w:rPr>
        <w:t xml:space="preserve"> </w:t>
      </w:r>
      <w:r>
        <w:rPr>
          <w:rFonts w:hint="eastAsia" w:cs="宋体"/>
          <w:color w:val="auto"/>
          <w:kern w:val="21"/>
          <w:szCs w:val="21"/>
          <w:highlight w:val="none"/>
          <w:u w:val="single"/>
        </w:rPr>
        <w:t xml:space="preserve">7 </w:t>
      </w:r>
      <w:r>
        <w:rPr>
          <w:rFonts w:cs="宋体"/>
          <w:color w:val="auto"/>
          <w:kern w:val="21"/>
          <w:szCs w:val="21"/>
          <w:highlight w:val="none"/>
          <w:u w:val="single"/>
        </w:rPr>
        <w:t xml:space="preserve"> </w:t>
      </w:r>
      <w:r>
        <w:rPr>
          <w:rFonts w:hint="eastAsia" w:cs="宋体"/>
          <w:color w:val="auto"/>
          <w:kern w:val="21"/>
          <w:szCs w:val="21"/>
          <w:highlight w:val="none"/>
        </w:rPr>
        <w:t>日内，对咨询人书面提交并要求做出决定的事宜给予书面答复。逾期未答复的，视为委托人认可。</w:t>
      </w:r>
    </w:p>
    <w:p w14:paraId="698CA90B">
      <w:pPr>
        <w:pStyle w:val="23"/>
        <w:shd w:val="clear"/>
        <w:spacing w:before="0" w:after="0" w:line="360" w:lineRule="auto"/>
        <w:jc w:val="left"/>
        <w:rPr>
          <w:rFonts w:ascii="Times New Roman" w:hAnsi="Times New Roman" w:cs="宋体"/>
          <w:color w:val="auto"/>
          <w:kern w:val="21"/>
          <w:sz w:val="21"/>
          <w:szCs w:val="21"/>
          <w:highlight w:val="none"/>
        </w:rPr>
      </w:pPr>
      <w:bookmarkStart w:id="523" w:name="_Toc4295"/>
      <w:bookmarkStart w:id="524" w:name="_Toc20491"/>
      <w:bookmarkStart w:id="525" w:name="_Toc13370"/>
      <w:bookmarkStart w:id="526" w:name="_Toc18166"/>
      <w:bookmarkStart w:id="527" w:name="_Toc419045107"/>
      <w:bookmarkStart w:id="528" w:name="_Toc422322532"/>
      <w:r>
        <w:rPr>
          <w:rFonts w:hint="eastAsia" w:ascii="Times New Roman" w:hAnsi="Times New Roman" w:cs="宋体"/>
          <w:color w:val="auto"/>
          <w:kern w:val="21"/>
          <w:sz w:val="21"/>
          <w:szCs w:val="21"/>
          <w:highlight w:val="none"/>
        </w:rPr>
        <w:t>3.咨询人的义务</w:t>
      </w:r>
      <w:bookmarkEnd w:id="523"/>
      <w:bookmarkEnd w:id="524"/>
      <w:bookmarkEnd w:id="525"/>
      <w:bookmarkEnd w:id="526"/>
      <w:bookmarkEnd w:id="527"/>
      <w:bookmarkEnd w:id="528"/>
    </w:p>
    <w:p w14:paraId="493C9C42">
      <w:pPr>
        <w:pStyle w:val="14"/>
        <w:shd w:val="clear"/>
        <w:spacing w:line="360" w:lineRule="auto"/>
        <w:rPr>
          <w:rFonts w:ascii="Times New Roman" w:hAnsi="Times New Roman"/>
          <w:color w:val="auto"/>
          <w:highlight w:val="none"/>
        </w:rPr>
      </w:pPr>
      <w:bookmarkStart w:id="529" w:name="_Toc28542"/>
      <w:bookmarkStart w:id="530" w:name="_Toc419045109"/>
      <w:bookmarkStart w:id="531" w:name="_Toc13108"/>
      <w:bookmarkStart w:id="532" w:name="_Toc21998"/>
      <w:bookmarkStart w:id="533" w:name="_Toc422322533"/>
      <w:bookmarkStart w:id="534" w:name="_Toc18580"/>
      <w:r>
        <w:rPr>
          <w:rFonts w:hint="eastAsia" w:ascii="Times New Roman" w:hAnsi="Times New Roman"/>
          <w:color w:val="auto"/>
          <w:highlight w:val="none"/>
        </w:rPr>
        <w:t>3.1咨询</w:t>
      </w:r>
      <w:r>
        <w:rPr>
          <w:rFonts w:ascii="Times New Roman" w:hAnsi="Times New Roman"/>
          <w:color w:val="auto"/>
          <w:highlight w:val="none"/>
        </w:rPr>
        <w:t>人应按合同约定的具体工作范围及工作内容为委托人提供工程咨询服务。</w:t>
      </w:r>
      <w:r>
        <w:rPr>
          <w:rFonts w:hint="eastAsia" w:ascii="Times New Roman" w:hAnsi="Times New Roman"/>
          <w:color w:val="auto"/>
          <w:highlight w:val="none"/>
        </w:rPr>
        <w:t>咨询</w:t>
      </w:r>
      <w:r>
        <w:rPr>
          <w:rFonts w:ascii="Times New Roman" w:hAnsi="Times New Roman"/>
          <w:color w:val="auto"/>
          <w:highlight w:val="none"/>
        </w:rPr>
        <w:t>人在履行本合同义务期间，应遵守国家有关法律、法规，维护委托人的合法权益。</w:t>
      </w:r>
    </w:p>
    <w:p w14:paraId="72652CEF">
      <w:pPr>
        <w:pStyle w:val="14"/>
        <w:shd w:val="clear"/>
        <w:spacing w:line="360" w:lineRule="auto"/>
        <w:rPr>
          <w:rFonts w:ascii="Times New Roman" w:hAnsi="Times New Roman"/>
          <w:color w:val="auto"/>
          <w:highlight w:val="none"/>
        </w:rPr>
      </w:pPr>
      <w:r>
        <w:rPr>
          <w:rFonts w:ascii="Times New Roman" w:hAnsi="Times New Roman"/>
          <w:color w:val="auto"/>
          <w:highlight w:val="none"/>
        </w:rPr>
        <w:t>具体工作范围</w:t>
      </w:r>
      <w:r>
        <w:rPr>
          <w:rFonts w:hint="eastAsia" w:ascii="Times New Roman" w:hAnsi="Times New Roman"/>
          <w:color w:val="auto"/>
          <w:highlight w:val="none"/>
        </w:rPr>
        <w:t>包括但不限于以下内容</w:t>
      </w:r>
      <w:r>
        <w:rPr>
          <w:rFonts w:ascii="Times New Roman" w:hAnsi="Times New Roman"/>
          <w:color w:val="auto"/>
          <w:highlight w:val="none"/>
        </w:rPr>
        <w:t>：</w:t>
      </w:r>
    </w:p>
    <w:p w14:paraId="04413E81">
      <w:pPr>
        <w:shd w:val="clear"/>
        <w:spacing w:line="360" w:lineRule="auto"/>
        <w:ind w:firstLine="411" w:firstLineChars="196"/>
        <w:rPr>
          <w:rFonts w:cs="Arial"/>
          <w:bCs/>
          <w:color w:val="auto"/>
          <w:szCs w:val="21"/>
          <w:highlight w:val="none"/>
        </w:rPr>
      </w:pPr>
      <w:r>
        <w:rPr>
          <w:rFonts w:hint="eastAsia" w:cs="Arial"/>
          <w:bCs/>
          <w:color w:val="auto"/>
          <w:szCs w:val="21"/>
          <w:highlight w:val="none"/>
        </w:rPr>
        <w:t>1、</w:t>
      </w:r>
    </w:p>
    <w:p w14:paraId="33A06AF7">
      <w:pPr>
        <w:pStyle w:val="79"/>
        <w:shd w:val="clear"/>
        <w:rPr>
          <w:color w:val="auto"/>
          <w:highlight w:val="none"/>
        </w:rPr>
      </w:pPr>
      <w:r>
        <w:rPr>
          <w:rFonts w:hint="eastAsia"/>
          <w:color w:val="auto"/>
          <w:highlight w:val="none"/>
        </w:rPr>
        <w:t>2、</w:t>
      </w:r>
    </w:p>
    <w:bookmarkEnd w:id="529"/>
    <w:bookmarkEnd w:id="530"/>
    <w:bookmarkEnd w:id="531"/>
    <w:bookmarkEnd w:id="532"/>
    <w:bookmarkEnd w:id="533"/>
    <w:bookmarkEnd w:id="534"/>
    <w:p w14:paraId="421449D8">
      <w:pPr>
        <w:pStyle w:val="23"/>
        <w:shd w:val="clear"/>
        <w:spacing w:line="360" w:lineRule="auto"/>
        <w:ind w:firstLine="211" w:firstLineChars="100"/>
        <w:jc w:val="left"/>
        <w:rPr>
          <w:rFonts w:ascii="Times New Roman" w:hAnsi="Times New Roman" w:cs="宋体"/>
          <w:color w:val="auto"/>
          <w:kern w:val="21"/>
          <w:sz w:val="21"/>
          <w:szCs w:val="21"/>
          <w:highlight w:val="none"/>
        </w:rPr>
      </w:pPr>
      <w:bookmarkStart w:id="535" w:name="_Toc422322537"/>
      <w:bookmarkStart w:id="536" w:name="_Toc19452"/>
      <w:bookmarkStart w:id="537" w:name="_Toc419045113"/>
      <w:bookmarkStart w:id="538" w:name="_Toc27475"/>
      <w:bookmarkStart w:id="539" w:name="_Toc31459"/>
      <w:bookmarkStart w:id="540" w:name="_Toc26337"/>
    </w:p>
    <w:p w14:paraId="34BBBAD5">
      <w:pPr>
        <w:pStyle w:val="23"/>
        <w:shd w:val="clear"/>
        <w:spacing w:before="0" w:after="0" w:line="360" w:lineRule="auto"/>
        <w:jc w:val="left"/>
        <w:rPr>
          <w:rFonts w:ascii="Times New Roman" w:hAnsi="Times New Roman" w:cs="宋体"/>
          <w:color w:val="auto"/>
          <w:kern w:val="21"/>
          <w:sz w:val="21"/>
          <w:szCs w:val="21"/>
          <w:highlight w:val="none"/>
        </w:rPr>
      </w:pPr>
      <w:r>
        <w:rPr>
          <w:rFonts w:hint="eastAsia" w:ascii="Times New Roman" w:hAnsi="Times New Roman" w:cs="宋体"/>
          <w:color w:val="auto"/>
          <w:kern w:val="21"/>
          <w:sz w:val="21"/>
          <w:szCs w:val="21"/>
          <w:highlight w:val="none"/>
        </w:rPr>
        <w:t>4. 违约责任</w:t>
      </w:r>
      <w:bookmarkEnd w:id="535"/>
      <w:bookmarkEnd w:id="536"/>
      <w:bookmarkEnd w:id="537"/>
      <w:bookmarkEnd w:id="538"/>
      <w:bookmarkEnd w:id="539"/>
      <w:bookmarkEnd w:id="540"/>
    </w:p>
    <w:p w14:paraId="6C4D5E7A">
      <w:pPr>
        <w:pStyle w:val="19"/>
        <w:shd w:val="clear"/>
        <w:spacing w:before="0" w:after="0" w:line="360" w:lineRule="auto"/>
        <w:jc w:val="left"/>
        <w:rPr>
          <w:rFonts w:ascii="Times New Roman" w:hAnsi="Times New Roman" w:cs="宋体"/>
          <w:color w:val="auto"/>
          <w:kern w:val="21"/>
          <w:sz w:val="21"/>
          <w:szCs w:val="21"/>
          <w:highlight w:val="none"/>
        </w:rPr>
      </w:pPr>
      <w:bookmarkStart w:id="541" w:name="_Toc10275"/>
      <w:bookmarkStart w:id="542" w:name="_Toc13195"/>
      <w:bookmarkStart w:id="543" w:name="_Toc422322538"/>
      <w:bookmarkStart w:id="544" w:name="_Toc28638"/>
      <w:r>
        <w:rPr>
          <w:rStyle w:val="83"/>
          <w:rFonts w:hint="eastAsia" w:ascii="Times New Roman" w:hAnsi="Times New Roman" w:cs="宋体"/>
          <w:b w:val="0"/>
          <w:bCs w:val="0"/>
          <w:color w:val="auto"/>
          <w:kern w:val="21"/>
          <w:sz w:val="21"/>
          <w:szCs w:val="21"/>
          <w:highlight w:val="none"/>
        </w:rPr>
        <w:t>4.1委托人的违约责任</w:t>
      </w:r>
      <w:bookmarkEnd w:id="541"/>
      <w:bookmarkEnd w:id="542"/>
      <w:bookmarkEnd w:id="543"/>
      <w:bookmarkEnd w:id="544"/>
    </w:p>
    <w:p w14:paraId="56BBE7B0">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4.1.1委托人违约金的计算及支付方法：</w:t>
      </w:r>
      <w:r>
        <w:rPr>
          <w:rFonts w:hint="eastAsia" w:cs="宋体"/>
          <w:color w:val="auto"/>
          <w:kern w:val="21"/>
          <w:szCs w:val="21"/>
          <w:highlight w:val="none"/>
          <w:u w:val="single"/>
        </w:rPr>
        <w:t xml:space="preserve"> 视具体违约情况另行协商</w:t>
      </w:r>
      <w:r>
        <w:rPr>
          <w:rFonts w:hint="eastAsia" w:cs="宋体"/>
          <w:color w:val="auto"/>
          <w:kern w:val="21"/>
          <w:szCs w:val="21"/>
          <w:highlight w:val="none"/>
        </w:rPr>
        <w:t>。</w:t>
      </w:r>
    </w:p>
    <w:p w14:paraId="058F946B">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4.1.2委托人赔偿金额按下列方法确定并支付：</w:t>
      </w:r>
      <w:r>
        <w:rPr>
          <w:rFonts w:hint="eastAsia" w:cs="宋体"/>
          <w:color w:val="auto"/>
          <w:kern w:val="21"/>
          <w:szCs w:val="21"/>
          <w:highlight w:val="none"/>
          <w:u w:val="single"/>
        </w:rPr>
        <w:t xml:space="preserve"> 视具体损失情况另行协商</w:t>
      </w:r>
      <w:r>
        <w:rPr>
          <w:rFonts w:hint="eastAsia" w:cs="宋体"/>
          <w:color w:val="auto"/>
          <w:kern w:val="21"/>
          <w:szCs w:val="21"/>
          <w:highlight w:val="none"/>
        </w:rPr>
        <w:t>。</w:t>
      </w:r>
    </w:p>
    <w:p w14:paraId="5BF93E5B">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4.1.3 委托人逾期付款利息按下列方法计算并支付：</w:t>
      </w:r>
      <w:r>
        <w:rPr>
          <w:rFonts w:hint="eastAsia" w:cs="宋体"/>
          <w:color w:val="auto"/>
          <w:kern w:val="21"/>
          <w:szCs w:val="21"/>
          <w:highlight w:val="none"/>
          <w:u w:val="single"/>
        </w:rPr>
        <w:t xml:space="preserve"> 按通用条款规定 </w:t>
      </w:r>
      <w:r>
        <w:rPr>
          <w:rFonts w:hint="eastAsia" w:cs="宋体"/>
          <w:color w:val="auto"/>
          <w:kern w:val="21"/>
          <w:szCs w:val="21"/>
          <w:highlight w:val="none"/>
        </w:rPr>
        <w:t>。</w:t>
      </w:r>
    </w:p>
    <w:p w14:paraId="4861ABEF">
      <w:pPr>
        <w:pStyle w:val="19"/>
        <w:shd w:val="clear"/>
        <w:spacing w:before="0" w:after="0" w:line="360" w:lineRule="auto"/>
        <w:jc w:val="left"/>
        <w:rPr>
          <w:rFonts w:ascii="Times New Roman" w:hAnsi="Times New Roman" w:cs="宋体"/>
          <w:b w:val="0"/>
          <w:bCs w:val="0"/>
          <w:color w:val="auto"/>
          <w:kern w:val="21"/>
          <w:sz w:val="21"/>
          <w:szCs w:val="21"/>
          <w:highlight w:val="none"/>
        </w:rPr>
      </w:pPr>
      <w:bookmarkStart w:id="545" w:name="_Toc21657"/>
      <w:bookmarkStart w:id="546" w:name="_Toc7447"/>
      <w:bookmarkStart w:id="547" w:name="_Toc29787"/>
      <w:bookmarkStart w:id="548" w:name="_Toc422322539"/>
      <w:bookmarkStart w:id="549" w:name="_Toc28556"/>
      <w:bookmarkStart w:id="550" w:name="_Toc419045114"/>
      <w:r>
        <w:rPr>
          <w:rFonts w:hint="eastAsia" w:ascii="Times New Roman" w:hAnsi="Times New Roman" w:cs="宋体"/>
          <w:b w:val="0"/>
          <w:bCs w:val="0"/>
          <w:color w:val="auto"/>
          <w:kern w:val="21"/>
          <w:sz w:val="21"/>
          <w:szCs w:val="21"/>
          <w:highlight w:val="none"/>
        </w:rPr>
        <w:t>4.2咨询人的违约责任</w:t>
      </w:r>
      <w:bookmarkEnd w:id="545"/>
      <w:bookmarkEnd w:id="546"/>
      <w:bookmarkEnd w:id="547"/>
      <w:bookmarkEnd w:id="548"/>
      <w:bookmarkEnd w:id="549"/>
    </w:p>
    <w:bookmarkEnd w:id="550"/>
    <w:p w14:paraId="30845550">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4.2.1咨询人违约金的计算及支付方法：</w:t>
      </w:r>
      <w:r>
        <w:rPr>
          <w:rFonts w:hint="eastAsia" w:cs="宋体"/>
          <w:color w:val="auto"/>
          <w:kern w:val="21"/>
          <w:szCs w:val="21"/>
          <w:highlight w:val="none"/>
          <w:u w:val="single"/>
        </w:rPr>
        <w:t xml:space="preserve"> 视具体违约情况另行协商 </w:t>
      </w:r>
      <w:r>
        <w:rPr>
          <w:rFonts w:hint="eastAsia" w:cs="宋体"/>
          <w:color w:val="auto"/>
          <w:kern w:val="21"/>
          <w:szCs w:val="21"/>
          <w:highlight w:val="none"/>
        </w:rPr>
        <w:t>。</w:t>
      </w:r>
    </w:p>
    <w:p w14:paraId="620C8FDD">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4.2.2 咨询人赔偿金额按下列方法确定并支付：</w:t>
      </w:r>
      <w:r>
        <w:rPr>
          <w:rFonts w:hint="eastAsia" w:cs="宋体"/>
          <w:color w:val="auto"/>
          <w:kern w:val="21"/>
          <w:szCs w:val="21"/>
          <w:highlight w:val="none"/>
          <w:u w:val="single"/>
        </w:rPr>
        <w:t>视具体损失情况另行协商</w:t>
      </w:r>
      <w:r>
        <w:rPr>
          <w:rFonts w:hint="eastAsia" w:cs="宋体"/>
          <w:color w:val="auto"/>
          <w:kern w:val="21"/>
          <w:szCs w:val="21"/>
          <w:highlight w:val="none"/>
        </w:rPr>
        <w:t>。</w:t>
      </w:r>
    </w:p>
    <w:p w14:paraId="3DF1CD0B">
      <w:pPr>
        <w:pStyle w:val="23"/>
        <w:shd w:val="clear"/>
        <w:spacing w:before="0" w:after="0" w:line="360" w:lineRule="auto"/>
        <w:jc w:val="left"/>
        <w:rPr>
          <w:rFonts w:ascii="Times New Roman" w:hAnsi="Times New Roman" w:cs="宋体"/>
          <w:color w:val="auto"/>
          <w:kern w:val="21"/>
          <w:sz w:val="21"/>
          <w:szCs w:val="21"/>
          <w:highlight w:val="none"/>
        </w:rPr>
      </w:pPr>
      <w:bookmarkStart w:id="551" w:name="_Toc30975"/>
      <w:bookmarkStart w:id="552" w:name="_Toc419045115"/>
      <w:bookmarkStart w:id="553" w:name="_Toc7549"/>
      <w:bookmarkStart w:id="554" w:name="_Toc422322540"/>
      <w:bookmarkStart w:id="555" w:name="_Toc1732"/>
      <w:bookmarkStart w:id="556" w:name="_Toc18655"/>
      <w:r>
        <w:rPr>
          <w:rFonts w:hint="eastAsia" w:ascii="Times New Roman" w:hAnsi="Times New Roman" w:cs="宋体"/>
          <w:color w:val="auto"/>
          <w:kern w:val="21"/>
          <w:sz w:val="21"/>
          <w:szCs w:val="21"/>
          <w:highlight w:val="none"/>
        </w:rPr>
        <w:t>5. 支付</w:t>
      </w:r>
      <w:bookmarkEnd w:id="551"/>
      <w:bookmarkEnd w:id="552"/>
      <w:bookmarkEnd w:id="553"/>
      <w:bookmarkEnd w:id="554"/>
      <w:bookmarkEnd w:id="555"/>
      <w:bookmarkEnd w:id="556"/>
    </w:p>
    <w:p w14:paraId="5F7040D0">
      <w:pPr>
        <w:pStyle w:val="23"/>
        <w:shd w:val="clear"/>
        <w:spacing w:before="0" w:after="0" w:line="360" w:lineRule="auto"/>
        <w:jc w:val="left"/>
        <w:rPr>
          <w:rStyle w:val="83"/>
          <w:rFonts w:ascii="Times New Roman" w:hAnsi="Times New Roman" w:cs="宋体"/>
          <w:b/>
          <w:bCs w:val="0"/>
          <w:color w:val="auto"/>
          <w:kern w:val="21"/>
          <w:sz w:val="21"/>
          <w:szCs w:val="21"/>
          <w:highlight w:val="none"/>
        </w:rPr>
      </w:pPr>
      <w:bookmarkStart w:id="557" w:name="_Toc422322541"/>
      <w:bookmarkStart w:id="558" w:name="_Toc419045116"/>
      <w:bookmarkStart w:id="559" w:name="_Toc7075"/>
      <w:bookmarkStart w:id="560" w:name="_Toc28893"/>
      <w:bookmarkStart w:id="561" w:name="_Toc28927"/>
      <w:bookmarkStart w:id="562" w:name="_Toc29168"/>
      <w:r>
        <w:rPr>
          <w:rStyle w:val="83"/>
          <w:rFonts w:hint="eastAsia" w:ascii="Times New Roman" w:hAnsi="Times New Roman" w:cs="宋体"/>
          <w:b/>
          <w:bCs w:val="0"/>
          <w:color w:val="auto"/>
          <w:kern w:val="21"/>
          <w:sz w:val="21"/>
          <w:szCs w:val="21"/>
          <w:highlight w:val="none"/>
        </w:rPr>
        <w:t>5.1支付货币</w:t>
      </w:r>
      <w:bookmarkEnd w:id="557"/>
      <w:bookmarkEnd w:id="558"/>
    </w:p>
    <w:bookmarkEnd w:id="559"/>
    <w:bookmarkEnd w:id="560"/>
    <w:bookmarkEnd w:id="561"/>
    <w:bookmarkEnd w:id="562"/>
    <w:p w14:paraId="0C61CDE6">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币种为：</w:t>
      </w:r>
      <w:r>
        <w:rPr>
          <w:rFonts w:hint="eastAsia" w:cs="宋体"/>
          <w:color w:val="auto"/>
          <w:kern w:val="21"/>
          <w:szCs w:val="21"/>
          <w:highlight w:val="none"/>
          <w:u w:val="single"/>
        </w:rPr>
        <w:t xml:space="preserve"> 人民币 </w:t>
      </w:r>
      <w:r>
        <w:rPr>
          <w:rFonts w:hint="eastAsia" w:cs="宋体"/>
          <w:color w:val="auto"/>
          <w:kern w:val="21"/>
          <w:szCs w:val="21"/>
          <w:highlight w:val="none"/>
        </w:rPr>
        <w:t>，汇率为：</w:t>
      </w:r>
      <w:r>
        <w:rPr>
          <w:rFonts w:hint="eastAsia" w:cs="宋体"/>
          <w:color w:val="auto"/>
          <w:kern w:val="21"/>
          <w:szCs w:val="21"/>
          <w:highlight w:val="none"/>
          <w:u w:val="single"/>
        </w:rPr>
        <w:t xml:space="preserve">  /  </w:t>
      </w:r>
      <w:r>
        <w:rPr>
          <w:rFonts w:hint="eastAsia" w:cs="宋体"/>
          <w:color w:val="auto"/>
          <w:kern w:val="21"/>
          <w:szCs w:val="21"/>
          <w:highlight w:val="none"/>
        </w:rPr>
        <w:t>，其他约定：</w:t>
      </w:r>
      <w:r>
        <w:rPr>
          <w:rFonts w:hint="eastAsia" w:cs="宋体"/>
          <w:color w:val="auto"/>
          <w:kern w:val="21"/>
          <w:szCs w:val="21"/>
          <w:highlight w:val="none"/>
          <w:u w:val="single"/>
        </w:rPr>
        <w:t xml:space="preserve">  /  </w:t>
      </w:r>
      <w:r>
        <w:rPr>
          <w:rFonts w:hint="eastAsia" w:cs="宋体"/>
          <w:color w:val="auto"/>
          <w:kern w:val="21"/>
          <w:szCs w:val="21"/>
          <w:highlight w:val="none"/>
        </w:rPr>
        <w:t>。</w:t>
      </w:r>
    </w:p>
    <w:p w14:paraId="685DE77E">
      <w:pPr>
        <w:pStyle w:val="23"/>
        <w:shd w:val="clear"/>
        <w:spacing w:before="0" w:after="0" w:line="360" w:lineRule="auto"/>
        <w:jc w:val="left"/>
        <w:rPr>
          <w:rStyle w:val="83"/>
          <w:rFonts w:ascii="Times New Roman" w:hAnsi="Times New Roman" w:cs="宋体"/>
          <w:b/>
          <w:bCs w:val="0"/>
          <w:color w:val="auto"/>
          <w:kern w:val="21"/>
          <w:sz w:val="21"/>
          <w:szCs w:val="21"/>
          <w:highlight w:val="none"/>
        </w:rPr>
      </w:pPr>
      <w:bookmarkStart w:id="563" w:name="_Toc419045118"/>
      <w:bookmarkStart w:id="564" w:name="_Toc422322543"/>
      <w:bookmarkStart w:id="565" w:name="_Toc24312"/>
      <w:bookmarkStart w:id="566" w:name="_Toc3938"/>
      <w:bookmarkStart w:id="567" w:name="_Toc13885"/>
      <w:bookmarkStart w:id="568" w:name="_Toc31810"/>
      <w:r>
        <w:rPr>
          <w:rStyle w:val="83"/>
          <w:rFonts w:hint="eastAsia" w:ascii="Times New Roman" w:hAnsi="Times New Roman" w:cs="宋体"/>
          <w:b/>
          <w:bCs w:val="0"/>
          <w:color w:val="auto"/>
          <w:kern w:val="21"/>
          <w:sz w:val="21"/>
          <w:szCs w:val="21"/>
          <w:highlight w:val="none"/>
        </w:rPr>
        <w:t>5.2支付酬金</w:t>
      </w:r>
      <w:bookmarkEnd w:id="563"/>
      <w:bookmarkEnd w:id="564"/>
    </w:p>
    <w:bookmarkEnd w:id="565"/>
    <w:bookmarkEnd w:id="566"/>
    <w:bookmarkEnd w:id="567"/>
    <w:bookmarkEnd w:id="568"/>
    <w:p w14:paraId="3D71C094">
      <w:pPr>
        <w:shd w:val="clear"/>
        <w:spacing w:line="360" w:lineRule="auto"/>
        <w:ind w:firstLine="420" w:firstLineChars="200"/>
        <w:rPr>
          <w:rFonts w:cs="Arial"/>
          <w:color w:val="auto"/>
          <w:kern w:val="0"/>
          <w:szCs w:val="21"/>
          <w:highlight w:val="none"/>
        </w:rPr>
      </w:pPr>
      <w:bookmarkStart w:id="569" w:name="_Toc11327"/>
      <w:bookmarkStart w:id="570" w:name="_Toc26730"/>
      <w:bookmarkStart w:id="571" w:name="_Toc22280"/>
      <w:r>
        <w:rPr>
          <w:rFonts w:hint="eastAsia"/>
          <w:color w:val="auto"/>
          <w:highlight w:val="none"/>
        </w:rPr>
        <w:t>编制报告出具且在采购人收到真实、合法、有效的增值税</w:t>
      </w:r>
      <w:r>
        <w:rPr>
          <w:rFonts w:hint="eastAsia"/>
          <w:color w:val="auto"/>
          <w:highlight w:val="none"/>
        </w:rPr>
        <w:t>专用</w:t>
      </w:r>
      <w:r>
        <w:rPr>
          <w:rFonts w:hint="eastAsia"/>
          <w:color w:val="auto"/>
          <w:highlight w:val="none"/>
        </w:rPr>
        <w:t>发票后30日内付清。</w:t>
      </w:r>
    </w:p>
    <w:bookmarkEnd w:id="569"/>
    <w:bookmarkEnd w:id="570"/>
    <w:bookmarkEnd w:id="571"/>
    <w:p w14:paraId="6A9D6674">
      <w:pPr>
        <w:pStyle w:val="23"/>
        <w:shd w:val="clear"/>
        <w:spacing w:before="0" w:after="0" w:line="360" w:lineRule="auto"/>
        <w:jc w:val="left"/>
        <w:rPr>
          <w:rFonts w:ascii="Times New Roman" w:hAnsi="Times New Roman" w:cs="宋体"/>
          <w:color w:val="auto"/>
          <w:kern w:val="21"/>
          <w:sz w:val="21"/>
          <w:szCs w:val="21"/>
          <w:highlight w:val="none"/>
        </w:rPr>
      </w:pPr>
      <w:bookmarkStart w:id="572" w:name="_Toc28193"/>
      <w:bookmarkStart w:id="573" w:name="_Toc419045119"/>
      <w:bookmarkStart w:id="574" w:name="_Toc422322544"/>
      <w:bookmarkStart w:id="575" w:name="_Toc8629"/>
      <w:bookmarkStart w:id="576" w:name="_Toc27690"/>
      <w:bookmarkStart w:id="577" w:name="_Toc6116"/>
      <w:r>
        <w:rPr>
          <w:rFonts w:hint="eastAsia" w:ascii="Times New Roman" w:hAnsi="Times New Roman" w:cs="宋体"/>
          <w:color w:val="auto"/>
          <w:kern w:val="21"/>
          <w:sz w:val="21"/>
          <w:szCs w:val="21"/>
          <w:highlight w:val="none"/>
        </w:rPr>
        <w:t>6. 合同变更、解除与终止</w:t>
      </w:r>
      <w:bookmarkEnd w:id="572"/>
      <w:bookmarkEnd w:id="573"/>
      <w:bookmarkEnd w:id="574"/>
      <w:bookmarkEnd w:id="575"/>
      <w:bookmarkEnd w:id="576"/>
      <w:bookmarkEnd w:id="577"/>
    </w:p>
    <w:p w14:paraId="77BC1B8B">
      <w:pPr>
        <w:shd w:val="clear"/>
        <w:spacing w:line="360" w:lineRule="auto"/>
        <w:rPr>
          <w:color w:val="auto"/>
          <w:highlight w:val="none"/>
        </w:rPr>
      </w:pPr>
      <w:bookmarkStart w:id="578" w:name="_Toc419045120"/>
      <w:bookmarkStart w:id="579" w:name="_Toc8315"/>
      <w:bookmarkStart w:id="580" w:name="_Toc20654"/>
      <w:bookmarkStart w:id="581" w:name="_Toc13907"/>
      <w:bookmarkStart w:id="582" w:name="_Toc32044"/>
      <w:bookmarkStart w:id="583" w:name="_Toc422322545"/>
      <w:r>
        <w:rPr>
          <w:rFonts w:hint="eastAsia"/>
          <w:color w:val="auto"/>
          <w:highlight w:val="none"/>
        </w:rPr>
        <w:t>6.1合同变更</w:t>
      </w:r>
      <w:bookmarkEnd w:id="578"/>
      <w:bookmarkEnd w:id="579"/>
      <w:bookmarkEnd w:id="580"/>
      <w:bookmarkEnd w:id="581"/>
      <w:bookmarkEnd w:id="582"/>
      <w:bookmarkEnd w:id="583"/>
    </w:p>
    <w:p w14:paraId="21613686">
      <w:pPr>
        <w:shd w:val="clear"/>
        <w:spacing w:line="360" w:lineRule="auto"/>
        <w:rPr>
          <w:rFonts w:cs="宋体"/>
          <w:color w:val="auto"/>
          <w:kern w:val="21"/>
          <w:szCs w:val="21"/>
          <w:highlight w:val="none"/>
        </w:rPr>
      </w:pPr>
      <w:r>
        <w:rPr>
          <w:rFonts w:hint="eastAsia" w:cs="宋体"/>
          <w:color w:val="auto"/>
          <w:kern w:val="21"/>
          <w:szCs w:val="21"/>
          <w:highlight w:val="none"/>
        </w:rPr>
        <w:t xml:space="preserve">    6.1.2 除不可抗力外，因非咨询人原因导致本合同履行期限延长、内容增加时，附加工作酬金按下列方法确定：</w:t>
      </w:r>
      <w:r>
        <w:rPr>
          <w:rFonts w:hint="eastAsia" w:cs="宋体"/>
          <w:color w:val="auto"/>
          <w:kern w:val="21"/>
          <w:szCs w:val="21"/>
          <w:highlight w:val="none"/>
          <w:u w:val="single"/>
        </w:rPr>
        <w:t xml:space="preserve"> 视具体情况另行协商确定 </w:t>
      </w:r>
      <w:r>
        <w:rPr>
          <w:rFonts w:hint="eastAsia" w:cs="宋体"/>
          <w:color w:val="auto"/>
          <w:kern w:val="21"/>
          <w:szCs w:val="21"/>
          <w:highlight w:val="none"/>
        </w:rPr>
        <w:t>。</w:t>
      </w:r>
    </w:p>
    <w:p w14:paraId="0E79A624">
      <w:pPr>
        <w:shd w:val="clear"/>
        <w:spacing w:line="360" w:lineRule="auto"/>
        <w:rPr>
          <w:rStyle w:val="83"/>
          <w:rFonts w:ascii="Times New Roman" w:hAnsi="Times New Roman" w:cs="宋体"/>
          <w:b w:val="0"/>
          <w:color w:val="auto"/>
          <w:kern w:val="21"/>
          <w:szCs w:val="21"/>
          <w:highlight w:val="none"/>
        </w:rPr>
      </w:pPr>
      <w:r>
        <w:rPr>
          <w:rFonts w:hint="eastAsia" w:cs="宋体"/>
          <w:color w:val="auto"/>
          <w:kern w:val="21"/>
          <w:szCs w:val="21"/>
          <w:highlight w:val="none"/>
        </w:rPr>
        <w:t xml:space="preserve">    6.1.4因工程规模、服务范围及内容的变化等导致咨询人的工作量增减时，服务酬金的调整方法：</w:t>
      </w:r>
      <w:r>
        <w:rPr>
          <w:rFonts w:hint="eastAsia" w:cs="宋体"/>
          <w:color w:val="auto"/>
          <w:kern w:val="21"/>
          <w:szCs w:val="21"/>
          <w:highlight w:val="none"/>
          <w:u w:val="single"/>
        </w:rPr>
        <w:t xml:space="preserve">  视具体情况另行协商确定 </w:t>
      </w:r>
      <w:r>
        <w:rPr>
          <w:rFonts w:hint="eastAsia" w:cs="宋体"/>
          <w:color w:val="auto"/>
          <w:kern w:val="21"/>
          <w:szCs w:val="21"/>
          <w:highlight w:val="none"/>
        </w:rPr>
        <w:t>。</w:t>
      </w:r>
    </w:p>
    <w:p w14:paraId="3DA550E6">
      <w:pPr>
        <w:pStyle w:val="19"/>
        <w:shd w:val="clear"/>
        <w:spacing w:before="0" w:after="0" w:line="360" w:lineRule="auto"/>
        <w:jc w:val="left"/>
        <w:rPr>
          <w:rFonts w:ascii="Times New Roman" w:hAnsi="Times New Roman" w:cs="宋体"/>
          <w:b w:val="0"/>
          <w:color w:val="auto"/>
          <w:kern w:val="21"/>
          <w:sz w:val="21"/>
          <w:szCs w:val="21"/>
          <w:highlight w:val="none"/>
        </w:rPr>
      </w:pPr>
      <w:bookmarkStart w:id="584" w:name="_Toc4557"/>
      <w:bookmarkStart w:id="585" w:name="_Toc4691"/>
      <w:bookmarkStart w:id="586" w:name="_Toc422322546"/>
      <w:bookmarkStart w:id="587" w:name="_Toc5169"/>
      <w:bookmarkStart w:id="588" w:name="_Toc18246"/>
      <w:r>
        <w:rPr>
          <w:rFonts w:hint="eastAsia" w:ascii="Times New Roman" w:hAnsi="Times New Roman" w:cs="宋体"/>
          <w:b w:val="0"/>
          <w:color w:val="auto"/>
          <w:kern w:val="21"/>
          <w:sz w:val="21"/>
          <w:szCs w:val="21"/>
          <w:highlight w:val="none"/>
        </w:rPr>
        <w:t>6.2合同解除</w:t>
      </w:r>
      <w:bookmarkEnd w:id="584"/>
      <w:bookmarkEnd w:id="585"/>
      <w:bookmarkEnd w:id="586"/>
      <w:bookmarkEnd w:id="587"/>
      <w:bookmarkEnd w:id="588"/>
    </w:p>
    <w:p w14:paraId="5610B3CF">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6.2.2双方约定解除合同的条件还包括：</w:t>
      </w:r>
      <w:r>
        <w:rPr>
          <w:rFonts w:hint="eastAsia" w:cs="宋体"/>
          <w:color w:val="auto"/>
          <w:kern w:val="21"/>
          <w:szCs w:val="21"/>
          <w:highlight w:val="none"/>
          <w:u w:val="single"/>
        </w:rPr>
        <w:t xml:space="preserve">     /     </w:t>
      </w:r>
      <w:r>
        <w:rPr>
          <w:rFonts w:hint="eastAsia" w:cs="宋体"/>
          <w:color w:val="auto"/>
          <w:kern w:val="21"/>
          <w:szCs w:val="21"/>
          <w:highlight w:val="none"/>
        </w:rPr>
        <w:t xml:space="preserve">。 </w:t>
      </w:r>
    </w:p>
    <w:p w14:paraId="52BE609D">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6.2.4因不可抗力导致的合同解除，双方约定损失的分担如下：</w:t>
      </w:r>
      <w:r>
        <w:rPr>
          <w:rFonts w:hint="eastAsia" w:cs="宋体"/>
          <w:color w:val="auto"/>
          <w:kern w:val="21"/>
          <w:szCs w:val="21"/>
          <w:highlight w:val="none"/>
          <w:u w:val="single"/>
        </w:rPr>
        <w:t xml:space="preserve"> 视具体情况另行协商确定 </w:t>
      </w:r>
      <w:r>
        <w:rPr>
          <w:rFonts w:hint="eastAsia" w:cs="宋体"/>
          <w:color w:val="auto"/>
          <w:kern w:val="21"/>
          <w:szCs w:val="21"/>
          <w:highlight w:val="none"/>
        </w:rPr>
        <w:t>。</w:t>
      </w:r>
    </w:p>
    <w:p w14:paraId="640591F6">
      <w:pPr>
        <w:pStyle w:val="23"/>
        <w:shd w:val="clear"/>
        <w:spacing w:before="0" w:after="0" w:line="360" w:lineRule="auto"/>
        <w:jc w:val="left"/>
        <w:rPr>
          <w:rFonts w:ascii="Times New Roman" w:hAnsi="Times New Roman" w:cs="宋体"/>
          <w:color w:val="auto"/>
          <w:kern w:val="21"/>
          <w:sz w:val="21"/>
          <w:szCs w:val="21"/>
          <w:highlight w:val="none"/>
        </w:rPr>
      </w:pPr>
      <w:bookmarkStart w:id="589" w:name="_Toc21435"/>
      <w:bookmarkStart w:id="590" w:name="_Toc422322547"/>
      <w:bookmarkStart w:id="591" w:name="_Toc25328"/>
      <w:bookmarkStart w:id="592" w:name="_Toc3937"/>
      <w:bookmarkStart w:id="593" w:name="_Toc8206"/>
      <w:bookmarkStart w:id="594" w:name="_Toc419045121"/>
      <w:r>
        <w:rPr>
          <w:rFonts w:hint="eastAsia" w:ascii="Times New Roman" w:hAnsi="Times New Roman" w:cs="宋体"/>
          <w:color w:val="auto"/>
          <w:kern w:val="21"/>
          <w:sz w:val="21"/>
          <w:szCs w:val="21"/>
          <w:highlight w:val="none"/>
        </w:rPr>
        <w:t>7. 争议解决</w:t>
      </w:r>
      <w:bookmarkEnd w:id="589"/>
      <w:bookmarkEnd w:id="590"/>
      <w:bookmarkEnd w:id="591"/>
      <w:bookmarkEnd w:id="592"/>
      <w:bookmarkEnd w:id="593"/>
      <w:bookmarkEnd w:id="594"/>
    </w:p>
    <w:p w14:paraId="3490CADE">
      <w:pPr>
        <w:shd w:val="clear"/>
        <w:spacing w:line="360" w:lineRule="auto"/>
        <w:rPr>
          <w:b/>
          <w:color w:val="auto"/>
          <w:highlight w:val="none"/>
        </w:rPr>
      </w:pPr>
      <w:bookmarkStart w:id="595" w:name="_Toc422322548"/>
      <w:bookmarkStart w:id="596" w:name="_Toc20617"/>
      <w:bookmarkStart w:id="597" w:name="_Toc42"/>
      <w:bookmarkStart w:id="598" w:name="_Toc419045122"/>
      <w:bookmarkStart w:id="599" w:name="_Toc15551"/>
      <w:bookmarkStart w:id="600" w:name="_Toc25144"/>
      <w:r>
        <w:rPr>
          <w:rFonts w:hint="eastAsia"/>
          <w:b/>
          <w:color w:val="auto"/>
          <w:highlight w:val="none"/>
        </w:rPr>
        <w:t>7.2调解</w:t>
      </w:r>
      <w:bookmarkEnd w:id="595"/>
      <w:bookmarkEnd w:id="596"/>
      <w:bookmarkEnd w:id="597"/>
      <w:bookmarkEnd w:id="598"/>
      <w:bookmarkEnd w:id="599"/>
      <w:bookmarkEnd w:id="600"/>
    </w:p>
    <w:p w14:paraId="2433DB13">
      <w:pPr>
        <w:shd w:val="clear"/>
        <w:spacing w:line="360" w:lineRule="auto"/>
        <w:rPr>
          <w:rStyle w:val="83"/>
          <w:rFonts w:ascii="Times New Roman" w:hAnsi="Times New Roman" w:cs="宋体"/>
          <w:b w:val="0"/>
          <w:bCs w:val="0"/>
          <w:color w:val="auto"/>
          <w:kern w:val="21"/>
          <w:szCs w:val="21"/>
          <w:highlight w:val="none"/>
          <w:u w:val="single"/>
        </w:rPr>
      </w:pPr>
      <w:r>
        <w:rPr>
          <w:rFonts w:hint="eastAsia" w:cs="宋体"/>
          <w:color w:val="auto"/>
          <w:kern w:val="21"/>
          <w:szCs w:val="21"/>
          <w:highlight w:val="none"/>
        </w:rPr>
        <w:t xml:space="preserve">    如果双方不能在</w:t>
      </w:r>
      <w:r>
        <w:rPr>
          <w:rFonts w:hint="eastAsia" w:cs="宋体"/>
          <w:color w:val="auto"/>
          <w:kern w:val="21"/>
          <w:szCs w:val="21"/>
          <w:highlight w:val="none"/>
          <w:u w:val="single"/>
        </w:rPr>
        <w:t xml:space="preserve"> 20 </w:t>
      </w:r>
      <w:r>
        <w:rPr>
          <w:rFonts w:hint="eastAsia" w:cs="宋体"/>
          <w:color w:val="auto"/>
          <w:kern w:val="21"/>
          <w:szCs w:val="21"/>
          <w:highlight w:val="none"/>
        </w:rPr>
        <w:t>日内解决本合同争议，可以将其提交</w:t>
      </w:r>
      <w:r>
        <w:rPr>
          <w:rFonts w:hint="eastAsia" w:cs="宋体"/>
          <w:color w:val="auto"/>
          <w:kern w:val="21"/>
          <w:szCs w:val="21"/>
          <w:highlight w:val="none"/>
          <w:u w:val="single"/>
        </w:rPr>
        <w:t xml:space="preserve"> 行业主管部门 </w:t>
      </w:r>
      <w:r>
        <w:rPr>
          <w:rFonts w:hint="eastAsia" w:cs="宋体"/>
          <w:color w:val="auto"/>
          <w:kern w:val="21"/>
          <w:szCs w:val="21"/>
          <w:highlight w:val="none"/>
        </w:rPr>
        <w:t>进行调解。</w:t>
      </w:r>
    </w:p>
    <w:p w14:paraId="5C634B10">
      <w:pPr>
        <w:pStyle w:val="19"/>
        <w:shd w:val="clear"/>
        <w:spacing w:before="0" w:after="0" w:line="360" w:lineRule="auto"/>
        <w:jc w:val="left"/>
        <w:rPr>
          <w:rFonts w:ascii="Times New Roman" w:hAnsi="Times New Roman" w:cs="宋体"/>
          <w:b w:val="0"/>
          <w:color w:val="auto"/>
          <w:kern w:val="21"/>
          <w:sz w:val="21"/>
          <w:szCs w:val="21"/>
          <w:highlight w:val="none"/>
        </w:rPr>
      </w:pPr>
      <w:bookmarkStart w:id="601" w:name="_Toc10871"/>
      <w:bookmarkStart w:id="602" w:name="_Toc421"/>
      <w:bookmarkStart w:id="603" w:name="_Toc422322549"/>
      <w:bookmarkStart w:id="604" w:name="_Toc28587"/>
      <w:bookmarkStart w:id="605" w:name="_Toc5860"/>
      <w:r>
        <w:rPr>
          <w:rFonts w:hint="eastAsia" w:ascii="Times New Roman" w:hAnsi="Times New Roman" w:cs="宋体"/>
          <w:b w:val="0"/>
          <w:color w:val="auto"/>
          <w:kern w:val="21"/>
          <w:sz w:val="21"/>
          <w:szCs w:val="21"/>
          <w:highlight w:val="none"/>
        </w:rPr>
        <w:t>7.3仲裁或诉讼</w:t>
      </w:r>
      <w:bookmarkEnd w:id="601"/>
      <w:bookmarkEnd w:id="602"/>
      <w:bookmarkEnd w:id="603"/>
      <w:bookmarkEnd w:id="604"/>
      <w:bookmarkEnd w:id="605"/>
    </w:p>
    <w:p w14:paraId="4B11D849">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合同争议的最终解决方式为下列第</w:t>
      </w:r>
      <w:r>
        <w:rPr>
          <w:rFonts w:hint="eastAsia" w:cs="宋体"/>
          <w:color w:val="auto"/>
          <w:kern w:val="21"/>
          <w:szCs w:val="21"/>
          <w:highlight w:val="none"/>
          <w:u w:val="single"/>
        </w:rPr>
        <w:t xml:space="preserve"> （2） </w:t>
      </w:r>
      <w:r>
        <w:rPr>
          <w:rFonts w:hint="eastAsia" w:cs="宋体"/>
          <w:color w:val="auto"/>
          <w:kern w:val="21"/>
          <w:szCs w:val="21"/>
          <w:highlight w:val="none"/>
        </w:rPr>
        <w:t>种方式：</w:t>
      </w:r>
    </w:p>
    <w:p w14:paraId="243207E1">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 xml:space="preserve">   （1）提请</w:t>
      </w:r>
      <w:r>
        <w:rPr>
          <w:rFonts w:hint="eastAsia" w:cs="宋体"/>
          <w:color w:val="auto"/>
          <w:kern w:val="21"/>
          <w:szCs w:val="21"/>
          <w:highlight w:val="none"/>
          <w:u w:val="single"/>
        </w:rPr>
        <w:t xml:space="preserve">  /  </w:t>
      </w:r>
      <w:r>
        <w:rPr>
          <w:rFonts w:hint="eastAsia" w:cs="宋体"/>
          <w:color w:val="auto"/>
          <w:kern w:val="21"/>
          <w:szCs w:val="21"/>
          <w:highlight w:val="none"/>
        </w:rPr>
        <w:t>仲裁委员会进行仲裁。</w:t>
      </w:r>
    </w:p>
    <w:p w14:paraId="399E10E4">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 xml:space="preserve">   （2）向</w:t>
      </w:r>
      <w:r>
        <w:rPr>
          <w:rFonts w:hint="eastAsia" w:cs="宋体"/>
          <w:color w:val="auto"/>
          <w:kern w:val="21"/>
          <w:szCs w:val="21"/>
          <w:highlight w:val="none"/>
          <w:u w:val="single"/>
        </w:rPr>
        <w:t xml:space="preserve">  采购人所在地 </w:t>
      </w:r>
      <w:r>
        <w:rPr>
          <w:rFonts w:hint="eastAsia" w:cs="宋体"/>
          <w:color w:val="auto"/>
          <w:kern w:val="21"/>
          <w:szCs w:val="21"/>
          <w:highlight w:val="none"/>
        </w:rPr>
        <w:t>人民法院提起诉讼。</w:t>
      </w:r>
    </w:p>
    <w:p w14:paraId="455CED8E">
      <w:pPr>
        <w:pStyle w:val="23"/>
        <w:shd w:val="clear"/>
        <w:spacing w:before="0" w:after="0" w:line="360" w:lineRule="auto"/>
        <w:jc w:val="left"/>
        <w:rPr>
          <w:rStyle w:val="83"/>
          <w:rFonts w:ascii="Times New Roman" w:hAnsi="Times New Roman" w:cs="宋体"/>
          <w:b/>
          <w:bCs w:val="0"/>
          <w:color w:val="auto"/>
          <w:kern w:val="21"/>
          <w:sz w:val="21"/>
          <w:szCs w:val="21"/>
          <w:highlight w:val="none"/>
        </w:rPr>
      </w:pPr>
      <w:bookmarkStart w:id="606" w:name="_Toc419045123"/>
      <w:bookmarkStart w:id="607" w:name="_Toc29862"/>
      <w:bookmarkStart w:id="608" w:name="_Toc11062"/>
      <w:bookmarkStart w:id="609" w:name="_Toc422322550"/>
      <w:bookmarkStart w:id="610" w:name="_Toc27079"/>
      <w:bookmarkStart w:id="611" w:name="_Toc31726"/>
      <w:r>
        <w:rPr>
          <w:rStyle w:val="83"/>
          <w:rFonts w:hint="eastAsia" w:ascii="Times New Roman" w:hAnsi="Times New Roman"/>
          <w:b w:val="0"/>
          <w:bCs w:val="0"/>
          <w:color w:val="auto"/>
          <w:kern w:val="21"/>
          <w:sz w:val="21"/>
          <w:szCs w:val="21"/>
          <w:highlight w:val="none"/>
        </w:rPr>
        <w:t>8. 其他</w:t>
      </w:r>
      <w:bookmarkEnd w:id="606"/>
      <w:bookmarkEnd w:id="607"/>
      <w:bookmarkEnd w:id="608"/>
      <w:bookmarkEnd w:id="609"/>
      <w:bookmarkEnd w:id="610"/>
      <w:bookmarkEnd w:id="611"/>
    </w:p>
    <w:p w14:paraId="05F1B911">
      <w:pPr>
        <w:pStyle w:val="19"/>
        <w:shd w:val="clear"/>
        <w:spacing w:before="0" w:after="0" w:line="360" w:lineRule="auto"/>
        <w:jc w:val="left"/>
        <w:rPr>
          <w:rFonts w:ascii="Times New Roman" w:hAnsi="Times New Roman" w:cs="宋体"/>
          <w:b w:val="0"/>
          <w:color w:val="auto"/>
          <w:kern w:val="21"/>
          <w:sz w:val="21"/>
          <w:szCs w:val="21"/>
          <w:highlight w:val="none"/>
        </w:rPr>
      </w:pPr>
      <w:bookmarkStart w:id="612" w:name="_Toc16054"/>
      <w:bookmarkStart w:id="613" w:name="_Toc26624"/>
      <w:bookmarkStart w:id="614" w:name="_Toc7681"/>
      <w:bookmarkStart w:id="615" w:name="_Toc17263"/>
      <w:bookmarkStart w:id="616" w:name="_Toc422322551"/>
      <w:r>
        <w:rPr>
          <w:rFonts w:hint="eastAsia" w:ascii="Times New Roman" w:hAnsi="Times New Roman" w:cs="宋体"/>
          <w:b w:val="0"/>
          <w:color w:val="auto"/>
          <w:kern w:val="21"/>
          <w:sz w:val="21"/>
          <w:szCs w:val="21"/>
          <w:highlight w:val="none"/>
        </w:rPr>
        <w:t>8.1考察及相关费用</w:t>
      </w:r>
      <w:bookmarkEnd w:id="612"/>
      <w:bookmarkEnd w:id="613"/>
      <w:bookmarkEnd w:id="614"/>
      <w:bookmarkEnd w:id="615"/>
      <w:bookmarkEnd w:id="616"/>
    </w:p>
    <w:p w14:paraId="7DA0D497">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咨询人经委托人同意进行考察发生的费用由</w:t>
      </w:r>
      <w:r>
        <w:rPr>
          <w:rFonts w:hint="eastAsia" w:cs="宋体"/>
          <w:color w:val="auto"/>
          <w:kern w:val="21"/>
          <w:szCs w:val="21"/>
          <w:highlight w:val="none"/>
          <w:u w:val="single"/>
        </w:rPr>
        <w:t xml:space="preserve">  委托人 </w:t>
      </w:r>
      <w:r>
        <w:rPr>
          <w:rFonts w:hint="eastAsia" w:cs="宋体"/>
          <w:color w:val="auto"/>
          <w:kern w:val="21"/>
          <w:szCs w:val="21"/>
          <w:highlight w:val="none"/>
        </w:rPr>
        <w:t>支付。</w:t>
      </w:r>
    </w:p>
    <w:p w14:paraId="429E6184">
      <w:pPr>
        <w:shd w:val="clear"/>
        <w:spacing w:line="360" w:lineRule="auto"/>
        <w:ind w:firstLine="420" w:firstLineChars="200"/>
        <w:rPr>
          <w:rStyle w:val="83"/>
          <w:rFonts w:ascii="Times New Roman" w:hAnsi="Times New Roman" w:cs="宋体"/>
          <w:b w:val="0"/>
          <w:color w:val="auto"/>
          <w:kern w:val="21"/>
          <w:szCs w:val="21"/>
          <w:highlight w:val="none"/>
        </w:rPr>
      </w:pPr>
      <w:r>
        <w:rPr>
          <w:rFonts w:hint="eastAsia" w:cs="宋体"/>
          <w:color w:val="auto"/>
          <w:kern w:val="21"/>
          <w:szCs w:val="21"/>
          <w:highlight w:val="none"/>
        </w:rPr>
        <w:t>差旅费及相关费用的支付：</w:t>
      </w:r>
      <w:r>
        <w:rPr>
          <w:rFonts w:hint="eastAsia" w:cs="宋体"/>
          <w:color w:val="auto"/>
          <w:kern w:val="21"/>
          <w:szCs w:val="21"/>
          <w:highlight w:val="none"/>
          <w:u w:val="single"/>
        </w:rPr>
        <w:t xml:space="preserve">  由委托人承担 </w:t>
      </w:r>
      <w:r>
        <w:rPr>
          <w:rFonts w:hint="eastAsia" w:cs="宋体"/>
          <w:color w:val="auto"/>
          <w:kern w:val="21"/>
          <w:szCs w:val="21"/>
          <w:highlight w:val="none"/>
        </w:rPr>
        <w:t>。</w:t>
      </w:r>
    </w:p>
    <w:p w14:paraId="25A53E17">
      <w:pPr>
        <w:pStyle w:val="19"/>
        <w:shd w:val="clear"/>
        <w:spacing w:before="0" w:after="0" w:line="360" w:lineRule="auto"/>
        <w:jc w:val="left"/>
        <w:rPr>
          <w:rFonts w:ascii="Times New Roman" w:hAnsi="Times New Roman" w:cs="宋体"/>
          <w:b w:val="0"/>
          <w:color w:val="auto"/>
          <w:kern w:val="21"/>
          <w:sz w:val="21"/>
          <w:szCs w:val="21"/>
          <w:highlight w:val="none"/>
        </w:rPr>
      </w:pPr>
      <w:bookmarkStart w:id="617" w:name="_Toc422322552"/>
      <w:bookmarkStart w:id="618" w:name="_Toc10412"/>
      <w:bookmarkStart w:id="619" w:name="_Toc8380"/>
      <w:bookmarkStart w:id="620" w:name="_Toc9511"/>
      <w:bookmarkStart w:id="621" w:name="_Toc13054"/>
      <w:r>
        <w:rPr>
          <w:rFonts w:hint="eastAsia" w:ascii="Times New Roman" w:hAnsi="Times New Roman" w:cs="宋体"/>
          <w:b w:val="0"/>
          <w:color w:val="auto"/>
          <w:kern w:val="21"/>
          <w:sz w:val="21"/>
          <w:szCs w:val="21"/>
          <w:highlight w:val="none"/>
        </w:rPr>
        <w:t>8.2奖励</w:t>
      </w:r>
      <w:bookmarkEnd w:id="617"/>
      <w:bookmarkEnd w:id="618"/>
      <w:bookmarkEnd w:id="619"/>
      <w:bookmarkEnd w:id="620"/>
      <w:bookmarkEnd w:id="621"/>
    </w:p>
    <w:p w14:paraId="35DA8F6B">
      <w:pPr>
        <w:shd w:val="clear"/>
        <w:spacing w:line="360" w:lineRule="auto"/>
        <w:ind w:firstLine="420" w:firstLineChars="200"/>
        <w:rPr>
          <w:rStyle w:val="83"/>
          <w:rFonts w:ascii="Times New Roman" w:hAnsi="Times New Roman" w:cs="宋体"/>
          <w:color w:val="auto"/>
          <w:kern w:val="21"/>
          <w:szCs w:val="21"/>
          <w:highlight w:val="none"/>
        </w:rPr>
      </w:pPr>
      <w:r>
        <w:rPr>
          <w:rFonts w:hint="eastAsia" w:cs="宋体"/>
          <w:color w:val="auto"/>
          <w:kern w:val="21"/>
          <w:szCs w:val="21"/>
          <w:highlight w:val="none"/>
        </w:rPr>
        <w:t>合理化建议的奖励金额按下列方法确定：</w:t>
      </w:r>
      <w:r>
        <w:rPr>
          <w:rFonts w:hint="eastAsia" w:cs="宋体"/>
          <w:color w:val="auto"/>
          <w:kern w:val="21"/>
          <w:szCs w:val="21"/>
          <w:highlight w:val="none"/>
          <w:u w:val="single"/>
        </w:rPr>
        <w:t xml:space="preserve"> 视具体情况另行协商确定 </w:t>
      </w:r>
      <w:r>
        <w:rPr>
          <w:rFonts w:hint="eastAsia" w:cs="宋体"/>
          <w:color w:val="auto"/>
          <w:kern w:val="21"/>
          <w:szCs w:val="21"/>
          <w:highlight w:val="none"/>
        </w:rPr>
        <w:t>。</w:t>
      </w:r>
    </w:p>
    <w:p w14:paraId="367D22E7">
      <w:pPr>
        <w:pStyle w:val="19"/>
        <w:shd w:val="clear"/>
        <w:spacing w:before="0" w:after="0" w:line="360" w:lineRule="auto"/>
        <w:jc w:val="left"/>
        <w:rPr>
          <w:rFonts w:ascii="Times New Roman" w:hAnsi="Times New Roman" w:cs="宋体"/>
          <w:color w:val="auto"/>
          <w:kern w:val="21"/>
          <w:sz w:val="21"/>
          <w:szCs w:val="21"/>
          <w:highlight w:val="none"/>
        </w:rPr>
      </w:pPr>
      <w:bookmarkStart w:id="622" w:name="_Toc3157"/>
      <w:bookmarkStart w:id="623" w:name="_Toc3534"/>
      <w:bookmarkStart w:id="624" w:name="_Toc422322553"/>
      <w:bookmarkStart w:id="625" w:name="_Toc5798"/>
      <w:bookmarkStart w:id="626" w:name="_Toc2075"/>
      <w:r>
        <w:rPr>
          <w:rFonts w:hint="eastAsia" w:ascii="Times New Roman" w:hAnsi="Times New Roman" w:cs="宋体"/>
          <w:b w:val="0"/>
          <w:color w:val="auto"/>
          <w:kern w:val="21"/>
          <w:sz w:val="21"/>
          <w:szCs w:val="21"/>
          <w:highlight w:val="none"/>
        </w:rPr>
        <w:t>8.3保密</w:t>
      </w:r>
      <w:bookmarkEnd w:id="622"/>
      <w:bookmarkEnd w:id="623"/>
      <w:bookmarkEnd w:id="624"/>
      <w:bookmarkEnd w:id="625"/>
      <w:bookmarkEnd w:id="626"/>
    </w:p>
    <w:p w14:paraId="16D851E0">
      <w:pPr>
        <w:shd w:val="clear"/>
        <w:spacing w:line="360" w:lineRule="auto"/>
        <w:ind w:left="479" w:leftChars="228"/>
        <w:rPr>
          <w:rFonts w:cs="宋体"/>
          <w:color w:val="auto"/>
          <w:kern w:val="21"/>
          <w:szCs w:val="21"/>
          <w:highlight w:val="none"/>
        </w:rPr>
      </w:pPr>
      <w:r>
        <w:rPr>
          <w:rFonts w:hint="eastAsia" w:cs="宋体"/>
          <w:color w:val="auto"/>
          <w:kern w:val="21"/>
          <w:szCs w:val="21"/>
          <w:highlight w:val="none"/>
        </w:rPr>
        <w:t>委托人申明的保密事项和期限：</w:t>
      </w:r>
      <w:r>
        <w:rPr>
          <w:rFonts w:hint="eastAsia" w:cs="宋体"/>
          <w:color w:val="auto"/>
          <w:kern w:val="21"/>
          <w:szCs w:val="21"/>
          <w:highlight w:val="none"/>
          <w:u w:val="single"/>
        </w:rPr>
        <w:t xml:space="preserve"> 按相关法律法规规定</w:t>
      </w:r>
      <w:r>
        <w:rPr>
          <w:rFonts w:hint="eastAsia" w:cs="宋体"/>
          <w:color w:val="auto"/>
          <w:kern w:val="21"/>
          <w:szCs w:val="21"/>
          <w:highlight w:val="none"/>
        </w:rPr>
        <w:t>。</w:t>
      </w:r>
    </w:p>
    <w:p w14:paraId="29E647EB">
      <w:pPr>
        <w:shd w:val="clear"/>
        <w:spacing w:line="360" w:lineRule="auto"/>
        <w:ind w:left="479" w:leftChars="228"/>
        <w:rPr>
          <w:rFonts w:cs="宋体"/>
          <w:color w:val="auto"/>
          <w:kern w:val="21"/>
          <w:szCs w:val="21"/>
          <w:highlight w:val="none"/>
        </w:rPr>
      </w:pPr>
      <w:r>
        <w:rPr>
          <w:rFonts w:hint="eastAsia" w:cs="宋体"/>
          <w:color w:val="auto"/>
          <w:kern w:val="21"/>
          <w:szCs w:val="21"/>
          <w:highlight w:val="none"/>
        </w:rPr>
        <w:t>咨询人申明的保密事项和期限：</w:t>
      </w:r>
      <w:r>
        <w:rPr>
          <w:rFonts w:hint="eastAsia" w:cs="宋体"/>
          <w:color w:val="auto"/>
          <w:kern w:val="21"/>
          <w:szCs w:val="21"/>
          <w:highlight w:val="none"/>
          <w:u w:val="single"/>
        </w:rPr>
        <w:t xml:space="preserve"> 按相关法律法规规定</w:t>
      </w:r>
      <w:r>
        <w:rPr>
          <w:rFonts w:hint="eastAsia" w:cs="宋体"/>
          <w:color w:val="auto"/>
          <w:kern w:val="21"/>
          <w:szCs w:val="21"/>
          <w:highlight w:val="none"/>
        </w:rPr>
        <w:t>。</w:t>
      </w:r>
    </w:p>
    <w:p w14:paraId="0F7F45DA">
      <w:pPr>
        <w:shd w:val="clear"/>
        <w:spacing w:line="360" w:lineRule="auto"/>
        <w:ind w:left="479" w:leftChars="228"/>
        <w:rPr>
          <w:rFonts w:cs="宋体"/>
          <w:color w:val="auto"/>
          <w:kern w:val="21"/>
          <w:szCs w:val="21"/>
          <w:highlight w:val="none"/>
        </w:rPr>
      </w:pPr>
      <w:r>
        <w:rPr>
          <w:rFonts w:hint="eastAsia" w:cs="宋体"/>
          <w:color w:val="auto"/>
          <w:kern w:val="21"/>
          <w:szCs w:val="21"/>
          <w:highlight w:val="none"/>
        </w:rPr>
        <w:t>第三人申明的保密事项和期限：</w:t>
      </w:r>
      <w:r>
        <w:rPr>
          <w:rFonts w:hint="eastAsia" w:cs="宋体"/>
          <w:color w:val="auto"/>
          <w:kern w:val="21"/>
          <w:szCs w:val="21"/>
          <w:highlight w:val="none"/>
          <w:u w:val="single"/>
        </w:rPr>
        <w:t xml:space="preserve"> 按相关法律法规规定</w:t>
      </w:r>
      <w:r>
        <w:rPr>
          <w:rFonts w:hint="eastAsia" w:cs="宋体"/>
          <w:color w:val="auto"/>
          <w:kern w:val="21"/>
          <w:szCs w:val="21"/>
          <w:highlight w:val="none"/>
        </w:rPr>
        <w:t>。</w:t>
      </w:r>
    </w:p>
    <w:p w14:paraId="6F981E3E">
      <w:pPr>
        <w:pStyle w:val="23"/>
        <w:shd w:val="clear"/>
        <w:spacing w:before="0" w:after="0" w:line="360" w:lineRule="auto"/>
        <w:jc w:val="left"/>
        <w:rPr>
          <w:rStyle w:val="83"/>
          <w:rFonts w:ascii="Times New Roman" w:hAnsi="Times New Roman"/>
          <w:b w:val="0"/>
          <w:bCs/>
          <w:color w:val="auto"/>
          <w:kern w:val="21"/>
          <w:sz w:val="21"/>
          <w:szCs w:val="21"/>
          <w:highlight w:val="none"/>
        </w:rPr>
      </w:pPr>
      <w:bookmarkStart w:id="627" w:name="_Toc32633"/>
      <w:bookmarkStart w:id="628" w:name="_Toc422322554"/>
      <w:bookmarkStart w:id="629" w:name="_Toc18160"/>
      <w:bookmarkStart w:id="630" w:name="_Toc4073"/>
      <w:bookmarkStart w:id="631" w:name="_Toc7395"/>
      <w:r>
        <w:rPr>
          <w:rStyle w:val="83"/>
          <w:rFonts w:hint="eastAsia" w:ascii="Times New Roman" w:hAnsi="Times New Roman" w:cs="宋体"/>
          <w:b/>
          <w:bCs w:val="0"/>
          <w:color w:val="auto"/>
          <w:kern w:val="21"/>
          <w:sz w:val="21"/>
          <w:szCs w:val="21"/>
          <w:highlight w:val="none"/>
        </w:rPr>
        <w:t>8.4联络</w:t>
      </w:r>
      <w:bookmarkEnd w:id="627"/>
      <w:bookmarkEnd w:id="628"/>
      <w:bookmarkEnd w:id="629"/>
      <w:bookmarkEnd w:id="630"/>
      <w:bookmarkEnd w:id="631"/>
    </w:p>
    <w:p w14:paraId="75E527FE">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8.4.1任何一方与合同有关的通知、指示、要求、决定等，均应在</w:t>
      </w:r>
      <w:r>
        <w:rPr>
          <w:rFonts w:hint="eastAsia" w:cs="宋体"/>
          <w:color w:val="auto"/>
          <w:kern w:val="21"/>
          <w:szCs w:val="21"/>
          <w:highlight w:val="none"/>
          <w:u w:val="single"/>
        </w:rPr>
        <w:t xml:space="preserve"> 7 </w:t>
      </w:r>
      <w:r>
        <w:rPr>
          <w:rFonts w:hint="eastAsia" w:cs="宋体"/>
          <w:color w:val="auto"/>
          <w:kern w:val="21"/>
          <w:szCs w:val="21"/>
          <w:highlight w:val="none"/>
        </w:rPr>
        <w:t>日内送达对方指定的接收人和送达地点。</w:t>
      </w:r>
    </w:p>
    <w:p w14:paraId="76C8793D">
      <w:pPr>
        <w:shd w:val="clear"/>
        <w:spacing w:line="360" w:lineRule="auto"/>
        <w:ind w:firstLine="420" w:firstLineChars="200"/>
        <w:rPr>
          <w:rFonts w:cs="宋体"/>
          <w:color w:val="auto"/>
          <w:kern w:val="21"/>
          <w:szCs w:val="21"/>
          <w:highlight w:val="none"/>
        </w:rPr>
      </w:pPr>
      <w:r>
        <w:rPr>
          <w:rFonts w:hint="eastAsia" w:cs="宋体"/>
          <w:color w:val="auto"/>
          <w:kern w:val="21"/>
          <w:szCs w:val="21"/>
          <w:highlight w:val="none"/>
        </w:rPr>
        <w:t>8.4.2委托人指定的送达接收人：</w:t>
      </w:r>
      <w:r>
        <w:rPr>
          <w:rFonts w:hint="eastAsia" w:cs="宋体"/>
          <w:color w:val="auto"/>
          <w:kern w:val="21"/>
          <w:szCs w:val="21"/>
          <w:highlight w:val="none"/>
          <w:u w:val="single"/>
        </w:rPr>
        <w:t xml:space="preserve">  </w:t>
      </w:r>
      <w:r>
        <w:rPr>
          <w:rFonts w:cs="宋体"/>
          <w:color w:val="auto"/>
          <w:kern w:val="21"/>
          <w:szCs w:val="21"/>
          <w:highlight w:val="none"/>
          <w:u w:val="single"/>
        </w:rPr>
        <w:t xml:space="preserve">  </w:t>
      </w:r>
      <w:r>
        <w:rPr>
          <w:rFonts w:hint="eastAsia" w:cs="宋体"/>
          <w:color w:val="auto"/>
          <w:kern w:val="21"/>
          <w:szCs w:val="21"/>
          <w:highlight w:val="none"/>
          <w:u w:val="single"/>
        </w:rPr>
        <w:t xml:space="preserve"> </w:t>
      </w:r>
      <w:r>
        <w:rPr>
          <w:rFonts w:hint="eastAsia" w:cs="宋体"/>
          <w:color w:val="auto"/>
          <w:kern w:val="21"/>
          <w:szCs w:val="21"/>
          <w:highlight w:val="none"/>
        </w:rPr>
        <w:t>，送达地点：</w:t>
      </w:r>
      <w:r>
        <w:rPr>
          <w:rFonts w:hint="eastAsia" w:cs="宋体"/>
          <w:color w:val="auto"/>
          <w:kern w:val="21"/>
          <w:szCs w:val="21"/>
          <w:highlight w:val="none"/>
          <w:u w:val="single"/>
        </w:rPr>
        <w:t xml:space="preserve"> </w:t>
      </w:r>
      <w:r>
        <w:rPr>
          <w:rFonts w:cs="宋体"/>
          <w:color w:val="auto"/>
          <w:kern w:val="21"/>
          <w:szCs w:val="21"/>
          <w:highlight w:val="none"/>
          <w:u w:val="single"/>
        </w:rPr>
        <w:t xml:space="preserve"> </w:t>
      </w:r>
      <w:r>
        <w:rPr>
          <w:rFonts w:hint="eastAsia" w:cs="宋体"/>
          <w:color w:val="auto"/>
          <w:kern w:val="21"/>
          <w:szCs w:val="21"/>
          <w:highlight w:val="none"/>
          <w:u w:val="single"/>
        </w:rPr>
        <w:t xml:space="preserve">   </w:t>
      </w:r>
      <w:r>
        <w:rPr>
          <w:rFonts w:hint="eastAsia" w:cs="宋体"/>
          <w:color w:val="auto"/>
          <w:kern w:val="21"/>
          <w:szCs w:val="21"/>
          <w:highlight w:val="none"/>
        </w:rPr>
        <w:t>，电子邮箱：</w:t>
      </w:r>
      <w:r>
        <w:rPr>
          <w:rFonts w:hint="eastAsia" w:cs="宋体"/>
          <w:color w:val="auto"/>
          <w:kern w:val="21"/>
          <w:szCs w:val="21"/>
          <w:highlight w:val="none"/>
          <w:u w:val="single"/>
        </w:rPr>
        <w:t xml:space="preserve">        </w:t>
      </w:r>
      <w:r>
        <w:rPr>
          <w:rFonts w:hint="eastAsia" w:cs="宋体"/>
          <w:color w:val="auto"/>
          <w:kern w:val="21"/>
          <w:szCs w:val="21"/>
          <w:highlight w:val="none"/>
        </w:rPr>
        <w:t>。</w:t>
      </w:r>
    </w:p>
    <w:p w14:paraId="58EE117F">
      <w:pPr>
        <w:shd w:val="clear"/>
        <w:spacing w:line="360" w:lineRule="auto"/>
        <w:ind w:firstLine="840" w:firstLineChars="400"/>
        <w:rPr>
          <w:rFonts w:cs="宋体"/>
          <w:color w:val="auto"/>
          <w:kern w:val="21"/>
          <w:szCs w:val="21"/>
          <w:highlight w:val="none"/>
        </w:rPr>
      </w:pPr>
      <w:r>
        <w:rPr>
          <w:rFonts w:hint="eastAsia" w:cs="宋体"/>
          <w:color w:val="auto"/>
          <w:kern w:val="21"/>
          <w:szCs w:val="21"/>
          <w:highlight w:val="none"/>
        </w:rPr>
        <w:t>咨询人指定的送达接收人：</w:t>
      </w:r>
      <w:r>
        <w:rPr>
          <w:rFonts w:hint="eastAsia" w:cs="宋体"/>
          <w:color w:val="auto"/>
          <w:kern w:val="21"/>
          <w:szCs w:val="21"/>
          <w:highlight w:val="none"/>
          <w:u w:val="single"/>
        </w:rPr>
        <w:t xml:space="preserve">     </w:t>
      </w:r>
      <w:r>
        <w:rPr>
          <w:rFonts w:hint="eastAsia" w:cs="宋体"/>
          <w:color w:val="auto"/>
          <w:kern w:val="21"/>
          <w:szCs w:val="21"/>
          <w:highlight w:val="none"/>
        </w:rPr>
        <w:t>，送达地点：</w:t>
      </w:r>
      <w:r>
        <w:rPr>
          <w:rFonts w:hint="eastAsia" w:cs="宋体"/>
          <w:color w:val="auto"/>
          <w:kern w:val="21"/>
          <w:szCs w:val="21"/>
          <w:highlight w:val="none"/>
          <w:u w:val="single"/>
        </w:rPr>
        <w:t xml:space="preserve">  </w:t>
      </w:r>
      <w:r>
        <w:rPr>
          <w:rFonts w:cs="宋体"/>
          <w:color w:val="auto"/>
          <w:kern w:val="21"/>
          <w:szCs w:val="21"/>
          <w:highlight w:val="none"/>
          <w:u w:val="single"/>
        </w:rPr>
        <w:t xml:space="preserve"> </w:t>
      </w:r>
      <w:r>
        <w:rPr>
          <w:rFonts w:hint="eastAsia" w:cs="宋体"/>
          <w:color w:val="auto"/>
          <w:kern w:val="21"/>
          <w:szCs w:val="21"/>
          <w:highlight w:val="none"/>
          <w:u w:val="single"/>
        </w:rPr>
        <w:t xml:space="preserve">  </w:t>
      </w:r>
      <w:r>
        <w:rPr>
          <w:rFonts w:hint="eastAsia" w:cs="宋体"/>
          <w:color w:val="auto"/>
          <w:kern w:val="21"/>
          <w:szCs w:val="21"/>
          <w:highlight w:val="none"/>
        </w:rPr>
        <w:t>，电子邮箱：</w:t>
      </w:r>
      <w:r>
        <w:rPr>
          <w:rFonts w:hint="eastAsia" w:cs="宋体"/>
          <w:color w:val="auto"/>
          <w:kern w:val="21"/>
          <w:szCs w:val="21"/>
          <w:highlight w:val="none"/>
          <w:u w:val="single"/>
        </w:rPr>
        <w:t xml:space="preserve">  </w:t>
      </w:r>
      <w:r>
        <w:rPr>
          <w:rFonts w:cs="宋体"/>
          <w:color w:val="auto"/>
          <w:kern w:val="21"/>
          <w:szCs w:val="21"/>
          <w:highlight w:val="none"/>
          <w:u w:val="single"/>
        </w:rPr>
        <w:t xml:space="preserve"> </w:t>
      </w:r>
      <w:r>
        <w:rPr>
          <w:rFonts w:hint="eastAsia" w:cs="宋体"/>
          <w:color w:val="auto"/>
          <w:kern w:val="21"/>
          <w:szCs w:val="21"/>
          <w:highlight w:val="none"/>
          <w:u w:val="single"/>
        </w:rPr>
        <w:t xml:space="preserve">     </w:t>
      </w:r>
      <w:r>
        <w:rPr>
          <w:rFonts w:hint="eastAsia" w:cs="宋体"/>
          <w:color w:val="auto"/>
          <w:kern w:val="21"/>
          <w:szCs w:val="21"/>
          <w:highlight w:val="none"/>
        </w:rPr>
        <w:t>。</w:t>
      </w:r>
    </w:p>
    <w:p w14:paraId="001ECA39">
      <w:pPr>
        <w:pStyle w:val="23"/>
        <w:shd w:val="clear"/>
        <w:spacing w:before="0" w:after="0" w:line="360" w:lineRule="auto"/>
        <w:jc w:val="left"/>
        <w:rPr>
          <w:rStyle w:val="83"/>
          <w:rFonts w:ascii="Times New Roman" w:hAnsi="Times New Roman" w:cs="宋体"/>
          <w:b/>
          <w:bCs w:val="0"/>
          <w:color w:val="auto"/>
          <w:kern w:val="21"/>
          <w:sz w:val="21"/>
          <w:szCs w:val="21"/>
          <w:highlight w:val="none"/>
        </w:rPr>
      </w:pPr>
      <w:bookmarkStart w:id="632" w:name="_Toc422322555"/>
      <w:bookmarkStart w:id="633" w:name="_Toc419045124"/>
      <w:bookmarkStart w:id="634" w:name="_Toc23644"/>
      <w:bookmarkStart w:id="635" w:name="_Toc32755"/>
      <w:bookmarkStart w:id="636" w:name="_Toc24065"/>
      <w:bookmarkStart w:id="637" w:name="_Toc2041"/>
      <w:r>
        <w:rPr>
          <w:rStyle w:val="83"/>
          <w:rFonts w:hint="eastAsia" w:ascii="Times New Roman" w:hAnsi="Times New Roman" w:cs="宋体"/>
          <w:b/>
          <w:bCs w:val="0"/>
          <w:color w:val="auto"/>
          <w:kern w:val="21"/>
          <w:sz w:val="21"/>
          <w:szCs w:val="21"/>
          <w:highlight w:val="none"/>
        </w:rPr>
        <w:t>8.5知识产权</w:t>
      </w:r>
      <w:bookmarkEnd w:id="632"/>
      <w:bookmarkEnd w:id="633"/>
    </w:p>
    <w:bookmarkEnd w:id="634"/>
    <w:bookmarkEnd w:id="635"/>
    <w:bookmarkEnd w:id="636"/>
    <w:bookmarkEnd w:id="637"/>
    <w:p w14:paraId="79D54131">
      <w:pPr>
        <w:shd w:val="clear"/>
        <w:spacing w:line="360" w:lineRule="auto"/>
        <w:ind w:firstLine="420" w:firstLineChars="200"/>
        <w:rPr>
          <w:rFonts w:cs="宋体"/>
          <w:color w:val="auto"/>
          <w:kern w:val="21"/>
          <w:szCs w:val="21"/>
          <w:highlight w:val="none"/>
          <w:u w:val="single"/>
        </w:rPr>
      </w:pPr>
      <w:r>
        <w:rPr>
          <w:rFonts w:hint="eastAsia" w:cs="宋体"/>
          <w:color w:val="auto"/>
          <w:kern w:val="21"/>
          <w:szCs w:val="21"/>
          <w:highlight w:val="none"/>
        </w:rPr>
        <w:t>委托人提供给咨询人的图纸、委托人为实施工程自行编制或委托编制的技术规范以及反映委托人要求的或其他类似性质文件的著作权属于</w:t>
      </w:r>
      <w:r>
        <w:rPr>
          <w:rFonts w:hint="eastAsia" w:cs="宋体"/>
          <w:color w:val="auto"/>
          <w:kern w:val="21"/>
          <w:szCs w:val="21"/>
          <w:highlight w:val="none"/>
          <w:u w:val="single"/>
        </w:rPr>
        <w:t>按通用条款规定</w:t>
      </w:r>
      <w:r>
        <w:rPr>
          <w:rFonts w:hint="eastAsia" w:cs="宋体"/>
          <w:color w:val="auto"/>
          <w:kern w:val="21"/>
          <w:szCs w:val="21"/>
          <w:highlight w:val="none"/>
        </w:rPr>
        <w:t>。</w:t>
      </w:r>
    </w:p>
    <w:p w14:paraId="5E412AD4">
      <w:pPr>
        <w:shd w:val="clear"/>
        <w:spacing w:line="360" w:lineRule="auto"/>
        <w:ind w:firstLine="420" w:firstLineChars="200"/>
        <w:rPr>
          <w:rFonts w:cs="宋体"/>
          <w:color w:val="auto"/>
          <w:kern w:val="21"/>
          <w:szCs w:val="21"/>
          <w:highlight w:val="none"/>
          <w:u w:val="single"/>
        </w:rPr>
      </w:pPr>
      <w:r>
        <w:rPr>
          <w:rFonts w:hint="eastAsia" w:cs="宋体"/>
          <w:color w:val="auto"/>
          <w:kern w:val="21"/>
          <w:szCs w:val="21"/>
          <w:highlight w:val="none"/>
        </w:rPr>
        <w:t>咨询人为履行本合同约定而编制的成果文件,其著作权属于</w:t>
      </w:r>
      <w:r>
        <w:rPr>
          <w:rFonts w:hint="eastAsia" w:cs="宋体"/>
          <w:color w:val="auto"/>
          <w:kern w:val="21"/>
          <w:szCs w:val="21"/>
          <w:highlight w:val="none"/>
          <w:u w:val="single"/>
        </w:rPr>
        <w:t>按通用条款规定</w:t>
      </w:r>
      <w:r>
        <w:rPr>
          <w:rFonts w:hint="eastAsia" w:cs="宋体"/>
          <w:color w:val="auto"/>
          <w:kern w:val="21"/>
          <w:szCs w:val="21"/>
          <w:highlight w:val="none"/>
        </w:rPr>
        <w:t>。</w:t>
      </w:r>
    </w:p>
    <w:p w14:paraId="1A39174C">
      <w:pPr>
        <w:pStyle w:val="14"/>
        <w:shd w:val="clear"/>
        <w:spacing w:line="360" w:lineRule="auto"/>
        <w:rPr>
          <w:rFonts w:ascii="Times New Roman" w:hAnsi="Times New Roman" w:cs="宋体"/>
          <w:color w:val="auto"/>
          <w:kern w:val="21"/>
          <w:highlight w:val="none"/>
        </w:rPr>
      </w:pPr>
      <w:r>
        <w:rPr>
          <w:rFonts w:hint="eastAsia" w:ascii="Times New Roman" w:hAnsi="Times New Roman" w:cs="宋体"/>
          <w:color w:val="auto"/>
          <w:kern w:val="21"/>
          <w:highlight w:val="none"/>
        </w:rPr>
        <w:t>双方将履行本合同形成的有关成果文件用于企业宣传、申报奖项以及接受上级主管部门的检查须遵守以下约定：</w:t>
      </w:r>
      <w:r>
        <w:rPr>
          <w:rFonts w:hint="eastAsia" w:ascii="Times New Roman" w:hAnsi="Times New Roman" w:cs="宋体"/>
          <w:color w:val="auto"/>
          <w:kern w:val="21"/>
          <w:highlight w:val="none"/>
          <w:u w:val="single"/>
        </w:rPr>
        <w:t xml:space="preserve"> 按通用条款规定 </w:t>
      </w:r>
      <w:r>
        <w:rPr>
          <w:rFonts w:hint="eastAsia" w:ascii="Times New Roman" w:hAnsi="Times New Roman" w:cs="宋体"/>
          <w:color w:val="auto"/>
          <w:kern w:val="21"/>
          <w:highlight w:val="none"/>
        </w:rPr>
        <w:t>。</w:t>
      </w:r>
    </w:p>
    <w:p w14:paraId="632421DB">
      <w:pPr>
        <w:pStyle w:val="14"/>
        <w:shd w:val="clear"/>
        <w:spacing w:line="360" w:lineRule="auto"/>
        <w:rPr>
          <w:rFonts w:ascii="Times New Roman" w:hAnsi="Times New Roman" w:cs="宋体"/>
          <w:color w:val="auto"/>
          <w:kern w:val="21"/>
          <w:highlight w:val="none"/>
        </w:rPr>
      </w:pPr>
      <w:r>
        <w:rPr>
          <w:rFonts w:hint="eastAsia" w:ascii="Times New Roman" w:hAnsi="Times New Roman" w:cs="宋体"/>
          <w:color w:val="auto"/>
          <w:kern w:val="21"/>
          <w:highlight w:val="none"/>
        </w:rPr>
        <w:t>8.6分包</w:t>
      </w:r>
    </w:p>
    <w:p w14:paraId="7B73654F">
      <w:pPr>
        <w:pStyle w:val="14"/>
        <w:shd w:val="clear"/>
        <w:spacing w:line="360" w:lineRule="auto"/>
        <w:rPr>
          <w:rFonts w:ascii="Times New Roman" w:hAnsi="Times New Roman" w:cs="宋体"/>
          <w:color w:val="auto"/>
          <w:kern w:val="21"/>
          <w:highlight w:val="none"/>
        </w:rPr>
      </w:pPr>
      <w:r>
        <w:rPr>
          <w:rFonts w:hint="eastAsia" w:ascii="Times New Roman" w:hAnsi="Times New Roman" w:cs="宋体"/>
          <w:color w:val="auto"/>
          <w:kern w:val="21"/>
          <w:highlight w:val="none"/>
        </w:rPr>
        <w:t>不允许。</w:t>
      </w:r>
    </w:p>
    <w:p w14:paraId="5417A1DA">
      <w:pPr>
        <w:shd w:val="clear"/>
        <w:rPr>
          <w:rFonts w:asciiTheme="minorEastAsia" w:hAnsiTheme="minorEastAsia" w:eastAsiaTheme="minorEastAsia" w:cstheme="minorEastAsia"/>
          <w:b/>
          <w:color w:val="auto"/>
          <w:sz w:val="36"/>
          <w:szCs w:val="20"/>
          <w:highlight w:val="none"/>
        </w:rPr>
      </w:pPr>
      <w:r>
        <w:rPr>
          <w:rFonts w:asciiTheme="minorEastAsia" w:hAnsiTheme="minorEastAsia" w:eastAsiaTheme="minorEastAsia" w:cstheme="minorEastAsia"/>
          <w:b/>
          <w:color w:val="auto"/>
          <w:sz w:val="36"/>
          <w:szCs w:val="20"/>
          <w:highlight w:val="none"/>
        </w:rPr>
        <w:br w:type="page"/>
      </w:r>
    </w:p>
    <w:p w14:paraId="2AEA204C">
      <w:pPr>
        <w:shd w:val="clear"/>
        <w:rPr>
          <w:rFonts w:asciiTheme="minorEastAsia" w:hAnsiTheme="minorEastAsia" w:eastAsiaTheme="minorEastAsia" w:cstheme="minorEastAsia"/>
          <w:b/>
          <w:color w:val="auto"/>
          <w:sz w:val="36"/>
          <w:szCs w:val="20"/>
          <w:highlight w:val="none"/>
        </w:rPr>
      </w:pPr>
    </w:p>
    <w:p w14:paraId="5D066589">
      <w:pPr>
        <w:shd w:val="clea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p>
    <w:p w14:paraId="67A34620">
      <w:pPr>
        <w:shd w:val="clea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2"/>
      <w:r>
        <w:rPr>
          <w:rFonts w:hint="eastAsia" w:asciiTheme="minorEastAsia" w:hAnsiTheme="minorEastAsia" w:eastAsiaTheme="minorEastAsia" w:cstheme="minorEastAsia"/>
          <w:b/>
          <w:color w:val="auto"/>
          <w:sz w:val="36"/>
          <w:szCs w:val="20"/>
          <w:highlight w:val="none"/>
        </w:rPr>
        <w:t xml:space="preserve"> </w:t>
      </w:r>
      <w:bookmarkEnd w:id="393"/>
      <w:r>
        <w:rPr>
          <w:rFonts w:hint="eastAsia" w:asciiTheme="minorEastAsia" w:hAnsiTheme="minorEastAsia" w:eastAsiaTheme="minorEastAsia" w:cstheme="minorEastAsia"/>
          <w:b/>
          <w:color w:val="auto"/>
          <w:sz w:val="36"/>
          <w:szCs w:val="20"/>
          <w:highlight w:val="none"/>
        </w:rPr>
        <w:t>应提交的有关格式范例</w:t>
      </w:r>
    </w:p>
    <w:p w14:paraId="792078A4">
      <w:pPr>
        <w:shd w:val="clear"/>
        <w:spacing w:line="360" w:lineRule="auto"/>
        <w:ind w:firstLine="723"/>
        <w:jc w:val="center"/>
        <w:outlineLvl w:val="0"/>
        <w:rPr>
          <w:rFonts w:asciiTheme="minorEastAsia" w:hAnsiTheme="minorEastAsia" w:eastAsiaTheme="minorEastAsia" w:cstheme="minorEastAsia"/>
          <w:b/>
          <w:color w:val="auto"/>
          <w:kern w:val="0"/>
          <w:sz w:val="36"/>
          <w:szCs w:val="36"/>
          <w:highlight w:val="none"/>
        </w:rPr>
      </w:pPr>
    </w:p>
    <w:p w14:paraId="724093AC">
      <w:pPr>
        <w:shd w:val="clear"/>
        <w:spacing w:line="360" w:lineRule="auto"/>
        <w:ind w:firstLine="723"/>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661BA075">
      <w:pPr>
        <w:shd w:val="clear"/>
        <w:spacing w:line="360" w:lineRule="auto"/>
        <w:ind w:firstLine="723"/>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4C1970EE">
      <w:pPr>
        <w:shd w:val="clear"/>
        <w:spacing w:line="360" w:lineRule="auto"/>
        <w:ind w:firstLine="723"/>
        <w:jc w:val="center"/>
        <w:outlineLvl w:val="0"/>
        <w:rPr>
          <w:rFonts w:asciiTheme="minorEastAsia" w:hAnsiTheme="minorEastAsia" w:eastAsiaTheme="minorEastAsia" w:cstheme="minorEastAsia"/>
          <w:b/>
          <w:color w:val="auto"/>
          <w:kern w:val="0"/>
          <w:sz w:val="36"/>
          <w:szCs w:val="36"/>
          <w:highlight w:val="none"/>
        </w:rPr>
      </w:pPr>
    </w:p>
    <w:p w14:paraId="1857578C">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有效的企业法人营业执照（或事业法人登记证）、其他组织（个体工商户）的营业执照或者民办非企业单位登记证书；</w:t>
      </w:r>
    </w:p>
    <w:p w14:paraId="596389BB">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符合参加采购活动应当具备的一般条件的承诺函；</w:t>
      </w:r>
    </w:p>
    <w:p w14:paraId="23289415">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落实政府采购政策需满足的资格要求；</w:t>
      </w:r>
    </w:p>
    <w:p w14:paraId="00853466">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本项目的特定资格要求。</w:t>
      </w:r>
    </w:p>
    <w:p w14:paraId="3DB84927">
      <w:pPr>
        <w:pStyle w:val="34"/>
        <w:shd w:val="clear"/>
        <w:spacing w:line="360" w:lineRule="auto"/>
        <w:ind w:firstLine="480"/>
        <w:rPr>
          <w:rFonts w:asciiTheme="minorEastAsia" w:hAnsiTheme="minorEastAsia" w:eastAsiaTheme="minorEastAsia" w:cstheme="minorEastAsia"/>
          <w:color w:val="auto"/>
          <w:sz w:val="24"/>
          <w:highlight w:val="none"/>
        </w:rPr>
      </w:pPr>
    </w:p>
    <w:p w14:paraId="09FB9FC0">
      <w:pPr>
        <w:shd w:val="clear"/>
        <w:spacing w:line="360" w:lineRule="auto"/>
        <w:ind w:firstLine="643"/>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520CE2F">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一、 符合参加采购活动应当具备的一般条件的承诺函</w:t>
      </w:r>
    </w:p>
    <w:p w14:paraId="2C3DD305">
      <w:pPr>
        <w:shd w:val="clear"/>
        <w:snapToGrid w:val="0"/>
        <w:spacing w:line="360" w:lineRule="auto"/>
        <w:ind w:firstLine="480"/>
        <w:rPr>
          <w:rFonts w:asciiTheme="minorEastAsia" w:hAnsiTheme="minorEastAsia" w:eastAsiaTheme="minorEastAsia" w:cstheme="minorEastAsia"/>
          <w:color w:val="auto"/>
          <w:sz w:val="24"/>
          <w:highlight w:val="none"/>
          <w:u w:val="single"/>
        </w:rPr>
      </w:pPr>
    </w:p>
    <w:p w14:paraId="693BED2A">
      <w:pPr>
        <w:shd w:val="clear"/>
        <w:snapToGrid w:val="0"/>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宁波锦铭科技有限公司</w:t>
      </w:r>
      <w:r>
        <w:rPr>
          <w:rFonts w:hint="eastAsia" w:asciiTheme="minorEastAsia" w:hAnsiTheme="minorEastAsia" w:eastAsiaTheme="minorEastAsia" w:cstheme="minorEastAsia"/>
          <w:color w:val="auto"/>
          <w:sz w:val="24"/>
          <w:highlight w:val="none"/>
        </w:rPr>
        <w:t>：</w:t>
      </w:r>
    </w:p>
    <w:p w14:paraId="5613C467">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（项目名称）【项目编号：         】</w:t>
      </w:r>
      <w:r>
        <w:rPr>
          <w:rFonts w:hint="eastAsia" w:asciiTheme="minorEastAsia" w:hAnsiTheme="minorEastAsia" w:eastAsiaTheme="minorEastAsia" w:cstheme="minorEastAsia"/>
          <w:color w:val="auto"/>
          <w:sz w:val="24"/>
          <w:highlight w:val="none"/>
        </w:rPr>
        <w:t>采购活动，郑重承诺：</w:t>
      </w:r>
    </w:p>
    <w:p w14:paraId="716155FF">
      <w:pPr>
        <w:shd w:val="clea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44713D1E">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6670F0F0">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5BFA5CCD">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706EC069">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701132C9">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758D5F47">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6083FFEE">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35291C6E">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3820FAE7">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1.单位负责人为同一人或者存在直接控股、管理关系的不同供应商参加同一合同项下的采购活动的；</w:t>
      </w:r>
    </w:p>
    <w:p w14:paraId="07C8A299">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32E5196C">
      <w:pPr>
        <w:shd w:val="clea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1468C765">
      <w:pPr>
        <w:shd w:val="clea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2FE7E8D7">
      <w:pPr>
        <w:shd w:val="clear"/>
        <w:spacing w:line="360" w:lineRule="auto"/>
        <w:ind w:right="420" w:firstLine="5250" w:firstLineChars="25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法定代表人（签名或印章）：     </w:t>
      </w:r>
    </w:p>
    <w:p w14:paraId="4FAE81D6">
      <w:pPr>
        <w:shd w:val="clear"/>
        <w:spacing w:line="360" w:lineRule="auto"/>
        <w:ind w:right="420" w:firstLine="5460" w:firstLineChars="2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供应商（盖章）：   </w:t>
      </w:r>
    </w:p>
    <w:p w14:paraId="15A11775">
      <w:pPr>
        <w:shd w:val="clear"/>
        <w:spacing w:line="360" w:lineRule="auto"/>
        <w:ind w:right="420" w:firstLine="5355" w:firstLineChars="25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    月    日</w:t>
      </w:r>
    </w:p>
    <w:p w14:paraId="72F915F5">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highlight w:val="none"/>
        </w:rPr>
      </w:pPr>
    </w:p>
    <w:p w14:paraId="642B071A">
      <w:pPr>
        <w:shd w:val="clear"/>
        <w:spacing w:line="360" w:lineRule="auto"/>
        <w:ind w:firstLine="643"/>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5D3F95D3">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二、落实政府采购政策需满足的资格要求（如适用）</w:t>
      </w:r>
    </w:p>
    <w:p w14:paraId="726F1F34">
      <w:pPr>
        <w:shd w:val="clea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（根据竞争性磋商公告落实政府采购政策需满足的资格要求选择提供相应的材料；未要求的，无需提供）</w:t>
      </w:r>
    </w:p>
    <w:p w14:paraId="7CB493B3">
      <w:pPr>
        <w:shd w:val="clear"/>
        <w:snapToGrid w:val="0"/>
        <w:spacing w:before="50" w:after="50" w:line="360" w:lineRule="auto"/>
        <w:ind w:firstLine="472" w:firstLineChars="19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21EB46CB">
      <w:pPr>
        <w:shd w:val="clear"/>
        <w:spacing w:line="360" w:lineRule="auto"/>
        <w:ind w:firstLine="480"/>
        <w:rPr>
          <w:rFonts w:asciiTheme="minorEastAsia" w:hAnsiTheme="minorEastAsia" w:eastAsiaTheme="minorEastAsia" w:cstheme="minorEastAsia"/>
          <w:color w:val="auto"/>
          <w:sz w:val="24"/>
          <w:highlight w:val="none"/>
        </w:rPr>
      </w:pPr>
    </w:p>
    <w:p w14:paraId="3CFBD75A">
      <w:pPr>
        <w:shd w:val="clear"/>
        <w:spacing w:line="360" w:lineRule="auto"/>
        <w:ind w:firstLine="472" w:firstLineChars="19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799B0109">
      <w:pPr>
        <w:shd w:val="clear"/>
        <w:spacing w:line="360" w:lineRule="auto"/>
        <w:ind w:firstLine="643"/>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三、本项目的特定资格要求</w:t>
      </w:r>
    </w:p>
    <w:p w14:paraId="2A423A8C">
      <w:pPr>
        <w:shd w:val="clear"/>
        <w:spacing w:line="360" w:lineRule="auto"/>
        <w:ind w:firstLine="48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（根据竞争性磋商公告本项目的特定资格要求提供相应的材料；未要求的，无需提供）</w:t>
      </w:r>
    </w:p>
    <w:p w14:paraId="21BEBDB5">
      <w:pPr>
        <w:shd w:val="clear"/>
        <w:spacing w:line="360" w:lineRule="auto"/>
        <w:rPr>
          <w:rFonts w:asciiTheme="minorEastAsia" w:hAnsiTheme="minorEastAsia" w:eastAsiaTheme="minorEastAsia" w:cstheme="minorEastAsia"/>
          <w:color w:val="auto"/>
          <w:highlight w:val="none"/>
        </w:rPr>
      </w:pPr>
    </w:p>
    <w:p w14:paraId="3102466C">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highlight w:val="none"/>
        </w:rPr>
      </w:pPr>
    </w:p>
    <w:p w14:paraId="4CD7C76E">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highlight w:val="none"/>
        </w:rPr>
      </w:pPr>
    </w:p>
    <w:p w14:paraId="10CBDA81">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highlight w:val="none"/>
        </w:rPr>
      </w:pPr>
    </w:p>
    <w:p w14:paraId="584902E3">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highlight w:val="none"/>
        </w:rPr>
      </w:pPr>
    </w:p>
    <w:p w14:paraId="0E32741E">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highlight w:val="none"/>
        </w:rPr>
      </w:pPr>
    </w:p>
    <w:p w14:paraId="7B591917">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highlight w:val="none"/>
        </w:rPr>
      </w:pPr>
    </w:p>
    <w:p w14:paraId="31109D1A">
      <w:pPr>
        <w:shd w:val="clear"/>
        <w:spacing w:line="360" w:lineRule="auto"/>
        <w:ind w:firstLine="723"/>
        <w:jc w:val="center"/>
        <w:outlineLvl w:val="0"/>
        <w:rPr>
          <w:rFonts w:asciiTheme="minorEastAsia" w:hAnsiTheme="minorEastAsia" w:eastAsiaTheme="minorEastAsia" w:cstheme="minorEastAsia"/>
          <w:b/>
          <w:color w:val="auto"/>
          <w:kern w:val="0"/>
          <w:sz w:val="36"/>
          <w:szCs w:val="36"/>
          <w:highlight w:val="none"/>
        </w:rPr>
      </w:pPr>
    </w:p>
    <w:p w14:paraId="59D11F01">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highlight w:val="none"/>
        </w:rPr>
      </w:pPr>
    </w:p>
    <w:p w14:paraId="21DD2164">
      <w:pPr>
        <w:shd w:val="clear"/>
        <w:spacing w:line="360" w:lineRule="auto"/>
        <w:ind w:firstLine="723"/>
        <w:jc w:val="center"/>
        <w:outlineLvl w:val="0"/>
        <w:rPr>
          <w:rFonts w:asciiTheme="minorEastAsia" w:hAnsiTheme="minorEastAsia" w:eastAsiaTheme="minorEastAsia" w:cstheme="minorEastAsia"/>
          <w:b/>
          <w:color w:val="auto"/>
          <w:kern w:val="0"/>
          <w:sz w:val="36"/>
          <w:szCs w:val="36"/>
          <w:highlight w:val="none"/>
        </w:rPr>
      </w:pPr>
    </w:p>
    <w:p w14:paraId="6D8093DA">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highlight w:val="none"/>
        </w:rPr>
      </w:pPr>
    </w:p>
    <w:p w14:paraId="22232E81">
      <w:pPr>
        <w:shd w:val="clear"/>
        <w:spacing w:line="360" w:lineRule="auto"/>
        <w:ind w:firstLine="723"/>
        <w:jc w:val="center"/>
        <w:outlineLvl w:val="0"/>
        <w:rPr>
          <w:rFonts w:asciiTheme="minorEastAsia" w:hAnsiTheme="minorEastAsia" w:eastAsiaTheme="minorEastAsia" w:cstheme="minorEastAsia"/>
          <w:b/>
          <w:color w:val="auto"/>
          <w:kern w:val="0"/>
          <w:sz w:val="36"/>
          <w:szCs w:val="36"/>
          <w:highlight w:val="none"/>
        </w:rPr>
      </w:pPr>
    </w:p>
    <w:p w14:paraId="351F5862">
      <w:pPr>
        <w:shd w:val="clear"/>
        <w:spacing w:line="360" w:lineRule="auto"/>
        <w:ind w:firstLine="723"/>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09E4DE61">
      <w:pPr>
        <w:shd w:val="clear"/>
        <w:spacing w:line="360" w:lineRule="auto"/>
        <w:ind w:right="420" w:firstLine="723"/>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5D560CC5">
      <w:pPr>
        <w:shd w:val="clear"/>
        <w:spacing w:line="360" w:lineRule="auto"/>
        <w:ind w:firstLine="482"/>
        <w:jc w:val="center"/>
        <w:outlineLvl w:val="0"/>
        <w:rPr>
          <w:rFonts w:asciiTheme="minorEastAsia" w:hAnsiTheme="minorEastAsia" w:eastAsiaTheme="minorEastAsia" w:cstheme="minorEastAsia"/>
          <w:b/>
          <w:color w:val="auto"/>
          <w:kern w:val="0"/>
          <w:sz w:val="24"/>
          <w:highlight w:val="none"/>
        </w:rPr>
      </w:pPr>
    </w:p>
    <w:p w14:paraId="47B64B44">
      <w:pPr>
        <w:shd w:val="clear"/>
        <w:spacing w:line="360" w:lineRule="auto"/>
        <w:ind w:left="3990" w:leftChars="1900" w:firstLine="562"/>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 录</w:t>
      </w:r>
    </w:p>
    <w:p w14:paraId="759334E6">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1评分索引表；</w:t>
      </w:r>
    </w:p>
    <w:p w14:paraId="53F543DB">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符合性自查表；</w:t>
      </w:r>
    </w:p>
    <w:p w14:paraId="0EFE6EE8">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3 磋商函； </w:t>
      </w:r>
    </w:p>
    <w:p w14:paraId="0DB1F337">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4授权委托书或法定代表人（单位负责人、自然人本人）身份证明；</w:t>
      </w:r>
    </w:p>
    <w:p w14:paraId="51B5B9BC">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 供应商情况表；</w:t>
      </w:r>
    </w:p>
    <w:p w14:paraId="2E691ECC">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 距采购人最近或者能为本项目提供最优服务的网点情况表；</w:t>
      </w:r>
    </w:p>
    <w:p w14:paraId="57EFBE05">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 评审标准相应的商务技术资料；</w:t>
      </w:r>
    </w:p>
    <w:p w14:paraId="31613573">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 商务响应表；</w:t>
      </w:r>
    </w:p>
    <w:p w14:paraId="3E09623E">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 服务响应表；</w:t>
      </w:r>
    </w:p>
    <w:p w14:paraId="7A80EBD1">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10 项目实施人员一览表</w:t>
      </w:r>
    </w:p>
    <w:p w14:paraId="7B78C693">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 同类业绩情况一览表；</w:t>
      </w:r>
    </w:p>
    <w:p w14:paraId="057C06B7">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 xml:space="preserve">12 </w:t>
      </w:r>
      <w:r>
        <w:rPr>
          <w:rFonts w:hint="eastAsia" w:asciiTheme="minorEastAsia" w:hAnsiTheme="minorEastAsia" w:eastAsiaTheme="minorEastAsia" w:cstheme="minorEastAsia"/>
          <w:color w:val="auto"/>
          <w:sz w:val="28"/>
          <w:szCs w:val="28"/>
          <w:highlight w:val="none"/>
          <w:lang w:val="zh-CN"/>
        </w:rPr>
        <w:t>采购供应商廉洁自律承诺书；</w:t>
      </w:r>
    </w:p>
    <w:p w14:paraId="6E887537">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13 其他资料。</w:t>
      </w:r>
    </w:p>
    <w:p w14:paraId="5F6A13F1">
      <w:pPr>
        <w:shd w:val="clear"/>
        <w:snapToGrid w:val="0"/>
        <w:spacing w:line="360" w:lineRule="auto"/>
        <w:ind w:firstLine="480"/>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p>
    <w:p w14:paraId="5002BEF0">
      <w:pPr>
        <w:numPr>
          <w:ilvl w:val="0"/>
          <w:numId w:val="4"/>
        </w:numPr>
        <w:shd w:val="clear"/>
        <w:snapToGrid w:val="0"/>
        <w:spacing w:line="360" w:lineRule="auto"/>
        <w:ind w:firstLine="643"/>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评分索引表</w:t>
      </w:r>
    </w:p>
    <w:p w14:paraId="0F378B3A">
      <w:pPr>
        <w:shd w:val="clear"/>
        <w:snapToGrid w:val="0"/>
        <w:spacing w:before="50" w:after="50"/>
        <w:ind w:firstLine="482"/>
        <w:rPr>
          <w:rFonts w:ascii="宋体" w:hAnsi="宋体"/>
          <w:b/>
          <w:color w:val="auto"/>
          <w:sz w:val="24"/>
          <w:highlight w:val="none"/>
        </w:rPr>
      </w:pPr>
    </w:p>
    <w:p w14:paraId="61170DEE">
      <w:pPr>
        <w:shd w:val="clear"/>
        <w:snapToGrid w:val="0"/>
        <w:spacing w:before="50" w:after="50" w:line="360" w:lineRule="auto"/>
        <w:ind w:firstLine="482"/>
        <w:rPr>
          <w:rFonts w:ascii="宋体" w:hAnsi="宋体"/>
          <w:b/>
          <w:color w:val="auto"/>
          <w:sz w:val="24"/>
          <w:highlight w:val="none"/>
          <w:u w:val="single"/>
        </w:rPr>
      </w:pPr>
      <w:r>
        <w:rPr>
          <w:rFonts w:hint="eastAsia" w:ascii="宋体" w:hAnsi="宋体"/>
          <w:b/>
          <w:color w:val="auto"/>
          <w:sz w:val="24"/>
          <w:highlight w:val="none"/>
        </w:rPr>
        <w:t>供应商单位名称：</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2D61A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15A9461">
            <w:pPr>
              <w:pStyle w:val="20"/>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7666789D">
            <w:pPr>
              <w:pStyle w:val="20"/>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18985917">
            <w:pPr>
              <w:pStyle w:val="20"/>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56C11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F6DEC11">
            <w:pPr>
              <w:shd w:val="clear"/>
              <w:ind w:firstLine="480"/>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68802E8A">
            <w:pPr>
              <w:shd w:val="clear"/>
              <w:ind w:firstLine="480"/>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181EC590">
            <w:pPr>
              <w:shd w:val="clear"/>
              <w:ind w:firstLine="480"/>
              <w:jc w:val="center"/>
              <w:rPr>
                <w:rFonts w:ascii="宋体" w:hAnsi="宋体"/>
                <w:bCs/>
                <w:color w:val="auto"/>
                <w:sz w:val="24"/>
                <w:highlight w:val="none"/>
              </w:rPr>
            </w:pPr>
          </w:p>
        </w:tc>
      </w:tr>
      <w:tr w14:paraId="567B2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CD06FD0">
            <w:pPr>
              <w:shd w:val="clear"/>
              <w:ind w:firstLine="480"/>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38D8529A">
            <w:pPr>
              <w:shd w:val="clear"/>
              <w:ind w:firstLine="480"/>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308CFAFA">
            <w:pPr>
              <w:shd w:val="clear"/>
              <w:ind w:firstLine="480"/>
              <w:jc w:val="center"/>
              <w:rPr>
                <w:rFonts w:ascii="宋体" w:hAnsi="宋体"/>
                <w:bCs/>
                <w:color w:val="auto"/>
                <w:sz w:val="24"/>
                <w:highlight w:val="none"/>
              </w:rPr>
            </w:pPr>
          </w:p>
        </w:tc>
      </w:tr>
      <w:tr w14:paraId="2827D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2AC92A7B">
            <w:pPr>
              <w:shd w:val="clear"/>
              <w:ind w:firstLine="480"/>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6E8AF91">
            <w:pPr>
              <w:shd w:val="clear"/>
              <w:ind w:left="55" w:leftChars="26" w:firstLine="480"/>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C170659">
            <w:pPr>
              <w:shd w:val="clear"/>
              <w:ind w:firstLine="480"/>
              <w:jc w:val="center"/>
              <w:rPr>
                <w:rFonts w:ascii="宋体" w:hAnsi="宋体"/>
                <w:bCs/>
                <w:color w:val="auto"/>
                <w:sz w:val="24"/>
                <w:highlight w:val="none"/>
              </w:rPr>
            </w:pPr>
          </w:p>
        </w:tc>
      </w:tr>
      <w:tr w14:paraId="47050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D2E3146">
            <w:pPr>
              <w:shd w:val="clear"/>
              <w:ind w:firstLine="482"/>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4223264">
            <w:pPr>
              <w:pStyle w:val="20"/>
              <w:shd w:val="clear"/>
              <w:ind w:firstLine="321"/>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96B660E">
            <w:pPr>
              <w:pStyle w:val="20"/>
              <w:shd w:val="clear"/>
              <w:ind w:firstLine="321"/>
              <w:jc w:val="center"/>
              <w:rPr>
                <w:rFonts w:ascii="宋体"/>
                <w:b/>
                <w:color w:val="auto"/>
                <w:highlight w:val="none"/>
              </w:rPr>
            </w:pPr>
          </w:p>
        </w:tc>
      </w:tr>
      <w:tr w14:paraId="3DA1C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16759B9">
            <w:pPr>
              <w:shd w:val="clear"/>
              <w:ind w:firstLine="480"/>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B7C93A1">
            <w:pPr>
              <w:shd w:val="clear"/>
              <w:spacing w:line="320" w:lineRule="exact"/>
              <w:ind w:firstLine="480"/>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A6074AE">
            <w:pPr>
              <w:shd w:val="clear"/>
              <w:ind w:firstLine="480"/>
              <w:jc w:val="center"/>
              <w:rPr>
                <w:rFonts w:ascii="宋体" w:hAnsi="宋体"/>
                <w:bCs/>
                <w:color w:val="auto"/>
                <w:sz w:val="24"/>
                <w:highlight w:val="none"/>
              </w:rPr>
            </w:pPr>
          </w:p>
        </w:tc>
      </w:tr>
      <w:tr w14:paraId="592F3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068B901">
            <w:pPr>
              <w:shd w:val="clear"/>
              <w:ind w:firstLine="480"/>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DF3EF8E">
            <w:pPr>
              <w:shd w:val="clear"/>
              <w:ind w:firstLine="480"/>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4CD53E8">
            <w:pPr>
              <w:pStyle w:val="20"/>
              <w:shd w:val="clear"/>
              <w:ind w:firstLine="320"/>
              <w:jc w:val="center"/>
              <w:rPr>
                <w:rFonts w:ascii="宋体"/>
                <w:color w:val="auto"/>
                <w:highlight w:val="none"/>
              </w:rPr>
            </w:pPr>
          </w:p>
        </w:tc>
      </w:tr>
      <w:tr w14:paraId="1FB1E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3F9B30A">
            <w:pPr>
              <w:shd w:val="clear"/>
              <w:ind w:firstLine="480"/>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72CA045">
            <w:pPr>
              <w:shd w:val="clear"/>
              <w:ind w:firstLine="480"/>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5883A7E">
            <w:pPr>
              <w:pStyle w:val="20"/>
              <w:shd w:val="clear"/>
              <w:ind w:firstLine="320"/>
              <w:jc w:val="center"/>
              <w:rPr>
                <w:rFonts w:ascii="宋体"/>
                <w:color w:val="auto"/>
                <w:highlight w:val="none"/>
              </w:rPr>
            </w:pPr>
          </w:p>
        </w:tc>
      </w:tr>
      <w:tr w14:paraId="381B1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D3AA256">
            <w:pPr>
              <w:shd w:val="clear"/>
              <w:ind w:firstLine="480"/>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693E9CA">
            <w:pPr>
              <w:pStyle w:val="20"/>
              <w:shd w:val="clear"/>
              <w:ind w:firstLine="32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D2B9831">
            <w:pPr>
              <w:shd w:val="clear"/>
              <w:ind w:firstLine="482"/>
              <w:jc w:val="center"/>
              <w:rPr>
                <w:rFonts w:ascii="宋体" w:hAnsi="宋体"/>
                <w:b/>
                <w:color w:val="auto"/>
                <w:sz w:val="24"/>
                <w:highlight w:val="none"/>
              </w:rPr>
            </w:pPr>
          </w:p>
        </w:tc>
      </w:tr>
      <w:tr w14:paraId="1E3B6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534F7F6D">
            <w:pPr>
              <w:shd w:val="clear"/>
              <w:ind w:firstLine="480"/>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5D45408">
            <w:pPr>
              <w:shd w:val="clear"/>
              <w:ind w:firstLine="480"/>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D3D3810">
            <w:pPr>
              <w:shd w:val="clear"/>
              <w:ind w:firstLine="480"/>
              <w:jc w:val="center"/>
              <w:rPr>
                <w:rFonts w:ascii="宋体" w:hAnsi="宋体"/>
                <w:bCs/>
                <w:color w:val="auto"/>
                <w:sz w:val="24"/>
                <w:highlight w:val="none"/>
              </w:rPr>
            </w:pPr>
          </w:p>
        </w:tc>
      </w:tr>
      <w:tr w14:paraId="09F8B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AE9D766">
            <w:pPr>
              <w:shd w:val="clear"/>
              <w:ind w:firstLine="480"/>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3798684">
            <w:pPr>
              <w:shd w:val="clear"/>
              <w:ind w:firstLine="480"/>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F2A578E">
            <w:pPr>
              <w:shd w:val="clear"/>
              <w:ind w:firstLine="480"/>
              <w:jc w:val="center"/>
              <w:rPr>
                <w:rFonts w:ascii="宋体" w:hAnsi="宋体"/>
                <w:bCs/>
                <w:color w:val="auto"/>
                <w:sz w:val="24"/>
                <w:highlight w:val="none"/>
              </w:rPr>
            </w:pPr>
          </w:p>
        </w:tc>
      </w:tr>
      <w:tr w14:paraId="598BE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738068F">
            <w:pPr>
              <w:shd w:val="clear"/>
              <w:ind w:firstLine="480"/>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7AB39E5">
            <w:pPr>
              <w:shd w:val="clear"/>
              <w:ind w:firstLine="480"/>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06B4A99A">
            <w:pPr>
              <w:shd w:val="clear"/>
              <w:ind w:firstLine="480"/>
              <w:jc w:val="center"/>
              <w:rPr>
                <w:rFonts w:ascii="宋体" w:hAnsi="宋体"/>
                <w:bCs/>
                <w:color w:val="auto"/>
                <w:sz w:val="24"/>
                <w:highlight w:val="none"/>
              </w:rPr>
            </w:pPr>
          </w:p>
        </w:tc>
      </w:tr>
    </w:tbl>
    <w:p w14:paraId="5DFDC7CB">
      <w:pPr>
        <w:shd w:val="clear"/>
        <w:snapToGrid w:val="0"/>
        <w:spacing w:line="360" w:lineRule="auto"/>
        <w:ind w:firstLine="480"/>
        <w:outlineLvl w:val="0"/>
        <w:rPr>
          <w:rFonts w:cs="仿宋" w:asciiTheme="majorEastAsia" w:hAnsiTheme="majorEastAsia" w:eastAsiaTheme="majorEastAsia"/>
          <w:color w:val="auto"/>
          <w:kern w:val="0"/>
          <w:sz w:val="24"/>
          <w:highlight w:val="none"/>
        </w:rPr>
      </w:pPr>
    </w:p>
    <w:p w14:paraId="46AB4E90">
      <w:pPr>
        <w:shd w:val="clear"/>
        <w:ind w:firstLine="643"/>
        <w:rPr>
          <w:rFonts w:asciiTheme="minorEastAsia" w:hAnsiTheme="minorEastAsia" w:eastAsiaTheme="minorEastAsia" w:cstheme="minorEastAsia"/>
          <w:b/>
          <w:color w:val="auto"/>
          <w:kern w:val="0"/>
          <w:sz w:val="32"/>
          <w:szCs w:val="32"/>
          <w:highlight w:val="none"/>
        </w:rPr>
      </w:pPr>
      <w:r>
        <w:rPr>
          <w:rFonts w:asciiTheme="minorEastAsia" w:hAnsiTheme="minorEastAsia" w:eastAsiaTheme="minorEastAsia" w:cstheme="minorEastAsia"/>
          <w:b/>
          <w:color w:val="auto"/>
          <w:kern w:val="0"/>
          <w:sz w:val="32"/>
          <w:szCs w:val="32"/>
          <w:highlight w:val="none"/>
        </w:rPr>
        <w:br w:type="page"/>
      </w:r>
    </w:p>
    <w:p w14:paraId="346CFA05">
      <w:pPr>
        <w:shd w:val="clear"/>
        <w:ind w:firstLine="643"/>
        <w:rPr>
          <w:rFonts w:asciiTheme="minorEastAsia" w:hAnsiTheme="minorEastAsia" w:eastAsiaTheme="minorEastAsia" w:cstheme="minorEastAsia"/>
          <w:b/>
          <w:color w:val="auto"/>
          <w:kern w:val="0"/>
          <w:sz w:val="32"/>
          <w:szCs w:val="32"/>
          <w:highlight w:val="none"/>
        </w:rPr>
      </w:pPr>
    </w:p>
    <w:p w14:paraId="147104FA">
      <w:pPr>
        <w:numPr>
          <w:ilvl w:val="0"/>
          <w:numId w:val="4"/>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符合性自查表</w:t>
      </w:r>
    </w:p>
    <w:tbl>
      <w:tblPr>
        <w:tblStyle w:val="2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51EC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1B51CCB1">
            <w:pPr>
              <w:shd w:val="clea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544" w:type="dxa"/>
            <w:vAlign w:val="center"/>
          </w:tcPr>
          <w:p w14:paraId="7613DACD">
            <w:pPr>
              <w:shd w:val="clea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693" w:type="dxa"/>
            <w:vAlign w:val="center"/>
          </w:tcPr>
          <w:p w14:paraId="717C6CFD">
            <w:pPr>
              <w:shd w:val="clea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76" w:type="dxa"/>
            <w:vAlign w:val="center"/>
          </w:tcPr>
          <w:p w14:paraId="0BDC42B9">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自查结论</w:t>
            </w:r>
          </w:p>
        </w:tc>
        <w:tc>
          <w:tcPr>
            <w:tcW w:w="1979" w:type="dxa"/>
            <w:vAlign w:val="center"/>
          </w:tcPr>
          <w:p w14:paraId="5502175D">
            <w:pPr>
              <w:shd w:val="clea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7F4ECF0C">
            <w:pPr>
              <w:shd w:val="clea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698E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504DB597">
            <w:pPr>
              <w:shd w:val="clea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544" w:type="dxa"/>
            <w:vAlign w:val="center"/>
          </w:tcPr>
          <w:p w14:paraId="6DED3263">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响应文件按照采购文件要求签署、盖章。</w:t>
            </w:r>
          </w:p>
        </w:tc>
        <w:tc>
          <w:tcPr>
            <w:tcW w:w="2693" w:type="dxa"/>
            <w:vAlign w:val="center"/>
          </w:tcPr>
          <w:p w14:paraId="14AB0B12">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276" w:type="dxa"/>
            <w:vAlign w:val="center"/>
          </w:tcPr>
          <w:p w14:paraId="0CA4BD99">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27DCBA8C">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20DFEE93">
            <w:pPr>
              <w:shd w:val="clear"/>
              <w:spacing w:line="360" w:lineRule="auto"/>
              <w:rPr>
                <w:rFonts w:asciiTheme="minorEastAsia" w:hAnsiTheme="minorEastAsia" w:eastAsiaTheme="minorEastAsia" w:cstheme="minorEastAsia"/>
                <w:color w:val="auto"/>
                <w:sz w:val="24"/>
                <w:highlight w:val="none"/>
              </w:rPr>
            </w:pPr>
          </w:p>
          <w:p w14:paraId="460A6D4D">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146D5CEC">
            <w:pPr>
              <w:shd w:val="clea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28F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33B5F277">
            <w:pPr>
              <w:shd w:val="clea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544" w:type="dxa"/>
            <w:vAlign w:val="center"/>
          </w:tcPr>
          <w:p w14:paraId="2E7BF7AF">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响应文件中承诺的响应有效期不少于采购文件中载明的响应有效期。</w:t>
            </w:r>
          </w:p>
        </w:tc>
        <w:tc>
          <w:tcPr>
            <w:tcW w:w="2693" w:type="dxa"/>
            <w:vAlign w:val="center"/>
          </w:tcPr>
          <w:p w14:paraId="30495F01">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磋商函</w:t>
            </w:r>
          </w:p>
        </w:tc>
        <w:tc>
          <w:tcPr>
            <w:tcW w:w="1276" w:type="dxa"/>
            <w:vAlign w:val="center"/>
          </w:tcPr>
          <w:p w14:paraId="14C9F4EC">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76B32A00">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3974DA2B">
            <w:pPr>
              <w:shd w:val="clea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59A0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063E3566">
            <w:pPr>
              <w:shd w:val="clea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544" w:type="dxa"/>
            <w:vAlign w:val="center"/>
          </w:tcPr>
          <w:p w14:paraId="31BF0354">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响应文件满足采购文件的其它实质性要求。</w:t>
            </w:r>
          </w:p>
        </w:tc>
        <w:tc>
          <w:tcPr>
            <w:tcW w:w="2693" w:type="dxa"/>
            <w:vAlign w:val="center"/>
          </w:tcPr>
          <w:p w14:paraId="0C13BAFD">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采购文件其它实质性要求相应的材料</w:t>
            </w:r>
          </w:p>
        </w:tc>
        <w:tc>
          <w:tcPr>
            <w:tcW w:w="1276" w:type="dxa"/>
            <w:vAlign w:val="center"/>
          </w:tcPr>
          <w:p w14:paraId="5E84D878">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226E14BC">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53514FDE">
            <w:pPr>
              <w:shd w:val="clea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869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14B2A801">
            <w:pPr>
              <w:shd w:val="clea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544" w:type="dxa"/>
            <w:vAlign w:val="center"/>
          </w:tcPr>
          <w:p w14:paraId="372A905E">
            <w:pPr>
              <w:shd w:val="clea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响应文件没有采购文件中规定的其它无效响应条款的。</w:t>
            </w:r>
          </w:p>
        </w:tc>
        <w:tc>
          <w:tcPr>
            <w:tcW w:w="2693" w:type="dxa"/>
            <w:vAlign w:val="center"/>
          </w:tcPr>
          <w:p w14:paraId="0FC606DA">
            <w:pPr>
              <w:shd w:val="clea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4B409263">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6F28F1C5">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050E2D4A">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014F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0801F96F">
            <w:pPr>
              <w:shd w:val="clea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544" w:type="dxa"/>
            <w:vAlign w:val="center"/>
          </w:tcPr>
          <w:p w14:paraId="2A70420E">
            <w:pPr>
              <w:shd w:val="clea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按有关法律、法规、规章不属于响应无效的。</w:t>
            </w:r>
          </w:p>
        </w:tc>
        <w:tc>
          <w:tcPr>
            <w:tcW w:w="2693" w:type="dxa"/>
            <w:vAlign w:val="center"/>
          </w:tcPr>
          <w:p w14:paraId="1BF45FB1">
            <w:pPr>
              <w:shd w:val="clea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1DAA42BD">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00D1DB6B">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752182CC">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71A66FA0">
      <w:pPr>
        <w:shd w:val="clear"/>
        <w:snapToGrid w:val="0"/>
        <w:spacing w:line="360" w:lineRule="auto"/>
        <w:ind w:firstLine="482"/>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22AA6888">
      <w:pPr>
        <w:numPr>
          <w:ilvl w:val="0"/>
          <w:numId w:val="4"/>
        </w:numPr>
        <w:shd w:val="clear"/>
        <w:snapToGrid w:val="0"/>
        <w:spacing w:line="360" w:lineRule="auto"/>
        <w:ind w:firstLine="643"/>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rPr>
        <w:t>磋商</w:t>
      </w:r>
      <w:r>
        <w:rPr>
          <w:rFonts w:hint="eastAsia" w:asciiTheme="minorEastAsia" w:hAnsiTheme="minorEastAsia" w:eastAsiaTheme="minorEastAsia" w:cstheme="minorEastAsia"/>
          <w:b/>
          <w:color w:val="auto"/>
          <w:sz w:val="32"/>
          <w:szCs w:val="32"/>
          <w:highlight w:val="none"/>
        </w:rPr>
        <w:t>函</w:t>
      </w:r>
    </w:p>
    <w:p w14:paraId="370037D4">
      <w:pPr>
        <w:shd w:val="clear"/>
        <w:snapToGrid w:val="0"/>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宁波锦铭科技有限公司</w:t>
      </w:r>
      <w:r>
        <w:rPr>
          <w:rFonts w:hint="eastAsia" w:asciiTheme="minorEastAsia" w:hAnsiTheme="minorEastAsia" w:eastAsiaTheme="minorEastAsia" w:cstheme="minorEastAsia"/>
          <w:color w:val="auto"/>
          <w:sz w:val="24"/>
          <w:highlight w:val="none"/>
        </w:rPr>
        <w:t>：</w:t>
      </w:r>
    </w:p>
    <w:p w14:paraId="0344FCA4">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（项目名称）【项目编号：             】</w:t>
      </w:r>
      <w:r>
        <w:rPr>
          <w:rFonts w:hint="eastAsia" w:asciiTheme="minorEastAsia" w:hAnsiTheme="minorEastAsia" w:eastAsiaTheme="minorEastAsia" w:cstheme="minorEastAsia"/>
          <w:color w:val="auto"/>
          <w:sz w:val="24"/>
          <w:highlight w:val="none"/>
        </w:rPr>
        <w:t>采购活动，并对此项目进行磋商响应。为此：</w:t>
      </w:r>
    </w:p>
    <w:p w14:paraId="3BFA1F0F">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1.我方承诺响应有效期从提交响应文件的截止之日起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本响应文件在响应有效期满之前均具有约束力。</w:t>
      </w:r>
    </w:p>
    <w:p w14:paraId="1A10EDE7">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68D715E1">
      <w:pPr>
        <w:shd w:val="clea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4B5AE58A">
      <w:pPr>
        <w:shd w:val="clea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2.1.1有效的企业法人营业执照（或事业法人登记证）、其他组织（个体工商户）的营业执照或者民办非企业单位登记证书；</w:t>
      </w:r>
    </w:p>
    <w:p w14:paraId="17A01353">
      <w:pPr>
        <w:shd w:val="clea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2.1.2符合参加采购活动应当具备的一般条件的承诺函；</w:t>
      </w:r>
    </w:p>
    <w:p w14:paraId="55A1E518">
      <w:pPr>
        <w:shd w:val="clea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2.1.3落实政府采购政策需满足的资格要求（如有）；</w:t>
      </w:r>
    </w:p>
    <w:p w14:paraId="03C0CE63">
      <w:pPr>
        <w:shd w:val="clea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2.1.4联合协议（如有）；</w:t>
      </w:r>
    </w:p>
    <w:p w14:paraId="4D6E9EBA">
      <w:pPr>
        <w:shd w:val="clea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2.1.5分包意向协议（如有）；</w:t>
      </w:r>
    </w:p>
    <w:p w14:paraId="73EC32D2">
      <w:pPr>
        <w:shd w:val="clear"/>
        <w:snapToGrid w:val="0"/>
        <w:spacing w:line="360" w:lineRule="auto"/>
        <w:ind w:firstLine="960" w:firstLineChars="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2.1.6本项目的特定资格要求（如有）。</w:t>
      </w:r>
    </w:p>
    <w:p w14:paraId="7A2D02BA">
      <w:pPr>
        <w:shd w:val="clea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478CE58E">
      <w:pPr>
        <w:shd w:val="clea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评分索引表</w:t>
      </w:r>
    </w:p>
    <w:p w14:paraId="64DC55DE">
      <w:pPr>
        <w:shd w:val="clea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 符合性自查表；</w:t>
      </w:r>
    </w:p>
    <w:p w14:paraId="333FF7FA">
      <w:pPr>
        <w:shd w:val="clear"/>
        <w:snapToGrid w:val="0"/>
        <w:spacing w:line="360" w:lineRule="auto"/>
        <w:ind w:left="420" w:leftChars="200"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xml:space="preserve">2.2.3 磋商函； </w:t>
      </w:r>
    </w:p>
    <w:p w14:paraId="5609C585">
      <w:pPr>
        <w:shd w:val="clea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 授权委托书</w:t>
      </w:r>
      <w:r>
        <w:rPr>
          <w:rFonts w:hint="eastAsia" w:asciiTheme="minorEastAsia" w:hAnsiTheme="minorEastAsia" w:eastAsiaTheme="minorEastAsia" w:cstheme="minorEastAsia"/>
          <w:color w:val="auto"/>
          <w:sz w:val="24"/>
          <w:highlight w:val="none"/>
          <w:lang w:val="zh-CN"/>
        </w:rPr>
        <w:t>或法定代表人（单位负责人、自然人本人）身份证明</w:t>
      </w:r>
      <w:r>
        <w:rPr>
          <w:rFonts w:hint="eastAsia" w:asciiTheme="minorEastAsia" w:hAnsiTheme="minorEastAsia" w:eastAsiaTheme="minorEastAsia" w:cstheme="minorEastAsia"/>
          <w:color w:val="auto"/>
          <w:sz w:val="24"/>
          <w:highlight w:val="none"/>
        </w:rPr>
        <w:t>；</w:t>
      </w:r>
    </w:p>
    <w:p w14:paraId="549AE3D3">
      <w:pPr>
        <w:shd w:val="clea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 供应商情况表；</w:t>
      </w:r>
    </w:p>
    <w:p w14:paraId="7335BDBE">
      <w:pPr>
        <w:shd w:val="clea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 距采购人最近或者能为本项目提供最优服务的网点情况表；</w:t>
      </w:r>
    </w:p>
    <w:p w14:paraId="07E84842">
      <w:pPr>
        <w:shd w:val="clea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 评审标准相应的商务技术资料；</w:t>
      </w:r>
    </w:p>
    <w:p w14:paraId="54FD6582">
      <w:pPr>
        <w:shd w:val="clea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 商务响应表；</w:t>
      </w:r>
    </w:p>
    <w:p w14:paraId="3AD2D4FC">
      <w:pPr>
        <w:shd w:val="clea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9 服务响应表；</w:t>
      </w:r>
    </w:p>
    <w:p w14:paraId="14176AF2">
      <w:pPr>
        <w:shd w:val="clea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 xml:space="preserve">10 </w:t>
      </w:r>
      <w:r>
        <w:rPr>
          <w:rFonts w:hint="eastAsia" w:asciiTheme="minorEastAsia" w:hAnsiTheme="minorEastAsia" w:eastAsiaTheme="minorEastAsia" w:cstheme="minorEastAsia"/>
          <w:color w:val="auto"/>
          <w:sz w:val="24"/>
          <w:highlight w:val="none"/>
          <w:lang w:val="zh-CN"/>
        </w:rPr>
        <w:t>项目实施人员一览表</w:t>
      </w:r>
      <w:r>
        <w:rPr>
          <w:rFonts w:hint="eastAsia" w:asciiTheme="minorEastAsia" w:hAnsiTheme="minorEastAsia" w:eastAsiaTheme="minorEastAsia" w:cstheme="minorEastAsia"/>
          <w:color w:val="auto"/>
          <w:sz w:val="24"/>
          <w:highlight w:val="none"/>
        </w:rPr>
        <w:t>；</w:t>
      </w:r>
    </w:p>
    <w:p w14:paraId="77463D60">
      <w:pPr>
        <w:shd w:val="clea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同类业绩情况一览表；</w:t>
      </w:r>
    </w:p>
    <w:p w14:paraId="6E554064">
      <w:pPr>
        <w:shd w:val="clea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2.2.12 </w:t>
      </w:r>
      <w:r>
        <w:rPr>
          <w:rFonts w:hint="eastAsia" w:asciiTheme="minorEastAsia" w:hAnsiTheme="minorEastAsia" w:eastAsiaTheme="minorEastAsia" w:cstheme="minorEastAsia"/>
          <w:color w:val="auto"/>
          <w:sz w:val="24"/>
          <w:highlight w:val="none"/>
          <w:lang w:val="zh-CN"/>
        </w:rPr>
        <w:t>采购供应商廉洁自律承诺书；</w:t>
      </w:r>
    </w:p>
    <w:p w14:paraId="6F1B8F51">
      <w:pPr>
        <w:shd w:val="clear"/>
        <w:snapToGrid w:val="0"/>
        <w:spacing w:line="360" w:lineRule="auto"/>
        <w:ind w:left="420" w:leftChars="200"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2.2.13 其他资料。</w:t>
      </w:r>
    </w:p>
    <w:p w14:paraId="6D79A781">
      <w:pPr>
        <w:shd w:val="clea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44517524">
      <w:pPr>
        <w:shd w:val="clea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报价一览表；</w:t>
      </w:r>
    </w:p>
    <w:p w14:paraId="138C2F96">
      <w:pPr>
        <w:shd w:val="clea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中小企业声明函（如有）；</w:t>
      </w:r>
    </w:p>
    <w:p w14:paraId="291B135C">
      <w:pPr>
        <w:shd w:val="clea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 残疾人福利性单位声明函（如有）；</w:t>
      </w:r>
    </w:p>
    <w:p w14:paraId="0EFA5EF5">
      <w:pPr>
        <w:shd w:val="clea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 监狱企业的证明文件（如有）；</w:t>
      </w:r>
    </w:p>
    <w:p w14:paraId="5C2655D6">
      <w:pPr>
        <w:shd w:val="clea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 采购统计基础信息表。</w:t>
      </w:r>
    </w:p>
    <w:p w14:paraId="263869F1">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3.我方承诺除商务服务响应表列出的偏离外，我方响应采购文件的全部要求。</w:t>
      </w:r>
    </w:p>
    <w:p w14:paraId="0F14EFC9">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743EB2CF">
      <w:pPr>
        <w:shd w:val="clea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70DE9EF7">
      <w:pPr>
        <w:shd w:val="clea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7E5D0D8D">
      <w:pPr>
        <w:shd w:val="clea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4.3按照采购文件要求提交履约保证金； </w:t>
      </w:r>
    </w:p>
    <w:p w14:paraId="65D38865">
      <w:pPr>
        <w:shd w:val="clea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20881F73">
      <w:pPr>
        <w:shd w:val="clea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5.其他补充说明：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011B0114">
      <w:pPr>
        <w:shd w:val="clear"/>
        <w:spacing w:line="360" w:lineRule="auto"/>
        <w:ind w:firstLine="3600" w:firstLineChars="1500"/>
        <w:rPr>
          <w:rFonts w:asciiTheme="minorEastAsia" w:hAnsiTheme="minorEastAsia" w:eastAsiaTheme="minorEastAsia" w:cstheme="minorEastAsia"/>
          <w:color w:val="auto"/>
          <w:sz w:val="24"/>
          <w:highlight w:val="none"/>
        </w:rPr>
      </w:pPr>
    </w:p>
    <w:p w14:paraId="620D4FF9">
      <w:pPr>
        <w:shd w:val="clear"/>
        <w:spacing w:line="360" w:lineRule="auto"/>
        <w:ind w:firstLine="3600" w:firstLineChars="1500"/>
        <w:rPr>
          <w:rFonts w:asciiTheme="minorEastAsia" w:hAnsiTheme="minorEastAsia" w:eastAsiaTheme="minorEastAsia" w:cstheme="minorEastAsia"/>
          <w:color w:val="auto"/>
          <w:sz w:val="24"/>
          <w:highlight w:val="none"/>
        </w:rPr>
      </w:pPr>
    </w:p>
    <w:p w14:paraId="703C2492">
      <w:pPr>
        <w:shd w:val="clea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法定代表人（签名或印章）：     </w:t>
      </w:r>
    </w:p>
    <w:p w14:paraId="0DE4A4EE">
      <w:pPr>
        <w:shd w:val="clea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供应商（盖章）：   </w:t>
      </w:r>
    </w:p>
    <w:p w14:paraId="36355D4F">
      <w:pPr>
        <w:shd w:val="clea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3136A412">
      <w:pPr>
        <w:shd w:val="clear"/>
        <w:spacing w:line="360" w:lineRule="auto"/>
        <w:ind w:firstLine="643"/>
        <w:jc w:val="center"/>
        <w:rPr>
          <w:rFonts w:asciiTheme="minorEastAsia" w:hAnsiTheme="minorEastAsia" w:eastAsiaTheme="minorEastAsia" w:cstheme="minorEastAsia"/>
          <w:b/>
          <w:color w:val="auto"/>
          <w:kern w:val="0"/>
          <w:sz w:val="32"/>
          <w:szCs w:val="32"/>
          <w:highlight w:val="none"/>
        </w:rPr>
      </w:pPr>
    </w:p>
    <w:p w14:paraId="43B8E5E9">
      <w:pPr>
        <w:shd w:val="clear"/>
        <w:spacing w:line="360" w:lineRule="auto"/>
        <w:ind w:firstLine="643"/>
        <w:jc w:val="center"/>
        <w:rPr>
          <w:rFonts w:asciiTheme="minorEastAsia" w:hAnsiTheme="minorEastAsia" w:eastAsiaTheme="minorEastAsia" w:cstheme="minorEastAsia"/>
          <w:b/>
          <w:color w:val="auto"/>
          <w:kern w:val="0"/>
          <w:sz w:val="32"/>
          <w:szCs w:val="32"/>
          <w:highlight w:val="none"/>
          <w:lang w:val="zh-CN"/>
        </w:rPr>
      </w:pPr>
    </w:p>
    <w:p w14:paraId="50B38B2D">
      <w:pPr>
        <w:shd w:val="clear"/>
        <w:spacing w:line="360" w:lineRule="auto"/>
        <w:ind w:firstLine="643"/>
        <w:rPr>
          <w:rFonts w:asciiTheme="minorEastAsia" w:hAnsiTheme="minorEastAsia" w:eastAsiaTheme="minorEastAsia" w:cstheme="minorEastAsia"/>
          <w:b/>
          <w:color w:val="auto"/>
          <w:sz w:val="32"/>
          <w:szCs w:val="32"/>
          <w:highlight w:val="none"/>
        </w:rPr>
      </w:pPr>
      <w:bookmarkStart w:id="638" w:name="_Toc14746861"/>
      <w:bookmarkStart w:id="639" w:name="_Toc225223761"/>
      <w:bookmarkStart w:id="640" w:name="_Toc488936100"/>
      <w:bookmarkStart w:id="641" w:name="_Toc110393361"/>
      <w:bookmarkStart w:id="642" w:name="_Toc479927873"/>
      <w:bookmarkStart w:id="643" w:name="_Toc483379796"/>
    </w:p>
    <w:p w14:paraId="713BF4CE">
      <w:pPr>
        <w:numPr>
          <w:ilvl w:val="0"/>
          <w:numId w:val="4"/>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zh-CN"/>
        </w:rPr>
        <w:t>授权委托书或法定代表人（单位负责人、自然人本人）身份证明</w:t>
      </w:r>
    </w:p>
    <w:p w14:paraId="44618AF4">
      <w:pPr>
        <w:shd w:val="clear"/>
        <w:spacing w:line="440" w:lineRule="exact"/>
        <w:ind w:firstLine="48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32"/>
          <w:szCs w:val="32"/>
          <w:highlight w:val="none"/>
        </w:rPr>
        <w:t>法定代表人授权委托书</w:t>
      </w:r>
    </w:p>
    <w:p w14:paraId="6F0BD151">
      <w:pPr>
        <w:shd w:val="clear"/>
        <w:spacing w:line="440" w:lineRule="exact"/>
        <w:ind w:firstLine="480"/>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24"/>
          <w:highlight w:val="none"/>
        </w:rPr>
        <w:t>（法定代表人来参加磋商采购活动的，此表不用）</w:t>
      </w:r>
    </w:p>
    <w:p w14:paraId="342BA0B1">
      <w:pPr>
        <w:shd w:val="clear"/>
        <w:snapToGrid w:val="0"/>
        <w:spacing w:line="360" w:lineRule="auto"/>
        <w:ind w:firstLine="480"/>
        <w:rPr>
          <w:rFonts w:asciiTheme="minorEastAsia" w:hAnsiTheme="minorEastAsia" w:eastAsiaTheme="minorEastAsia" w:cstheme="minorEastAsia"/>
          <w:bCs/>
          <w:color w:val="auto"/>
          <w:sz w:val="24"/>
          <w:highlight w:val="none"/>
        </w:rPr>
      </w:pPr>
    </w:p>
    <w:p w14:paraId="60D1151C">
      <w:pPr>
        <w:shd w:val="clea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u w:val="single"/>
        </w:rPr>
        <w:t>宁波锦铭科技有限公司</w:t>
      </w:r>
      <w:r>
        <w:rPr>
          <w:rFonts w:hint="eastAsia" w:asciiTheme="minorEastAsia" w:hAnsiTheme="minorEastAsia" w:eastAsiaTheme="minorEastAsia" w:cstheme="minorEastAsia"/>
          <w:color w:val="auto"/>
          <w:sz w:val="24"/>
          <w:highlight w:val="none"/>
        </w:rPr>
        <w:t>：</w:t>
      </w:r>
    </w:p>
    <w:p w14:paraId="1D6631E5">
      <w:pPr>
        <w:shd w:val="clea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（供应商名称）的法定代表人，现授权委托本单位在职职工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（姓名）以我方的名义参加</w:t>
      </w:r>
      <w:r>
        <w:rPr>
          <w:rFonts w:hint="eastAsia" w:asciiTheme="minorEastAsia" w:hAnsiTheme="minorEastAsia" w:eastAsiaTheme="minorEastAsia" w:cstheme="minorEastAsia"/>
          <w:color w:val="auto"/>
          <w:szCs w:val="21"/>
          <w:highlight w:val="none"/>
          <w:u w:val="single"/>
        </w:rPr>
        <w:t xml:space="preserve">                       采购 </w:t>
      </w:r>
      <w:r>
        <w:rPr>
          <w:rFonts w:hint="eastAsia" w:asciiTheme="minorEastAsia" w:hAnsiTheme="minorEastAsia" w:eastAsiaTheme="minorEastAsia" w:cstheme="minorEastAsia"/>
          <w:color w:val="auto"/>
          <w:szCs w:val="21"/>
          <w:highlight w:val="none"/>
        </w:rPr>
        <w:t>项目的磋商采购活动，并代表我方全权办理针对上述项目的磋商、评审、签约等具体事务和签署相关文件。</w:t>
      </w:r>
    </w:p>
    <w:p w14:paraId="1B214019">
      <w:pPr>
        <w:shd w:val="clea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我方对被授权人的签名事项负全部责任。</w:t>
      </w:r>
    </w:p>
    <w:p w14:paraId="2C0A0CEE">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在撤销授权的书面通知以前，本授权书一直有效。被授权人在授权书有效期内签署的所有文件不因授权的撤销而失效。</w:t>
      </w:r>
    </w:p>
    <w:p w14:paraId="73871582">
      <w:pPr>
        <w:shd w:val="clear"/>
        <w:snapToGrid w:val="0"/>
        <w:spacing w:line="360" w:lineRule="auto"/>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被授权人无转委托权，特此委托。</w:t>
      </w:r>
    </w:p>
    <w:p w14:paraId="2602F911">
      <w:pPr>
        <w:shd w:val="clear"/>
        <w:snapToGrid w:val="0"/>
        <w:spacing w:line="360" w:lineRule="auto"/>
        <w:rPr>
          <w:rFonts w:asciiTheme="minorEastAsia" w:hAnsiTheme="minorEastAsia" w:eastAsiaTheme="minorEastAsia" w:cstheme="minorEastAsia"/>
          <w:color w:val="auto"/>
          <w:szCs w:val="21"/>
          <w:highlight w:val="none"/>
        </w:rPr>
      </w:pPr>
    </w:p>
    <w:p w14:paraId="3E045FA0">
      <w:pPr>
        <w:shd w:val="clear"/>
        <w:snapToGrid w:val="0"/>
        <w:spacing w:line="360" w:lineRule="auto"/>
        <w:rPr>
          <w:rFonts w:asciiTheme="minorEastAsia" w:hAnsiTheme="minorEastAsia" w:eastAsiaTheme="minorEastAsia" w:cstheme="minorEastAsia"/>
          <w:color w:val="auto"/>
          <w:szCs w:val="21"/>
          <w:highlight w:val="none"/>
        </w:rPr>
      </w:pPr>
    </w:p>
    <w:p w14:paraId="7933975C">
      <w:pPr>
        <w:shd w:val="clea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被授权人签名或印章：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法定代表人签名或印章：</w:t>
      </w:r>
      <w:r>
        <w:rPr>
          <w:rFonts w:hint="eastAsia" w:asciiTheme="minorEastAsia" w:hAnsiTheme="minorEastAsia" w:eastAsiaTheme="minorEastAsia" w:cstheme="minorEastAsia"/>
          <w:color w:val="auto"/>
          <w:szCs w:val="21"/>
          <w:highlight w:val="none"/>
          <w:u w:val="single"/>
        </w:rPr>
        <w:t xml:space="preserve">          </w:t>
      </w:r>
    </w:p>
    <w:p w14:paraId="4CC073E1">
      <w:pPr>
        <w:shd w:val="clea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职务：</w:t>
      </w:r>
      <w:r>
        <w:rPr>
          <w:rFonts w:hint="eastAsia" w:asciiTheme="minorEastAsia" w:hAnsiTheme="minorEastAsia" w:eastAsiaTheme="minorEastAsia" w:cstheme="minorEastAsia"/>
          <w:color w:val="auto"/>
          <w:szCs w:val="21"/>
          <w:highlight w:val="none"/>
          <w:u w:val="single"/>
        </w:rPr>
        <w:t xml:space="preserve">           </w:t>
      </w:r>
    </w:p>
    <w:p w14:paraId="45CD666E">
      <w:pPr>
        <w:shd w:val="clea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被授权人身份证号码：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23F246C4">
      <w:pPr>
        <w:shd w:val="clea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2BDBEAEE">
      <w:pPr>
        <w:shd w:val="clear"/>
        <w:snapToGrid w:val="0"/>
        <w:spacing w:line="360" w:lineRule="auto"/>
        <w:rPr>
          <w:rFonts w:asciiTheme="minorEastAsia" w:hAnsiTheme="minorEastAsia" w:eastAsiaTheme="minorEastAsia" w:cstheme="minorEastAsia"/>
          <w:color w:val="auto"/>
          <w:szCs w:val="21"/>
          <w:highlight w:val="none"/>
        </w:rPr>
      </w:pPr>
    </w:p>
    <w:p w14:paraId="00F8DA8E">
      <w:pPr>
        <w:shd w:val="clear"/>
        <w:spacing w:line="360" w:lineRule="auto"/>
        <w:ind w:firstLine="4830" w:firstLineChars="2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供应商（盖章）：</w:t>
      </w:r>
    </w:p>
    <w:p w14:paraId="1F7A271C">
      <w:pPr>
        <w:shd w:val="clear"/>
        <w:spacing w:line="360" w:lineRule="auto"/>
        <w:ind w:firstLine="1260" w:firstLineChars="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日期：</w:t>
      </w:r>
    </w:p>
    <w:p w14:paraId="3EE65524">
      <w:pPr>
        <w:shd w:val="clear"/>
        <w:spacing w:line="360" w:lineRule="auto"/>
        <w:ind w:firstLine="422"/>
        <w:rPr>
          <w:rFonts w:asciiTheme="minorEastAsia" w:hAnsiTheme="minorEastAsia" w:eastAsiaTheme="minorEastAsia" w:cstheme="minorEastAsia"/>
          <w:b/>
          <w:color w:val="auto"/>
          <w:szCs w:val="21"/>
          <w:highlight w:val="none"/>
        </w:rPr>
      </w:pPr>
    </w:p>
    <w:p w14:paraId="507CE177">
      <w:pPr>
        <w:shd w:val="clear"/>
        <w:spacing w:line="360" w:lineRule="auto"/>
        <w:ind w:firstLine="422"/>
        <w:rPr>
          <w:rFonts w:asciiTheme="minorEastAsia" w:hAnsiTheme="minorEastAsia" w:eastAsiaTheme="minorEastAsia" w:cstheme="minorEastAsia"/>
          <w:b/>
          <w:color w:val="auto"/>
          <w:szCs w:val="21"/>
          <w:highlight w:val="none"/>
        </w:rPr>
      </w:pPr>
    </w:p>
    <w:p w14:paraId="751ACD56">
      <w:pPr>
        <w:shd w:val="clear"/>
        <w:spacing w:line="360" w:lineRule="auto"/>
        <w:ind w:firstLine="42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附：法定代表人身份证复印件（正反面）、授权代表身份证复印件（正反面）：</w:t>
      </w:r>
    </w:p>
    <w:p w14:paraId="287BC882">
      <w:pPr>
        <w:shd w:val="clear"/>
        <w:snapToGrid w:val="0"/>
        <w:spacing w:line="360" w:lineRule="auto"/>
        <w:ind w:firstLine="480"/>
        <w:rPr>
          <w:rFonts w:asciiTheme="minorEastAsia" w:hAnsiTheme="minorEastAsia" w:eastAsiaTheme="minorEastAsia" w:cstheme="minorEastAsia"/>
          <w:color w:val="auto"/>
          <w:sz w:val="24"/>
          <w:highlight w:val="none"/>
        </w:rPr>
      </w:pPr>
    </w:p>
    <w:p w14:paraId="6ED2531E">
      <w:pPr>
        <w:shd w:val="clear"/>
        <w:spacing w:line="360" w:lineRule="auto"/>
        <w:ind w:firstLine="643"/>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p>
    <w:p w14:paraId="3C506F38">
      <w:pPr>
        <w:shd w:val="clea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6C6EFD2">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14:paraId="2931DD0A">
      <w:pPr>
        <w:shd w:val="clear"/>
        <w:spacing w:line="480" w:lineRule="auto"/>
        <w:jc w:val="center"/>
        <w:rPr>
          <w:rFonts w:ascii="宋体" w:hAnsi="宋体" w:cs="宋体"/>
          <w:bCs/>
          <w:color w:val="auto"/>
          <w:sz w:val="24"/>
          <w:highlight w:val="none"/>
        </w:rPr>
      </w:pPr>
    </w:p>
    <w:p w14:paraId="6BD05736">
      <w:pPr>
        <w:shd w:val="clea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（法定代表人不来参加采购活动的，此表不用）</w:t>
      </w:r>
    </w:p>
    <w:p w14:paraId="7D44367B">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14:paraId="27F7B385">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DDBB4A8">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583302D">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8F65922">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ECFEA2D">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69A5BF23">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46D6B873">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w:t>
      </w:r>
    </w:p>
    <w:p w14:paraId="7D6AB203">
      <w:pPr>
        <w:shd w:val="clea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1A6E154A">
      <w:pPr>
        <w:shd w:val="clear"/>
        <w:spacing w:line="360" w:lineRule="auto"/>
        <w:ind w:firstLine="420" w:firstLineChars="200"/>
        <w:rPr>
          <w:rFonts w:ascii="宋体" w:hAnsi="宋体" w:cs="宋体"/>
          <w:color w:val="auto"/>
          <w:szCs w:val="21"/>
          <w:highlight w:val="none"/>
        </w:rPr>
      </w:pPr>
    </w:p>
    <w:p w14:paraId="39EE0E5B">
      <w:pPr>
        <w:shd w:val="clear"/>
        <w:spacing w:line="360" w:lineRule="auto"/>
        <w:ind w:firstLine="420" w:firstLineChars="200"/>
        <w:rPr>
          <w:rFonts w:ascii="宋体" w:hAnsi="宋体" w:cs="宋体"/>
          <w:color w:val="auto"/>
          <w:szCs w:val="21"/>
          <w:highlight w:val="none"/>
        </w:rPr>
      </w:pPr>
    </w:p>
    <w:p w14:paraId="71F1CA3C">
      <w:pPr>
        <w:shd w:val="clea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6C8D9689">
      <w:pPr>
        <w:shd w:val="clear"/>
        <w:spacing w:line="360" w:lineRule="auto"/>
        <w:ind w:firstLine="4515" w:firstLineChars="2150"/>
        <w:rPr>
          <w:rFonts w:ascii="宋体" w:hAnsi="宋体" w:cs="宋体"/>
          <w:color w:val="auto"/>
          <w:szCs w:val="21"/>
          <w:highlight w:val="none"/>
          <w:u w:val="single"/>
        </w:rPr>
      </w:pPr>
    </w:p>
    <w:p w14:paraId="6F6D0B2B">
      <w:pPr>
        <w:shd w:val="clea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26D6457">
      <w:pPr>
        <w:shd w:val="clear"/>
        <w:spacing w:line="360" w:lineRule="auto"/>
        <w:rPr>
          <w:rFonts w:ascii="宋体" w:hAnsi="宋体" w:cs="宋体"/>
          <w:color w:val="auto"/>
          <w:sz w:val="24"/>
          <w:highlight w:val="none"/>
        </w:rPr>
      </w:pPr>
    </w:p>
    <w:p w14:paraId="75EC7D29">
      <w:pPr>
        <w:shd w:val="clear"/>
        <w:spacing w:line="360" w:lineRule="auto"/>
        <w:rPr>
          <w:rFonts w:ascii="宋体" w:hAnsi="宋体" w:cs="宋体"/>
          <w:b/>
          <w:color w:val="auto"/>
          <w:szCs w:val="21"/>
          <w:highlight w:val="none"/>
        </w:rPr>
      </w:pPr>
    </w:p>
    <w:p w14:paraId="511FE08B">
      <w:pPr>
        <w:shd w:val="clear"/>
        <w:spacing w:line="360" w:lineRule="auto"/>
        <w:rPr>
          <w:rFonts w:ascii="宋体" w:hAnsi="宋体" w:cs="宋体"/>
          <w:b/>
          <w:color w:val="auto"/>
          <w:szCs w:val="21"/>
          <w:highlight w:val="none"/>
        </w:rPr>
      </w:pPr>
    </w:p>
    <w:p w14:paraId="671AA136">
      <w:pPr>
        <w:pStyle w:val="79"/>
        <w:shd w:val="clear"/>
        <w:ind w:firstLine="422"/>
        <w:rPr>
          <w:color w:val="auto"/>
          <w:highlight w:val="none"/>
          <w:lang w:val="zh-CN"/>
        </w:rPr>
      </w:pPr>
      <w:r>
        <w:rPr>
          <w:rFonts w:hint="eastAsia" w:ascii="宋体" w:hAnsi="宋体" w:cs="宋体"/>
          <w:b/>
          <w:color w:val="auto"/>
          <w:szCs w:val="21"/>
          <w:highlight w:val="none"/>
        </w:rPr>
        <w:t>附法定代表人身份证复印件（正反面）：</w:t>
      </w:r>
    </w:p>
    <w:p w14:paraId="7BD90BF7">
      <w:pPr>
        <w:numPr>
          <w:ilvl w:val="0"/>
          <w:numId w:val="4"/>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zh-CN"/>
        </w:rPr>
        <w:t>供应商基本情况</w:t>
      </w:r>
      <w:bookmarkEnd w:id="638"/>
      <w:bookmarkEnd w:id="639"/>
      <w:bookmarkEnd w:id="640"/>
      <w:bookmarkEnd w:id="641"/>
      <w:bookmarkEnd w:id="642"/>
      <w:bookmarkEnd w:id="643"/>
      <w:r>
        <w:rPr>
          <w:rFonts w:hint="eastAsia" w:asciiTheme="minorEastAsia" w:hAnsiTheme="minorEastAsia" w:eastAsiaTheme="minorEastAsia" w:cstheme="minorEastAsia"/>
          <w:b/>
          <w:color w:val="auto"/>
          <w:kern w:val="0"/>
          <w:sz w:val="32"/>
          <w:szCs w:val="32"/>
          <w:highlight w:val="none"/>
          <w:lang w:val="zh-CN"/>
        </w:rPr>
        <w:t>表</w:t>
      </w:r>
    </w:p>
    <w:tbl>
      <w:tblPr>
        <w:tblStyle w:val="2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6364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60B7CD0">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p>
        </w:tc>
        <w:tc>
          <w:tcPr>
            <w:tcW w:w="7647" w:type="dxa"/>
            <w:gridSpan w:val="5"/>
            <w:vAlign w:val="center"/>
          </w:tcPr>
          <w:p w14:paraId="2C9D644B">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CD3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7E8DF18">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注册地址</w:t>
            </w:r>
          </w:p>
        </w:tc>
        <w:tc>
          <w:tcPr>
            <w:tcW w:w="2809" w:type="dxa"/>
            <w:gridSpan w:val="2"/>
            <w:vAlign w:val="center"/>
          </w:tcPr>
          <w:p w14:paraId="0380CEFC">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1F366600">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成立时间</w:t>
            </w:r>
          </w:p>
        </w:tc>
        <w:tc>
          <w:tcPr>
            <w:tcW w:w="3052" w:type="dxa"/>
            <w:gridSpan w:val="2"/>
            <w:vAlign w:val="center"/>
          </w:tcPr>
          <w:p w14:paraId="5D6D82D7">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DBC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5102A54">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统一信用代码</w:t>
            </w:r>
          </w:p>
        </w:tc>
        <w:tc>
          <w:tcPr>
            <w:tcW w:w="2809" w:type="dxa"/>
            <w:gridSpan w:val="2"/>
            <w:vAlign w:val="center"/>
          </w:tcPr>
          <w:p w14:paraId="2D6559AE">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7EA682F4">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注册资金</w:t>
            </w:r>
          </w:p>
        </w:tc>
        <w:tc>
          <w:tcPr>
            <w:tcW w:w="3052" w:type="dxa"/>
            <w:gridSpan w:val="2"/>
            <w:vAlign w:val="center"/>
          </w:tcPr>
          <w:p w14:paraId="0E337F7E">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68C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86AD98F">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供应商授权代表联系人姓名</w:t>
            </w:r>
          </w:p>
        </w:tc>
        <w:tc>
          <w:tcPr>
            <w:tcW w:w="1936" w:type="dxa"/>
            <w:vAlign w:val="center"/>
          </w:tcPr>
          <w:p w14:paraId="1D2F12D0">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40B77FE8">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0EAA0337">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53C9DEAA">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2A3BC4B6">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2C6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A1B0972">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法定代表人姓名</w:t>
            </w:r>
          </w:p>
        </w:tc>
        <w:tc>
          <w:tcPr>
            <w:tcW w:w="1936" w:type="dxa"/>
            <w:vAlign w:val="center"/>
          </w:tcPr>
          <w:p w14:paraId="3986F147">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1EAC4F76">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716FCE5F">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7A98834B">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4560EF82">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A62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4AEAD31">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项目负责人姓名</w:t>
            </w:r>
          </w:p>
        </w:tc>
        <w:tc>
          <w:tcPr>
            <w:tcW w:w="1936" w:type="dxa"/>
            <w:vAlign w:val="center"/>
          </w:tcPr>
          <w:p w14:paraId="10E905ED">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7B693C33">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70ADFAC2">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56DF7380">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技术职称</w:t>
            </w:r>
          </w:p>
        </w:tc>
        <w:tc>
          <w:tcPr>
            <w:tcW w:w="1852" w:type="dxa"/>
            <w:vAlign w:val="center"/>
          </w:tcPr>
          <w:p w14:paraId="363D80E6">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D1D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2F96EAC6">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936" w:type="dxa"/>
            <w:vMerge w:val="restart"/>
            <w:vAlign w:val="center"/>
          </w:tcPr>
          <w:p w14:paraId="71F852D9">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restart"/>
            <w:vAlign w:val="center"/>
          </w:tcPr>
          <w:p w14:paraId="2E9DA467">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w:t>
            </w:r>
          </w:p>
        </w:tc>
        <w:tc>
          <w:tcPr>
            <w:tcW w:w="1786" w:type="dxa"/>
            <w:vAlign w:val="center"/>
          </w:tcPr>
          <w:p w14:paraId="2FF3E3D7">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高级职称</w:t>
            </w:r>
          </w:p>
        </w:tc>
        <w:tc>
          <w:tcPr>
            <w:tcW w:w="3052" w:type="dxa"/>
            <w:gridSpan w:val="2"/>
            <w:vAlign w:val="center"/>
          </w:tcPr>
          <w:p w14:paraId="304518B5">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4CB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675AAC0C">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6A75B5E4">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631CA9B1">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1B9ED699">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中级职称</w:t>
            </w:r>
          </w:p>
        </w:tc>
        <w:tc>
          <w:tcPr>
            <w:tcW w:w="3052" w:type="dxa"/>
            <w:gridSpan w:val="2"/>
            <w:vAlign w:val="center"/>
          </w:tcPr>
          <w:p w14:paraId="41CC3C4D">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2BC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F861571">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6DB22A3C">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5292937F">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42751AA7">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各类注册人员</w:t>
            </w:r>
          </w:p>
        </w:tc>
        <w:tc>
          <w:tcPr>
            <w:tcW w:w="3052" w:type="dxa"/>
            <w:gridSpan w:val="2"/>
            <w:vAlign w:val="center"/>
          </w:tcPr>
          <w:p w14:paraId="26F24739">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CF3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27D079E">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基本账户开户银行</w:t>
            </w:r>
          </w:p>
        </w:tc>
        <w:tc>
          <w:tcPr>
            <w:tcW w:w="7647" w:type="dxa"/>
            <w:gridSpan w:val="5"/>
            <w:vAlign w:val="center"/>
          </w:tcPr>
          <w:p w14:paraId="77EDE0A5">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76A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AF3098F">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基本账户账号</w:t>
            </w:r>
          </w:p>
        </w:tc>
        <w:tc>
          <w:tcPr>
            <w:tcW w:w="7647" w:type="dxa"/>
            <w:gridSpan w:val="5"/>
            <w:vAlign w:val="center"/>
          </w:tcPr>
          <w:p w14:paraId="6997CE63">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152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1EE33EDE">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经营范围</w:t>
            </w:r>
          </w:p>
        </w:tc>
        <w:tc>
          <w:tcPr>
            <w:tcW w:w="7647" w:type="dxa"/>
            <w:gridSpan w:val="5"/>
            <w:vAlign w:val="center"/>
          </w:tcPr>
          <w:p w14:paraId="7D511C09">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33D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47BBDFA5">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w:t>
            </w:r>
          </w:p>
        </w:tc>
        <w:tc>
          <w:tcPr>
            <w:tcW w:w="7647" w:type="dxa"/>
            <w:gridSpan w:val="5"/>
            <w:vAlign w:val="center"/>
          </w:tcPr>
          <w:p w14:paraId="69B4D774">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2E864A4A">
      <w:pPr>
        <w:shd w:val="clear"/>
        <w:adjustRightInd w:val="0"/>
        <w:snapToGrid w:val="0"/>
        <w:spacing w:line="360" w:lineRule="auto"/>
        <w:ind w:firstLine="482"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兹证明上述声明是真实、正确的，并提供了全部能提供的资料和数据，我们同意遵照贵方要求出示有关证明文件。</w:t>
      </w:r>
    </w:p>
    <w:p w14:paraId="69AEB800">
      <w:pPr>
        <w:shd w:val="clear"/>
        <w:adjustRightInd w:val="0"/>
        <w:snapToGrid w:val="0"/>
        <w:spacing w:line="360" w:lineRule="auto"/>
        <w:ind w:firstLine="480"/>
        <w:rPr>
          <w:rFonts w:asciiTheme="minorEastAsia" w:hAnsiTheme="minorEastAsia" w:eastAsiaTheme="minorEastAsia" w:cstheme="minorEastAsia"/>
          <w:color w:val="auto"/>
          <w:kern w:val="0"/>
          <w:sz w:val="24"/>
          <w:highlight w:val="none"/>
          <w:lang w:val="zh-CN"/>
        </w:rPr>
      </w:pPr>
    </w:p>
    <w:p w14:paraId="2DAFAD71">
      <w:pPr>
        <w:pStyle w:val="34"/>
        <w:shd w:val="clear"/>
        <w:spacing w:line="360" w:lineRule="auto"/>
        <w:ind w:firstLine="560"/>
        <w:rPr>
          <w:rFonts w:asciiTheme="minorEastAsia" w:hAnsiTheme="minorEastAsia" w:eastAsiaTheme="minorEastAsia" w:cstheme="minorEastAsia"/>
          <w:color w:val="auto"/>
          <w:highlight w:val="none"/>
          <w:lang w:val="zh-CN"/>
        </w:rPr>
      </w:pPr>
    </w:p>
    <w:p w14:paraId="28803E2C">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59351B83">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075C3A4D">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2D979F7B">
      <w:pPr>
        <w:numPr>
          <w:ilvl w:val="0"/>
          <w:numId w:val="4"/>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zh-CN"/>
        </w:rPr>
        <w:t>距采购人最近或者能为本项目提供最优服务的网点情况表</w:t>
      </w:r>
    </w:p>
    <w:p w14:paraId="57A4A0C2">
      <w:pPr>
        <w:shd w:val="clear"/>
        <w:spacing w:line="360" w:lineRule="auto"/>
        <w:rPr>
          <w:rFonts w:asciiTheme="minorEastAsia" w:hAnsiTheme="minorEastAsia" w:eastAsiaTheme="minorEastAsia" w:cstheme="minorEastAsia"/>
          <w:color w:val="auto"/>
          <w:highlight w:val="none"/>
        </w:rPr>
      </w:pPr>
    </w:p>
    <w:tbl>
      <w:tblPr>
        <w:tblStyle w:val="27"/>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1DD0F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57A0C13">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821E5F8">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3F40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4C3624E">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DC4EFB4">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53F2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2A26FD2">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5F5B732F">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198F290C">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19F1FFB5">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7591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9207B75">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0274D50A">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72C9C7EF">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2CB2ECF3">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8E1A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1E13296">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C77472E">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6A23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49BFDF4">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0C27A8BF">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038F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4B5B8E6">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A637316">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5D18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E787FFE">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4BEC5B7">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8EA8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0A3E75C">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0D394BD8">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7C31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5B3A6C6">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2C5D4509">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5B5C2729">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54941C51">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7939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A83D712">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3B6290FC">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271D76FD">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5B426EF6">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073138F4">
      <w:pPr>
        <w:shd w:val="clear"/>
        <w:spacing w:line="360" w:lineRule="auto"/>
        <w:rPr>
          <w:rFonts w:asciiTheme="minorEastAsia" w:hAnsiTheme="minorEastAsia" w:eastAsiaTheme="minorEastAsia" w:cstheme="minorEastAsia"/>
          <w:color w:val="auto"/>
          <w:highlight w:val="none"/>
        </w:rPr>
      </w:pPr>
    </w:p>
    <w:p w14:paraId="555541D7">
      <w:pPr>
        <w:shd w:val="clear"/>
        <w:spacing w:line="360" w:lineRule="auto"/>
        <w:rPr>
          <w:rFonts w:asciiTheme="minorEastAsia" w:hAnsiTheme="minorEastAsia" w:eastAsiaTheme="minorEastAsia" w:cstheme="minorEastAsia"/>
          <w:color w:val="auto"/>
          <w:highlight w:val="none"/>
        </w:rPr>
      </w:pPr>
    </w:p>
    <w:p w14:paraId="5C02695E">
      <w:pPr>
        <w:shd w:val="clea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rPr>
        <w:t xml:space="preserve">       </w:t>
      </w:r>
    </w:p>
    <w:p w14:paraId="74266D36">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7F512031">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016367FA">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29C54AEB">
      <w:pPr>
        <w:numPr>
          <w:ilvl w:val="0"/>
          <w:numId w:val="4"/>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zh-CN"/>
        </w:rPr>
        <w:t>评审标准相应的商务技术资料</w:t>
      </w:r>
    </w:p>
    <w:p w14:paraId="0887E0E6">
      <w:pPr>
        <w:shd w:val="clear"/>
        <w:snapToGrid w:val="0"/>
        <w:spacing w:line="360" w:lineRule="auto"/>
        <w:ind w:firstLine="482"/>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（按采购文件第四部分评审办法前附表中“响应文件中评审标准相应的商务技术资料目录”提供资料）</w:t>
      </w:r>
    </w:p>
    <w:p w14:paraId="271B2F7C">
      <w:pPr>
        <w:pStyle w:val="35"/>
        <w:shd w:val="clear"/>
        <w:rPr>
          <w:color w:val="auto"/>
          <w:highlight w:val="none"/>
        </w:rPr>
      </w:pPr>
    </w:p>
    <w:p w14:paraId="3531F786">
      <w:pPr>
        <w:pStyle w:val="35"/>
        <w:shd w:val="clear"/>
        <w:rPr>
          <w:color w:val="auto"/>
          <w:highlight w:val="none"/>
        </w:rPr>
      </w:pPr>
    </w:p>
    <w:p w14:paraId="448799DF">
      <w:pPr>
        <w:pStyle w:val="35"/>
        <w:shd w:val="clear"/>
        <w:rPr>
          <w:color w:val="auto"/>
          <w:highlight w:val="none"/>
        </w:rPr>
      </w:pPr>
    </w:p>
    <w:p w14:paraId="2BCF9AB7">
      <w:pPr>
        <w:pStyle w:val="35"/>
        <w:shd w:val="clear"/>
        <w:rPr>
          <w:color w:val="auto"/>
          <w:highlight w:val="none"/>
        </w:rPr>
      </w:pPr>
    </w:p>
    <w:p w14:paraId="1EFD50DB">
      <w:pPr>
        <w:pStyle w:val="35"/>
        <w:shd w:val="clear"/>
        <w:rPr>
          <w:color w:val="auto"/>
          <w:highlight w:val="none"/>
        </w:rPr>
      </w:pPr>
    </w:p>
    <w:p w14:paraId="6C1E703D">
      <w:pPr>
        <w:pStyle w:val="35"/>
        <w:shd w:val="clear"/>
        <w:rPr>
          <w:color w:val="auto"/>
          <w:highlight w:val="none"/>
        </w:rPr>
      </w:pPr>
    </w:p>
    <w:p w14:paraId="3C741400">
      <w:pPr>
        <w:pStyle w:val="35"/>
        <w:shd w:val="clear"/>
        <w:rPr>
          <w:color w:val="auto"/>
          <w:highlight w:val="none"/>
        </w:rPr>
      </w:pPr>
    </w:p>
    <w:p w14:paraId="50389F88">
      <w:pPr>
        <w:pStyle w:val="35"/>
        <w:shd w:val="clear"/>
        <w:rPr>
          <w:color w:val="auto"/>
          <w:highlight w:val="none"/>
        </w:rPr>
      </w:pPr>
    </w:p>
    <w:p w14:paraId="687DCA2B">
      <w:pPr>
        <w:pStyle w:val="35"/>
        <w:shd w:val="clear"/>
        <w:rPr>
          <w:color w:val="auto"/>
          <w:highlight w:val="none"/>
        </w:rPr>
      </w:pPr>
    </w:p>
    <w:p w14:paraId="403857A9">
      <w:pPr>
        <w:pStyle w:val="35"/>
        <w:shd w:val="clear"/>
        <w:rPr>
          <w:color w:val="auto"/>
          <w:highlight w:val="none"/>
        </w:rPr>
      </w:pPr>
    </w:p>
    <w:p w14:paraId="3B026624">
      <w:pPr>
        <w:pStyle w:val="35"/>
        <w:shd w:val="clear"/>
        <w:rPr>
          <w:color w:val="auto"/>
          <w:highlight w:val="none"/>
        </w:rPr>
      </w:pPr>
    </w:p>
    <w:p w14:paraId="139A4CB8">
      <w:pPr>
        <w:pStyle w:val="35"/>
        <w:shd w:val="clear"/>
        <w:rPr>
          <w:color w:val="auto"/>
          <w:highlight w:val="none"/>
        </w:rPr>
      </w:pPr>
    </w:p>
    <w:p w14:paraId="4E3FFE2D">
      <w:pPr>
        <w:pStyle w:val="35"/>
        <w:shd w:val="clear"/>
        <w:rPr>
          <w:color w:val="auto"/>
          <w:highlight w:val="none"/>
        </w:rPr>
      </w:pPr>
    </w:p>
    <w:p w14:paraId="3FC1A771">
      <w:pPr>
        <w:pStyle w:val="35"/>
        <w:shd w:val="clear"/>
        <w:rPr>
          <w:color w:val="auto"/>
          <w:highlight w:val="none"/>
        </w:rPr>
      </w:pPr>
    </w:p>
    <w:p w14:paraId="6F9DCAF0">
      <w:pPr>
        <w:pStyle w:val="35"/>
        <w:shd w:val="clear"/>
        <w:rPr>
          <w:color w:val="auto"/>
          <w:highlight w:val="none"/>
        </w:rPr>
      </w:pPr>
    </w:p>
    <w:p w14:paraId="3B05C0EA">
      <w:pPr>
        <w:pStyle w:val="35"/>
        <w:shd w:val="clear"/>
        <w:rPr>
          <w:color w:val="auto"/>
          <w:highlight w:val="none"/>
        </w:rPr>
      </w:pPr>
    </w:p>
    <w:p w14:paraId="33C077CE">
      <w:pPr>
        <w:pStyle w:val="35"/>
        <w:shd w:val="clear"/>
        <w:rPr>
          <w:color w:val="auto"/>
          <w:highlight w:val="none"/>
        </w:rPr>
      </w:pPr>
    </w:p>
    <w:p w14:paraId="47C1C6FA">
      <w:pPr>
        <w:pStyle w:val="35"/>
        <w:shd w:val="clear"/>
        <w:rPr>
          <w:color w:val="auto"/>
          <w:highlight w:val="none"/>
        </w:rPr>
      </w:pPr>
    </w:p>
    <w:p w14:paraId="6D6CAD61">
      <w:pPr>
        <w:pStyle w:val="35"/>
        <w:shd w:val="clear"/>
        <w:rPr>
          <w:color w:val="auto"/>
          <w:highlight w:val="none"/>
        </w:rPr>
      </w:pPr>
    </w:p>
    <w:p w14:paraId="2177B658">
      <w:pPr>
        <w:pStyle w:val="35"/>
        <w:shd w:val="clear"/>
        <w:rPr>
          <w:color w:val="auto"/>
          <w:highlight w:val="none"/>
        </w:rPr>
      </w:pPr>
    </w:p>
    <w:p w14:paraId="544FB9FC">
      <w:pPr>
        <w:pStyle w:val="35"/>
        <w:shd w:val="clear"/>
        <w:rPr>
          <w:color w:val="auto"/>
          <w:highlight w:val="none"/>
        </w:rPr>
      </w:pPr>
    </w:p>
    <w:p w14:paraId="64657182">
      <w:pPr>
        <w:pStyle w:val="35"/>
        <w:shd w:val="clear"/>
        <w:rPr>
          <w:color w:val="auto"/>
          <w:highlight w:val="none"/>
        </w:rPr>
      </w:pPr>
    </w:p>
    <w:p w14:paraId="4E23A034">
      <w:pPr>
        <w:pStyle w:val="35"/>
        <w:shd w:val="clear"/>
        <w:rPr>
          <w:color w:val="auto"/>
          <w:highlight w:val="none"/>
        </w:rPr>
      </w:pPr>
    </w:p>
    <w:p w14:paraId="5BC0B63E">
      <w:pPr>
        <w:pStyle w:val="35"/>
        <w:shd w:val="clear"/>
        <w:rPr>
          <w:color w:val="auto"/>
          <w:highlight w:val="none"/>
        </w:rPr>
      </w:pPr>
    </w:p>
    <w:p w14:paraId="7B4AAC3D">
      <w:pPr>
        <w:pStyle w:val="35"/>
        <w:shd w:val="clear"/>
        <w:rPr>
          <w:color w:val="auto"/>
          <w:highlight w:val="none"/>
        </w:rPr>
      </w:pPr>
    </w:p>
    <w:p w14:paraId="12B13C83">
      <w:pPr>
        <w:pStyle w:val="35"/>
        <w:shd w:val="clear"/>
        <w:rPr>
          <w:color w:val="auto"/>
          <w:highlight w:val="none"/>
        </w:rPr>
      </w:pPr>
    </w:p>
    <w:p w14:paraId="00B3E13C">
      <w:pPr>
        <w:pStyle w:val="35"/>
        <w:shd w:val="clear"/>
        <w:rPr>
          <w:color w:val="auto"/>
          <w:highlight w:val="none"/>
        </w:rPr>
      </w:pPr>
    </w:p>
    <w:p w14:paraId="74E46523">
      <w:pPr>
        <w:pStyle w:val="35"/>
        <w:shd w:val="clear"/>
        <w:rPr>
          <w:color w:val="auto"/>
          <w:highlight w:val="none"/>
        </w:rPr>
      </w:pPr>
    </w:p>
    <w:p w14:paraId="71EEEF1C">
      <w:pPr>
        <w:pStyle w:val="35"/>
        <w:shd w:val="clear"/>
        <w:rPr>
          <w:color w:val="auto"/>
          <w:highlight w:val="none"/>
        </w:rPr>
      </w:pPr>
    </w:p>
    <w:p w14:paraId="083311AB">
      <w:pPr>
        <w:pStyle w:val="35"/>
        <w:shd w:val="clear"/>
        <w:rPr>
          <w:color w:val="auto"/>
          <w:highlight w:val="none"/>
        </w:rPr>
      </w:pPr>
    </w:p>
    <w:p w14:paraId="0F488164">
      <w:pPr>
        <w:pStyle w:val="35"/>
        <w:shd w:val="clear"/>
        <w:rPr>
          <w:color w:val="auto"/>
          <w:highlight w:val="none"/>
        </w:rPr>
      </w:pPr>
    </w:p>
    <w:p w14:paraId="753A7124">
      <w:pPr>
        <w:pStyle w:val="35"/>
        <w:shd w:val="clear"/>
        <w:rPr>
          <w:color w:val="auto"/>
          <w:highlight w:val="none"/>
        </w:rPr>
      </w:pPr>
    </w:p>
    <w:p w14:paraId="5163482D">
      <w:pPr>
        <w:pStyle w:val="35"/>
        <w:shd w:val="clear"/>
        <w:rPr>
          <w:color w:val="auto"/>
          <w:highlight w:val="none"/>
        </w:rPr>
      </w:pPr>
    </w:p>
    <w:p w14:paraId="11F0D5B3">
      <w:pPr>
        <w:pStyle w:val="35"/>
        <w:shd w:val="clear"/>
        <w:rPr>
          <w:color w:val="auto"/>
          <w:highlight w:val="none"/>
        </w:rPr>
      </w:pPr>
    </w:p>
    <w:p w14:paraId="15E67B67">
      <w:pPr>
        <w:pStyle w:val="35"/>
        <w:shd w:val="clear"/>
        <w:rPr>
          <w:color w:val="auto"/>
          <w:highlight w:val="none"/>
        </w:rPr>
      </w:pPr>
    </w:p>
    <w:p w14:paraId="20185B2A">
      <w:pPr>
        <w:pStyle w:val="35"/>
        <w:shd w:val="clear"/>
        <w:rPr>
          <w:color w:val="auto"/>
          <w:highlight w:val="none"/>
        </w:rPr>
      </w:pPr>
    </w:p>
    <w:p w14:paraId="113F3F57">
      <w:pPr>
        <w:pStyle w:val="35"/>
        <w:shd w:val="clear"/>
        <w:rPr>
          <w:color w:val="auto"/>
          <w:highlight w:val="none"/>
        </w:rPr>
      </w:pPr>
    </w:p>
    <w:p w14:paraId="0C85B385">
      <w:pPr>
        <w:pStyle w:val="35"/>
        <w:shd w:val="clear"/>
        <w:rPr>
          <w:color w:val="auto"/>
          <w:highlight w:val="none"/>
        </w:rPr>
      </w:pPr>
    </w:p>
    <w:p w14:paraId="20DFFA3A">
      <w:pPr>
        <w:pStyle w:val="35"/>
        <w:shd w:val="clear"/>
        <w:rPr>
          <w:color w:val="auto"/>
          <w:highlight w:val="none"/>
        </w:rPr>
      </w:pPr>
    </w:p>
    <w:p w14:paraId="27F9DE2F">
      <w:pPr>
        <w:pStyle w:val="35"/>
        <w:shd w:val="clear"/>
        <w:rPr>
          <w:color w:val="auto"/>
          <w:highlight w:val="none"/>
        </w:rPr>
      </w:pPr>
    </w:p>
    <w:p w14:paraId="0A1EEA5C">
      <w:pPr>
        <w:pStyle w:val="35"/>
        <w:shd w:val="clear"/>
        <w:rPr>
          <w:color w:val="auto"/>
          <w:highlight w:val="none"/>
        </w:rPr>
      </w:pPr>
    </w:p>
    <w:p w14:paraId="2A07B952">
      <w:pPr>
        <w:pStyle w:val="35"/>
        <w:shd w:val="clear"/>
        <w:rPr>
          <w:color w:val="auto"/>
          <w:highlight w:val="none"/>
        </w:rPr>
      </w:pPr>
    </w:p>
    <w:p w14:paraId="7266D303">
      <w:pPr>
        <w:pStyle w:val="35"/>
        <w:shd w:val="clear"/>
        <w:rPr>
          <w:color w:val="auto"/>
          <w:highlight w:val="none"/>
        </w:rPr>
      </w:pPr>
    </w:p>
    <w:p w14:paraId="3A6C2BB5">
      <w:pPr>
        <w:pStyle w:val="35"/>
        <w:shd w:val="clear"/>
        <w:rPr>
          <w:color w:val="auto"/>
          <w:highlight w:val="none"/>
        </w:rPr>
      </w:pPr>
    </w:p>
    <w:p w14:paraId="12A2668C">
      <w:pPr>
        <w:pStyle w:val="35"/>
        <w:shd w:val="clear"/>
        <w:rPr>
          <w:color w:val="auto"/>
          <w:highlight w:val="none"/>
        </w:rPr>
      </w:pPr>
    </w:p>
    <w:p w14:paraId="5A92A815">
      <w:pPr>
        <w:pStyle w:val="35"/>
        <w:shd w:val="clear"/>
        <w:rPr>
          <w:color w:val="auto"/>
          <w:highlight w:val="none"/>
        </w:rPr>
      </w:pPr>
    </w:p>
    <w:p w14:paraId="5AE8A2FC">
      <w:pPr>
        <w:pStyle w:val="34"/>
        <w:shd w:val="clear"/>
        <w:ind w:firstLine="560"/>
        <w:rPr>
          <w:rFonts w:asciiTheme="minorEastAsia" w:hAnsiTheme="minorEastAsia" w:eastAsiaTheme="minorEastAsia" w:cstheme="minorEastAsia"/>
          <w:color w:val="auto"/>
          <w:highlight w:val="none"/>
          <w:lang w:val="zh-CN"/>
        </w:rPr>
      </w:pPr>
    </w:p>
    <w:p w14:paraId="11EEA400">
      <w:pPr>
        <w:numPr>
          <w:ilvl w:val="0"/>
          <w:numId w:val="4"/>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商务</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101"/>
        <w:gridCol w:w="6095"/>
        <w:gridCol w:w="992"/>
        <w:gridCol w:w="1098"/>
      </w:tblGrid>
      <w:tr w14:paraId="66DA29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593" w:type="pct"/>
            <w:tcBorders>
              <w:top w:val="single" w:color="auto" w:sz="4" w:space="0"/>
              <w:bottom w:val="single" w:color="auto" w:sz="4" w:space="0"/>
            </w:tcBorders>
            <w:vAlign w:val="center"/>
          </w:tcPr>
          <w:p w14:paraId="6ED85AAB">
            <w:pPr>
              <w:shd w:val="clear"/>
              <w:snapToGrid w:val="0"/>
              <w:ind w:right="-108"/>
              <w:rPr>
                <w:color w:val="auto"/>
                <w:highlight w:val="none"/>
              </w:rPr>
            </w:pPr>
            <w:r>
              <w:rPr>
                <w:color w:val="auto"/>
                <w:highlight w:val="none"/>
              </w:rPr>
              <w:t>商务要求项目</w:t>
            </w:r>
          </w:p>
        </w:tc>
        <w:tc>
          <w:tcPr>
            <w:tcW w:w="3282" w:type="pct"/>
            <w:tcBorders>
              <w:top w:val="single" w:color="auto" w:sz="4" w:space="0"/>
              <w:bottom w:val="single" w:color="auto" w:sz="4" w:space="0"/>
            </w:tcBorders>
            <w:vAlign w:val="center"/>
          </w:tcPr>
          <w:p w14:paraId="26EC1B58">
            <w:pPr>
              <w:shd w:val="clear"/>
              <w:snapToGrid w:val="0"/>
              <w:ind w:right="-108"/>
              <w:jc w:val="center"/>
              <w:rPr>
                <w:color w:val="auto"/>
                <w:highlight w:val="none"/>
              </w:rPr>
            </w:pPr>
            <w:r>
              <w:rPr>
                <w:color w:val="auto"/>
                <w:highlight w:val="none"/>
              </w:rPr>
              <w:t>采购文件要求</w:t>
            </w:r>
          </w:p>
        </w:tc>
        <w:tc>
          <w:tcPr>
            <w:tcW w:w="534" w:type="pct"/>
            <w:tcBorders>
              <w:top w:val="single" w:color="auto" w:sz="4" w:space="0"/>
              <w:bottom w:val="single" w:color="auto" w:sz="4" w:space="0"/>
            </w:tcBorders>
            <w:vAlign w:val="center"/>
          </w:tcPr>
          <w:p w14:paraId="0183FCA3">
            <w:pPr>
              <w:shd w:val="clear"/>
              <w:snapToGrid w:val="0"/>
              <w:ind w:right="-108"/>
              <w:rPr>
                <w:color w:val="auto"/>
                <w:highlight w:val="none"/>
              </w:rPr>
            </w:pPr>
            <w:r>
              <w:rPr>
                <w:color w:val="auto"/>
                <w:highlight w:val="none"/>
              </w:rPr>
              <w:t>响应情况</w:t>
            </w:r>
          </w:p>
        </w:tc>
        <w:tc>
          <w:tcPr>
            <w:tcW w:w="591" w:type="pct"/>
            <w:tcBorders>
              <w:top w:val="single" w:color="auto" w:sz="4" w:space="0"/>
              <w:bottom w:val="single" w:color="auto" w:sz="4" w:space="0"/>
            </w:tcBorders>
            <w:vAlign w:val="center"/>
          </w:tcPr>
          <w:p w14:paraId="5A454B4C">
            <w:pPr>
              <w:shd w:val="clear"/>
              <w:snapToGrid w:val="0"/>
              <w:ind w:right="-108"/>
              <w:rPr>
                <w:color w:val="auto"/>
                <w:highlight w:val="none"/>
              </w:rPr>
            </w:pPr>
            <w:r>
              <w:rPr>
                <w:rFonts w:hint="eastAsia"/>
                <w:color w:val="auto"/>
                <w:highlight w:val="none"/>
              </w:rPr>
              <w:t>优于情况说明</w:t>
            </w:r>
          </w:p>
        </w:tc>
      </w:tr>
      <w:tr w14:paraId="7C3E37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593" w:type="pct"/>
            <w:tcBorders>
              <w:top w:val="single" w:color="auto" w:sz="4" w:space="0"/>
            </w:tcBorders>
            <w:vAlign w:val="center"/>
          </w:tcPr>
          <w:p w14:paraId="7AF5DCC1">
            <w:pPr>
              <w:shd w:val="clear"/>
              <w:rPr>
                <w:color w:val="auto"/>
                <w:highlight w:val="none"/>
              </w:rPr>
            </w:pPr>
            <w:r>
              <w:rPr>
                <w:color w:val="auto"/>
                <w:highlight w:val="none"/>
              </w:rPr>
              <w:t>付款方式</w:t>
            </w:r>
          </w:p>
        </w:tc>
        <w:tc>
          <w:tcPr>
            <w:tcW w:w="3282" w:type="pct"/>
            <w:tcBorders>
              <w:top w:val="single" w:color="auto" w:sz="4" w:space="0"/>
            </w:tcBorders>
            <w:vAlign w:val="center"/>
          </w:tcPr>
          <w:p w14:paraId="2F7914FB">
            <w:pPr>
              <w:shd w:val="clear"/>
              <w:snapToGrid w:val="0"/>
              <w:ind w:right="-108"/>
              <w:rPr>
                <w:color w:val="auto"/>
                <w:highlight w:val="none"/>
              </w:rPr>
            </w:pPr>
            <w:r>
              <w:rPr>
                <w:rFonts w:hint="eastAsia"/>
                <w:color w:val="auto"/>
                <w:highlight w:val="none"/>
              </w:rPr>
              <w:t>编制报告出具且在采购人收到真实、合法、有效的增值税</w:t>
            </w:r>
            <w:r>
              <w:rPr>
                <w:rFonts w:hint="eastAsia"/>
                <w:color w:val="auto"/>
                <w:highlight w:val="none"/>
              </w:rPr>
              <w:t>专用</w:t>
            </w:r>
            <w:r>
              <w:rPr>
                <w:rFonts w:hint="eastAsia"/>
                <w:color w:val="auto"/>
                <w:highlight w:val="none"/>
              </w:rPr>
              <w:t>发票后30日内付清。</w:t>
            </w:r>
          </w:p>
        </w:tc>
        <w:tc>
          <w:tcPr>
            <w:tcW w:w="534" w:type="pct"/>
            <w:tcBorders>
              <w:top w:val="single" w:color="auto" w:sz="4" w:space="0"/>
            </w:tcBorders>
          </w:tcPr>
          <w:p w14:paraId="68FD6A0C">
            <w:pPr>
              <w:shd w:val="clear"/>
              <w:snapToGrid w:val="0"/>
              <w:ind w:right="-108"/>
              <w:rPr>
                <w:color w:val="auto"/>
                <w:highlight w:val="none"/>
              </w:rPr>
            </w:pPr>
          </w:p>
        </w:tc>
        <w:tc>
          <w:tcPr>
            <w:tcW w:w="591" w:type="pct"/>
            <w:tcBorders>
              <w:top w:val="single" w:color="auto" w:sz="4" w:space="0"/>
            </w:tcBorders>
          </w:tcPr>
          <w:p w14:paraId="3F8ECB1B">
            <w:pPr>
              <w:shd w:val="clear"/>
              <w:snapToGrid w:val="0"/>
              <w:ind w:right="-108"/>
              <w:rPr>
                <w:color w:val="auto"/>
                <w:highlight w:val="none"/>
              </w:rPr>
            </w:pPr>
          </w:p>
        </w:tc>
      </w:tr>
      <w:tr w14:paraId="5AFF86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593" w:type="pct"/>
            <w:tcBorders>
              <w:top w:val="single" w:color="auto" w:sz="4" w:space="0"/>
            </w:tcBorders>
            <w:vAlign w:val="center"/>
          </w:tcPr>
          <w:p w14:paraId="44F1116D">
            <w:pPr>
              <w:shd w:val="clear"/>
              <w:rPr>
                <w:color w:val="auto"/>
                <w:highlight w:val="none"/>
              </w:rPr>
            </w:pPr>
            <w:r>
              <w:rPr>
                <w:rFonts w:hint="eastAsia"/>
                <w:color w:val="auto"/>
                <w:highlight w:val="none"/>
              </w:rPr>
              <w:t>履约</w:t>
            </w:r>
            <w:r>
              <w:rPr>
                <w:color w:val="auto"/>
                <w:highlight w:val="none"/>
              </w:rPr>
              <w:t>担保</w:t>
            </w:r>
          </w:p>
        </w:tc>
        <w:tc>
          <w:tcPr>
            <w:tcW w:w="3282" w:type="pct"/>
            <w:tcBorders>
              <w:top w:val="single" w:color="auto" w:sz="4" w:space="0"/>
            </w:tcBorders>
            <w:vAlign w:val="center"/>
          </w:tcPr>
          <w:p w14:paraId="78C7D084">
            <w:pPr>
              <w:shd w:val="clear"/>
              <w:autoSpaceDN w:val="0"/>
              <w:textAlignment w:val="center"/>
              <w:rPr>
                <w:color w:val="auto"/>
                <w:highlight w:val="none"/>
              </w:rPr>
            </w:pPr>
            <w:r>
              <w:rPr>
                <w:color w:val="auto"/>
                <w:highlight w:val="none"/>
              </w:rPr>
              <w:t>履约</w:t>
            </w:r>
            <w:r>
              <w:rPr>
                <w:rFonts w:hint="eastAsia"/>
                <w:color w:val="auto"/>
                <w:highlight w:val="none"/>
              </w:rPr>
              <w:t>担保</w:t>
            </w:r>
            <w:r>
              <w:rPr>
                <w:color w:val="auto"/>
                <w:highlight w:val="none"/>
              </w:rPr>
              <w:t>形式：</w:t>
            </w:r>
            <w:r>
              <w:rPr>
                <w:rFonts w:hint="eastAsia"/>
                <w:color w:val="auto"/>
                <w:highlight w:val="none"/>
              </w:rPr>
              <w:t>电汇、银行保函、保险公司保函。</w:t>
            </w:r>
          </w:p>
          <w:p w14:paraId="5DB102B2">
            <w:pPr>
              <w:shd w:val="clear"/>
              <w:autoSpaceDN w:val="0"/>
              <w:snapToGrid w:val="0"/>
              <w:ind w:right="-108"/>
              <w:textAlignment w:val="center"/>
              <w:rPr>
                <w:color w:val="auto"/>
                <w:highlight w:val="none"/>
              </w:rPr>
            </w:pPr>
            <w:r>
              <w:rPr>
                <w:color w:val="auto"/>
                <w:highlight w:val="none"/>
              </w:rPr>
              <w:t>履约担保的收取及退还：</w:t>
            </w:r>
            <w:r>
              <w:rPr>
                <w:rFonts w:hint="eastAsia"/>
                <w:color w:val="auto"/>
                <w:highlight w:val="none"/>
              </w:rPr>
              <w:t>叁仟元</w:t>
            </w:r>
            <w:r>
              <w:rPr>
                <w:color w:val="auto"/>
                <w:highlight w:val="none"/>
              </w:rPr>
              <w:t>整</w:t>
            </w:r>
            <w:r>
              <w:rPr>
                <w:rFonts w:hint="eastAsia"/>
                <w:color w:val="auto"/>
                <w:highlight w:val="none"/>
              </w:rPr>
              <w:t>，合同签订后七个工作日内提交给采购人。</w:t>
            </w:r>
            <w:r>
              <w:rPr>
                <w:color w:val="auto"/>
                <w:highlight w:val="none"/>
              </w:rPr>
              <w:t>合同履行完毕后5日内无息退还。</w:t>
            </w:r>
          </w:p>
        </w:tc>
        <w:tc>
          <w:tcPr>
            <w:tcW w:w="534" w:type="pct"/>
            <w:tcBorders>
              <w:top w:val="single" w:color="auto" w:sz="4" w:space="0"/>
            </w:tcBorders>
          </w:tcPr>
          <w:p w14:paraId="7EBC11F9">
            <w:pPr>
              <w:shd w:val="clear"/>
              <w:rPr>
                <w:rFonts w:ascii="宋体" w:hAnsi="宋体"/>
                <w:color w:val="auto"/>
                <w:highlight w:val="none"/>
              </w:rPr>
            </w:pPr>
          </w:p>
        </w:tc>
        <w:tc>
          <w:tcPr>
            <w:tcW w:w="591" w:type="pct"/>
            <w:tcBorders>
              <w:top w:val="single" w:color="auto" w:sz="4" w:space="0"/>
            </w:tcBorders>
          </w:tcPr>
          <w:p w14:paraId="4A7FA34A">
            <w:pPr>
              <w:shd w:val="clear"/>
              <w:rPr>
                <w:rFonts w:ascii="宋体" w:hAnsi="宋体"/>
                <w:color w:val="auto"/>
                <w:highlight w:val="none"/>
              </w:rPr>
            </w:pPr>
          </w:p>
        </w:tc>
      </w:tr>
      <w:tr w14:paraId="4E3830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593" w:type="pct"/>
            <w:tcBorders>
              <w:top w:val="single" w:color="auto" w:sz="4" w:space="0"/>
            </w:tcBorders>
            <w:vAlign w:val="center"/>
          </w:tcPr>
          <w:p w14:paraId="13C7CA13">
            <w:pPr>
              <w:shd w:val="clear"/>
              <w:rPr>
                <w:color w:val="auto"/>
                <w:highlight w:val="none"/>
              </w:rPr>
            </w:pPr>
            <w:r>
              <w:rPr>
                <w:rFonts w:hint="eastAsia"/>
                <w:color w:val="auto"/>
                <w:highlight w:val="none"/>
              </w:rPr>
              <w:t>提交服务成果时间</w:t>
            </w:r>
          </w:p>
        </w:tc>
        <w:tc>
          <w:tcPr>
            <w:tcW w:w="3282" w:type="pct"/>
            <w:tcBorders>
              <w:top w:val="single" w:color="auto" w:sz="4" w:space="0"/>
            </w:tcBorders>
            <w:vAlign w:val="center"/>
          </w:tcPr>
          <w:p w14:paraId="2AAE8027">
            <w:pPr>
              <w:shd w:val="clear"/>
              <w:autoSpaceDN w:val="0"/>
              <w:snapToGrid w:val="0"/>
              <w:ind w:right="-108"/>
              <w:textAlignment w:val="center"/>
              <w:rPr>
                <w:color w:val="auto"/>
                <w:highlight w:val="none"/>
              </w:rPr>
            </w:pPr>
            <w:r>
              <w:rPr>
                <w:color w:val="auto"/>
                <w:highlight w:val="none"/>
              </w:rPr>
              <w:t>资料完整的情况下</w:t>
            </w:r>
            <w:r>
              <w:rPr>
                <w:rFonts w:hint="eastAsia"/>
                <w:color w:val="auto"/>
                <w:highlight w:val="none"/>
              </w:rPr>
              <w:t>30日历天内完成。</w:t>
            </w:r>
          </w:p>
        </w:tc>
        <w:tc>
          <w:tcPr>
            <w:tcW w:w="534" w:type="pct"/>
            <w:tcBorders>
              <w:top w:val="single" w:color="auto" w:sz="4" w:space="0"/>
            </w:tcBorders>
          </w:tcPr>
          <w:p w14:paraId="5F62918E">
            <w:pPr>
              <w:shd w:val="clear"/>
              <w:rPr>
                <w:rFonts w:ascii="宋体" w:hAnsi="宋体"/>
                <w:color w:val="auto"/>
                <w:highlight w:val="none"/>
              </w:rPr>
            </w:pPr>
          </w:p>
        </w:tc>
        <w:tc>
          <w:tcPr>
            <w:tcW w:w="591" w:type="pct"/>
            <w:tcBorders>
              <w:top w:val="single" w:color="auto" w:sz="4" w:space="0"/>
            </w:tcBorders>
          </w:tcPr>
          <w:p w14:paraId="20E58DBE">
            <w:pPr>
              <w:shd w:val="clear"/>
              <w:rPr>
                <w:rFonts w:ascii="宋体" w:hAnsi="宋体"/>
                <w:color w:val="auto"/>
                <w:highlight w:val="none"/>
              </w:rPr>
            </w:pPr>
          </w:p>
        </w:tc>
      </w:tr>
      <w:tr w14:paraId="1C5001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593" w:type="pct"/>
            <w:tcBorders>
              <w:top w:val="single" w:color="auto" w:sz="4" w:space="0"/>
            </w:tcBorders>
            <w:vAlign w:val="center"/>
          </w:tcPr>
          <w:p w14:paraId="47293BCB">
            <w:pPr>
              <w:shd w:val="clear"/>
              <w:rPr>
                <w:color w:val="auto"/>
                <w:highlight w:val="none"/>
              </w:rPr>
            </w:pPr>
            <w:r>
              <w:rPr>
                <w:rFonts w:hint="eastAsia"/>
                <w:color w:val="auto"/>
                <w:highlight w:val="none"/>
              </w:rPr>
              <w:t>合同</w:t>
            </w:r>
            <w:r>
              <w:rPr>
                <w:color w:val="auto"/>
                <w:highlight w:val="none"/>
              </w:rPr>
              <w:t>终止</w:t>
            </w:r>
          </w:p>
        </w:tc>
        <w:tc>
          <w:tcPr>
            <w:tcW w:w="3282" w:type="pct"/>
            <w:tcBorders>
              <w:top w:val="single" w:color="auto" w:sz="4" w:space="0"/>
            </w:tcBorders>
            <w:vAlign w:val="center"/>
          </w:tcPr>
          <w:p w14:paraId="5858BE04">
            <w:pPr>
              <w:shd w:val="clear"/>
              <w:snapToGrid w:val="0"/>
              <w:ind w:right="-108"/>
              <w:rPr>
                <w:color w:val="auto"/>
                <w:highlight w:val="none"/>
              </w:rPr>
            </w:pPr>
            <w:r>
              <w:rPr>
                <w:rFonts w:hint="eastAsia"/>
                <w:color w:val="auto"/>
                <w:highlight w:val="none"/>
              </w:rPr>
              <w:t>供应商在合同有效期内，不得以任何理由终止合同，确有特殊情况的，须提前2个月向采购人提出书面申请，经采购人同意后，方可终止合同，同时酌情扣除保证金。因供应商不能保证工作质量，或发生重大差错事故的，采购人有权终止合同，成交供应商承担全部责任。</w:t>
            </w:r>
          </w:p>
        </w:tc>
        <w:tc>
          <w:tcPr>
            <w:tcW w:w="534" w:type="pct"/>
            <w:tcBorders>
              <w:top w:val="single" w:color="auto" w:sz="4" w:space="0"/>
            </w:tcBorders>
          </w:tcPr>
          <w:p w14:paraId="3AD586FF">
            <w:pPr>
              <w:shd w:val="clear"/>
              <w:snapToGrid w:val="0"/>
              <w:ind w:right="-108"/>
              <w:rPr>
                <w:color w:val="auto"/>
                <w:highlight w:val="none"/>
              </w:rPr>
            </w:pPr>
          </w:p>
        </w:tc>
        <w:tc>
          <w:tcPr>
            <w:tcW w:w="591" w:type="pct"/>
            <w:tcBorders>
              <w:top w:val="single" w:color="auto" w:sz="4" w:space="0"/>
            </w:tcBorders>
          </w:tcPr>
          <w:p w14:paraId="7DD90238">
            <w:pPr>
              <w:shd w:val="clear"/>
              <w:snapToGrid w:val="0"/>
              <w:ind w:right="-108"/>
              <w:rPr>
                <w:color w:val="auto"/>
                <w:highlight w:val="none"/>
              </w:rPr>
            </w:pPr>
          </w:p>
        </w:tc>
      </w:tr>
    </w:tbl>
    <w:p w14:paraId="18BD99AC">
      <w:pPr>
        <w:shd w:val="clear"/>
        <w:ind w:firstLine="482"/>
        <w:rPr>
          <w:rFonts w:asciiTheme="minorEastAsia" w:hAnsiTheme="minorEastAsia" w:eastAsiaTheme="minorEastAsia" w:cstheme="minorEastAsia"/>
          <w:color w:val="auto"/>
          <w:kern w:val="0"/>
          <w:sz w:val="24"/>
          <w:highlight w:val="none"/>
        </w:rPr>
      </w:pPr>
    </w:p>
    <w:p w14:paraId="562C19D4">
      <w:pPr>
        <w:shd w:val="clear"/>
        <w:ind w:firstLine="482"/>
        <w:rPr>
          <w:rFonts w:asciiTheme="minorEastAsia" w:hAnsiTheme="minorEastAsia" w:eastAsiaTheme="minorEastAsia" w:cstheme="minorEastAsia"/>
          <w:color w:val="auto"/>
          <w:kern w:val="0"/>
          <w:sz w:val="24"/>
          <w:highlight w:val="none"/>
        </w:rPr>
      </w:pPr>
    </w:p>
    <w:p w14:paraId="09EB4218">
      <w:pPr>
        <w:shd w:val="clear"/>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保证：除商务响应表列出的偏离外，供应商响应采购文件的全部商务要求。供应商需完全响应以上商务条款要求并在“是否响应”一栏里明确，未明确响应的作无效响应文件处理。如有优于的，可以在“优于情况说明”一栏里详细说明。</w:t>
      </w:r>
    </w:p>
    <w:p w14:paraId="528856AE">
      <w:pPr>
        <w:shd w:val="clear"/>
        <w:adjustRightInd w:val="0"/>
        <w:snapToGrid w:val="0"/>
        <w:ind w:firstLine="482"/>
        <w:jc w:val="right"/>
        <w:rPr>
          <w:rFonts w:asciiTheme="minorEastAsia" w:hAnsiTheme="minorEastAsia" w:eastAsiaTheme="minorEastAsia" w:cstheme="minorEastAsia"/>
          <w:color w:val="auto"/>
          <w:kern w:val="0"/>
          <w:sz w:val="24"/>
          <w:highlight w:val="none"/>
          <w:lang w:val="zh-CN"/>
        </w:rPr>
      </w:pPr>
    </w:p>
    <w:p w14:paraId="3BE87910">
      <w:pPr>
        <w:shd w:val="clear"/>
        <w:autoSpaceDE w:val="0"/>
        <w:autoSpaceDN w:val="0"/>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58D4BA2B">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34D77A0">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07A7FD7A">
      <w:pPr>
        <w:shd w:val="clear"/>
        <w:ind w:firstLine="560"/>
        <w:rPr>
          <w:rFonts w:asciiTheme="minorEastAsia" w:hAnsiTheme="minorEastAsia" w:eastAsiaTheme="minorEastAsia" w:cstheme="minorEastAsia"/>
          <w:color w:val="auto"/>
          <w:sz w:val="28"/>
          <w:highlight w:val="none"/>
          <w:lang w:val="zh-CN"/>
        </w:rPr>
      </w:pPr>
    </w:p>
    <w:p w14:paraId="56A85483">
      <w:pPr>
        <w:shd w:val="clea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14:paraId="4712F314">
      <w:pPr>
        <w:numPr>
          <w:ilvl w:val="0"/>
          <w:numId w:val="4"/>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服务</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p w14:paraId="22E67B95">
      <w:pPr>
        <w:shd w:val="clear"/>
        <w:spacing w:before="120" w:beforeLines="50" w:line="360" w:lineRule="auto"/>
        <w:ind w:firstLine="442" w:firstLineChars="200"/>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项目名称：</w:t>
      </w:r>
      <w:r>
        <w:rPr>
          <w:rFonts w:hint="eastAsia" w:ascii="宋体" w:hAnsi="宋体" w:cs="宋体"/>
          <w:b/>
          <w:color w:val="auto"/>
          <w:sz w:val="22"/>
          <w:szCs w:val="22"/>
          <w:highlight w:val="none"/>
          <w:u w:val="single"/>
          <w:lang w:val="zh-CN"/>
        </w:rPr>
        <w:t>年产950万件新型电子元器件生产项目招标控制价及预算编制服务项目</w:t>
      </w:r>
    </w:p>
    <w:tbl>
      <w:tblPr>
        <w:tblStyle w:val="27"/>
        <w:tblW w:w="95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44"/>
        <w:gridCol w:w="2985"/>
        <w:gridCol w:w="2925"/>
      </w:tblGrid>
      <w:tr w14:paraId="7A79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09" w:type="dxa"/>
            <w:vAlign w:val="center"/>
          </w:tcPr>
          <w:p w14:paraId="1BF7ACBC">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944" w:type="dxa"/>
            <w:vAlign w:val="center"/>
          </w:tcPr>
          <w:p w14:paraId="36BDFC79">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985" w:type="dxa"/>
            <w:vAlign w:val="center"/>
          </w:tcPr>
          <w:p w14:paraId="756CEF2D">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供应商响应描述</w:t>
            </w:r>
          </w:p>
        </w:tc>
        <w:tc>
          <w:tcPr>
            <w:tcW w:w="2925" w:type="dxa"/>
            <w:vAlign w:val="center"/>
          </w:tcPr>
          <w:p w14:paraId="45D30009">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044A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709" w:type="dxa"/>
            <w:vAlign w:val="center"/>
          </w:tcPr>
          <w:p w14:paraId="50524184">
            <w:pPr>
              <w:shd w:val="clear"/>
              <w:jc w:val="center"/>
              <w:rPr>
                <w:rFonts w:ascii="宋体" w:hAnsi="宋体" w:cs="宋体"/>
                <w:color w:val="auto"/>
                <w:sz w:val="28"/>
                <w:szCs w:val="36"/>
                <w:highlight w:val="none"/>
              </w:rPr>
            </w:pPr>
            <w:r>
              <w:rPr>
                <w:rFonts w:hint="eastAsia" w:ascii="宋体" w:hAnsi="宋体" w:cs="宋体"/>
                <w:color w:val="auto"/>
                <w:sz w:val="28"/>
                <w:szCs w:val="36"/>
                <w:highlight w:val="none"/>
              </w:rPr>
              <w:t>1</w:t>
            </w:r>
          </w:p>
        </w:tc>
        <w:tc>
          <w:tcPr>
            <w:tcW w:w="2944" w:type="dxa"/>
            <w:vAlign w:val="center"/>
          </w:tcPr>
          <w:p w14:paraId="713DBE53">
            <w:pPr>
              <w:shd w:val="clear"/>
              <w:jc w:val="center"/>
              <w:rPr>
                <w:rFonts w:ascii="宋体" w:hAnsi="宋体" w:cs="宋体"/>
                <w:color w:val="auto"/>
                <w:sz w:val="28"/>
                <w:szCs w:val="36"/>
                <w:highlight w:val="none"/>
              </w:rPr>
            </w:pPr>
            <w:r>
              <w:rPr>
                <w:rFonts w:hint="eastAsia" w:ascii="宋体" w:hAnsi="宋体" w:cs="宋体"/>
                <w:color w:val="auto"/>
                <w:sz w:val="28"/>
                <w:szCs w:val="36"/>
                <w:highlight w:val="none"/>
              </w:rPr>
              <w:t>第三部分 采购需求</w:t>
            </w:r>
          </w:p>
        </w:tc>
        <w:tc>
          <w:tcPr>
            <w:tcW w:w="2985" w:type="dxa"/>
            <w:vAlign w:val="center"/>
          </w:tcPr>
          <w:p w14:paraId="40836851">
            <w:pPr>
              <w:shd w:val="clear"/>
              <w:jc w:val="center"/>
              <w:rPr>
                <w:rFonts w:ascii="宋体" w:hAnsi="宋体" w:cs="宋体"/>
                <w:color w:val="auto"/>
                <w:sz w:val="28"/>
                <w:szCs w:val="36"/>
                <w:highlight w:val="none"/>
              </w:rPr>
            </w:pPr>
          </w:p>
        </w:tc>
        <w:tc>
          <w:tcPr>
            <w:tcW w:w="2925" w:type="dxa"/>
          </w:tcPr>
          <w:p w14:paraId="5D43175B">
            <w:pPr>
              <w:shd w:val="clear"/>
              <w:rPr>
                <w:rFonts w:ascii="宋体" w:hAnsi="宋体" w:cs="宋体"/>
                <w:color w:val="auto"/>
                <w:highlight w:val="none"/>
              </w:rPr>
            </w:pPr>
          </w:p>
        </w:tc>
      </w:tr>
    </w:tbl>
    <w:p w14:paraId="534AA9B5">
      <w:pPr>
        <w:shd w:val="clear"/>
        <w:spacing w:before="120" w:beforeLines="50" w:line="360" w:lineRule="auto"/>
        <w:ind w:firstLine="442" w:firstLineChars="200"/>
        <w:rPr>
          <w:rFonts w:ascii="宋体" w:hAnsi="宋体" w:cs="宋体"/>
          <w:b/>
          <w:color w:val="auto"/>
          <w:sz w:val="22"/>
          <w:szCs w:val="22"/>
          <w:highlight w:val="none"/>
          <w:lang w:val="zh-CN"/>
        </w:rPr>
      </w:pPr>
    </w:p>
    <w:p w14:paraId="1A68E3C9">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r>
        <w:rPr>
          <w:rFonts w:hint="eastAsia" w:ascii="宋体" w:hAnsi="宋体" w:cs="宋体"/>
          <w:color w:val="auto"/>
          <w:highlight w:val="none"/>
        </w:rPr>
        <w:t>供应商完全满足采购文件全部要求的应在“响应或偏离说明”中填写“完全响应”。响应文件中响应内容对采购文件要求如有任何偏离（包括正偏离及负偏离）均应汇总并逐条填写在此表“响应或偏离说明”中，未填写部分视作完全响应采购文件要求。采购需求中如要求提供相关证明资料的，供应商需根据要求提供相关证明材料，未提供或提供不满足的视为负偏离，磋商</w:t>
      </w:r>
      <w:r>
        <w:rPr>
          <w:rFonts w:hint="eastAsia" w:ascii="宋体" w:hAnsi="宋体" w:cs="宋体"/>
          <w:color w:val="auto"/>
          <w:szCs w:val="21"/>
          <w:highlight w:val="none"/>
        </w:rPr>
        <w:t>响应文件作无效响应处理。</w:t>
      </w:r>
    </w:p>
    <w:p w14:paraId="4FF89089">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p>
    <w:p w14:paraId="71B44041">
      <w:pPr>
        <w:shd w:val="clear"/>
        <w:autoSpaceDE w:val="0"/>
        <w:autoSpaceDN w:val="0"/>
        <w:spacing w:line="360" w:lineRule="auto"/>
        <w:ind w:firstLine="4142" w:firstLineChars="172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06E0A268">
      <w:pPr>
        <w:shd w:val="clear"/>
        <w:autoSpaceDE w:val="0"/>
        <w:autoSpaceDN w:val="0"/>
        <w:spacing w:line="360" w:lineRule="auto"/>
        <w:ind w:firstLine="6782" w:firstLineChars="282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4988D6EC">
      <w:pPr>
        <w:shd w:val="clear"/>
        <w:autoSpaceDE w:val="0"/>
        <w:autoSpaceDN w:val="0"/>
        <w:spacing w:line="360" w:lineRule="auto"/>
        <w:ind w:firstLine="7980" w:firstLineChars="3325"/>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1329B789">
      <w:pPr>
        <w:shd w:val="clear"/>
        <w:rPr>
          <w:rFonts w:ascii="宋体" w:hAnsi="宋体" w:cs="宋体"/>
          <w:b/>
          <w:color w:val="auto"/>
          <w:szCs w:val="21"/>
          <w:highlight w:val="none"/>
        </w:rPr>
      </w:pPr>
      <w:r>
        <w:rPr>
          <w:rFonts w:hint="eastAsia" w:ascii="宋体" w:hAnsi="宋体" w:cs="宋体"/>
          <w:b/>
          <w:color w:val="auto"/>
          <w:szCs w:val="21"/>
          <w:highlight w:val="none"/>
        </w:rPr>
        <w:br w:type="page"/>
      </w:r>
    </w:p>
    <w:p w14:paraId="7C6C3010">
      <w:pPr>
        <w:shd w:val="clear"/>
        <w:spacing w:before="120" w:beforeLines="50" w:line="360" w:lineRule="auto"/>
        <w:ind w:firstLine="442" w:firstLineChars="200"/>
        <w:rPr>
          <w:rFonts w:ascii="宋体" w:hAnsi="宋体" w:cs="宋体"/>
          <w:b/>
          <w:color w:val="auto"/>
          <w:sz w:val="22"/>
          <w:szCs w:val="22"/>
          <w:highlight w:val="none"/>
        </w:rPr>
      </w:pPr>
    </w:p>
    <w:p w14:paraId="5D4F4B60">
      <w:pPr>
        <w:shd w:val="clear"/>
        <w:rPr>
          <w:rFonts w:asciiTheme="minorEastAsia" w:hAnsiTheme="minorEastAsia" w:eastAsiaTheme="minorEastAsia" w:cstheme="minorEastAsia"/>
          <w:color w:val="auto"/>
          <w:kern w:val="0"/>
          <w:sz w:val="24"/>
          <w:highlight w:val="none"/>
          <w:lang w:val="zh-CN"/>
        </w:rPr>
      </w:pPr>
    </w:p>
    <w:p w14:paraId="7A92E200">
      <w:pPr>
        <w:shd w:val="clear"/>
        <w:rPr>
          <w:rFonts w:asciiTheme="minorEastAsia" w:hAnsiTheme="minorEastAsia" w:eastAsiaTheme="minorEastAsia" w:cstheme="minorEastAsia"/>
          <w:b/>
          <w:color w:val="auto"/>
          <w:kern w:val="0"/>
          <w:sz w:val="32"/>
          <w:szCs w:val="32"/>
          <w:highlight w:val="none"/>
          <w:lang w:val="zh-CN"/>
        </w:rPr>
      </w:pPr>
    </w:p>
    <w:p w14:paraId="30ECC83A">
      <w:pPr>
        <w:numPr>
          <w:ilvl w:val="0"/>
          <w:numId w:val="4"/>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项目实施人员一览表</w:t>
      </w:r>
    </w:p>
    <w:p w14:paraId="5A1E1DC8">
      <w:pPr>
        <w:pStyle w:val="14"/>
        <w:shd w:val="clear"/>
        <w:ind w:left="632" w:hanging="632" w:hangingChars="300"/>
        <w:rPr>
          <w:rFonts w:hAnsi="宋体"/>
          <w:color w:val="auto"/>
          <w:highlight w:val="none"/>
        </w:rPr>
      </w:pPr>
      <w:r>
        <w:rPr>
          <w:rFonts w:hint="eastAsia" w:hAnsi="宋体"/>
          <w:color w:val="auto"/>
          <w:highlight w:val="none"/>
        </w:rPr>
        <w:t>项目名称：                                            项目编号：</w:t>
      </w:r>
    </w:p>
    <w:p w14:paraId="35B662E7">
      <w:pPr>
        <w:shd w:val="clear"/>
        <w:rPr>
          <w:rFonts w:ascii="仿宋_GB2312" w:hAnsi="仿宋" w:eastAsia="仿宋_GB2312" w:cs="仿宋"/>
          <w:b/>
          <w:color w:val="auto"/>
          <w:sz w:val="24"/>
          <w:highlight w:val="none"/>
        </w:rPr>
      </w:pPr>
    </w:p>
    <w:p w14:paraId="282B4BF6">
      <w:pPr>
        <w:shd w:val="clear"/>
        <w:rPr>
          <w:rFonts w:hAnsi="宋体"/>
          <w:b/>
          <w:color w:val="auto"/>
          <w:szCs w:val="21"/>
          <w:highlight w:val="none"/>
        </w:rPr>
      </w:pPr>
      <w:r>
        <w:rPr>
          <w:rFonts w:hint="eastAsia" w:ascii="仿宋_GB2312" w:hAnsi="仿宋" w:eastAsia="仿宋_GB2312" w:cs="仿宋"/>
          <w:b/>
          <w:color w:val="auto"/>
          <w:sz w:val="24"/>
          <w:highlight w:val="none"/>
        </w:rPr>
        <w:t>附表A:本项目的项目负责人情况表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0E8A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646F6B08">
            <w:pPr>
              <w:pStyle w:val="14"/>
              <w:shd w:val="clear"/>
              <w:ind w:left="632" w:hanging="632" w:hangingChars="300"/>
              <w:jc w:val="center"/>
              <w:rPr>
                <w:rFonts w:hAnsi="宋体"/>
                <w:color w:val="auto"/>
                <w:highlight w:val="none"/>
              </w:rPr>
            </w:pPr>
            <w:r>
              <w:rPr>
                <w:rFonts w:hint="eastAsia" w:hAnsi="宋体"/>
                <w:color w:val="auto"/>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401C19CA">
            <w:pPr>
              <w:pStyle w:val="14"/>
              <w:shd w:val="clear"/>
              <w:ind w:left="632" w:hanging="632" w:hangingChars="300"/>
              <w:jc w:val="center"/>
              <w:rPr>
                <w:rFonts w:hAnsi="宋体"/>
                <w:color w:val="auto"/>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720C6412">
            <w:pPr>
              <w:pStyle w:val="14"/>
              <w:shd w:val="clear"/>
              <w:ind w:left="632" w:hanging="632" w:hangingChars="300"/>
              <w:jc w:val="center"/>
              <w:rPr>
                <w:rFonts w:hAnsi="宋体"/>
                <w:color w:val="auto"/>
                <w:highlight w:val="none"/>
              </w:rPr>
            </w:pPr>
            <w:r>
              <w:rPr>
                <w:rFonts w:hint="eastAsia" w:hAnsi="宋体"/>
                <w:color w:val="auto"/>
                <w:highlight w:val="none"/>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5157E07A">
            <w:pPr>
              <w:pStyle w:val="14"/>
              <w:shd w:val="clear"/>
              <w:ind w:left="632" w:hanging="632" w:hangingChars="300"/>
              <w:jc w:val="center"/>
              <w:rPr>
                <w:rFonts w:hAnsi="宋体"/>
                <w:color w:val="auto"/>
                <w:highlight w:val="none"/>
              </w:rPr>
            </w:pPr>
          </w:p>
        </w:tc>
        <w:tc>
          <w:tcPr>
            <w:tcW w:w="1576" w:type="dxa"/>
            <w:tcBorders>
              <w:top w:val="single" w:color="auto" w:sz="12" w:space="0"/>
              <w:left w:val="single" w:color="auto" w:sz="6" w:space="0"/>
              <w:bottom w:val="single" w:color="auto" w:sz="6" w:space="0"/>
              <w:right w:val="single" w:color="auto" w:sz="6" w:space="0"/>
            </w:tcBorders>
            <w:vAlign w:val="center"/>
          </w:tcPr>
          <w:p w14:paraId="0859187D">
            <w:pPr>
              <w:pStyle w:val="14"/>
              <w:shd w:val="clear"/>
              <w:ind w:left="632" w:hanging="632" w:hangingChars="300"/>
              <w:jc w:val="center"/>
              <w:rPr>
                <w:rFonts w:hAnsi="宋体"/>
                <w:color w:val="auto"/>
                <w:highlight w:val="none"/>
              </w:rPr>
            </w:pPr>
            <w:r>
              <w:rPr>
                <w:rFonts w:hint="eastAsia" w:hAnsi="宋体"/>
                <w:color w:val="auto"/>
                <w:highlight w:val="none"/>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4551F770">
            <w:pPr>
              <w:pStyle w:val="14"/>
              <w:shd w:val="clear"/>
              <w:ind w:left="632" w:hanging="632" w:hangingChars="300"/>
              <w:jc w:val="center"/>
              <w:rPr>
                <w:rFonts w:hAnsi="宋体"/>
                <w:color w:val="auto"/>
                <w:highlight w:val="none"/>
              </w:rPr>
            </w:pPr>
          </w:p>
        </w:tc>
      </w:tr>
      <w:tr w14:paraId="0AF3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26AAC159">
            <w:pPr>
              <w:pStyle w:val="14"/>
              <w:shd w:val="clear"/>
              <w:ind w:left="632" w:hanging="632" w:hangingChars="300"/>
              <w:jc w:val="center"/>
              <w:rPr>
                <w:rFonts w:hAnsi="宋体"/>
                <w:color w:val="auto"/>
                <w:highlight w:val="none"/>
              </w:rPr>
            </w:pPr>
            <w:r>
              <w:rPr>
                <w:rFonts w:hint="eastAsia" w:hAnsi="宋体"/>
                <w:color w:val="auto"/>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562A6067">
            <w:pPr>
              <w:pStyle w:val="14"/>
              <w:shd w:val="clear"/>
              <w:ind w:left="632" w:hanging="632" w:hangingChars="300"/>
              <w:jc w:val="center"/>
              <w:rPr>
                <w:rFonts w:hAnsi="宋体"/>
                <w:color w:val="auto"/>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39D4FFDB">
            <w:pPr>
              <w:pStyle w:val="14"/>
              <w:shd w:val="clear"/>
              <w:ind w:left="632" w:hanging="632" w:hangingChars="300"/>
              <w:jc w:val="center"/>
              <w:rPr>
                <w:rFonts w:hAnsi="宋体"/>
                <w:color w:val="auto"/>
                <w:highlight w:val="none"/>
              </w:rPr>
            </w:pPr>
            <w:r>
              <w:rPr>
                <w:rFonts w:hint="eastAsia" w:hAnsi="宋体"/>
                <w:color w:val="auto"/>
                <w:highlight w:val="none"/>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05B87154">
            <w:pPr>
              <w:pStyle w:val="14"/>
              <w:shd w:val="clear"/>
              <w:ind w:left="632" w:hanging="632" w:hangingChars="300"/>
              <w:jc w:val="center"/>
              <w:rPr>
                <w:rFonts w:hAnsi="宋体"/>
                <w:color w:val="auto"/>
                <w:highlight w:val="none"/>
              </w:rPr>
            </w:pPr>
          </w:p>
        </w:tc>
        <w:tc>
          <w:tcPr>
            <w:tcW w:w="1576" w:type="dxa"/>
            <w:tcBorders>
              <w:top w:val="single" w:color="auto" w:sz="6" w:space="0"/>
              <w:left w:val="single" w:color="auto" w:sz="6" w:space="0"/>
              <w:bottom w:val="single" w:color="auto" w:sz="6" w:space="0"/>
              <w:right w:val="single" w:color="auto" w:sz="6" w:space="0"/>
            </w:tcBorders>
            <w:vAlign w:val="center"/>
          </w:tcPr>
          <w:p w14:paraId="32848D0A">
            <w:pPr>
              <w:pStyle w:val="14"/>
              <w:shd w:val="clear"/>
              <w:ind w:left="632" w:hanging="632" w:hangingChars="300"/>
              <w:jc w:val="center"/>
              <w:rPr>
                <w:rFonts w:hAnsi="宋体"/>
                <w:color w:val="auto"/>
                <w:highlight w:val="none"/>
              </w:rPr>
            </w:pPr>
            <w:r>
              <w:rPr>
                <w:rFonts w:hint="eastAsia" w:hAnsi="宋体"/>
                <w:color w:val="auto"/>
                <w:highlight w:val="none"/>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60429957">
            <w:pPr>
              <w:pStyle w:val="14"/>
              <w:shd w:val="clear"/>
              <w:ind w:left="632" w:hanging="632" w:hangingChars="300"/>
              <w:jc w:val="center"/>
              <w:rPr>
                <w:rFonts w:hAnsi="宋体"/>
                <w:color w:val="auto"/>
                <w:highlight w:val="none"/>
              </w:rPr>
            </w:pPr>
          </w:p>
        </w:tc>
      </w:tr>
      <w:tr w14:paraId="0B4C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089DDE25">
            <w:pPr>
              <w:pStyle w:val="14"/>
              <w:shd w:val="clear"/>
              <w:ind w:left="632" w:hanging="632" w:hangingChars="300"/>
              <w:jc w:val="center"/>
              <w:rPr>
                <w:rFonts w:hAnsi="宋体"/>
                <w:color w:val="auto"/>
                <w:highlight w:val="none"/>
              </w:rPr>
            </w:pPr>
            <w:r>
              <w:rPr>
                <w:rFonts w:hint="eastAsia" w:hAnsi="宋体"/>
                <w:color w:val="auto"/>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6FACF125">
            <w:pPr>
              <w:pStyle w:val="14"/>
              <w:shd w:val="clear"/>
              <w:ind w:left="632" w:hanging="632" w:hangingChars="300"/>
              <w:jc w:val="center"/>
              <w:rPr>
                <w:rFonts w:hAnsi="宋体"/>
                <w:color w:val="auto"/>
                <w:highlight w:val="none"/>
              </w:rPr>
            </w:pPr>
          </w:p>
        </w:tc>
        <w:tc>
          <w:tcPr>
            <w:tcW w:w="1761" w:type="dxa"/>
            <w:tcBorders>
              <w:top w:val="single" w:color="auto" w:sz="6" w:space="0"/>
              <w:left w:val="single" w:color="auto" w:sz="6" w:space="0"/>
              <w:bottom w:val="single" w:color="auto" w:sz="6" w:space="0"/>
              <w:right w:val="single" w:color="auto" w:sz="6" w:space="0"/>
            </w:tcBorders>
            <w:vAlign w:val="center"/>
          </w:tcPr>
          <w:p w14:paraId="30784300">
            <w:pPr>
              <w:pStyle w:val="14"/>
              <w:shd w:val="clear"/>
              <w:ind w:left="632" w:hanging="632" w:hangingChars="300"/>
              <w:jc w:val="center"/>
              <w:rPr>
                <w:rFonts w:hAnsi="宋体"/>
                <w:color w:val="auto"/>
                <w:highlight w:val="none"/>
              </w:rPr>
            </w:pPr>
            <w:r>
              <w:rPr>
                <w:rFonts w:hint="eastAsia" w:hAnsi="宋体"/>
                <w:color w:val="auto"/>
                <w:highlight w:val="none"/>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3C70EF74">
            <w:pPr>
              <w:pStyle w:val="14"/>
              <w:shd w:val="clear"/>
              <w:ind w:left="632" w:hanging="632" w:hangingChars="300"/>
              <w:jc w:val="center"/>
              <w:rPr>
                <w:rFonts w:hAnsi="宋体"/>
                <w:color w:val="auto"/>
                <w:highlight w:val="none"/>
              </w:rPr>
            </w:pPr>
          </w:p>
        </w:tc>
      </w:tr>
      <w:tr w14:paraId="4667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6C237377">
            <w:pPr>
              <w:pStyle w:val="14"/>
              <w:shd w:val="clear"/>
              <w:spacing w:before="120" w:after="120"/>
              <w:ind w:left="632" w:hanging="632" w:hangingChars="300"/>
              <w:rPr>
                <w:rFonts w:hAnsi="宋体"/>
                <w:color w:val="auto"/>
                <w:highlight w:val="none"/>
              </w:rPr>
            </w:pPr>
            <w:r>
              <w:rPr>
                <w:rFonts w:hint="eastAsia" w:ascii="仿宋_GB2312" w:hAnsi="仿宋" w:eastAsia="仿宋_GB2312" w:cs="仿宋"/>
                <w:color w:val="auto"/>
                <w:highlight w:val="none"/>
              </w:rPr>
              <w:t>响应截止时间前三年业绩及承担的主要工作情况，曾担任项目负责人的项目应列明细</w:t>
            </w:r>
          </w:p>
        </w:tc>
      </w:tr>
    </w:tbl>
    <w:p w14:paraId="0C616B7A">
      <w:pPr>
        <w:pStyle w:val="14"/>
        <w:shd w:val="clear"/>
        <w:spacing w:line="320" w:lineRule="exact"/>
        <w:ind w:left="632" w:hanging="632" w:hangingChars="300"/>
        <w:rPr>
          <w:rFonts w:hAnsi="宋体"/>
          <w:color w:val="auto"/>
          <w:highlight w:val="none"/>
        </w:rPr>
      </w:pPr>
      <w:r>
        <w:rPr>
          <w:rFonts w:hint="eastAsia" w:hAnsi="宋体"/>
          <w:color w:val="auto"/>
          <w:highlight w:val="none"/>
        </w:rPr>
        <w:t>注:1、与评分有关的证明材料附后。</w:t>
      </w:r>
    </w:p>
    <w:p w14:paraId="2EE317FA">
      <w:pPr>
        <w:pStyle w:val="14"/>
        <w:shd w:val="clear"/>
        <w:spacing w:line="320" w:lineRule="exact"/>
        <w:ind w:left="632" w:hanging="632" w:hangingChars="300"/>
        <w:rPr>
          <w:rFonts w:hAnsi="宋体"/>
          <w:color w:val="auto"/>
          <w:highlight w:val="none"/>
        </w:rPr>
      </w:pPr>
      <w:r>
        <w:rPr>
          <w:rFonts w:hint="eastAsia" w:hAnsi="宋体"/>
          <w:color w:val="auto"/>
          <w:highlight w:val="none"/>
        </w:rPr>
        <w:t>2、不得随意更换项目负责人，如不经采购人同意擅自更换，则采购人有权解除合同</w:t>
      </w:r>
      <w:r>
        <w:rPr>
          <w:rFonts w:hint="eastAsia" w:ascii="仿宋_GB2312" w:hAnsi="仿宋" w:eastAsia="仿宋_GB2312" w:cs="仿宋"/>
          <w:color w:val="auto"/>
          <w:highlight w:val="none"/>
        </w:rPr>
        <w:t xml:space="preserve">。 </w:t>
      </w:r>
      <w:r>
        <w:rPr>
          <w:rFonts w:hint="eastAsia" w:hAnsi="宋体" w:cs="新宋体"/>
          <w:bCs/>
          <w:color w:val="auto"/>
          <w:highlight w:val="none"/>
        </w:rPr>
        <w:t xml:space="preserve"> </w:t>
      </w:r>
      <w:r>
        <w:rPr>
          <w:rFonts w:hint="eastAsia" w:hAnsi="宋体"/>
          <w:color w:val="auto"/>
          <w:highlight w:val="none"/>
        </w:rPr>
        <w:t xml:space="preserve">      </w:t>
      </w:r>
      <w:bookmarkStart w:id="644" w:name="OLE_LINK9"/>
    </w:p>
    <w:p w14:paraId="2C710AE6">
      <w:pPr>
        <w:pStyle w:val="14"/>
        <w:shd w:val="clear"/>
        <w:spacing w:line="340" w:lineRule="exact"/>
        <w:rPr>
          <w:rFonts w:ascii="仿宋_GB2312" w:hAnsi="仿宋" w:eastAsia="仿宋_GB2312" w:cs="仿宋"/>
          <w:color w:val="auto"/>
          <w:highlight w:val="none"/>
        </w:rPr>
      </w:pPr>
    </w:p>
    <w:p w14:paraId="3D5A6336">
      <w:pPr>
        <w:pStyle w:val="14"/>
        <w:shd w:val="clear"/>
        <w:spacing w:line="340" w:lineRule="exact"/>
        <w:rPr>
          <w:rFonts w:ascii="仿宋_GB2312" w:hAnsi="仿宋" w:eastAsia="仿宋_GB2312" w:cs="仿宋"/>
          <w:color w:val="auto"/>
          <w:highlight w:val="none"/>
        </w:rPr>
      </w:pPr>
    </w:p>
    <w:p w14:paraId="4F7CDC90">
      <w:pPr>
        <w:pStyle w:val="14"/>
        <w:shd w:val="clear"/>
        <w:spacing w:line="340" w:lineRule="exact"/>
        <w:rPr>
          <w:rFonts w:hAnsi="宋体"/>
          <w:color w:val="auto"/>
          <w:highlight w:val="none"/>
        </w:rPr>
      </w:pPr>
      <w:r>
        <w:rPr>
          <w:rFonts w:hint="eastAsia" w:ascii="仿宋_GB2312" w:hAnsi="仿宋" w:eastAsia="仿宋_GB2312" w:cs="仿宋"/>
          <w:color w:val="auto"/>
          <w:highlight w:val="none"/>
        </w:rPr>
        <w:t>附表B:拟入的项目实施人员名单</w:t>
      </w:r>
      <w:bookmarkEnd w:id="644"/>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14:paraId="5697A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0ACD8D79">
            <w:pPr>
              <w:shd w:val="clea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927" w:type="dxa"/>
            <w:vAlign w:val="center"/>
          </w:tcPr>
          <w:p w14:paraId="185B6549">
            <w:pPr>
              <w:shd w:val="clea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927" w:type="dxa"/>
            <w:vAlign w:val="center"/>
          </w:tcPr>
          <w:p w14:paraId="1770EB49">
            <w:pPr>
              <w:shd w:val="clea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742" w:type="dxa"/>
            <w:vAlign w:val="center"/>
          </w:tcPr>
          <w:p w14:paraId="1B53DE7C">
            <w:pPr>
              <w:shd w:val="clea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742" w:type="dxa"/>
            <w:vAlign w:val="center"/>
          </w:tcPr>
          <w:p w14:paraId="387E314A">
            <w:pPr>
              <w:shd w:val="clea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297" w:type="dxa"/>
            <w:vAlign w:val="center"/>
          </w:tcPr>
          <w:p w14:paraId="4DC8C098">
            <w:pPr>
              <w:shd w:val="clear"/>
              <w:spacing w:line="280" w:lineRule="exact"/>
              <w:jc w:val="center"/>
              <w:rPr>
                <w:rFonts w:ascii="宋体" w:hAnsi="宋体"/>
                <w:color w:val="auto"/>
                <w:szCs w:val="21"/>
                <w:highlight w:val="none"/>
              </w:rPr>
            </w:pPr>
            <w:r>
              <w:rPr>
                <w:rFonts w:hint="eastAsia" w:ascii="宋体" w:hAnsi="宋体"/>
                <w:color w:val="auto"/>
                <w:szCs w:val="21"/>
                <w:highlight w:val="none"/>
              </w:rPr>
              <w:t>职称/职务</w:t>
            </w:r>
          </w:p>
        </w:tc>
        <w:tc>
          <w:tcPr>
            <w:tcW w:w="1284" w:type="dxa"/>
            <w:vAlign w:val="center"/>
          </w:tcPr>
          <w:p w14:paraId="43EDEDF0">
            <w:pPr>
              <w:shd w:val="clear"/>
              <w:spacing w:line="280" w:lineRule="exact"/>
              <w:jc w:val="center"/>
              <w:rPr>
                <w:rFonts w:ascii="宋体" w:hAnsi="宋体"/>
                <w:color w:val="auto"/>
                <w:szCs w:val="21"/>
                <w:highlight w:val="none"/>
              </w:rPr>
            </w:pPr>
            <w:r>
              <w:rPr>
                <w:rFonts w:hint="eastAsia" w:ascii="宋体" w:hAnsi="宋体"/>
                <w:color w:val="auto"/>
                <w:szCs w:val="21"/>
                <w:highlight w:val="none"/>
              </w:rPr>
              <w:t>本项目中的岗位</w:t>
            </w:r>
          </w:p>
        </w:tc>
        <w:tc>
          <w:tcPr>
            <w:tcW w:w="1766" w:type="dxa"/>
            <w:vAlign w:val="center"/>
          </w:tcPr>
          <w:p w14:paraId="1712CBF9">
            <w:pPr>
              <w:shd w:val="clear"/>
              <w:spacing w:line="360" w:lineRule="auto"/>
              <w:jc w:val="center"/>
              <w:rPr>
                <w:rFonts w:ascii="宋体" w:hAnsi="宋体"/>
                <w:color w:val="auto"/>
                <w:szCs w:val="21"/>
                <w:highlight w:val="none"/>
              </w:rPr>
            </w:pPr>
            <w:r>
              <w:rPr>
                <w:rFonts w:hint="eastAsia" w:ascii="宋体" w:hAnsi="宋体"/>
                <w:color w:val="auto"/>
                <w:szCs w:val="21"/>
                <w:highlight w:val="none"/>
              </w:rPr>
              <w:t>从事专业年限</w:t>
            </w:r>
          </w:p>
        </w:tc>
        <w:tc>
          <w:tcPr>
            <w:tcW w:w="1112" w:type="dxa"/>
            <w:vAlign w:val="center"/>
          </w:tcPr>
          <w:p w14:paraId="3A49A125">
            <w:pPr>
              <w:shd w:val="clea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6C461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17693974">
            <w:pPr>
              <w:shd w:val="clear"/>
              <w:spacing w:line="360" w:lineRule="auto"/>
              <w:jc w:val="center"/>
              <w:rPr>
                <w:rFonts w:ascii="宋体" w:hAnsi="宋体"/>
                <w:color w:val="auto"/>
                <w:szCs w:val="21"/>
                <w:highlight w:val="none"/>
              </w:rPr>
            </w:pPr>
          </w:p>
        </w:tc>
        <w:tc>
          <w:tcPr>
            <w:tcW w:w="927" w:type="dxa"/>
            <w:vAlign w:val="center"/>
          </w:tcPr>
          <w:p w14:paraId="3124A332">
            <w:pPr>
              <w:shd w:val="clear"/>
              <w:spacing w:line="360" w:lineRule="auto"/>
              <w:jc w:val="center"/>
              <w:rPr>
                <w:rFonts w:ascii="宋体" w:hAnsi="宋体"/>
                <w:color w:val="auto"/>
                <w:szCs w:val="21"/>
                <w:highlight w:val="none"/>
              </w:rPr>
            </w:pPr>
          </w:p>
        </w:tc>
        <w:tc>
          <w:tcPr>
            <w:tcW w:w="927" w:type="dxa"/>
            <w:vAlign w:val="center"/>
          </w:tcPr>
          <w:p w14:paraId="208AEB41">
            <w:pPr>
              <w:shd w:val="clear"/>
              <w:spacing w:line="360" w:lineRule="auto"/>
              <w:jc w:val="center"/>
              <w:rPr>
                <w:rFonts w:ascii="宋体" w:hAnsi="宋体"/>
                <w:color w:val="auto"/>
                <w:szCs w:val="21"/>
                <w:highlight w:val="none"/>
              </w:rPr>
            </w:pPr>
          </w:p>
        </w:tc>
        <w:tc>
          <w:tcPr>
            <w:tcW w:w="742" w:type="dxa"/>
            <w:vAlign w:val="center"/>
          </w:tcPr>
          <w:p w14:paraId="066D6D24">
            <w:pPr>
              <w:shd w:val="clear"/>
              <w:spacing w:line="360" w:lineRule="auto"/>
              <w:jc w:val="center"/>
              <w:rPr>
                <w:rFonts w:ascii="宋体" w:hAnsi="宋体"/>
                <w:color w:val="auto"/>
                <w:szCs w:val="21"/>
                <w:highlight w:val="none"/>
              </w:rPr>
            </w:pPr>
          </w:p>
        </w:tc>
        <w:tc>
          <w:tcPr>
            <w:tcW w:w="742" w:type="dxa"/>
            <w:vAlign w:val="center"/>
          </w:tcPr>
          <w:p w14:paraId="06455918">
            <w:pPr>
              <w:shd w:val="clear"/>
              <w:spacing w:line="360" w:lineRule="auto"/>
              <w:jc w:val="center"/>
              <w:rPr>
                <w:rFonts w:ascii="宋体" w:hAnsi="宋体"/>
                <w:color w:val="auto"/>
                <w:szCs w:val="21"/>
                <w:highlight w:val="none"/>
              </w:rPr>
            </w:pPr>
          </w:p>
        </w:tc>
        <w:tc>
          <w:tcPr>
            <w:tcW w:w="1297" w:type="dxa"/>
            <w:vAlign w:val="center"/>
          </w:tcPr>
          <w:p w14:paraId="23ECA554">
            <w:pPr>
              <w:shd w:val="clear"/>
              <w:spacing w:line="360" w:lineRule="auto"/>
              <w:jc w:val="center"/>
              <w:rPr>
                <w:rFonts w:ascii="宋体" w:hAnsi="宋体"/>
                <w:color w:val="auto"/>
                <w:szCs w:val="21"/>
                <w:highlight w:val="none"/>
              </w:rPr>
            </w:pPr>
          </w:p>
        </w:tc>
        <w:tc>
          <w:tcPr>
            <w:tcW w:w="1284" w:type="dxa"/>
            <w:vAlign w:val="center"/>
          </w:tcPr>
          <w:p w14:paraId="7FB2A174">
            <w:pPr>
              <w:shd w:val="clear"/>
              <w:spacing w:line="360" w:lineRule="auto"/>
              <w:jc w:val="center"/>
              <w:rPr>
                <w:rFonts w:ascii="宋体" w:hAnsi="宋体"/>
                <w:color w:val="auto"/>
                <w:szCs w:val="21"/>
                <w:highlight w:val="none"/>
              </w:rPr>
            </w:pPr>
          </w:p>
        </w:tc>
        <w:tc>
          <w:tcPr>
            <w:tcW w:w="1766" w:type="dxa"/>
          </w:tcPr>
          <w:p w14:paraId="5A69E261">
            <w:pPr>
              <w:shd w:val="clear"/>
              <w:spacing w:line="360" w:lineRule="auto"/>
              <w:jc w:val="center"/>
              <w:rPr>
                <w:rFonts w:ascii="宋体" w:hAnsi="宋体"/>
                <w:color w:val="auto"/>
                <w:szCs w:val="21"/>
                <w:highlight w:val="none"/>
              </w:rPr>
            </w:pPr>
          </w:p>
        </w:tc>
        <w:tc>
          <w:tcPr>
            <w:tcW w:w="1112" w:type="dxa"/>
            <w:vAlign w:val="center"/>
          </w:tcPr>
          <w:p w14:paraId="4CDEED1D">
            <w:pPr>
              <w:shd w:val="clear"/>
              <w:spacing w:line="360" w:lineRule="auto"/>
              <w:jc w:val="center"/>
              <w:rPr>
                <w:rFonts w:ascii="宋体" w:hAnsi="宋体"/>
                <w:color w:val="auto"/>
                <w:szCs w:val="21"/>
                <w:highlight w:val="none"/>
              </w:rPr>
            </w:pPr>
          </w:p>
        </w:tc>
      </w:tr>
      <w:tr w14:paraId="15D1D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1D998328">
            <w:pPr>
              <w:shd w:val="clear"/>
              <w:spacing w:line="360" w:lineRule="auto"/>
              <w:jc w:val="center"/>
              <w:rPr>
                <w:rFonts w:ascii="宋体" w:hAnsi="宋体"/>
                <w:color w:val="auto"/>
                <w:szCs w:val="21"/>
                <w:highlight w:val="none"/>
              </w:rPr>
            </w:pPr>
          </w:p>
        </w:tc>
        <w:tc>
          <w:tcPr>
            <w:tcW w:w="927" w:type="dxa"/>
            <w:vAlign w:val="center"/>
          </w:tcPr>
          <w:p w14:paraId="51A13A0F">
            <w:pPr>
              <w:shd w:val="clear"/>
              <w:spacing w:line="360" w:lineRule="auto"/>
              <w:jc w:val="center"/>
              <w:rPr>
                <w:rFonts w:ascii="宋体" w:hAnsi="宋体"/>
                <w:color w:val="auto"/>
                <w:szCs w:val="21"/>
                <w:highlight w:val="none"/>
              </w:rPr>
            </w:pPr>
          </w:p>
        </w:tc>
        <w:tc>
          <w:tcPr>
            <w:tcW w:w="927" w:type="dxa"/>
            <w:vAlign w:val="center"/>
          </w:tcPr>
          <w:p w14:paraId="61FC78A3">
            <w:pPr>
              <w:shd w:val="clear"/>
              <w:spacing w:line="360" w:lineRule="auto"/>
              <w:jc w:val="center"/>
              <w:rPr>
                <w:rFonts w:ascii="宋体" w:hAnsi="宋体"/>
                <w:color w:val="auto"/>
                <w:szCs w:val="21"/>
                <w:highlight w:val="none"/>
              </w:rPr>
            </w:pPr>
          </w:p>
        </w:tc>
        <w:tc>
          <w:tcPr>
            <w:tcW w:w="742" w:type="dxa"/>
            <w:vAlign w:val="center"/>
          </w:tcPr>
          <w:p w14:paraId="298453BE">
            <w:pPr>
              <w:shd w:val="clear"/>
              <w:spacing w:line="360" w:lineRule="auto"/>
              <w:jc w:val="center"/>
              <w:rPr>
                <w:rFonts w:ascii="宋体" w:hAnsi="宋体"/>
                <w:color w:val="auto"/>
                <w:szCs w:val="21"/>
                <w:highlight w:val="none"/>
              </w:rPr>
            </w:pPr>
          </w:p>
        </w:tc>
        <w:tc>
          <w:tcPr>
            <w:tcW w:w="742" w:type="dxa"/>
            <w:vAlign w:val="center"/>
          </w:tcPr>
          <w:p w14:paraId="551A8269">
            <w:pPr>
              <w:shd w:val="clear"/>
              <w:spacing w:line="360" w:lineRule="auto"/>
              <w:jc w:val="center"/>
              <w:rPr>
                <w:rFonts w:ascii="宋体" w:hAnsi="宋体"/>
                <w:color w:val="auto"/>
                <w:szCs w:val="21"/>
                <w:highlight w:val="none"/>
              </w:rPr>
            </w:pPr>
          </w:p>
        </w:tc>
        <w:tc>
          <w:tcPr>
            <w:tcW w:w="1297" w:type="dxa"/>
            <w:vAlign w:val="center"/>
          </w:tcPr>
          <w:p w14:paraId="165BEF99">
            <w:pPr>
              <w:shd w:val="clear"/>
              <w:spacing w:line="360" w:lineRule="auto"/>
              <w:jc w:val="center"/>
              <w:rPr>
                <w:rFonts w:ascii="宋体" w:hAnsi="宋体"/>
                <w:color w:val="auto"/>
                <w:szCs w:val="21"/>
                <w:highlight w:val="none"/>
              </w:rPr>
            </w:pPr>
          </w:p>
        </w:tc>
        <w:tc>
          <w:tcPr>
            <w:tcW w:w="1284" w:type="dxa"/>
            <w:vAlign w:val="center"/>
          </w:tcPr>
          <w:p w14:paraId="15991F71">
            <w:pPr>
              <w:shd w:val="clear"/>
              <w:spacing w:line="360" w:lineRule="auto"/>
              <w:jc w:val="center"/>
              <w:rPr>
                <w:rFonts w:ascii="宋体" w:hAnsi="宋体"/>
                <w:color w:val="auto"/>
                <w:szCs w:val="21"/>
                <w:highlight w:val="none"/>
              </w:rPr>
            </w:pPr>
          </w:p>
        </w:tc>
        <w:tc>
          <w:tcPr>
            <w:tcW w:w="1766" w:type="dxa"/>
          </w:tcPr>
          <w:p w14:paraId="20CB8DBB">
            <w:pPr>
              <w:shd w:val="clear"/>
              <w:spacing w:line="360" w:lineRule="auto"/>
              <w:jc w:val="center"/>
              <w:rPr>
                <w:rFonts w:ascii="宋体" w:hAnsi="宋体"/>
                <w:color w:val="auto"/>
                <w:szCs w:val="21"/>
                <w:highlight w:val="none"/>
              </w:rPr>
            </w:pPr>
          </w:p>
        </w:tc>
        <w:tc>
          <w:tcPr>
            <w:tcW w:w="1112" w:type="dxa"/>
            <w:vAlign w:val="center"/>
          </w:tcPr>
          <w:p w14:paraId="7BBC1635">
            <w:pPr>
              <w:shd w:val="clear"/>
              <w:spacing w:line="360" w:lineRule="auto"/>
              <w:jc w:val="center"/>
              <w:rPr>
                <w:rFonts w:ascii="宋体" w:hAnsi="宋体"/>
                <w:color w:val="auto"/>
                <w:szCs w:val="21"/>
                <w:highlight w:val="none"/>
              </w:rPr>
            </w:pPr>
          </w:p>
        </w:tc>
      </w:tr>
      <w:tr w14:paraId="015F5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6CC2A5B9">
            <w:pPr>
              <w:shd w:val="clear"/>
              <w:spacing w:line="360" w:lineRule="auto"/>
              <w:jc w:val="center"/>
              <w:rPr>
                <w:rFonts w:ascii="宋体" w:hAnsi="宋体"/>
                <w:color w:val="auto"/>
                <w:szCs w:val="21"/>
                <w:highlight w:val="none"/>
              </w:rPr>
            </w:pPr>
          </w:p>
        </w:tc>
        <w:tc>
          <w:tcPr>
            <w:tcW w:w="927" w:type="dxa"/>
            <w:vAlign w:val="center"/>
          </w:tcPr>
          <w:p w14:paraId="4099B1B3">
            <w:pPr>
              <w:shd w:val="clear"/>
              <w:spacing w:line="360" w:lineRule="auto"/>
              <w:jc w:val="center"/>
              <w:rPr>
                <w:rFonts w:ascii="宋体" w:hAnsi="宋体"/>
                <w:color w:val="auto"/>
                <w:szCs w:val="21"/>
                <w:highlight w:val="none"/>
              </w:rPr>
            </w:pPr>
          </w:p>
        </w:tc>
        <w:tc>
          <w:tcPr>
            <w:tcW w:w="927" w:type="dxa"/>
            <w:vAlign w:val="center"/>
          </w:tcPr>
          <w:p w14:paraId="3CAA6DB9">
            <w:pPr>
              <w:shd w:val="clear"/>
              <w:spacing w:line="360" w:lineRule="auto"/>
              <w:jc w:val="center"/>
              <w:rPr>
                <w:rFonts w:ascii="宋体" w:hAnsi="宋体"/>
                <w:color w:val="auto"/>
                <w:szCs w:val="21"/>
                <w:highlight w:val="none"/>
              </w:rPr>
            </w:pPr>
          </w:p>
        </w:tc>
        <w:tc>
          <w:tcPr>
            <w:tcW w:w="742" w:type="dxa"/>
            <w:vAlign w:val="center"/>
          </w:tcPr>
          <w:p w14:paraId="018EAECD">
            <w:pPr>
              <w:shd w:val="clear"/>
              <w:spacing w:line="360" w:lineRule="auto"/>
              <w:jc w:val="center"/>
              <w:rPr>
                <w:rFonts w:ascii="宋体" w:hAnsi="宋体"/>
                <w:color w:val="auto"/>
                <w:szCs w:val="21"/>
                <w:highlight w:val="none"/>
              </w:rPr>
            </w:pPr>
          </w:p>
        </w:tc>
        <w:tc>
          <w:tcPr>
            <w:tcW w:w="742" w:type="dxa"/>
            <w:vAlign w:val="center"/>
          </w:tcPr>
          <w:p w14:paraId="0CFDAF71">
            <w:pPr>
              <w:shd w:val="clear"/>
              <w:spacing w:line="360" w:lineRule="auto"/>
              <w:jc w:val="center"/>
              <w:rPr>
                <w:rFonts w:ascii="宋体" w:hAnsi="宋体"/>
                <w:color w:val="auto"/>
                <w:szCs w:val="21"/>
                <w:highlight w:val="none"/>
              </w:rPr>
            </w:pPr>
          </w:p>
        </w:tc>
        <w:tc>
          <w:tcPr>
            <w:tcW w:w="1297" w:type="dxa"/>
            <w:vAlign w:val="center"/>
          </w:tcPr>
          <w:p w14:paraId="63EB62ED">
            <w:pPr>
              <w:shd w:val="clear"/>
              <w:spacing w:line="360" w:lineRule="auto"/>
              <w:jc w:val="center"/>
              <w:rPr>
                <w:rFonts w:ascii="宋体" w:hAnsi="宋体"/>
                <w:color w:val="auto"/>
                <w:szCs w:val="21"/>
                <w:highlight w:val="none"/>
              </w:rPr>
            </w:pPr>
          </w:p>
        </w:tc>
        <w:tc>
          <w:tcPr>
            <w:tcW w:w="1284" w:type="dxa"/>
            <w:vAlign w:val="center"/>
          </w:tcPr>
          <w:p w14:paraId="22FC6BAD">
            <w:pPr>
              <w:shd w:val="clear"/>
              <w:spacing w:line="360" w:lineRule="auto"/>
              <w:jc w:val="center"/>
              <w:rPr>
                <w:rFonts w:ascii="宋体" w:hAnsi="宋体"/>
                <w:color w:val="auto"/>
                <w:szCs w:val="21"/>
                <w:highlight w:val="none"/>
              </w:rPr>
            </w:pPr>
          </w:p>
        </w:tc>
        <w:tc>
          <w:tcPr>
            <w:tcW w:w="1766" w:type="dxa"/>
          </w:tcPr>
          <w:p w14:paraId="19065583">
            <w:pPr>
              <w:shd w:val="clear"/>
              <w:spacing w:line="360" w:lineRule="auto"/>
              <w:jc w:val="center"/>
              <w:rPr>
                <w:rFonts w:ascii="宋体" w:hAnsi="宋体"/>
                <w:color w:val="auto"/>
                <w:szCs w:val="21"/>
                <w:highlight w:val="none"/>
              </w:rPr>
            </w:pPr>
          </w:p>
        </w:tc>
        <w:tc>
          <w:tcPr>
            <w:tcW w:w="1112" w:type="dxa"/>
            <w:vAlign w:val="center"/>
          </w:tcPr>
          <w:p w14:paraId="7CD89D90">
            <w:pPr>
              <w:shd w:val="clear"/>
              <w:spacing w:line="360" w:lineRule="auto"/>
              <w:jc w:val="center"/>
              <w:rPr>
                <w:rFonts w:ascii="宋体" w:hAnsi="宋体"/>
                <w:color w:val="auto"/>
                <w:szCs w:val="21"/>
                <w:highlight w:val="none"/>
              </w:rPr>
            </w:pPr>
          </w:p>
        </w:tc>
      </w:tr>
      <w:tr w14:paraId="29634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6444FCC7">
            <w:pPr>
              <w:shd w:val="clear"/>
              <w:spacing w:line="360" w:lineRule="auto"/>
              <w:jc w:val="center"/>
              <w:rPr>
                <w:rFonts w:ascii="宋体" w:hAnsi="宋体"/>
                <w:color w:val="auto"/>
                <w:szCs w:val="21"/>
                <w:highlight w:val="none"/>
              </w:rPr>
            </w:pPr>
          </w:p>
        </w:tc>
        <w:tc>
          <w:tcPr>
            <w:tcW w:w="927" w:type="dxa"/>
            <w:vAlign w:val="center"/>
          </w:tcPr>
          <w:p w14:paraId="63C057BF">
            <w:pPr>
              <w:shd w:val="clear"/>
              <w:spacing w:line="360" w:lineRule="auto"/>
              <w:jc w:val="center"/>
              <w:rPr>
                <w:rFonts w:ascii="宋体" w:hAnsi="宋体"/>
                <w:color w:val="auto"/>
                <w:szCs w:val="21"/>
                <w:highlight w:val="none"/>
              </w:rPr>
            </w:pPr>
          </w:p>
        </w:tc>
        <w:tc>
          <w:tcPr>
            <w:tcW w:w="927" w:type="dxa"/>
            <w:vAlign w:val="center"/>
          </w:tcPr>
          <w:p w14:paraId="53B10B58">
            <w:pPr>
              <w:shd w:val="clear"/>
              <w:spacing w:line="360" w:lineRule="auto"/>
              <w:jc w:val="center"/>
              <w:rPr>
                <w:rFonts w:ascii="宋体" w:hAnsi="宋体"/>
                <w:color w:val="auto"/>
                <w:szCs w:val="21"/>
                <w:highlight w:val="none"/>
              </w:rPr>
            </w:pPr>
          </w:p>
        </w:tc>
        <w:tc>
          <w:tcPr>
            <w:tcW w:w="742" w:type="dxa"/>
            <w:vAlign w:val="center"/>
          </w:tcPr>
          <w:p w14:paraId="05EBE1FF">
            <w:pPr>
              <w:shd w:val="clear"/>
              <w:spacing w:line="360" w:lineRule="auto"/>
              <w:jc w:val="center"/>
              <w:rPr>
                <w:rFonts w:ascii="宋体" w:hAnsi="宋体"/>
                <w:color w:val="auto"/>
                <w:szCs w:val="21"/>
                <w:highlight w:val="none"/>
              </w:rPr>
            </w:pPr>
          </w:p>
        </w:tc>
        <w:tc>
          <w:tcPr>
            <w:tcW w:w="742" w:type="dxa"/>
            <w:vAlign w:val="center"/>
          </w:tcPr>
          <w:p w14:paraId="11BDDD6C">
            <w:pPr>
              <w:shd w:val="clear"/>
              <w:spacing w:line="360" w:lineRule="auto"/>
              <w:jc w:val="center"/>
              <w:rPr>
                <w:rFonts w:ascii="宋体" w:hAnsi="宋体"/>
                <w:color w:val="auto"/>
                <w:szCs w:val="21"/>
                <w:highlight w:val="none"/>
              </w:rPr>
            </w:pPr>
          </w:p>
        </w:tc>
        <w:tc>
          <w:tcPr>
            <w:tcW w:w="1297" w:type="dxa"/>
            <w:vAlign w:val="center"/>
          </w:tcPr>
          <w:p w14:paraId="04ED7C3C">
            <w:pPr>
              <w:shd w:val="clear"/>
              <w:spacing w:line="360" w:lineRule="auto"/>
              <w:jc w:val="center"/>
              <w:rPr>
                <w:rFonts w:ascii="宋体" w:hAnsi="宋体"/>
                <w:color w:val="auto"/>
                <w:szCs w:val="21"/>
                <w:highlight w:val="none"/>
              </w:rPr>
            </w:pPr>
          </w:p>
        </w:tc>
        <w:tc>
          <w:tcPr>
            <w:tcW w:w="1284" w:type="dxa"/>
            <w:vAlign w:val="center"/>
          </w:tcPr>
          <w:p w14:paraId="346CC186">
            <w:pPr>
              <w:shd w:val="clear"/>
              <w:spacing w:line="360" w:lineRule="auto"/>
              <w:jc w:val="center"/>
              <w:rPr>
                <w:rFonts w:ascii="宋体" w:hAnsi="宋体"/>
                <w:color w:val="auto"/>
                <w:szCs w:val="21"/>
                <w:highlight w:val="none"/>
              </w:rPr>
            </w:pPr>
          </w:p>
        </w:tc>
        <w:tc>
          <w:tcPr>
            <w:tcW w:w="1766" w:type="dxa"/>
          </w:tcPr>
          <w:p w14:paraId="607FF4CD">
            <w:pPr>
              <w:shd w:val="clear"/>
              <w:spacing w:line="360" w:lineRule="auto"/>
              <w:jc w:val="center"/>
              <w:rPr>
                <w:rFonts w:ascii="宋体" w:hAnsi="宋体"/>
                <w:color w:val="auto"/>
                <w:szCs w:val="21"/>
                <w:highlight w:val="none"/>
              </w:rPr>
            </w:pPr>
          </w:p>
        </w:tc>
        <w:tc>
          <w:tcPr>
            <w:tcW w:w="1112" w:type="dxa"/>
            <w:vAlign w:val="center"/>
          </w:tcPr>
          <w:p w14:paraId="2177FA67">
            <w:pPr>
              <w:shd w:val="clear"/>
              <w:spacing w:line="360" w:lineRule="auto"/>
              <w:jc w:val="center"/>
              <w:rPr>
                <w:rFonts w:ascii="宋体" w:hAnsi="宋体"/>
                <w:color w:val="auto"/>
                <w:szCs w:val="21"/>
                <w:highlight w:val="none"/>
              </w:rPr>
            </w:pPr>
          </w:p>
        </w:tc>
      </w:tr>
      <w:tr w14:paraId="12D43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5FEB0C16">
            <w:pPr>
              <w:shd w:val="clear"/>
              <w:spacing w:line="360" w:lineRule="auto"/>
              <w:jc w:val="center"/>
              <w:rPr>
                <w:rFonts w:ascii="宋体" w:hAnsi="宋体"/>
                <w:color w:val="auto"/>
                <w:szCs w:val="21"/>
                <w:highlight w:val="none"/>
              </w:rPr>
            </w:pPr>
          </w:p>
        </w:tc>
        <w:tc>
          <w:tcPr>
            <w:tcW w:w="927" w:type="dxa"/>
            <w:vAlign w:val="center"/>
          </w:tcPr>
          <w:p w14:paraId="56652D15">
            <w:pPr>
              <w:shd w:val="clear"/>
              <w:spacing w:line="360" w:lineRule="auto"/>
              <w:jc w:val="center"/>
              <w:rPr>
                <w:rFonts w:ascii="宋体" w:hAnsi="宋体"/>
                <w:color w:val="auto"/>
                <w:szCs w:val="21"/>
                <w:highlight w:val="none"/>
              </w:rPr>
            </w:pPr>
          </w:p>
        </w:tc>
        <w:tc>
          <w:tcPr>
            <w:tcW w:w="927" w:type="dxa"/>
            <w:vAlign w:val="center"/>
          </w:tcPr>
          <w:p w14:paraId="1D7C45B7">
            <w:pPr>
              <w:shd w:val="clear"/>
              <w:spacing w:line="360" w:lineRule="auto"/>
              <w:jc w:val="center"/>
              <w:rPr>
                <w:rFonts w:ascii="宋体" w:hAnsi="宋体"/>
                <w:color w:val="auto"/>
                <w:szCs w:val="21"/>
                <w:highlight w:val="none"/>
              </w:rPr>
            </w:pPr>
          </w:p>
        </w:tc>
        <w:tc>
          <w:tcPr>
            <w:tcW w:w="742" w:type="dxa"/>
            <w:vAlign w:val="center"/>
          </w:tcPr>
          <w:p w14:paraId="0FDE5501">
            <w:pPr>
              <w:shd w:val="clear"/>
              <w:spacing w:line="360" w:lineRule="auto"/>
              <w:jc w:val="center"/>
              <w:rPr>
                <w:rFonts w:ascii="宋体" w:hAnsi="宋体"/>
                <w:color w:val="auto"/>
                <w:szCs w:val="21"/>
                <w:highlight w:val="none"/>
              </w:rPr>
            </w:pPr>
          </w:p>
        </w:tc>
        <w:tc>
          <w:tcPr>
            <w:tcW w:w="742" w:type="dxa"/>
            <w:vAlign w:val="center"/>
          </w:tcPr>
          <w:p w14:paraId="3A6264D5">
            <w:pPr>
              <w:shd w:val="clear"/>
              <w:spacing w:line="360" w:lineRule="auto"/>
              <w:jc w:val="center"/>
              <w:rPr>
                <w:rFonts w:ascii="宋体" w:hAnsi="宋体"/>
                <w:color w:val="auto"/>
                <w:szCs w:val="21"/>
                <w:highlight w:val="none"/>
              </w:rPr>
            </w:pPr>
          </w:p>
        </w:tc>
        <w:tc>
          <w:tcPr>
            <w:tcW w:w="1297" w:type="dxa"/>
            <w:vAlign w:val="center"/>
          </w:tcPr>
          <w:p w14:paraId="523CF725">
            <w:pPr>
              <w:shd w:val="clear"/>
              <w:spacing w:line="360" w:lineRule="auto"/>
              <w:jc w:val="center"/>
              <w:rPr>
                <w:rFonts w:ascii="宋体" w:hAnsi="宋体"/>
                <w:color w:val="auto"/>
                <w:szCs w:val="21"/>
                <w:highlight w:val="none"/>
              </w:rPr>
            </w:pPr>
          </w:p>
        </w:tc>
        <w:tc>
          <w:tcPr>
            <w:tcW w:w="1284" w:type="dxa"/>
            <w:vAlign w:val="center"/>
          </w:tcPr>
          <w:p w14:paraId="7709F517">
            <w:pPr>
              <w:shd w:val="clear"/>
              <w:spacing w:line="360" w:lineRule="auto"/>
              <w:jc w:val="center"/>
              <w:rPr>
                <w:rFonts w:ascii="宋体" w:hAnsi="宋体"/>
                <w:color w:val="auto"/>
                <w:szCs w:val="21"/>
                <w:highlight w:val="none"/>
              </w:rPr>
            </w:pPr>
          </w:p>
        </w:tc>
        <w:tc>
          <w:tcPr>
            <w:tcW w:w="1766" w:type="dxa"/>
          </w:tcPr>
          <w:p w14:paraId="1BACD088">
            <w:pPr>
              <w:shd w:val="clear"/>
              <w:spacing w:line="360" w:lineRule="auto"/>
              <w:jc w:val="center"/>
              <w:rPr>
                <w:rFonts w:ascii="宋体" w:hAnsi="宋体"/>
                <w:color w:val="auto"/>
                <w:szCs w:val="21"/>
                <w:highlight w:val="none"/>
              </w:rPr>
            </w:pPr>
          </w:p>
        </w:tc>
        <w:tc>
          <w:tcPr>
            <w:tcW w:w="1112" w:type="dxa"/>
            <w:vAlign w:val="center"/>
          </w:tcPr>
          <w:p w14:paraId="0D9FD016">
            <w:pPr>
              <w:shd w:val="clear"/>
              <w:spacing w:line="360" w:lineRule="auto"/>
              <w:jc w:val="center"/>
              <w:rPr>
                <w:rFonts w:ascii="宋体" w:hAnsi="宋体"/>
                <w:color w:val="auto"/>
                <w:szCs w:val="21"/>
                <w:highlight w:val="none"/>
              </w:rPr>
            </w:pPr>
          </w:p>
        </w:tc>
      </w:tr>
    </w:tbl>
    <w:p w14:paraId="3E04B45C">
      <w:pPr>
        <w:pStyle w:val="14"/>
        <w:shd w:val="clear"/>
        <w:spacing w:before="120" w:after="120"/>
        <w:ind w:left="632" w:hanging="632" w:hangingChars="300"/>
        <w:rPr>
          <w:rFonts w:hAnsi="宋体"/>
          <w:color w:val="auto"/>
          <w:highlight w:val="none"/>
        </w:rPr>
      </w:pPr>
      <w:r>
        <w:rPr>
          <w:rFonts w:hint="eastAsia" w:hAnsi="宋体"/>
          <w:color w:val="auto"/>
          <w:highlight w:val="none"/>
        </w:rPr>
        <w:t>注：与评分有关的证明材料附后。</w:t>
      </w:r>
    </w:p>
    <w:p w14:paraId="4E08B4B9">
      <w:pPr>
        <w:shd w:val="clear"/>
        <w:spacing w:line="400" w:lineRule="exact"/>
        <w:ind w:firstLine="3360" w:firstLineChars="1400"/>
        <w:rPr>
          <w:rFonts w:ascii="宋体" w:hAnsi="宋体"/>
          <w:color w:val="auto"/>
          <w:sz w:val="24"/>
          <w:highlight w:val="none"/>
        </w:rPr>
      </w:pPr>
    </w:p>
    <w:p w14:paraId="21121366">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法定代表人或其授权委托人（签名或印章）：</w:t>
      </w:r>
    </w:p>
    <w:p w14:paraId="6DA7F02B">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供应商（盖章）：</w:t>
      </w:r>
    </w:p>
    <w:p w14:paraId="1DED13FC">
      <w:pPr>
        <w:shd w:val="clear"/>
        <w:rPr>
          <w:color w:val="auto"/>
          <w:highlight w:val="none"/>
        </w:rPr>
      </w:pPr>
      <w:r>
        <w:rPr>
          <w:rFonts w:hint="eastAsia" w:ascii="宋体" w:hAnsi="宋体"/>
          <w:color w:val="auto"/>
          <w:sz w:val="24"/>
          <w:highlight w:val="none"/>
        </w:rPr>
        <w:t xml:space="preserve">                            日期：</w:t>
      </w:r>
    </w:p>
    <w:p w14:paraId="7E4D5EFB">
      <w:pPr>
        <w:numPr>
          <w:ilvl w:val="0"/>
          <w:numId w:val="4"/>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rPr>
        <w:t>同类业绩情况一览表</w:t>
      </w:r>
    </w:p>
    <w:p w14:paraId="55260150">
      <w:pPr>
        <w:shd w:val="clear"/>
        <w:spacing w:line="360" w:lineRule="auto"/>
        <w:jc w:val="center"/>
        <w:rPr>
          <w:rFonts w:asciiTheme="minorEastAsia" w:hAnsiTheme="minorEastAsia" w:eastAsiaTheme="minorEastAsia" w:cstheme="minorEastAsia"/>
          <w:color w:val="auto"/>
          <w:highlight w:val="none"/>
        </w:rPr>
      </w:pPr>
    </w:p>
    <w:tbl>
      <w:tblPr>
        <w:tblStyle w:val="2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2D4DC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328F2806">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77100631">
            <w:pPr>
              <w:shd w:val="clea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采购单位名称</w:t>
            </w:r>
          </w:p>
        </w:tc>
        <w:tc>
          <w:tcPr>
            <w:tcW w:w="1701" w:type="dxa"/>
            <w:tcBorders>
              <w:top w:val="single" w:color="auto" w:sz="4" w:space="0"/>
              <w:left w:val="single" w:color="auto" w:sz="4" w:space="0"/>
              <w:right w:val="single" w:color="auto" w:sz="4" w:space="0"/>
            </w:tcBorders>
            <w:vAlign w:val="center"/>
          </w:tcPr>
          <w:p w14:paraId="66369FD7">
            <w:pPr>
              <w:shd w:val="clea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3FDEB59D">
            <w:pPr>
              <w:shd w:val="clea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合同金额</w:t>
            </w:r>
          </w:p>
          <w:p w14:paraId="0BA78342">
            <w:pPr>
              <w:shd w:val="clea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27B2EBBC">
            <w:pPr>
              <w:shd w:val="clea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7DFD21DC">
            <w:pPr>
              <w:shd w:val="clea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合同签订时间</w:t>
            </w:r>
          </w:p>
        </w:tc>
      </w:tr>
      <w:tr w14:paraId="4D33B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95EEEEF">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29" w:type="dxa"/>
            <w:tcBorders>
              <w:top w:val="single" w:color="auto" w:sz="4" w:space="0"/>
              <w:left w:val="single" w:color="auto" w:sz="4" w:space="0"/>
              <w:bottom w:val="single" w:color="auto" w:sz="4" w:space="0"/>
              <w:right w:val="single" w:color="auto" w:sz="4" w:space="0"/>
            </w:tcBorders>
            <w:vAlign w:val="center"/>
          </w:tcPr>
          <w:p w14:paraId="207E26E8">
            <w:pPr>
              <w:shd w:val="clear"/>
              <w:spacing w:line="360" w:lineRule="auto"/>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4CE56E2">
            <w:pPr>
              <w:shd w:val="clear"/>
              <w:spacing w:line="360" w:lineRule="auto"/>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40118C1F">
            <w:pPr>
              <w:shd w:val="clear"/>
              <w:spacing w:line="360" w:lineRule="auto"/>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4D70D80">
            <w:pPr>
              <w:shd w:val="clear"/>
              <w:spacing w:line="360" w:lineRule="auto"/>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301A28D">
            <w:pPr>
              <w:shd w:val="clear"/>
              <w:spacing w:line="360" w:lineRule="auto"/>
              <w:rPr>
                <w:rFonts w:asciiTheme="minorEastAsia" w:hAnsiTheme="minorEastAsia" w:eastAsiaTheme="minorEastAsia" w:cstheme="minorEastAsia"/>
                <w:color w:val="auto"/>
                <w:kern w:val="0"/>
                <w:sz w:val="24"/>
                <w:highlight w:val="none"/>
              </w:rPr>
            </w:pPr>
          </w:p>
        </w:tc>
      </w:tr>
      <w:tr w14:paraId="5BE29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BB67E4F">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29" w:type="dxa"/>
            <w:tcBorders>
              <w:top w:val="single" w:color="auto" w:sz="4" w:space="0"/>
              <w:left w:val="single" w:color="auto" w:sz="4" w:space="0"/>
              <w:bottom w:val="single" w:color="auto" w:sz="4" w:space="0"/>
              <w:right w:val="single" w:color="auto" w:sz="4" w:space="0"/>
            </w:tcBorders>
            <w:vAlign w:val="center"/>
          </w:tcPr>
          <w:p w14:paraId="2C1420C8">
            <w:pPr>
              <w:shd w:val="clear"/>
              <w:spacing w:line="360" w:lineRule="auto"/>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EC18C7C">
            <w:pPr>
              <w:shd w:val="clear"/>
              <w:spacing w:line="360" w:lineRule="auto"/>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750F59A2">
            <w:pPr>
              <w:shd w:val="clear"/>
              <w:spacing w:line="360" w:lineRule="auto"/>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F0509D7">
            <w:pPr>
              <w:shd w:val="clear"/>
              <w:spacing w:line="360" w:lineRule="auto"/>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F3DC464">
            <w:pPr>
              <w:shd w:val="clear"/>
              <w:spacing w:line="360" w:lineRule="auto"/>
              <w:rPr>
                <w:rFonts w:asciiTheme="minorEastAsia" w:hAnsiTheme="minorEastAsia" w:eastAsiaTheme="minorEastAsia" w:cstheme="minorEastAsia"/>
                <w:color w:val="auto"/>
                <w:kern w:val="0"/>
                <w:sz w:val="24"/>
                <w:highlight w:val="none"/>
              </w:rPr>
            </w:pPr>
          </w:p>
        </w:tc>
      </w:tr>
      <w:tr w14:paraId="50B47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C7637BC">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829" w:type="dxa"/>
            <w:tcBorders>
              <w:top w:val="single" w:color="auto" w:sz="4" w:space="0"/>
              <w:left w:val="single" w:color="auto" w:sz="4" w:space="0"/>
              <w:bottom w:val="single" w:color="auto" w:sz="4" w:space="0"/>
              <w:right w:val="single" w:color="auto" w:sz="4" w:space="0"/>
            </w:tcBorders>
            <w:vAlign w:val="center"/>
          </w:tcPr>
          <w:p w14:paraId="10F66899">
            <w:pPr>
              <w:shd w:val="clear"/>
              <w:spacing w:line="360" w:lineRule="auto"/>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9811127">
            <w:pPr>
              <w:shd w:val="clear"/>
              <w:spacing w:line="360" w:lineRule="auto"/>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577F86CE">
            <w:pPr>
              <w:shd w:val="clear"/>
              <w:spacing w:line="360" w:lineRule="auto"/>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EFC6024">
            <w:pPr>
              <w:shd w:val="clear"/>
              <w:spacing w:line="360" w:lineRule="auto"/>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B9E2549">
            <w:pPr>
              <w:shd w:val="clear"/>
              <w:spacing w:line="360" w:lineRule="auto"/>
              <w:rPr>
                <w:rFonts w:asciiTheme="minorEastAsia" w:hAnsiTheme="minorEastAsia" w:eastAsiaTheme="minorEastAsia" w:cstheme="minorEastAsia"/>
                <w:color w:val="auto"/>
                <w:kern w:val="0"/>
                <w:sz w:val="24"/>
                <w:highlight w:val="none"/>
              </w:rPr>
            </w:pPr>
          </w:p>
        </w:tc>
      </w:tr>
      <w:tr w14:paraId="2098D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2950040">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829" w:type="dxa"/>
            <w:tcBorders>
              <w:top w:val="single" w:color="auto" w:sz="4" w:space="0"/>
              <w:left w:val="single" w:color="auto" w:sz="4" w:space="0"/>
              <w:bottom w:val="single" w:color="auto" w:sz="4" w:space="0"/>
              <w:right w:val="single" w:color="auto" w:sz="4" w:space="0"/>
            </w:tcBorders>
            <w:vAlign w:val="center"/>
          </w:tcPr>
          <w:p w14:paraId="55F54614">
            <w:pPr>
              <w:shd w:val="clear"/>
              <w:spacing w:line="360" w:lineRule="auto"/>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C145F52">
            <w:pPr>
              <w:shd w:val="clear"/>
              <w:spacing w:line="360" w:lineRule="auto"/>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1172CDC8">
            <w:pPr>
              <w:shd w:val="clear"/>
              <w:spacing w:line="360" w:lineRule="auto"/>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20EDDD5">
            <w:pPr>
              <w:shd w:val="clear"/>
              <w:spacing w:line="360" w:lineRule="auto"/>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779818F">
            <w:pPr>
              <w:shd w:val="clear"/>
              <w:spacing w:line="360" w:lineRule="auto"/>
              <w:rPr>
                <w:rFonts w:asciiTheme="minorEastAsia" w:hAnsiTheme="minorEastAsia" w:eastAsiaTheme="minorEastAsia" w:cstheme="minorEastAsia"/>
                <w:color w:val="auto"/>
                <w:kern w:val="0"/>
                <w:sz w:val="24"/>
                <w:highlight w:val="none"/>
              </w:rPr>
            </w:pPr>
          </w:p>
        </w:tc>
      </w:tr>
      <w:tr w14:paraId="48AA1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797BF8EB">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829" w:type="dxa"/>
            <w:tcBorders>
              <w:top w:val="single" w:color="auto" w:sz="4" w:space="0"/>
              <w:left w:val="single" w:color="auto" w:sz="4" w:space="0"/>
              <w:bottom w:val="single" w:color="auto" w:sz="4" w:space="0"/>
              <w:right w:val="single" w:color="auto" w:sz="4" w:space="0"/>
            </w:tcBorders>
            <w:vAlign w:val="center"/>
          </w:tcPr>
          <w:p w14:paraId="2DEF17DC">
            <w:pPr>
              <w:shd w:val="clear"/>
              <w:spacing w:line="360" w:lineRule="auto"/>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574DE21">
            <w:pPr>
              <w:shd w:val="clear"/>
              <w:spacing w:line="360" w:lineRule="auto"/>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1198F663">
            <w:pPr>
              <w:shd w:val="clear"/>
              <w:spacing w:line="360" w:lineRule="auto"/>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D9DB801">
            <w:pPr>
              <w:shd w:val="clear"/>
              <w:spacing w:line="360" w:lineRule="auto"/>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0400619">
            <w:pPr>
              <w:shd w:val="clear"/>
              <w:spacing w:line="360" w:lineRule="auto"/>
              <w:rPr>
                <w:rFonts w:asciiTheme="minorEastAsia" w:hAnsiTheme="minorEastAsia" w:eastAsiaTheme="minorEastAsia" w:cstheme="minorEastAsia"/>
                <w:color w:val="auto"/>
                <w:kern w:val="0"/>
                <w:sz w:val="24"/>
                <w:highlight w:val="none"/>
              </w:rPr>
            </w:pPr>
          </w:p>
        </w:tc>
      </w:tr>
    </w:tbl>
    <w:p w14:paraId="773B3638">
      <w:pPr>
        <w:shd w:val="clear"/>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附：评分标准要求的证明材料</w:t>
      </w:r>
    </w:p>
    <w:p w14:paraId="486B6D19">
      <w:pPr>
        <w:shd w:val="clear"/>
        <w:spacing w:line="360" w:lineRule="auto"/>
        <w:ind w:firstLine="480"/>
        <w:rPr>
          <w:rFonts w:asciiTheme="minorEastAsia" w:hAnsiTheme="minorEastAsia" w:eastAsiaTheme="minorEastAsia" w:cstheme="minorEastAsia"/>
          <w:color w:val="auto"/>
          <w:kern w:val="0"/>
          <w:sz w:val="24"/>
          <w:highlight w:val="none"/>
        </w:rPr>
      </w:pPr>
    </w:p>
    <w:p w14:paraId="7F77A02B">
      <w:pPr>
        <w:shd w:val="clear"/>
        <w:spacing w:line="360" w:lineRule="auto"/>
        <w:ind w:firstLine="480"/>
        <w:rPr>
          <w:rFonts w:asciiTheme="minorEastAsia" w:hAnsiTheme="minorEastAsia" w:eastAsiaTheme="minorEastAsia" w:cstheme="minorEastAsia"/>
          <w:color w:val="auto"/>
          <w:kern w:val="0"/>
          <w:sz w:val="24"/>
          <w:highlight w:val="none"/>
        </w:rPr>
      </w:pPr>
    </w:p>
    <w:p w14:paraId="5730A9D6">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40D81713">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FF06300">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1A84FDF1">
      <w:pPr>
        <w:shd w:val="clear"/>
        <w:spacing w:line="360" w:lineRule="auto"/>
        <w:ind w:left="4620" w:leftChars="2200" w:firstLine="643"/>
        <w:rPr>
          <w:rFonts w:asciiTheme="minorEastAsia" w:hAnsiTheme="minorEastAsia" w:eastAsiaTheme="minorEastAsia" w:cstheme="minorEastAsia"/>
          <w:b/>
          <w:color w:val="auto"/>
          <w:kern w:val="0"/>
          <w:sz w:val="32"/>
          <w:szCs w:val="32"/>
          <w:highlight w:val="none"/>
          <w:lang w:val="zh-CN"/>
        </w:rPr>
      </w:pPr>
    </w:p>
    <w:p w14:paraId="0B06255B">
      <w:pPr>
        <w:numPr>
          <w:ilvl w:val="0"/>
          <w:numId w:val="4"/>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zh-CN"/>
        </w:rPr>
        <w:t>采购供应商廉洁自律承诺书</w:t>
      </w:r>
    </w:p>
    <w:p w14:paraId="430C0900">
      <w:pPr>
        <w:shd w:val="clear"/>
        <w:snapToGrid w:val="0"/>
        <w:spacing w:line="360" w:lineRule="auto"/>
        <w:ind w:firstLine="480"/>
        <w:rPr>
          <w:rFonts w:asciiTheme="minorEastAsia" w:hAnsiTheme="minorEastAsia" w:eastAsiaTheme="minorEastAsia" w:cstheme="minorEastAsia"/>
          <w:color w:val="auto"/>
          <w:sz w:val="24"/>
          <w:highlight w:val="none"/>
        </w:rPr>
      </w:pPr>
    </w:p>
    <w:p w14:paraId="56FF831C">
      <w:pPr>
        <w:shd w:val="clear"/>
        <w:snapToGrid w:val="0"/>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宁波锦铭科技有限公司</w:t>
      </w:r>
      <w:r>
        <w:rPr>
          <w:rFonts w:hint="eastAsia" w:asciiTheme="minorEastAsia" w:hAnsiTheme="minorEastAsia" w:eastAsiaTheme="minorEastAsia" w:cstheme="minorEastAsia"/>
          <w:color w:val="auto"/>
          <w:sz w:val="24"/>
          <w:highlight w:val="none"/>
        </w:rPr>
        <w:t>：</w:t>
      </w:r>
    </w:p>
    <w:p w14:paraId="69A006B5">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项目磋商要求参加磋商采购活动。在这次采购过程中和成交后，我们将严格遵守国家法律法规要求，并郑重承诺：</w:t>
      </w:r>
    </w:p>
    <w:p w14:paraId="46F044A9">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75FF89E2">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00CF6AFA">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289E6347">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2BB6F10E">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3D391435">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4559BE14">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5C571D97">
      <w:pPr>
        <w:shd w:val="clear"/>
        <w:autoSpaceDE w:val="0"/>
        <w:autoSpaceDN w:val="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7789CC2A">
      <w:pPr>
        <w:shd w:val="clear"/>
        <w:autoSpaceDE w:val="0"/>
        <w:autoSpaceDN w:val="0"/>
        <w:spacing w:line="360" w:lineRule="auto"/>
        <w:ind w:firstLine="480"/>
        <w:rPr>
          <w:rFonts w:asciiTheme="minorEastAsia" w:hAnsiTheme="minorEastAsia" w:eastAsiaTheme="minorEastAsia" w:cstheme="minorEastAsia"/>
          <w:color w:val="auto"/>
          <w:kern w:val="0"/>
          <w:sz w:val="24"/>
          <w:highlight w:val="none"/>
          <w:lang w:val="zh-CN"/>
        </w:rPr>
      </w:pPr>
    </w:p>
    <w:p w14:paraId="49A33D1E">
      <w:pPr>
        <w:shd w:val="clear"/>
        <w:autoSpaceDE w:val="0"/>
        <w:autoSpaceDN w:val="0"/>
        <w:spacing w:line="360" w:lineRule="auto"/>
        <w:ind w:left="2" w:firstLine="480"/>
        <w:rPr>
          <w:rFonts w:asciiTheme="minorEastAsia" w:hAnsiTheme="minorEastAsia" w:eastAsiaTheme="minorEastAsia" w:cstheme="minorEastAsia"/>
          <w:color w:val="auto"/>
          <w:kern w:val="0"/>
          <w:sz w:val="24"/>
          <w:highlight w:val="none"/>
          <w:lang w:val="zh-CN"/>
        </w:rPr>
      </w:pPr>
    </w:p>
    <w:p w14:paraId="67107C12">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9CF327E">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E07AED4">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6E6AF19F">
      <w:pPr>
        <w:shd w:val="clear"/>
        <w:spacing w:line="360" w:lineRule="auto"/>
        <w:ind w:left="4620" w:leftChars="2200" w:firstLine="480"/>
        <w:rPr>
          <w:rFonts w:asciiTheme="minorEastAsia" w:hAnsiTheme="minorEastAsia" w:eastAsiaTheme="minorEastAsia" w:cstheme="minorEastAsia"/>
          <w:color w:val="auto"/>
          <w:sz w:val="24"/>
          <w:highlight w:val="none"/>
        </w:rPr>
      </w:pPr>
    </w:p>
    <w:p w14:paraId="4851D1C2">
      <w:pPr>
        <w:shd w:val="clear"/>
        <w:spacing w:line="360" w:lineRule="auto"/>
        <w:ind w:firstLine="482"/>
        <w:jc w:val="center"/>
        <w:rPr>
          <w:rFonts w:asciiTheme="minorEastAsia" w:hAnsiTheme="minorEastAsia" w:eastAsiaTheme="minorEastAsia" w:cstheme="minorEastAsia"/>
          <w:b/>
          <w:bCs/>
          <w:color w:val="auto"/>
          <w:sz w:val="24"/>
          <w:highlight w:val="none"/>
        </w:rPr>
      </w:pPr>
    </w:p>
    <w:p w14:paraId="31627BC1">
      <w:pPr>
        <w:shd w:val="clear"/>
        <w:spacing w:line="360" w:lineRule="auto"/>
        <w:ind w:firstLine="482"/>
        <w:jc w:val="center"/>
        <w:rPr>
          <w:rFonts w:asciiTheme="minorEastAsia" w:hAnsiTheme="minorEastAsia" w:eastAsiaTheme="minorEastAsia" w:cstheme="min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3A121392">
      <w:pPr>
        <w:shd w:val="clear"/>
        <w:spacing w:line="360" w:lineRule="auto"/>
        <w:ind w:firstLine="723"/>
        <w:jc w:val="center"/>
        <w:outlineLvl w:val="0"/>
        <w:rPr>
          <w:rFonts w:asciiTheme="minorEastAsia" w:hAnsiTheme="minorEastAsia" w:eastAsiaTheme="minorEastAsia" w:cstheme="minorEastAsia"/>
          <w:b/>
          <w:color w:val="auto"/>
          <w:kern w:val="0"/>
          <w:sz w:val="36"/>
          <w:szCs w:val="36"/>
          <w:highlight w:val="none"/>
        </w:rPr>
      </w:pPr>
    </w:p>
    <w:p w14:paraId="0DC99088">
      <w:pPr>
        <w:shd w:val="clear"/>
        <w:spacing w:line="360" w:lineRule="auto"/>
        <w:ind w:firstLine="723"/>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6F719A4C">
      <w:pPr>
        <w:shd w:val="clear"/>
        <w:spacing w:line="360" w:lineRule="auto"/>
        <w:ind w:firstLine="723"/>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4F3890F9">
      <w:pPr>
        <w:shd w:val="clea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sz w:val="24"/>
          <w:highlight w:val="none"/>
        </w:rPr>
        <w:t xml:space="preserve"> </w:t>
      </w:r>
    </w:p>
    <w:p w14:paraId="71B1ED6F">
      <w:pPr>
        <w:shd w:val="clea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报价一览表；</w:t>
      </w:r>
    </w:p>
    <w:p w14:paraId="69C81A4F">
      <w:pPr>
        <w:shd w:val="clea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中小企业声明函（如有）；</w:t>
      </w:r>
    </w:p>
    <w:p w14:paraId="2F49689B">
      <w:pPr>
        <w:shd w:val="clea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残疾人福利性单位声明函（如有）；</w:t>
      </w:r>
    </w:p>
    <w:p w14:paraId="75C12E0A">
      <w:pPr>
        <w:shd w:val="clea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监狱企业的证明文件（如有）；</w:t>
      </w:r>
    </w:p>
    <w:p w14:paraId="54D61F02">
      <w:pPr>
        <w:shd w:val="clea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5采购统计基础信息表；</w:t>
      </w:r>
    </w:p>
    <w:p w14:paraId="22B8C7C6">
      <w:pPr>
        <w:shd w:val="clea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 其他资料（如有）。</w:t>
      </w:r>
    </w:p>
    <w:p w14:paraId="6F2487E7">
      <w:pPr>
        <w:shd w:val="clear"/>
        <w:snapToGrid w:val="0"/>
        <w:spacing w:line="360" w:lineRule="auto"/>
        <w:ind w:right="480" w:firstLine="643"/>
        <w:rPr>
          <w:rFonts w:asciiTheme="minorEastAsia" w:hAnsiTheme="minorEastAsia" w:eastAsiaTheme="minorEastAsia" w:cstheme="minorEastAsia"/>
          <w:b/>
          <w:color w:val="auto"/>
          <w:kern w:val="0"/>
          <w:sz w:val="32"/>
          <w:szCs w:val="32"/>
          <w:highlight w:val="none"/>
        </w:rPr>
      </w:pPr>
    </w:p>
    <w:p w14:paraId="2B707D67">
      <w:pPr>
        <w:pStyle w:val="45"/>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B8A82AA">
      <w:pPr>
        <w:pStyle w:val="45"/>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一、报价一览表（初次报价表）</w:t>
      </w:r>
    </w:p>
    <w:p w14:paraId="19930ABC">
      <w:pPr>
        <w:shd w:val="clear"/>
        <w:snapToGrid w:val="0"/>
        <w:spacing w:line="360" w:lineRule="auto"/>
        <w:ind w:firstLine="480"/>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u w:val="single"/>
        </w:rPr>
        <w:t>宁波锦铭科技有限公司</w:t>
      </w:r>
      <w:r>
        <w:rPr>
          <w:rFonts w:hint="eastAsia" w:asciiTheme="minorEastAsia" w:hAnsiTheme="minorEastAsia" w:eastAsiaTheme="minorEastAsia" w:cstheme="minorEastAsia"/>
          <w:color w:val="auto"/>
          <w:sz w:val="24"/>
          <w:highlight w:val="none"/>
        </w:rPr>
        <w:t>：</w:t>
      </w:r>
    </w:p>
    <w:p w14:paraId="06568EFA">
      <w:pPr>
        <w:shd w:val="clear"/>
        <w:snapToGrid w:val="0"/>
        <w:spacing w:line="360" w:lineRule="auto"/>
        <w:ind w:firstLine="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highlight w:val="none"/>
        </w:rPr>
        <w:t>本项目的实施</w:t>
      </w:r>
      <w:r>
        <w:rPr>
          <w:rFonts w:hint="eastAsia" w:asciiTheme="minorEastAsia" w:hAnsiTheme="minorEastAsia" w:eastAsiaTheme="minorEastAsia" w:cstheme="minorEastAsia"/>
          <w:color w:val="auto"/>
          <w:kern w:val="0"/>
          <w:sz w:val="24"/>
          <w:highlight w:val="none"/>
          <w:lang w:val="zh-CN"/>
        </w:rPr>
        <w:t>。</w:t>
      </w:r>
    </w:p>
    <w:tbl>
      <w:tblPr>
        <w:tblStyle w:val="27"/>
        <w:tblpPr w:leftFromText="180" w:rightFromText="180" w:vertAnchor="text" w:horzAnchor="page" w:tblpXSpec="center" w:tblpY="3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9"/>
        <w:gridCol w:w="2603"/>
      </w:tblGrid>
      <w:tr w14:paraId="49F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pct"/>
          </w:tcPr>
          <w:p w14:paraId="170FEF4A">
            <w:pPr>
              <w:shd w:val="clear"/>
              <w:spacing w:line="360" w:lineRule="auto"/>
              <w:jc w:val="center"/>
              <w:rPr>
                <w:rFonts w:ascii="宋体" w:hAnsi="宋体"/>
                <w:b/>
                <w:color w:val="auto"/>
                <w:sz w:val="24"/>
                <w:highlight w:val="none"/>
              </w:rPr>
            </w:pPr>
            <w:r>
              <w:rPr>
                <w:rFonts w:ascii="宋体" w:hAnsi="宋体"/>
                <w:b/>
                <w:color w:val="auto"/>
                <w:sz w:val="24"/>
                <w:highlight w:val="none"/>
              </w:rPr>
              <w:t>项目名称</w:t>
            </w:r>
          </w:p>
        </w:tc>
        <w:tc>
          <w:tcPr>
            <w:tcW w:w="1527" w:type="pct"/>
          </w:tcPr>
          <w:p w14:paraId="76B76181">
            <w:pPr>
              <w:shd w:val="clear"/>
              <w:spacing w:line="360" w:lineRule="auto"/>
              <w:jc w:val="center"/>
              <w:rPr>
                <w:rFonts w:ascii="宋体" w:hAnsi="宋体"/>
                <w:b/>
                <w:color w:val="auto"/>
                <w:sz w:val="24"/>
                <w:highlight w:val="none"/>
              </w:rPr>
            </w:pPr>
            <w:r>
              <w:rPr>
                <w:rFonts w:ascii="宋体" w:hAnsi="宋体"/>
                <w:b/>
                <w:color w:val="auto"/>
                <w:sz w:val="24"/>
                <w:highlight w:val="none"/>
              </w:rPr>
              <w:t>磋商报</w:t>
            </w:r>
            <w:r>
              <w:rPr>
                <w:rFonts w:hint="eastAsia" w:ascii="宋体" w:hAnsi="宋体"/>
                <w:b/>
                <w:color w:val="auto"/>
                <w:sz w:val="24"/>
                <w:highlight w:val="none"/>
              </w:rPr>
              <w:t>价</w:t>
            </w:r>
          </w:p>
        </w:tc>
      </w:tr>
      <w:tr w14:paraId="03D5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3472" w:type="pct"/>
            <w:vAlign w:val="center"/>
          </w:tcPr>
          <w:p w14:paraId="41D7B130">
            <w:pPr>
              <w:shd w:val="clear"/>
              <w:spacing w:line="360" w:lineRule="auto"/>
              <w:jc w:val="center"/>
              <w:rPr>
                <w:rFonts w:ascii="宋体" w:hAnsi="宋体" w:cs="宋体"/>
                <w:color w:val="auto"/>
                <w:kern w:val="1"/>
                <w:highlight w:val="none"/>
              </w:rPr>
            </w:pPr>
            <w:r>
              <w:rPr>
                <w:rFonts w:hint="eastAsia" w:ascii="宋体" w:hAnsi="宋体" w:cs="宋体"/>
                <w:bCs/>
                <w:color w:val="auto"/>
                <w:szCs w:val="21"/>
                <w:highlight w:val="none"/>
              </w:rPr>
              <w:t>年产950万件新型电子元器件生产项目招标控制价及预算编制服务项目</w:t>
            </w:r>
          </w:p>
        </w:tc>
        <w:tc>
          <w:tcPr>
            <w:tcW w:w="1527" w:type="pct"/>
            <w:vAlign w:val="center"/>
          </w:tcPr>
          <w:p w14:paraId="17475D40">
            <w:pPr>
              <w:shd w:val="clear"/>
              <w:spacing w:line="360" w:lineRule="auto"/>
              <w:rPr>
                <w:rFonts w:ascii="宋体" w:hAnsi="宋体"/>
                <w:color w:val="auto"/>
                <w:sz w:val="24"/>
                <w:highlight w:val="none"/>
              </w:rPr>
            </w:pPr>
            <w:r>
              <w:rPr>
                <w:rFonts w:hint="eastAsia" w:ascii="宋体" w:hAnsi="宋体"/>
                <w:b/>
                <w:color w:val="auto"/>
                <w:sz w:val="24"/>
                <w:highlight w:val="none"/>
              </w:rPr>
              <w:t>折扣</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tc>
      </w:tr>
    </w:tbl>
    <w:p w14:paraId="6525135B">
      <w:pPr>
        <w:shd w:val="clear"/>
        <w:spacing w:line="360" w:lineRule="auto"/>
        <w:ind w:firstLine="482"/>
        <w:rPr>
          <w:rFonts w:ascii="宋体" w:hAnsi="宋体"/>
          <w:b/>
          <w:color w:val="auto"/>
          <w:sz w:val="24"/>
          <w:highlight w:val="none"/>
          <w:u w:val="single"/>
        </w:rPr>
      </w:pPr>
      <w:r>
        <w:rPr>
          <w:rFonts w:hint="eastAsia" w:ascii="宋体" w:hAnsi="宋体" w:cs="仿宋"/>
          <w:b/>
          <w:color w:val="auto"/>
          <w:kern w:val="0"/>
          <w:sz w:val="24"/>
          <w:highlight w:val="none"/>
          <w:lang w:val="zh-CN"/>
        </w:rPr>
        <w:t>注：</w:t>
      </w:r>
      <w:r>
        <w:rPr>
          <w:rFonts w:hint="eastAsia" w:ascii="宋体" w:hAnsi="宋体"/>
          <w:b/>
          <w:color w:val="auto"/>
          <w:sz w:val="24"/>
          <w:highlight w:val="none"/>
        </w:rPr>
        <w:t>1、</w:t>
      </w:r>
      <w:r>
        <w:rPr>
          <w:rFonts w:hint="eastAsia" w:ascii="宋体" w:hAnsi="宋体"/>
          <w:b/>
          <w:color w:val="auto"/>
          <w:sz w:val="24"/>
          <w:highlight w:val="none"/>
          <w:u w:val="single"/>
        </w:rPr>
        <w:t>磋商报价折</w:t>
      </w:r>
      <w:r>
        <w:rPr>
          <w:rFonts w:ascii="宋体" w:hAnsi="宋体"/>
          <w:b/>
          <w:color w:val="auto"/>
          <w:sz w:val="24"/>
          <w:highlight w:val="none"/>
          <w:u w:val="single"/>
        </w:rPr>
        <w:t>扣</w:t>
      </w:r>
      <w:r>
        <w:rPr>
          <w:rFonts w:hint="eastAsia" w:ascii="宋体" w:hAnsi="宋体"/>
          <w:b/>
          <w:color w:val="auto"/>
          <w:sz w:val="24"/>
          <w:highlight w:val="none"/>
          <w:u w:val="single"/>
        </w:rPr>
        <w:t>以“%”的形式进行报价，保留百分数整数位，未按要求形式进行报价的</w:t>
      </w:r>
      <w:r>
        <w:rPr>
          <w:rFonts w:hint="eastAsia"/>
          <w:b/>
          <w:color w:val="auto"/>
          <w:sz w:val="24"/>
          <w:highlight w:val="none"/>
          <w:u w:val="single"/>
        </w:rPr>
        <w:t>磋商响应文件作无效处理。</w:t>
      </w:r>
    </w:p>
    <w:p w14:paraId="101A2F79">
      <w:pPr>
        <w:shd w:val="clear"/>
        <w:spacing w:line="360" w:lineRule="auto"/>
        <w:ind w:firstLine="482"/>
        <w:rPr>
          <w:rFonts w:ascii="宋体" w:hAnsi="宋体"/>
          <w:b/>
          <w:color w:val="auto"/>
          <w:sz w:val="24"/>
          <w:highlight w:val="none"/>
        </w:rPr>
      </w:pPr>
      <w:r>
        <w:rPr>
          <w:rFonts w:hint="eastAsia" w:ascii="宋体" w:hAnsi="宋体"/>
          <w:b/>
          <w:color w:val="auto"/>
          <w:sz w:val="24"/>
          <w:highlight w:val="none"/>
          <w:u w:val="single"/>
        </w:rPr>
        <w:t>2、</w:t>
      </w:r>
      <w:r>
        <w:rPr>
          <w:rFonts w:hint="eastAsia"/>
          <w:b/>
          <w:color w:val="auto"/>
          <w:sz w:val="24"/>
          <w:highlight w:val="none"/>
          <w:u w:val="single"/>
        </w:rPr>
        <w:t>本次项目设有最高折扣（80%）（含），未按折扣进行报价或超过最高折扣进行报价的磋商响应文件作无效处理。</w:t>
      </w:r>
    </w:p>
    <w:p w14:paraId="349107C0">
      <w:pPr>
        <w:shd w:val="clear"/>
        <w:snapToGrid w:val="0"/>
        <w:spacing w:line="360" w:lineRule="auto"/>
        <w:ind w:left="480"/>
        <w:rPr>
          <w:rFonts w:ascii="宋体" w:hAnsi="宋体" w:cs="仿宋"/>
          <w:b/>
          <w:color w:val="auto"/>
          <w:kern w:val="0"/>
          <w:sz w:val="24"/>
          <w:highlight w:val="none"/>
          <w:lang w:val="zh-CN"/>
        </w:rPr>
      </w:pPr>
      <w:r>
        <w:rPr>
          <w:rFonts w:hint="eastAsia" w:ascii="宋体" w:hAnsi="宋体"/>
          <w:color w:val="auto"/>
          <w:sz w:val="24"/>
          <w:highlight w:val="none"/>
        </w:rPr>
        <w:t>3</w:t>
      </w:r>
      <w:r>
        <w:rPr>
          <w:rFonts w:ascii="宋体" w:hAnsi="宋体"/>
          <w:color w:val="auto"/>
          <w:sz w:val="24"/>
          <w:highlight w:val="none"/>
        </w:rPr>
        <w:t>、报价一经涂改，应在涂改处加盖单位公章或者由法定代表人或授权委托人签名或盖章，否则其</w:t>
      </w:r>
      <w:r>
        <w:rPr>
          <w:rFonts w:hint="eastAsia" w:ascii="宋体" w:hAnsi="宋体"/>
          <w:color w:val="auto"/>
          <w:sz w:val="24"/>
          <w:highlight w:val="none"/>
        </w:rPr>
        <w:t>磋商响应文件作无效处理。</w:t>
      </w:r>
    </w:p>
    <w:p w14:paraId="6C29EE2A">
      <w:pPr>
        <w:shd w:val="clear"/>
        <w:spacing w:line="360" w:lineRule="auto"/>
        <w:ind w:left="-2" w:leftChars="-1"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rPr>
        <w:t>4</w:t>
      </w:r>
      <w:r>
        <w:rPr>
          <w:rFonts w:hint="eastAsia" w:ascii="宋体" w:hAnsi="宋体" w:cs="仿宋"/>
          <w:color w:val="auto"/>
          <w:kern w:val="0"/>
          <w:sz w:val="24"/>
          <w:highlight w:val="none"/>
          <w:lang w:val="zh-CN"/>
        </w:rPr>
        <w:t>、</w:t>
      </w:r>
      <w:r>
        <w:rPr>
          <w:rFonts w:hint="eastAsia" w:ascii="宋体" w:hAnsi="宋体" w:cs="仿宋"/>
          <w:color w:val="auto"/>
          <w:kern w:val="0"/>
          <w:sz w:val="24"/>
          <w:highlight w:val="none"/>
        </w:rPr>
        <w:t>供应商</w:t>
      </w:r>
      <w:r>
        <w:rPr>
          <w:rFonts w:hint="eastAsia" w:ascii="宋体" w:hAnsi="宋体" w:cs="仿宋"/>
          <w:color w:val="auto"/>
          <w:kern w:val="0"/>
          <w:sz w:val="24"/>
          <w:highlight w:val="none"/>
          <w:lang w:val="zh-CN"/>
        </w:rPr>
        <w:t>需按本表格式填写，不得自行更改。</w:t>
      </w:r>
    </w:p>
    <w:p w14:paraId="1A9D905E">
      <w:pPr>
        <w:shd w:val="clear"/>
        <w:spacing w:line="360" w:lineRule="auto"/>
        <w:rPr>
          <w:rFonts w:asciiTheme="minorEastAsia" w:hAnsiTheme="minorEastAsia" w:eastAsiaTheme="minorEastAsia" w:cstheme="minorEastAsia"/>
          <w:color w:val="auto"/>
          <w:sz w:val="24"/>
          <w:highlight w:val="none"/>
        </w:rPr>
      </w:pPr>
    </w:p>
    <w:p w14:paraId="74385057">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法定代表人或其授权委托人（签名或印章）：  </w:t>
      </w:r>
    </w:p>
    <w:p w14:paraId="5436D96B">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供应商（盖章）：         </w:t>
      </w:r>
    </w:p>
    <w:p w14:paraId="6CD8A6F9">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  期：</w:t>
      </w:r>
    </w:p>
    <w:p w14:paraId="581DE1EB">
      <w:pPr>
        <w:shd w:val="clear"/>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5CBFEA8B">
      <w:pPr>
        <w:shd w:val="clear"/>
        <w:spacing w:line="360" w:lineRule="auto"/>
        <w:ind w:firstLine="640"/>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二、中小企业声明函</w:t>
      </w:r>
    </w:p>
    <w:p w14:paraId="5FC934AD">
      <w:pPr>
        <w:shd w:val="clear"/>
        <w:spacing w:line="360" w:lineRule="auto"/>
        <w:ind w:firstLine="643"/>
        <w:jc w:val="center"/>
        <w:rPr>
          <w:rFonts w:asciiTheme="minorEastAsia" w:hAnsiTheme="minorEastAsia" w:eastAsiaTheme="minorEastAsia" w:cstheme="minorEastAsia"/>
          <w:b/>
          <w:color w:val="auto"/>
          <w:sz w:val="32"/>
          <w:szCs w:val="32"/>
          <w:highlight w:val="none"/>
        </w:rPr>
      </w:pPr>
    </w:p>
    <w:p w14:paraId="33F7A345">
      <w:pPr>
        <w:shd w:val="clear"/>
        <w:spacing w:line="360" w:lineRule="auto"/>
        <w:ind w:firstLine="643"/>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w:t>
      </w:r>
    </w:p>
    <w:p w14:paraId="16F0E7D2">
      <w:pPr>
        <w:shd w:val="clear"/>
        <w:spacing w:line="360" w:lineRule="auto"/>
        <w:rPr>
          <w:rFonts w:asciiTheme="minorEastAsia" w:hAnsiTheme="minorEastAsia" w:eastAsiaTheme="minorEastAsia" w:cstheme="minorEastAsia"/>
          <w:color w:val="auto"/>
          <w:highlight w:val="none"/>
        </w:rPr>
      </w:pPr>
    </w:p>
    <w:p w14:paraId="75CAEADF">
      <w:pPr>
        <w:shd w:val="clear"/>
        <w:snapToGrid w:val="0"/>
        <w:spacing w:line="400" w:lineRule="exact"/>
        <w:ind w:firstLine="480" w:firstLineChars="200"/>
        <w:rPr>
          <w:rFonts w:ascii="宋体" w:hAnsi="宋体"/>
          <w:color w:val="auto"/>
          <w:sz w:val="24"/>
          <w:highlight w:val="none"/>
        </w:rPr>
      </w:pPr>
      <w:r>
        <w:rPr>
          <w:rFonts w:hint="eastAsia" w:ascii="宋体" w:hAnsi="宋体" w:cs="仿宋"/>
          <w:color w:val="auto"/>
          <w:kern w:val="0"/>
          <w:sz w:val="24"/>
          <w:highlight w:val="none"/>
        </w:rPr>
        <w:t>本公司郑重声明，根据《政府采购促进中小企业发展管理办法》（财库</w:t>
      </w:r>
      <w:r>
        <w:rPr>
          <w:rFonts w:hint="eastAsia" w:ascii="宋体" w:hAnsi="宋体" w:cs="宋体"/>
          <w:color w:val="auto"/>
          <w:kern w:val="0"/>
          <w:sz w:val="24"/>
          <w:highlight w:val="none"/>
        </w:rPr>
        <w:t>﹝</w:t>
      </w:r>
      <w:r>
        <w:rPr>
          <w:rFonts w:ascii="宋体" w:hAnsi="宋体" w:cs="仿宋"/>
          <w:color w:val="auto"/>
          <w:kern w:val="0"/>
          <w:sz w:val="24"/>
          <w:highlight w:val="none"/>
        </w:rPr>
        <w:t>2020</w:t>
      </w:r>
      <w:r>
        <w:rPr>
          <w:rFonts w:hint="eastAsia" w:ascii="宋体" w:hAnsi="宋体" w:cs="宋体"/>
          <w:color w:val="auto"/>
          <w:kern w:val="0"/>
          <w:sz w:val="24"/>
          <w:highlight w:val="none"/>
        </w:rPr>
        <w:t>﹞</w:t>
      </w:r>
      <w:r>
        <w:rPr>
          <w:rFonts w:ascii="宋体" w:hAnsi="宋体" w:cs="仿宋"/>
          <w:color w:val="auto"/>
          <w:kern w:val="0"/>
          <w:sz w:val="24"/>
          <w:highlight w:val="none"/>
        </w:rPr>
        <w:t xml:space="preserve">46 </w:t>
      </w:r>
      <w:r>
        <w:rPr>
          <w:rFonts w:hint="eastAsia" w:ascii="宋体" w:hAnsi="宋体" w:cs="仿宋"/>
          <w:color w:val="auto"/>
          <w:kern w:val="0"/>
          <w:sz w:val="24"/>
          <w:highlight w:val="none"/>
        </w:rPr>
        <w:t>号）的规定，本公司参加</w:t>
      </w:r>
      <w:r>
        <w:rPr>
          <w:rFonts w:hint="eastAsia" w:ascii="宋体" w:hAnsi="宋体" w:cs="仿宋"/>
          <w:color w:val="auto"/>
          <w:kern w:val="0"/>
          <w:sz w:val="24"/>
          <w:highlight w:val="none"/>
          <w:u w:val="single"/>
        </w:rPr>
        <w:t>（单位名称）</w:t>
      </w:r>
      <w:r>
        <w:rPr>
          <w:rFonts w:hint="eastAsia" w:ascii="宋体" w:hAnsi="宋体" w:cs="仿宋"/>
          <w:color w:val="auto"/>
          <w:kern w:val="0"/>
          <w:sz w:val="24"/>
          <w:highlight w:val="none"/>
        </w:rPr>
        <w:t>的</w:t>
      </w:r>
      <w:r>
        <w:rPr>
          <w:rFonts w:hint="eastAsia" w:ascii="宋体" w:hAnsi="宋体" w:cs="仿宋"/>
          <w:color w:val="auto"/>
          <w:kern w:val="0"/>
          <w:sz w:val="24"/>
          <w:highlight w:val="none"/>
          <w:u w:val="single"/>
        </w:rPr>
        <w:t>（项目名称）</w:t>
      </w:r>
      <w:r>
        <w:rPr>
          <w:rFonts w:hint="eastAsia" w:ascii="宋体" w:hAnsi="宋体" w:cs="仿宋"/>
          <w:color w:val="auto"/>
          <w:kern w:val="0"/>
          <w:sz w:val="24"/>
          <w:highlight w:val="none"/>
        </w:rPr>
        <w:t>采购活动，服务全部由符合政策要求的中小企业承接。相关企业（含签订分包意向协议的中小企业）的具体情况如下：</w:t>
      </w:r>
      <w:r>
        <w:rPr>
          <w:rFonts w:ascii="宋体" w:hAnsi="宋体"/>
          <w:color w:val="auto"/>
          <w:sz w:val="24"/>
          <w:highlight w:val="none"/>
        </w:rPr>
        <w:t xml:space="preserve"> </w:t>
      </w:r>
    </w:p>
    <w:p w14:paraId="3233495F">
      <w:pPr>
        <w:shd w:val="clear"/>
        <w:autoSpaceDE w:val="0"/>
        <w:autoSpaceDN w:val="0"/>
        <w:adjustRightInd w:val="0"/>
        <w:spacing w:line="400" w:lineRule="exact"/>
        <w:ind w:firstLine="640"/>
        <w:rPr>
          <w:rFonts w:ascii="宋体" w:hAnsi="宋体" w:cs="仿宋"/>
          <w:color w:val="auto"/>
          <w:kern w:val="0"/>
          <w:sz w:val="24"/>
          <w:highlight w:val="none"/>
        </w:rPr>
      </w:pPr>
      <w:r>
        <w:rPr>
          <w:rFonts w:ascii="宋体" w:hAnsi="宋体" w:cs="仿宋"/>
          <w:color w:val="auto"/>
          <w:kern w:val="0"/>
          <w:sz w:val="24"/>
          <w:highlight w:val="none"/>
        </w:rPr>
        <w:t xml:space="preserve">1. </w:t>
      </w:r>
      <w:r>
        <w:rPr>
          <w:rFonts w:hint="eastAsia" w:ascii="宋体" w:hAnsi="宋体" w:cs="仿宋"/>
          <w:color w:val="auto"/>
          <w:kern w:val="0"/>
          <w:sz w:val="24"/>
          <w:highlight w:val="none"/>
          <w:u w:val="single"/>
        </w:rPr>
        <w:t>（招标控制价及预算编制服务）</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w:t>
      </w:r>
      <w:r>
        <w:rPr>
          <w:rFonts w:hint="eastAsia" w:cs="仿宋" w:asciiTheme="majorEastAsia" w:hAnsiTheme="majorEastAsia" w:eastAsiaTheme="majorEastAsia"/>
          <w:color w:val="auto"/>
          <w:kern w:val="0"/>
          <w:sz w:val="24"/>
          <w:highlight w:val="none"/>
          <w:u w:val="single"/>
        </w:rPr>
        <w:t>租赁和商务服务业</w:t>
      </w:r>
      <w:r>
        <w:rPr>
          <w:rFonts w:hint="eastAsia" w:ascii="宋体" w:hAnsi="宋体" w:cs="仿宋"/>
          <w:color w:val="auto"/>
          <w:kern w:val="0"/>
          <w:sz w:val="24"/>
          <w:highlight w:val="none"/>
          <w:u w:val="single"/>
        </w:rPr>
        <w:t>）</w:t>
      </w:r>
      <w:r>
        <w:rPr>
          <w:rFonts w:hint="eastAsia" w:ascii="宋体" w:hAnsi="宋体" w:cs="仿宋"/>
          <w:color w:val="auto"/>
          <w:kern w:val="0"/>
          <w:sz w:val="24"/>
          <w:highlight w:val="none"/>
        </w:rPr>
        <w:t>；承接企业为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人，营业收入为</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万元，资产总额为</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万元</w:t>
      </w:r>
      <w:r>
        <w:rPr>
          <w:rFonts w:hint="eastAsia" w:ascii="宋体" w:hAnsi="宋体" w:cs="仿宋"/>
          <w:color w:val="auto"/>
          <w:kern w:val="0"/>
          <w:sz w:val="24"/>
          <w:highlight w:val="none"/>
          <w:vertAlign w:val="superscript"/>
        </w:rPr>
        <w:t>1</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3D077D84">
      <w:pPr>
        <w:shd w:val="clear"/>
        <w:snapToGrid w:val="0"/>
        <w:spacing w:line="400" w:lineRule="exact"/>
        <w:ind w:firstLine="600" w:firstLineChars="25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以上企业，不属于大企业的分支机构，不存在控股股东为大企业的情形，也不存在与大企业的负责人为同一人的情形。本企业对上述声明内容的真实性负责。</w:t>
      </w:r>
    </w:p>
    <w:p w14:paraId="208E89B0">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宋体" w:hAnsi="宋体" w:cs="仿宋"/>
          <w:color w:val="auto"/>
          <w:kern w:val="0"/>
          <w:sz w:val="24"/>
          <w:highlight w:val="none"/>
        </w:rPr>
        <w:t>如有虚假，将依法承担相应责任。</w:t>
      </w:r>
    </w:p>
    <w:p w14:paraId="06FFBBEE">
      <w:pPr>
        <w:shd w:val="clear"/>
        <w:spacing w:line="360" w:lineRule="auto"/>
        <w:ind w:right="1760" w:firstLine="480"/>
        <w:jc w:val="right"/>
        <w:rPr>
          <w:rFonts w:asciiTheme="minorEastAsia" w:hAnsiTheme="minorEastAsia" w:eastAsiaTheme="minorEastAsia" w:cstheme="minorEastAsia"/>
          <w:color w:val="auto"/>
          <w:sz w:val="24"/>
          <w:highlight w:val="none"/>
        </w:rPr>
      </w:pPr>
    </w:p>
    <w:p w14:paraId="58EE95CC">
      <w:pPr>
        <w:shd w:val="clear"/>
        <w:spacing w:line="360" w:lineRule="auto"/>
        <w:ind w:right="1760" w:firstLine="48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供应商名称（电子签章）：</w:t>
      </w:r>
    </w:p>
    <w:p w14:paraId="3FB7C3C0">
      <w:pPr>
        <w:shd w:val="clear"/>
        <w:spacing w:line="360" w:lineRule="auto"/>
        <w:ind w:right="1120" w:firstLine="4680" w:firstLineChars="19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5A0E588B">
      <w:pPr>
        <w:shd w:val="clear"/>
        <w:spacing w:line="360" w:lineRule="auto"/>
        <w:ind w:firstLine="310" w:firstLineChars="14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Cs w:val="21"/>
          <w:highlight w:val="none"/>
        </w:rPr>
        <w:t>从业人员、营业收入、资产总额填报上一年度数据，无上一年度数据的新成立企业可不填报。</w:t>
      </w:r>
    </w:p>
    <w:p w14:paraId="352716B1">
      <w:pPr>
        <w:shd w:val="clear"/>
        <w:spacing w:line="360" w:lineRule="auto"/>
        <w:ind w:right="-283" w:firstLine="480"/>
        <w:rPr>
          <w:rFonts w:asciiTheme="minorEastAsia" w:hAnsiTheme="minorEastAsia" w:eastAsiaTheme="minorEastAsia" w:cstheme="minorEastAsia"/>
          <w:color w:val="auto"/>
          <w:sz w:val="24"/>
          <w:highlight w:val="none"/>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bl>
      <w:tblPr>
        <w:tblStyle w:val="27"/>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1B83D337">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299FAB57">
            <w:pPr>
              <w:shd w:val="clear"/>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中小微行业划型标准规定（根据工信部联企业〔2011〕300号制定）</w:t>
            </w:r>
          </w:p>
        </w:tc>
      </w:tr>
      <w:tr w14:paraId="2D3D4D9D">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138C3B19">
            <w:pPr>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vAlign w:val="bottom"/>
          </w:tcPr>
          <w:p w14:paraId="245E2DC7">
            <w:pPr>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2E245798">
            <w:pPr>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6982769F">
            <w:pPr>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4DC3CD0D">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1DAE9CC6">
            <w:pPr>
              <w:shd w:val="clear"/>
              <w:rPr>
                <w:rFonts w:ascii="宋体" w:hAnsi="宋体" w:cs="宋体"/>
                <w:b/>
                <w:bCs/>
                <w:color w:val="auto"/>
                <w:kern w:val="0"/>
                <w:sz w:val="24"/>
                <w:highlight w:val="none"/>
              </w:rPr>
            </w:pPr>
          </w:p>
        </w:tc>
        <w:tc>
          <w:tcPr>
            <w:tcW w:w="1498" w:type="dxa"/>
            <w:tcBorders>
              <w:top w:val="nil"/>
              <w:left w:val="nil"/>
              <w:bottom w:val="single" w:color="auto" w:sz="4" w:space="0"/>
              <w:right w:val="single" w:color="auto" w:sz="4" w:space="0"/>
            </w:tcBorders>
            <w:vAlign w:val="bottom"/>
          </w:tcPr>
          <w:p w14:paraId="151A852C">
            <w:pPr>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763" w:type="dxa"/>
            <w:tcBorders>
              <w:top w:val="nil"/>
              <w:left w:val="nil"/>
              <w:bottom w:val="single" w:color="auto" w:sz="4" w:space="0"/>
              <w:right w:val="single" w:color="auto" w:sz="4" w:space="0"/>
            </w:tcBorders>
            <w:vAlign w:val="bottom"/>
          </w:tcPr>
          <w:p w14:paraId="1963EC7E">
            <w:pPr>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14:paraId="616F8A2B">
            <w:pPr>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60" w:type="dxa"/>
            <w:tcBorders>
              <w:top w:val="nil"/>
              <w:left w:val="nil"/>
              <w:bottom w:val="single" w:color="auto" w:sz="4" w:space="0"/>
              <w:right w:val="single" w:color="auto" w:sz="8" w:space="0"/>
            </w:tcBorders>
            <w:vAlign w:val="bottom"/>
          </w:tcPr>
          <w:p w14:paraId="09AEF71B">
            <w:pPr>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14:paraId="2A9F4FBB">
            <w:pPr>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40" w:type="dxa"/>
            <w:tcBorders>
              <w:top w:val="nil"/>
              <w:left w:val="nil"/>
              <w:bottom w:val="single" w:color="auto" w:sz="4" w:space="0"/>
              <w:right w:val="single" w:color="auto" w:sz="4" w:space="0"/>
            </w:tcBorders>
            <w:vAlign w:val="bottom"/>
          </w:tcPr>
          <w:p w14:paraId="0F6AF15A">
            <w:pPr>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636" w:type="dxa"/>
            <w:tcBorders>
              <w:top w:val="nil"/>
              <w:left w:val="nil"/>
              <w:bottom w:val="single" w:color="auto" w:sz="4" w:space="0"/>
              <w:right w:val="single" w:color="auto" w:sz="4" w:space="0"/>
            </w:tcBorders>
            <w:vAlign w:val="bottom"/>
          </w:tcPr>
          <w:p w14:paraId="062ECA01">
            <w:pPr>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14:paraId="7E239C4C">
            <w:pPr>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20" w:type="dxa"/>
            <w:tcBorders>
              <w:top w:val="nil"/>
              <w:left w:val="nil"/>
              <w:bottom w:val="single" w:color="auto" w:sz="4" w:space="0"/>
              <w:right w:val="single" w:color="auto" w:sz="8" w:space="0"/>
            </w:tcBorders>
            <w:vAlign w:val="bottom"/>
          </w:tcPr>
          <w:p w14:paraId="6EBC3A9A">
            <w:pPr>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14:paraId="6687B3C7">
            <w:pPr>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85" w:type="dxa"/>
            <w:tcBorders>
              <w:top w:val="nil"/>
              <w:left w:val="nil"/>
              <w:bottom w:val="single" w:color="auto" w:sz="4" w:space="0"/>
              <w:right w:val="single" w:color="auto" w:sz="4" w:space="0"/>
            </w:tcBorders>
            <w:vAlign w:val="bottom"/>
          </w:tcPr>
          <w:p w14:paraId="384C096D">
            <w:pPr>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275" w:type="dxa"/>
            <w:tcBorders>
              <w:top w:val="nil"/>
              <w:left w:val="nil"/>
              <w:bottom w:val="single" w:color="auto" w:sz="4" w:space="0"/>
              <w:right w:val="single" w:color="auto" w:sz="4" w:space="0"/>
            </w:tcBorders>
            <w:vAlign w:val="bottom"/>
          </w:tcPr>
          <w:p w14:paraId="749D4CE9">
            <w:pPr>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营业收入Y（万元）</w:t>
            </w:r>
          </w:p>
        </w:tc>
        <w:tc>
          <w:tcPr>
            <w:tcW w:w="1221" w:type="dxa"/>
            <w:tcBorders>
              <w:top w:val="nil"/>
              <w:left w:val="nil"/>
              <w:bottom w:val="single" w:color="auto" w:sz="4" w:space="0"/>
              <w:right w:val="single" w:color="auto" w:sz="8" w:space="0"/>
            </w:tcBorders>
            <w:vAlign w:val="bottom"/>
          </w:tcPr>
          <w:p w14:paraId="4E2221AA">
            <w:pPr>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资产总额Z（万元）</w:t>
            </w:r>
          </w:p>
        </w:tc>
      </w:tr>
      <w:tr w14:paraId="68C885C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04B8277">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1、农林牧渔业</w:t>
            </w:r>
          </w:p>
        </w:tc>
        <w:tc>
          <w:tcPr>
            <w:tcW w:w="1498" w:type="dxa"/>
            <w:tcBorders>
              <w:top w:val="nil"/>
              <w:left w:val="nil"/>
              <w:bottom w:val="single" w:color="auto" w:sz="4" w:space="0"/>
              <w:right w:val="single" w:color="auto" w:sz="4" w:space="0"/>
            </w:tcBorders>
            <w:vAlign w:val="bottom"/>
          </w:tcPr>
          <w:p w14:paraId="40716445">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330740B0">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14:paraId="20B02EF0">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2633ECDF">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1141E78E">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50≤Y＜500</w:t>
            </w:r>
          </w:p>
        </w:tc>
        <w:tc>
          <w:tcPr>
            <w:tcW w:w="1520" w:type="dxa"/>
            <w:tcBorders>
              <w:top w:val="nil"/>
              <w:left w:val="nil"/>
              <w:bottom w:val="single" w:color="auto" w:sz="4" w:space="0"/>
              <w:right w:val="single" w:color="auto" w:sz="8" w:space="0"/>
            </w:tcBorders>
            <w:vAlign w:val="bottom"/>
          </w:tcPr>
          <w:p w14:paraId="44950C08">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488AFD4F">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6E919126">
            <w:pPr>
              <w:shd w:val="clear"/>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vAlign w:val="bottom"/>
          </w:tcPr>
          <w:p w14:paraId="65D2084F">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73F0EC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DDB20E3">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2、工业</w:t>
            </w:r>
          </w:p>
        </w:tc>
        <w:tc>
          <w:tcPr>
            <w:tcW w:w="1498" w:type="dxa"/>
            <w:tcBorders>
              <w:top w:val="nil"/>
              <w:left w:val="nil"/>
              <w:bottom w:val="single" w:color="auto" w:sz="4" w:space="0"/>
              <w:right w:val="single" w:color="auto" w:sz="4" w:space="0"/>
            </w:tcBorders>
            <w:vAlign w:val="bottom"/>
          </w:tcPr>
          <w:p w14:paraId="0B04941A">
            <w:pPr>
              <w:shd w:val="clear"/>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430B1544">
            <w:pPr>
              <w:shd w:val="clear"/>
              <w:rPr>
                <w:rFonts w:ascii="宋体" w:hAnsi="宋体" w:cs="宋体"/>
                <w:color w:val="auto"/>
                <w:kern w:val="0"/>
                <w:sz w:val="20"/>
                <w:highlight w:val="none"/>
              </w:rPr>
            </w:pPr>
            <w:r>
              <w:rPr>
                <w:rFonts w:hint="eastAsia" w:ascii="宋体" w:hAnsi="宋体" w:cs="宋体"/>
                <w:color w:val="auto"/>
                <w:kern w:val="0"/>
                <w:sz w:val="20"/>
                <w:highlight w:val="none"/>
              </w:rPr>
              <w:t>2000≤Y＜40000</w:t>
            </w:r>
          </w:p>
        </w:tc>
        <w:tc>
          <w:tcPr>
            <w:tcW w:w="1660" w:type="dxa"/>
            <w:tcBorders>
              <w:top w:val="nil"/>
              <w:left w:val="nil"/>
              <w:bottom w:val="single" w:color="auto" w:sz="4" w:space="0"/>
              <w:right w:val="single" w:color="auto" w:sz="8" w:space="0"/>
            </w:tcBorders>
            <w:vAlign w:val="bottom"/>
          </w:tcPr>
          <w:p w14:paraId="1E1BFB9A">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FFC085F">
            <w:pPr>
              <w:shd w:val="clear"/>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53224F9D">
            <w:pPr>
              <w:shd w:val="clear"/>
              <w:rPr>
                <w:rFonts w:ascii="宋体" w:hAnsi="宋体" w:cs="宋体"/>
                <w:color w:val="auto"/>
                <w:kern w:val="0"/>
                <w:sz w:val="20"/>
                <w:highlight w:val="none"/>
              </w:rPr>
            </w:pPr>
            <w:r>
              <w:rPr>
                <w:rFonts w:hint="eastAsia" w:ascii="宋体" w:hAnsi="宋体" w:cs="宋体"/>
                <w:color w:val="auto"/>
                <w:kern w:val="0"/>
                <w:sz w:val="20"/>
                <w:highlight w:val="none"/>
              </w:rPr>
              <w:t>300≤Y＜2000</w:t>
            </w:r>
          </w:p>
        </w:tc>
        <w:tc>
          <w:tcPr>
            <w:tcW w:w="1520" w:type="dxa"/>
            <w:tcBorders>
              <w:top w:val="nil"/>
              <w:left w:val="nil"/>
              <w:bottom w:val="single" w:color="auto" w:sz="4" w:space="0"/>
              <w:right w:val="single" w:color="auto" w:sz="8" w:space="0"/>
            </w:tcBorders>
            <w:vAlign w:val="bottom"/>
          </w:tcPr>
          <w:p w14:paraId="53C6CAE6">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3DCCB96E">
            <w:pPr>
              <w:shd w:val="clear"/>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739906E3">
            <w:pPr>
              <w:shd w:val="clear"/>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vAlign w:val="bottom"/>
          </w:tcPr>
          <w:p w14:paraId="7DBC2472">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D08A90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8C7C8AF">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3、建筑业</w:t>
            </w:r>
          </w:p>
        </w:tc>
        <w:tc>
          <w:tcPr>
            <w:tcW w:w="1498" w:type="dxa"/>
            <w:tcBorders>
              <w:top w:val="nil"/>
              <w:left w:val="nil"/>
              <w:bottom w:val="single" w:color="auto" w:sz="4" w:space="0"/>
              <w:right w:val="single" w:color="auto" w:sz="4" w:space="0"/>
            </w:tcBorders>
            <w:vAlign w:val="bottom"/>
          </w:tcPr>
          <w:p w14:paraId="1B39392A">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5473B724">
            <w:pPr>
              <w:shd w:val="clear"/>
              <w:rPr>
                <w:rFonts w:ascii="宋体" w:hAnsi="宋体" w:cs="宋体"/>
                <w:color w:val="auto"/>
                <w:kern w:val="0"/>
                <w:sz w:val="20"/>
                <w:highlight w:val="none"/>
              </w:rPr>
            </w:pPr>
            <w:r>
              <w:rPr>
                <w:rFonts w:hint="eastAsia" w:ascii="宋体" w:hAnsi="宋体" w:cs="宋体"/>
                <w:color w:val="auto"/>
                <w:kern w:val="0"/>
                <w:sz w:val="20"/>
                <w:highlight w:val="none"/>
              </w:rPr>
              <w:t>6000≤Y＜80000</w:t>
            </w:r>
          </w:p>
        </w:tc>
        <w:tc>
          <w:tcPr>
            <w:tcW w:w="1660" w:type="dxa"/>
            <w:tcBorders>
              <w:top w:val="nil"/>
              <w:left w:val="nil"/>
              <w:bottom w:val="single" w:color="auto" w:sz="4" w:space="0"/>
              <w:right w:val="single" w:color="auto" w:sz="8" w:space="0"/>
            </w:tcBorders>
            <w:vAlign w:val="bottom"/>
          </w:tcPr>
          <w:p w14:paraId="611D5EB4">
            <w:pPr>
              <w:shd w:val="clear"/>
              <w:rPr>
                <w:rFonts w:ascii="宋体" w:hAnsi="宋体" w:cs="宋体"/>
                <w:color w:val="auto"/>
                <w:kern w:val="0"/>
                <w:sz w:val="20"/>
                <w:highlight w:val="none"/>
              </w:rPr>
            </w:pPr>
            <w:r>
              <w:rPr>
                <w:rFonts w:hint="eastAsia" w:ascii="宋体" w:hAnsi="宋体" w:cs="宋体"/>
                <w:color w:val="auto"/>
                <w:kern w:val="0"/>
                <w:sz w:val="20"/>
                <w:highlight w:val="none"/>
              </w:rPr>
              <w:t>5000≤Z＜80000</w:t>
            </w:r>
          </w:p>
        </w:tc>
        <w:tc>
          <w:tcPr>
            <w:tcW w:w="1240" w:type="dxa"/>
            <w:tcBorders>
              <w:top w:val="nil"/>
              <w:left w:val="nil"/>
              <w:bottom w:val="single" w:color="auto" w:sz="4" w:space="0"/>
              <w:right w:val="single" w:color="auto" w:sz="4" w:space="0"/>
            </w:tcBorders>
            <w:vAlign w:val="bottom"/>
          </w:tcPr>
          <w:p w14:paraId="26AF62F0">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26DB27D4">
            <w:pPr>
              <w:shd w:val="clear"/>
              <w:rPr>
                <w:rFonts w:ascii="宋体" w:hAnsi="宋体" w:cs="宋体"/>
                <w:color w:val="auto"/>
                <w:kern w:val="0"/>
                <w:sz w:val="20"/>
                <w:highlight w:val="none"/>
              </w:rPr>
            </w:pPr>
            <w:r>
              <w:rPr>
                <w:rFonts w:hint="eastAsia" w:ascii="宋体" w:hAnsi="宋体" w:cs="宋体"/>
                <w:color w:val="auto"/>
                <w:kern w:val="0"/>
                <w:sz w:val="20"/>
                <w:highlight w:val="none"/>
              </w:rPr>
              <w:t>300≤Y＜6000</w:t>
            </w:r>
          </w:p>
        </w:tc>
        <w:tc>
          <w:tcPr>
            <w:tcW w:w="1520" w:type="dxa"/>
            <w:tcBorders>
              <w:top w:val="nil"/>
              <w:left w:val="nil"/>
              <w:bottom w:val="single" w:color="auto" w:sz="4" w:space="0"/>
              <w:right w:val="single" w:color="auto" w:sz="8" w:space="0"/>
            </w:tcBorders>
            <w:vAlign w:val="bottom"/>
          </w:tcPr>
          <w:p w14:paraId="3623F4DB">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300≤Z＜5000</w:t>
            </w:r>
          </w:p>
        </w:tc>
        <w:tc>
          <w:tcPr>
            <w:tcW w:w="1285" w:type="dxa"/>
            <w:tcBorders>
              <w:top w:val="nil"/>
              <w:left w:val="nil"/>
              <w:bottom w:val="single" w:color="auto" w:sz="4" w:space="0"/>
              <w:right w:val="single" w:color="auto" w:sz="4" w:space="0"/>
            </w:tcBorders>
            <w:vAlign w:val="bottom"/>
          </w:tcPr>
          <w:p w14:paraId="025B79C3">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3E8D60A6">
            <w:pPr>
              <w:shd w:val="clear"/>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vAlign w:val="bottom"/>
          </w:tcPr>
          <w:p w14:paraId="20E6B11D">
            <w:pPr>
              <w:shd w:val="clear"/>
              <w:rPr>
                <w:rFonts w:ascii="宋体" w:hAnsi="宋体" w:cs="宋体"/>
                <w:color w:val="auto"/>
                <w:kern w:val="0"/>
                <w:sz w:val="20"/>
                <w:highlight w:val="none"/>
              </w:rPr>
            </w:pPr>
            <w:r>
              <w:rPr>
                <w:rFonts w:hint="eastAsia" w:ascii="宋体" w:hAnsi="宋体" w:cs="宋体"/>
                <w:color w:val="auto"/>
                <w:kern w:val="0"/>
                <w:sz w:val="20"/>
                <w:highlight w:val="none"/>
              </w:rPr>
              <w:t>Z＜300</w:t>
            </w:r>
          </w:p>
        </w:tc>
      </w:tr>
      <w:tr w14:paraId="4C446C8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2763EAC">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4、批发业</w:t>
            </w:r>
          </w:p>
        </w:tc>
        <w:tc>
          <w:tcPr>
            <w:tcW w:w="1498" w:type="dxa"/>
            <w:tcBorders>
              <w:top w:val="nil"/>
              <w:left w:val="nil"/>
              <w:bottom w:val="single" w:color="auto" w:sz="4" w:space="0"/>
              <w:right w:val="single" w:color="auto" w:sz="4" w:space="0"/>
            </w:tcBorders>
            <w:vAlign w:val="bottom"/>
          </w:tcPr>
          <w:p w14:paraId="11DE9BAB">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20≤X＜200</w:t>
            </w:r>
          </w:p>
        </w:tc>
        <w:tc>
          <w:tcPr>
            <w:tcW w:w="1763" w:type="dxa"/>
            <w:tcBorders>
              <w:top w:val="nil"/>
              <w:left w:val="nil"/>
              <w:bottom w:val="single" w:color="auto" w:sz="4" w:space="0"/>
              <w:right w:val="single" w:color="auto" w:sz="4" w:space="0"/>
            </w:tcBorders>
            <w:vAlign w:val="bottom"/>
          </w:tcPr>
          <w:p w14:paraId="55793B1E">
            <w:pPr>
              <w:shd w:val="clear"/>
              <w:rPr>
                <w:rFonts w:ascii="宋体" w:hAnsi="宋体" w:cs="宋体"/>
                <w:color w:val="auto"/>
                <w:kern w:val="0"/>
                <w:sz w:val="20"/>
                <w:highlight w:val="none"/>
              </w:rPr>
            </w:pPr>
            <w:r>
              <w:rPr>
                <w:rFonts w:hint="eastAsia" w:ascii="宋体" w:hAnsi="宋体" w:cs="宋体"/>
                <w:color w:val="auto"/>
                <w:kern w:val="0"/>
                <w:sz w:val="20"/>
                <w:highlight w:val="none"/>
              </w:rPr>
              <w:t>5000≤Y＜40000</w:t>
            </w:r>
          </w:p>
        </w:tc>
        <w:tc>
          <w:tcPr>
            <w:tcW w:w="1660" w:type="dxa"/>
            <w:tcBorders>
              <w:top w:val="nil"/>
              <w:left w:val="nil"/>
              <w:bottom w:val="single" w:color="auto" w:sz="4" w:space="0"/>
              <w:right w:val="single" w:color="auto" w:sz="8" w:space="0"/>
            </w:tcBorders>
            <w:vAlign w:val="bottom"/>
          </w:tcPr>
          <w:p w14:paraId="6ACBC047">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2A5B9F19">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5≤X＜20</w:t>
            </w:r>
          </w:p>
        </w:tc>
        <w:tc>
          <w:tcPr>
            <w:tcW w:w="1636" w:type="dxa"/>
            <w:tcBorders>
              <w:top w:val="nil"/>
              <w:left w:val="nil"/>
              <w:bottom w:val="single" w:color="auto" w:sz="4" w:space="0"/>
              <w:right w:val="single" w:color="auto" w:sz="4" w:space="0"/>
            </w:tcBorders>
            <w:vAlign w:val="bottom"/>
          </w:tcPr>
          <w:p w14:paraId="347F402C">
            <w:pPr>
              <w:shd w:val="clear"/>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520" w:type="dxa"/>
            <w:tcBorders>
              <w:top w:val="nil"/>
              <w:left w:val="nil"/>
              <w:bottom w:val="single" w:color="auto" w:sz="4" w:space="0"/>
              <w:right w:val="single" w:color="auto" w:sz="8" w:space="0"/>
            </w:tcBorders>
            <w:vAlign w:val="bottom"/>
          </w:tcPr>
          <w:p w14:paraId="62B77E87">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6151D908">
            <w:pPr>
              <w:shd w:val="clear"/>
              <w:rPr>
                <w:rFonts w:ascii="宋体" w:hAnsi="宋体" w:cs="宋体"/>
                <w:color w:val="auto"/>
                <w:kern w:val="0"/>
                <w:sz w:val="20"/>
                <w:highlight w:val="none"/>
              </w:rPr>
            </w:pPr>
            <w:r>
              <w:rPr>
                <w:rFonts w:hint="eastAsia" w:ascii="宋体" w:hAnsi="宋体" w:cs="宋体"/>
                <w:color w:val="auto"/>
                <w:kern w:val="0"/>
                <w:sz w:val="20"/>
                <w:highlight w:val="none"/>
              </w:rPr>
              <w:t>X＜5</w:t>
            </w:r>
          </w:p>
        </w:tc>
        <w:tc>
          <w:tcPr>
            <w:tcW w:w="1275" w:type="dxa"/>
            <w:tcBorders>
              <w:top w:val="nil"/>
              <w:left w:val="nil"/>
              <w:bottom w:val="single" w:color="auto" w:sz="4" w:space="0"/>
              <w:right w:val="single" w:color="auto" w:sz="4" w:space="0"/>
            </w:tcBorders>
            <w:vAlign w:val="bottom"/>
          </w:tcPr>
          <w:p w14:paraId="3A59BA76">
            <w:pPr>
              <w:shd w:val="clear"/>
              <w:rPr>
                <w:rFonts w:ascii="宋体" w:hAnsi="宋体" w:cs="宋体"/>
                <w:color w:val="auto"/>
                <w:kern w:val="0"/>
                <w:sz w:val="20"/>
                <w:highlight w:val="none"/>
              </w:rPr>
            </w:pPr>
            <w:r>
              <w:rPr>
                <w:rFonts w:hint="eastAsia" w:ascii="宋体" w:hAnsi="宋体" w:cs="宋体"/>
                <w:color w:val="auto"/>
                <w:kern w:val="0"/>
                <w:sz w:val="20"/>
                <w:highlight w:val="none"/>
              </w:rPr>
              <w:t>Y＜1000</w:t>
            </w:r>
          </w:p>
        </w:tc>
        <w:tc>
          <w:tcPr>
            <w:tcW w:w="1221" w:type="dxa"/>
            <w:tcBorders>
              <w:top w:val="nil"/>
              <w:left w:val="nil"/>
              <w:bottom w:val="single" w:color="auto" w:sz="4" w:space="0"/>
              <w:right w:val="single" w:color="auto" w:sz="8" w:space="0"/>
            </w:tcBorders>
            <w:vAlign w:val="bottom"/>
          </w:tcPr>
          <w:p w14:paraId="544FCA5E">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23F73D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F391369">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5、零售业</w:t>
            </w:r>
          </w:p>
        </w:tc>
        <w:tc>
          <w:tcPr>
            <w:tcW w:w="1498" w:type="dxa"/>
            <w:tcBorders>
              <w:top w:val="nil"/>
              <w:left w:val="nil"/>
              <w:bottom w:val="single" w:color="auto" w:sz="4" w:space="0"/>
              <w:right w:val="single" w:color="auto" w:sz="4" w:space="0"/>
            </w:tcBorders>
            <w:vAlign w:val="bottom"/>
          </w:tcPr>
          <w:p w14:paraId="4E4CF18E">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50≤X＜300</w:t>
            </w:r>
          </w:p>
        </w:tc>
        <w:tc>
          <w:tcPr>
            <w:tcW w:w="1763" w:type="dxa"/>
            <w:tcBorders>
              <w:top w:val="nil"/>
              <w:left w:val="nil"/>
              <w:bottom w:val="single" w:color="auto" w:sz="4" w:space="0"/>
              <w:right w:val="single" w:color="auto" w:sz="4" w:space="0"/>
            </w:tcBorders>
            <w:vAlign w:val="bottom"/>
          </w:tcPr>
          <w:p w14:paraId="0D182BC2">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14:paraId="7A985B88">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46993653">
            <w:pPr>
              <w:shd w:val="clear"/>
              <w:rPr>
                <w:rFonts w:ascii="宋体" w:hAnsi="宋体" w:cs="宋体"/>
                <w:color w:val="auto"/>
                <w:kern w:val="0"/>
                <w:sz w:val="20"/>
                <w:highlight w:val="none"/>
              </w:rPr>
            </w:pPr>
            <w:r>
              <w:rPr>
                <w:rFonts w:hint="eastAsia" w:ascii="宋体" w:hAnsi="宋体" w:cs="宋体"/>
                <w:color w:val="auto"/>
                <w:kern w:val="0"/>
                <w:sz w:val="20"/>
                <w:highlight w:val="none"/>
              </w:rPr>
              <w:t>10≤X＜50</w:t>
            </w:r>
          </w:p>
        </w:tc>
        <w:tc>
          <w:tcPr>
            <w:tcW w:w="1636" w:type="dxa"/>
            <w:tcBorders>
              <w:top w:val="nil"/>
              <w:left w:val="nil"/>
              <w:bottom w:val="single" w:color="auto" w:sz="4" w:space="0"/>
              <w:right w:val="single" w:color="auto" w:sz="4" w:space="0"/>
            </w:tcBorders>
            <w:vAlign w:val="bottom"/>
          </w:tcPr>
          <w:p w14:paraId="072196EC">
            <w:pPr>
              <w:shd w:val="clear"/>
              <w:rPr>
                <w:rFonts w:ascii="宋体" w:hAnsi="宋体" w:cs="宋体"/>
                <w:color w:val="auto"/>
                <w:kern w:val="0"/>
                <w:sz w:val="20"/>
                <w:highlight w:val="none"/>
              </w:rPr>
            </w:pPr>
            <w:r>
              <w:rPr>
                <w:rFonts w:hint="eastAsia" w:ascii="宋体" w:hAnsi="宋体" w:cs="宋体"/>
                <w:color w:val="auto"/>
                <w:kern w:val="0"/>
                <w:sz w:val="20"/>
                <w:highlight w:val="none"/>
              </w:rPr>
              <w:t>100≤Y＜500</w:t>
            </w:r>
          </w:p>
        </w:tc>
        <w:tc>
          <w:tcPr>
            <w:tcW w:w="1520" w:type="dxa"/>
            <w:tcBorders>
              <w:top w:val="nil"/>
              <w:left w:val="nil"/>
              <w:bottom w:val="single" w:color="auto" w:sz="4" w:space="0"/>
              <w:right w:val="single" w:color="auto" w:sz="8" w:space="0"/>
            </w:tcBorders>
            <w:vAlign w:val="bottom"/>
          </w:tcPr>
          <w:p w14:paraId="6CD6CB29">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66E76397">
            <w:pPr>
              <w:shd w:val="clear"/>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15244F8A">
            <w:pPr>
              <w:shd w:val="clear"/>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27D8B848">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EB2D73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87B1A20">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6、交通运输业</w:t>
            </w:r>
          </w:p>
        </w:tc>
        <w:tc>
          <w:tcPr>
            <w:tcW w:w="1498" w:type="dxa"/>
            <w:tcBorders>
              <w:top w:val="nil"/>
              <w:left w:val="nil"/>
              <w:bottom w:val="single" w:color="auto" w:sz="4" w:space="0"/>
              <w:right w:val="single" w:color="auto" w:sz="4" w:space="0"/>
            </w:tcBorders>
            <w:vAlign w:val="bottom"/>
          </w:tcPr>
          <w:p w14:paraId="2384DF14">
            <w:pPr>
              <w:shd w:val="clear"/>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04A9C2CD">
            <w:pPr>
              <w:shd w:val="clear"/>
              <w:rPr>
                <w:rFonts w:ascii="宋体" w:hAnsi="宋体" w:cs="宋体"/>
                <w:color w:val="auto"/>
                <w:kern w:val="0"/>
                <w:sz w:val="20"/>
                <w:highlight w:val="none"/>
              </w:rPr>
            </w:pPr>
            <w:r>
              <w:rPr>
                <w:rFonts w:hint="eastAsia" w:ascii="宋体" w:hAnsi="宋体" w:cs="宋体"/>
                <w:color w:val="auto"/>
                <w:kern w:val="0"/>
                <w:sz w:val="20"/>
                <w:highlight w:val="none"/>
              </w:rPr>
              <w:t>3000≤Y＜30000</w:t>
            </w:r>
          </w:p>
        </w:tc>
        <w:tc>
          <w:tcPr>
            <w:tcW w:w="1660" w:type="dxa"/>
            <w:tcBorders>
              <w:top w:val="nil"/>
              <w:left w:val="nil"/>
              <w:bottom w:val="single" w:color="auto" w:sz="4" w:space="0"/>
              <w:right w:val="single" w:color="auto" w:sz="8" w:space="0"/>
            </w:tcBorders>
            <w:vAlign w:val="bottom"/>
          </w:tcPr>
          <w:p w14:paraId="747D09BF">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75F327F">
            <w:pPr>
              <w:shd w:val="clear"/>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36C593B7">
            <w:pPr>
              <w:shd w:val="clear"/>
              <w:rPr>
                <w:rFonts w:ascii="宋体" w:hAnsi="宋体" w:cs="宋体"/>
                <w:color w:val="auto"/>
                <w:kern w:val="0"/>
                <w:sz w:val="20"/>
                <w:highlight w:val="none"/>
              </w:rPr>
            </w:pPr>
            <w:r>
              <w:rPr>
                <w:rFonts w:hint="eastAsia" w:ascii="宋体" w:hAnsi="宋体" w:cs="宋体"/>
                <w:color w:val="auto"/>
                <w:kern w:val="0"/>
                <w:sz w:val="20"/>
                <w:highlight w:val="none"/>
              </w:rPr>
              <w:t>200≤Y＜3000</w:t>
            </w:r>
          </w:p>
        </w:tc>
        <w:tc>
          <w:tcPr>
            <w:tcW w:w="1520" w:type="dxa"/>
            <w:tcBorders>
              <w:top w:val="nil"/>
              <w:left w:val="nil"/>
              <w:bottom w:val="single" w:color="auto" w:sz="4" w:space="0"/>
              <w:right w:val="single" w:color="auto" w:sz="8" w:space="0"/>
            </w:tcBorders>
            <w:vAlign w:val="bottom"/>
          </w:tcPr>
          <w:p w14:paraId="7BD09B39">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3782F289">
            <w:pPr>
              <w:shd w:val="clear"/>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098BD863">
            <w:pPr>
              <w:shd w:val="clear"/>
              <w:rPr>
                <w:rFonts w:ascii="宋体" w:hAnsi="宋体" w:cs="宋体"/>
                <w:color w:val="auto"/>
                <w:kern w:val="0"/>
                <w:sz w:val="20"/>
                <w:highlight w:val="none"/>
              </w:rPr>
            </w:pPr>
            <w:r>
              <w:rPr>
                <w:rFonts w:hint="eastAsia" w:ascii="宋体" w:hAnsi="宋体" w:cs="宋体"/>
                <w:color w:val="auto"/>
                <w:kern w:val="0"/>
                <w:sz w:val="20"/>
                <w:highlight w:val="none"/>
              </w:rPr>
              <w:t>V＜200</w:t>
            </w:r>
          </w:p>
        </w:tc>
        <w:tc>
          <w:tcPr>
            <w:tcW w:w="1221" w:type="dxa"/>
            <w:tcBorders>
              <w:top w:val="nil"/>
              <w:left w:val="nil"/>
              <w:bottom w:val="single" w:color="auto" w:sz="4" w:space="0"/>
              <w:right w:val="single" w:color="auto" w:sz="8" w:space="0"/>
            </w:tcBorders>
            <w:vAlign w:val="bottom"/>
          </w:tcPr>
          <w:p w14:paraId="252D2CF3">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8A04AB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C328658">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7、仓储业</w:t>
            </w:r>
          </w:p>
        </w:tc>
        <w:tc>
          <w:tcPr>
            <w:tcW w:w="1498" w:type="dxa"/>
            <w:tcBorders>
              <w:top w:val="nil"/>
              <w:left w:val="nil"/>
              <w:bottom w:val="single" w:color="auto" w:sz="4" w:space="0"/>
              <w:right w:val="single" w:color="auto" w:sz="4" w:space="0"/>
            </w:tcBorders>
            <w:vAlign w:val="bottom"/>
          </w:tcPr>
          <w:p w14:paraId="2D35AE4B">
            <w:pPr>
              <w:shd w:val="clear"/>
              <w:rPr>
                <w:rFonts w:ascii="宋体" w:hAnsi="宋体" w:cs="宋体"/>
                <w:color w:val="auto"/>
                <w:kern w:val="0"/>
                <w:sz w:val="20"/>
                <w:highlight w:val="none"/>
              </w:rPr>
            </w:pPr>
            <w:r>
              <w:rPr>
                <w:rFonts w:hint="eastAsia" w:ascii="宋体" w:hAnsi="宋体" w:cs="宋体"/>
                <w:color w:val="auto"/>
                <w:kern w:val="0"/>
                <w:sz w:val="20"/>
                <w:highlight w:val="none"/>
              </w:rPr>
              <w:t>100≤X＜200</w:t>
            </w:r>
          </w:p>
        </w:tc>
        <w:tc>
          <w:tcPr>
            <w:tcW w:w="1763" w:type="dxa"/>
            <w:tcBorders>
              <w:top w:val="nil"/>
              <w:left w:val="nil"/>
              <w:bottom w:val="single" w:color="auto" w:sz="4" w:space="0"/>
              <w:right w:val="single" w:color="auto" w:sz="4" w:space="0"/>
            </w:tcBorders>
            <w:vAlign w:val="bottom"/>
          </w:tcPr>
          <w:p w14:paraId="2FB59D21">
            <w:pPr>
              <w:shd w:val="clear"/>
              <w:rPr>
                <w:rFonts w:ascii="宋体" w:hAnsi="宋体" w:cs="宋体"/>
                <w:color w:val="auto"/>
                <w:kern w:val="0"/>
                <w:sz w:val="20"/>
                <w:highlight w:val="none"/>
              </w:rPr>
            </w:pPr>
            <w:r>
              <w:rPr>
                <w:rFonts w:hint="eastAsia" w:ascii="宋体" w:hAnsi="宋体" w:cs="宋体"/>
                <w:color w:val="auto"/>
                <w:kern w:val="0"/>
                <w:sz w:val="20"/>
                <w:highlight w:val="none"/>
              </w:rPr>
              <w:t>1000≤Y＜30000</w:t>
            </w:r>
          </w:p>
        </w:tc>
        <w:tc>
          <w:tcPr>
            <w:tcW w:w="1660" w:type="dxa"/>
            <w:tcBorders>
              <w:top w:val="nil"/>
              <w:left w:val="nil"/>
              <w:bottom w:val="single" w:color="auto" w:sz="4" w:space="0"/>
              <w:right w:val="single" w:color="auto" w:sz="8" w:space="0"/>
            </w:tcBorders>
            <w:vAlign w:val="bottom"/>
          </w:tcPr>
          <w:p w14:paraId="1EADA0EF">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682BF074">
            <w:pPr>
              <w:shd w:val="clear"/>
              <w:rPr>
                <w:rFonts w:ascii="宋体" w:hAnsi="宋体" w:cs="宋体"/>
                <w:color w:val="auto"/>
                <w:kern w:val="0"/>
                <w:sz w:val="20"/>
                <w:highlight w:val="none"/>
              </w:rPr>
            </w:pPr>
            <w:r>
              <w:rPr>
                <w:rFonts w:hint="eastAsia" w:ascii="宋体" w:hAnsi="宋体" w:cs="宋体"/>
                <w:color w:val="auto"/>
                <w:kern w:val="0"/>
                <w:sz w:val="20"/>
                <w:highlight w:val="none"/>
              </w:rPr>
              <w:t>20≤X＜100</w:t>
            </w:r>
          </w:p>
        </w:tc>
        <w:tc>
          <w:tcPr>
            <w:tcW w:w="1636" w:type="dxa"/>
            <w:tcBorders>
              <w:top w:val="nil"/>
              <w:left w:val="nil"/>
              <w:bottom w:val="single" w:color="auto" w:sz="4" w:space="0"/>
              <w:right w:val="single" w:color="auto" w:sz="4" w:space="0"/>
            </w:tcBorders>
            <w:vAlign w:val="bottom"/>
          </w:tcPr>
          <w:p w14:paraId="33689D4B">
            <w:pPr>
              <w:shd w:val="clear"/>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4DF417AC">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0949BE45">
            <w:pPr>
              <w:shd w:val="clear"/>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77831678">
            <w:pPr>
              <w:shd w:val="clear"/>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6B28EF82">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75A536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B3B2B63">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8、邮政业</w:t>
            </w:r>
          </w:p>
        </w:tc>
        <w:tc>
          <w:tcPr>
            <w:tcW w:w="1498" w:type="dxa"/>
            <w:tcBorders>
              <w:top w:val="nil"/>
              <w:left w:val="nil"/>
              <w:bottom w:val="single" w:color="auto" w:sz="4" w:space="0"/>
              <w:right w:val="single" w:color="auto" w:sz="4" w:space="0"/>
            </w:tcBorders>
            <w:vAlign w:val="bottom"/>
          </w:tcPr>
          <w:p w14:paraId="6EA006F3">
            <w:pPr>
              <w:shd w:val="clear"/>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54FC8579">
            <w:pPr>
              <w:shd w:val="clear"/>
              <w:rPr>
                <w:rFonts w:ascii="宋体" w:hAnsi="宋体" w:cs="宋体"/>
                <w:color w:val="auto"/>
                <w:kern w:val="0"/>
                <w:sz w:val="20"/>
                <w:highlight w:val="none"/>
              </w:rPr>
            </w:pPr>
            <w:r>
              <w:rPr>
                <w:rFonts w:hint="eastAsia" w:ascii="宋体" w:hAnsi="宋体" w:cs="宋体"/>
                <w:color w:val="auto"/>
                <w:kern w:val="0"/>
                <w:sz w:val="20"/>
                <w:highlight w:val="none"/>
              </w:rPr>
              <w:t>2000≤Y＜30000</w:t>
            </w:r>
          </w:p>
        </w:tc>
        <w:tc>
          <w:tcPr>
            <w:tcW w:w="1660" w:type="dxa"/>
            <w:tcBorders>
              <w:top w:val="nil"/>
              <w:left w:val="nil"/>
              <w:bottom w:val="single" w:color="auto" w:sz="4" w:space="0"/>
              <w:right w:val="single" w:color="auto" w:sz="8" w:space="0"/>
            </w:tcBorders>
            <w:vAlign w:val="bottom"/>
          </w:tcPr>
          <w:p w14:paraId="4049CB3B">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1B9438A">
            <w:pPr>
              <w:shd w:val="clear"/>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5C3B2892">
            <w:pPr>
              <w:shd w:val="clear"/>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202FBA0B">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03FC63BE">
            <w:pPr>
              <w:shd w:val="clear"/>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0DFADB7C">
            <w:pPr>
              <w:shd w:val="clear"/>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253CECA3">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EC6FDE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411185E">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9、住宿业</w:t>
            </w:r>
          </w:p>
        </w:tc>
        <w:tc>
          <w:tcPr>
            <w:tcW w:w="1498" w:type="dxa"/>
            <w:tcBorders>
              <w:top w:val="nil"/>
              <w:left w:val="nil"/>
              <w:bottom w:val="single" w:color="auto" w:sz="4" w:space="0"/>
              <w:right w:val="single" w:color="auto" w:sz="4" w:space="0"/>
            </w:tcBorders>
            <w:vAlign w:val="bottom"/>
          </w:tcPr>
          <w:p w14:paraId="03207573">
            <w:pPr>
              <w:shd w:val="clear"/>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773BC847">
            <w:pPr>
              <w:shd w:val="clear"/>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14:paraId="31F26CED">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5C28DF36">
            <w:pPr>
              <w:shd w:val="clear"/>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37D637E4">
            <w:pPr>
              <w:shd w:val="clear"/>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25313C1C">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40AFBD68">
            <w:pPr>
              <w:shd w:val="clear"/>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2E889CC9">
            <w:pPr>
              <w:shd w:val="clear"/>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1F2BEABB">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88373E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9E53B8D">
            <w:pPr>
              <w:shd w:val="clear"/>
              <w:rPr>
                <w:rFonts w:ascii="宋体" w:hAnsi="宋体" w:cs="宋体"/>
                <w:color w:val="auto"/>
                <w:kern w:val="0"/>
                <w:sz w:val="20"/>
                <w:highlight w:val="none"/>
              </w:rPr>
            </w:pPr>
            <w:r>
              <w:rPr>
                <w:rFonts w:hint="eastAsia" w:ascii="宋体" w:hAnsi="宋体" w:cs="宋体"/>
                <w:color w:val="auto"/>
                <w:kern w:val="0"/>
                <w:sz w:val="20"/>
                <w:highlight w:val="none"/>
              </w:rPr>
              <w:t>10、餐饮业</w:t>
            </w:r>
          </w:p>
        </w:tc>
        <w:tc>
          <w:tcPr>
            <w:tcW w:w="1498" w:type="dxa"/>
            <w:tcBorders>
              <w:top w:val="nil"/>
              <w:left w:val="nil"/>
              <w:bottom w:val="single" w:color="auto" w:sz="4" w:space="0"/>
              <w:right w:val="single" w:color="auto" w:sz="4" w:space="0"/>
            </w:tcBorders>
            <w:vAlign w:val="bottom"/>
          </w:tcPr>
          <w:p w14:paraId="08042E9E">
            <w:pPr>
              <w:shd w:val="clear"/>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0FD3A4AA">
            <w:pPr>
              <w:shd w:val="clear"/>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14:paraId="17282317">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3DB835C2">
            <w:pPr>
              <w:shd w:val="clear"/>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4CB13DD2">
            <w:pPr>
              <w:shd w:val="clear"/>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657C6B56">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4659A46B">
            <w:pPr>
              <w:shd w:val="clear"/>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5C3E8E83">
            <w:pPr>
              <w:shd w:val="clear"/>
              <w:rPr>
                <w:rFonts w:ascii="宋体" w:hAnsi="宋体" w:cs="宋体"/>
                <w:color w:val="auto"/>
                <w:kern w:val="0"/>
                <w:sz w:val="20"/>
                <w:highlight w:val="none"/>
              </w:rPr>
            </w:pPr>
            <w:r>
              <w:rPr>
                <w:rFonts w:hint="eastAsia" w:ascii="宋体" w:hAnsi="宋体" w:cs="宋体"/>
                <w:color w:val="auto"/>
                <w:kern w:val="0"/>
                <w:sz w:val="20"/>
                <w:highlight w:val="none"/>
              </w:rPr>
              <w:t>V＜100</w:t>
            </w:r>
          </w:p>
        </w:tc>
        <w:tc>
          <w:tcPr>
            <w:tcW w:w="1221" w:type="dxa"/>
            <w:tcBorders>
              <w:top w:val="nil"/>
              <w:left w:val="nil"/>
              <w:bottom w:val="single" w:color="auto" w:sz="4" w:space="0"/>
              <w:right w:val="single" w:color="auto" w:sz="8" w:space="0"/>
            </w:tcBorders>
            <w:vAlign w:val="bottom"/>
          </w:tcPr>
          <w:p w14:paraId="3C92F42C">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A95651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90DE586">
            <w:pPr>
              <w:shd w:val="clear"/>
              <w:rPr>
                <w:rFonts w:ascii="宋体" w:hAnsi="宋体" w:cs="宋体"/>
                <w:color w:val="auto"/>
                <w:kern w:val="0"/>
                <w:sz w:val="20"/>
                <w:highlight w:val="none"/>
              </w:rPr>
            </w:pPr>
            <w:r>
              <w:rPr>
                <w:rFonts w:hint="eastAsia" w:ascii="宋体" w:hAnsi="宋体" w:cs="宋体"/>
                <w:color w:val="auto"/>
                <w:kern w:val="0"/>
                <w:sz w:val="20"/>
                <w:highlight w:val="none"/>
              </w:rPr>
              <w:t>11、信息传输业</w:t>
            </w:r>
          </w:p>
        </w:tc>
        <w:tc>
          <w:tcPr>
            <w:tcW w:w="1498" w:type="dxa"/>
            <w:tcBorders>
              <w:top w:val="nil"/>
              <w:left w:val="nil"/>
              <w:bottom w:val="single" w:color="auto" w:sz="4" w:space="0"/>
              <w:right w:val="single" w:color="auto" w:sz="4" w:space="0"/>
            </w:tcBorders>
            <w:vAlign w:val="bottom"/>
          </w:tcPr>
          <w:p w14:paraId="4B934CBC">
            <w:pPr>
              <w:shd w:val="clear"/>
              <w:rPr>
                <w:rFonts w:ascii="宋体" w:hAnsi="宋体" w:cs="宋体"/>
                <w:color w:val="auto"/>
                <w:kern w:val="0"/>
                <w:sz w:val="20"/>
                <w:highlight w:val="none"/>
              </w:rPr>
            </w:pPr>
            <w:r>
              <w:rPr>
                <w:rFonts w:hint="eastAsia" w:ascii="宋体" w:hAnsi="宋体" w:cs="宋体"/>
                <w:color w:val="auto"/>
                <w:kern w:val="0"/>
                <w:sz w:val="20"/>
                <w:highlight w:val="none"/>
              </w:rPr>
              <w:t>100≤X＜2000</w:t>
            </w:r>
          </w:p>
        </w:tc>
        <w:tc>
          <w:tcPr>
            <w:tcW w:w="1763" w:type="dxa"/>
            <w:tcBorders>
              <w:top w:val="nil"/>
              <w:left w:val="nil"/>
              <w:bottom w:val="single" w:color="auto" w:sz="4" w:space="0"/>
              <w:right w:val="single" w:color="auto" w:sz="4" w:space="0"/>
            </w:tcBorders>
            <w:vAlign w:val="bottom"/>
          </w:tcPr>
          <w:p w14:paraId="1F7BBBD2">
            <w:pPr>
              <w:shd w:val="clear"/>
              <w:rPr>
                <w:rFonts w:ascii="宋体" w:hAnsi="宋体" w:cs="宋体"/>
                <w:color w:val="auto"/>
                <w:kern w:val="0"/>
                <w:sz w:val="20"/>
                <w:highlight w:val="none"/>
              </w:rPr>
            </w:pPr>
            <w:r>
              <w:rPr>
                <w:rFonts w:hint="eastAsia" w:ascii="宋体" w:hAnsi="宋体" w:cs="宋体"/>
                <w:color w:val="auto"/>
                <w:kern w:val="0"/>
                <w:sz w:val="20"/>
                <w:highlight w:val="none"/>
              </w:rPr>
              <w:t>1000≤Y＜100000</w:t>
            </w:r>
          </w:p>
        </w:tc>
        <w:tc>
          <w:tcPr>
            <w:tcW w:w="1660" w:type="dxa"/>
            <w:tcBorders>
              <w:top w:val="nil"/>
              <w:left w:val="nil"/>
              <w:bottom w:val="single" w:color="auto" w:sz="4" w:space="0"/>
              <w:right w:val="single" w:color="auto" w:sz="8" w:space="0"/>
            </w:tcBorders>
            <w:vAlign w:val="bottom"/>
          </w:tcPr>
          <w:p w14:paraId="6061131D">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4F96131D">
            <w:pPr>
              <w:shd w:val="clear"/>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1B3A17F9">
            <w:pPr>
              <w:shd w:val="clear"/>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083D27D8">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11D0587E">
            <w:pPr>
              <w:shd w:val="clear"/>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4B18CB37">
            <w:pPr>
              <w:shd w:val="clear"/>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63AC5CFC">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6E3DA6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25909BE">
            <w:pPr>
              <w:shd w:val="clear"/>
              <w:rPr>
                <w:rFonts w:ascii="宋体" w:hAnsi="宋体" w:cs="宋体"/>
                <w:color w:val="auto"/>
                <w:kern w:val="0"/>
                <w:sz w:val="20"/>
                <w:highlight w:val="none"/>
              </w:rPr>
            </w:pPr>
            <w:r>
              <w:rPr>
                <w:rFonts w:hint="eastAsia" w:ascii="宋体" w:hAnsi="宋体" w:cs="宋体"/>
                <w:color w:val="auto"/>
                <w:kern w:val="0"/>
                <w:sz w:val="15"/>
                <w:highlight w:val="none"/>
              </w:rPr>
              <w:t>12、软件和信息技术服务业</w:t>
            </w:r>
          </w:p>
        </w:tc>
        <w:tc>
          <w:tcPr>
            <w:tcW w:w="1498" w:type="dxa"/>
            <w:tcBorders>
              <w:top w:val="nil"/>
              <w:left w:val="nil"/>
              <w:bottom w:val="single" w:color="auto" w:sz="4" w:space="0"/>
              <w:right w:val="single" w:color="auto" w:sz="4" w:space="0"/>
            </w:tcBorders>
            <w:vAlign w:val="bottom"/>
          </w:tcPr>
          <w:p w14:paraId="68D1B737">
            <w:pPr>
              <w:shd w:val="clear"/>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2FCBB7CB">
            <w:pPr>
              <w:shd w:val="clear"/>
              <w:rPr>
                <w:rFonts w:ascii="宋体" w:hAnsi="宋体" w:cs="宋体"/>
                <w:color w:val="auto"/>
                <w:kern w:val="0"/>
                <w:sz w:val="20"/>
                <w:highlight w:val="none"/>
              </w:rPr>
            </w:pPr>
            <w:r>
              <w:rPr>
                <w:rFonts w:hint="eastAsia" w:ascii="宋体" w:hAnsi="宋体" w:cs="宋体"/>
                <w:color w:val="auto"/>
                <w:kern w:val="0"/>
                <w:sz w:val="20"/>
                <w:highlight w:val="none"/>
              </w:rPr>
              <w:t>1000≤Y＜10000</w:t>
            </w:r>
          </w:p>
        </w:tc>
        <w:tc>
          <w:tcPr>
            <w:tcW w:w="1660" w:type="dxa"/>
            <w:tcBorders>
              <w:top w:val="nil"/>
              <w:left w:val="nil"/>
              <w:bottom w:val="single" w:color="auto" w:sz="4" w:space="0"/>
              <w:right w:val="single" w:color="auto" w:sz="8" w:space="0"/>
            </w:tcBorders>
            <w:vAlign w:val="bottom"/>
          </w:tcPr>
          <w:p w14:paraId="443F043D">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691B4480">
            <w:pPr>
              <w:shd w:val="clear"/>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3ABA7A28">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50≤Y＜1000</w:t>
            </w:r>
          </w:p>
        </w:tc>
        <w:tc>
          <w:tcPr>
            <w:tcW w:w="1520" w:type="dxa"/>
            <w:tcBorders>
              <w:top w:val="nil"/>
              <w:left w:val="nil"/>
              <w:bottom w:val="single" w:color="auto" w:sz="4" w:space="0"/>
              <w:right w:val="single" w:color="auto" w:sz="8" w:space="0"/>
            </w:tcBorders>
            <w:vAlign w:val="bottom"/>
          </w:tcPr>
          <w:p w14:paraId="44F0E4D9">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46790BD5">
            <w:pPr>
              <w:shd w:val="clear"/>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4AFDEFE9">
            <w:pPr>
              <w:shd w:val="clear"/>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vAlign w:val="bottom"/>
          </w:tcPr>
          <w:p w14:paraId="2F5E6908">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688A0EB">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7E28C141">
            <w:pPr>
              <w:shd w:val="clear"/>
              <w:rPr>
                <w:rFonts w:ascii="宋体" w:hAnsi="宋体" w:cs="宋体"/>
                <w:color w:val="auto"/>
                <w:kern w:val="0"/>
                <w:sz w:val="20"/>
                <w:highlight w:val="none"/>
              </w:rPr>
            </w:pPr>
            <w:r>
              <w:rPr>
                <w:rFonts w:hint="eastAsia" w:ascii="宋体" w:hAnsi="宋体" w:cs="宋体"/>
                <w:color w:val="auto"/>
                <w:kern w:val="0"/>
                <w:sz w:val="20"/>
                <w:highlight w:val="none"/>
              </w:rPr>
              <w:t>13、房地产开发经营</w:t>
            </w:r>
          </w:p>
        </w:tc>
        <w:tc>
          <w:tcPr>
            <w:tcW w:w="1498" w:type="dxa"/>
            <w:tcBorders>
              <w:top w:val="nil"/>
              <w:left w:val="nil"/>
              <w:bottom w:val="single" w:color="auto" w:sz="4" w:space="0"/>
              <w:right w:val="single" w:color="auto" w:sz="4" w:space="0"/>
            </w:tcBorders>
            <w:vAlign w:val="bottom"/>
          </w:tcPr>
          <w:p w14:paraId="4A46888B">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55A6A67B">
            <w:pPr>
              <w:shd w:val="clear"/>
              <w:rPr>
                <w:rFonts w:ascii="宋体" w:hAnsi="宋体" w:cs="宋体"/>
                <w:color w:val="auto"/>
                <w:kern w:val="0"/>
                <w:sz w:val="20"/>
                <w:highlight w:val="none"/>
              </w:rPr>
            </w:pPr>
            <w:r>
              <w:rPr>
                <w:rFonts w:hint="eastAsia" w:ascii="宋体" w:hAnsi="宋体" w:cs="宋体"/>
                <w:color w:val="auto"/>
                <w:kern w:val="0"/>
                <w:sz w:val="20"/>
                <w:highlight w:val="none"/>
              </w:rPr>
              <w:t>1000≤Y＜200000</w:t>
            </w:r>
          </w:p>
        </w:tc>
        <w:tc>
          <w:tcPr>
            <w:tcW w:w="1660" w:type="dxa"/>
            <w:tcBorders>
              <w:top w:val="nil"/>
              <w:left w:val="nil"/>
              <w:bottom w:val="single" w:color="auto" w:sz="4" w:space="0"/>
              <w:right w:val="single" w:color="auto" w:sz="8" w:space="0"/>
            </w:tcBorders>
            <w:vAlign w:val="bottom"/>
          </w:tcPr>
          <w:p w14:paraId="779C9159">
            <w:pPr>
              <w:shd w:val="clear"/>
              <w:rPr>
                <w:rFonts w:ascii="宋体" w:hAnsi="宋体" w:cs="宋体"/>
                <w:color w:val="auto"/>
                <w:kern w:val="0"/>
                <w:sz w:val="20"/>
                <w:highlight w:val="none"/>
              </w:rPr>
            </w:pPr>
            <w:r>
              <w:rPr>
                <w:rFonts w:hint="eastAsia" w:ascii="宋体" w:hAnsi="宋体" w:cs="宋体"/>
                <w:color w:val="auto"/>
                <w:kern w:val="0"/>
                <w:sz w:val="20"/>
                <w:highlight w:val="none"/>
              </w:rPr>
              <w:t>5000≤Z＜10000</w:t>
            </w:r>
          </w:p>
        </w:tc>
        <w:tc>
          <w:tcPr>
            <w:tcW w:w="1240" w:type="dxa"/>
            <w:tcBorders>
              <w:top w:val="nil"/>
              <w:left w:val="nil"/>
              <w:bottom w:val="single" w:color="auto" w:sz="4" w:space="0"/>
              <w:right w:val="single" w:color="auto" w:sz="4" w:space="0"/>
            </w:tcBorders>
            <w:vAlign w:val="bottom"/>
          </w:tcPr>
          <w:p w14:paraId="48BE71C7">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65FB9B66">
            <w:pPr>
              <w:shd w:val="clear"/>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6D84276C">
            <w:pPr>
              <w:shd w:val="clear"/>
              <w:rPr>
                <w:rFonts w:ascii="宋体" w:hAnsi="宋体" w:cs="宋体"/>
                <w:color w:val="auto"/>
                <w:kern w:val="0"/>
                <w:sz w:val="20"/>
                <w:highlight w:val="none"/>
              </w:rPr>
            </w:pPr>
            <w:r>
              <w:rPr>
                <w:rFonts w:hint="eastAsia" w:ascii="宋体" w:hAnsi="宋体" w:cs="宋体"/>
                <w:color w:val="auto"/>
                <w:kern w:val="0"/>
                <w:sz w:val="20"/>
                <w:highlight w:val="none"/>
              </w:rPr>
              <w:t>2000≤Z＜5000</w:t>
            </w:r>
          </w:p>
        </w:tc>
        <w:tc>
          <w:tcPr>
            <w:tcW w:w="1285" w:type="dxa"/>
            <w:tcBorders>
              <w:top w:val="nil"/>
              <w:left w:val="nil"/>
              <w:bottom w:val="single" w:color="auto" w:sz="4" w:space="0"/>
              <w:right w:val="single" w:color="auto" w:sz="4" w:space="0"/>
            </w:tcBorders>
            <w:vAlign w:val="bottom"/>
          </w:tcPr>
          <w:p w14:paraId="75B2CAB9">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65CC509E">
            <w:pPr>
              <w:shd w:val="clear"/>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2F5D3342">
            <w:pPr>
              <w:shd w:val="clear"/>
              <w:rPr>
                <w:rFonts w:ascii="宋体" w:hAnsi="宋体" w:cs="宋体"/>
                <w:color w:val="auto"/>
                <w:kern w:val="0"/>
                <w:sz w:val="20"/>
                <w:highlight w:val="none"/>
              </w:rPr>
            </w:pPr>
            <w:r>
              <w:rPr>
                <w:rFonts w:hint="eastAsia" w:ascii="宋体" w:hAnsi="宋体" w:cs="宋体"/>
                <w:color w:val="auto"/>
                <w:kern w:val="0"/>
                <w:sz w:val="20"/>
                <w:highlight w:val="none"/>
              </w:rPr>
              <w:t>Z＜2000</w:t>
            </w:r>
          </w:p>
        </w:tc>
      </w:tr>
      <w:tr w14:paraId="7E86EE8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25DA0A22">
            <w:pPr>
              <w:shd w:val="clear"/>
              <w:rPr>
                <w:rFonts w:ascii="宋体" w:hAnsi="宋体" w:cs="宋体"/>
                <w:color w:val="auto"/>
                <w:kern w:val="0"/>
                <w:sz w:val="20"/>
                <w:highlight w:val="none"/>
              </w:rPr>
            </w:pPr>
            <w:r>
              <w:rPr>
                <w:rFonts w:hint="eastAsia" w:ascii="宋体" w:hAnsi="宋体" w:cs="宋体"/>
                <w:color w:val="auto"/>
                <w:kern w:val="0"/>
                <w:sz w:val="20"/>
                <w:highlight w:val="none"/>
              </w:rPr>
              <w:t>14、物业管理</w:t>
            </w:r>
          </w:p>
        </w:tc>
        <w:tc>
          <w:tcPr>
            <w:tcW w:w="1498" w:type="dxa"/>
            <w:tcBorders>
              <w:top w:val="nil"/>
              <w:left w:val="nil"/>
              <w:bottom w:val="single" w:color="auto" w:sz="4" w:space="0"/>
              <w:right w:val="single" w:color="auto" w:sz="4" w:space="0"/>
            </w:tcBorders>
            <w:vAlign w:val="bottom"/>
          </w:tcPr>
          <w:p w14:paraId="1D3FA9DA">
            <w:pPr>
              <w:shd w:val="clear"/>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2CE11930">
            <w:pPr>
              <w:shd w:val="clear"/>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660" w:type="dxa"/>
            <w:tcBorders>
              <w:top w:val="nil"/>
              <w:left w:val="nil"/>
              <w:bottom w:val="single" w:color="auto" w:sz="4" w:space="0"/>
              <w:right w:val="single" w:color="auto" w:sz="8" w:space="0"/>
            </w:tcBorders>
            <w:vAlign w:val="bottom"/>
          </w:tcPr>
          <w:p w14:paraId="7F363D98">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30351E63">
            <w:pPr>
              <w:shd w:val="clear"/>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636" w:type="dxa"/>
            <w:tcBorders>
              <w:top w:val="nil"/>
              <w:left w:val="nil"/>
              <w:bottom w:val="single" w:color="auto" w:sz="4" w:space="0"/>
              <w:right w:val="single" w:color="auto" w:sz="4" w:space="0"/>
            </w:tcBorders>
            <w:vAlign w:val="bottom"/>
          </w:tcPr>
          <w:p w14:paraId="339E5A21">
            <w:pPr>
              <w:shd w:val="clear"/>
              <w:rPr>
                <w:rFonts w:ascii="宋体" w:hAnsi="宋体" w:cs="宋体"/>
                <w:color w:val="auto"/>
                <w:kern w:val="0"/>
                <w:sz w:val="20"/>
                <w:highlight w:val="none"/>
              </w:rPr>
            </w:pPr>
            <w:r>
              <w:rPr>
                <w:rFonts w:hint="eastAsia" w:ascii="宋体" w:hAnsi="宋体" w:cs="宋体"/>
                <w:color w:val="auto"/>
                <w:kern w:val="0"/>
                <w:sz w:val="20"/>
                <w:highlight w:val="none"/>
              </w:rPr>
              <w:t>500≤Y＜1000</w:t>
            </w:r>
          </w:p>
        </w:tc>
        <w:tc>
          <w:tcPr>
            <w:tcW w:w="1520" w:type="dxa"/>
            <w:tcBorders>
              <w:top w:val="nil"/>
              <w:left w:val="nil"/>
              <w:bottom w:val="single" w:color="auto" w:sz="4" w:space="0"/>
              <w:right w:val="single" w:color="auto" w:sz="8" w:space="0"/>
            </w:tcBorders>
            <w:vAlign w:val="bottom"/>
          </w:tcPr>
          <w:p w14:paraId="5344B19A">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F210303">
            <w:pPr>
              <w:shd w:val="clear"/>
              <w:rPr>
                <w:rFonts w:ascii="宋体" w:hAnsi="宋体" w:cs="宋体"/>
                <w:color w:val="auto"/>
                <w:kern w:val="0"/>
                <w:sz w:val="20"/>
                <w:highlight w:val="none"/>
              </w:rPr>
            </w:pPr>
            <w:r>
              <w:rPr>
                <w:rFonts w:hint="eastAsia" w:ascii="宋体" w:hAnsi="宋体" w:cs="宋体"/>
                <w:color w:val="auto"/>
                <w:kern w:val="0"/>
                <w:sz w:val="20"/>
                <w:highlight w:val="none"/>
              </w:rPr>
              <w:t>X＜100</w:t>
            </w:r>
          </w:p>
        </w:tc>
        <w:tc>
          <w:tcPr>
            <w:tcW w:w="1275" w:type="dxa"/>
            <w:tcBorders>
              <w:top w:val="nil"/>
              <w:left w:val="nil"/>
              <w:bottom w:val="single" w:color="auto" w:sz="4" w:space="0"/>
              <w:right w:val="single" w:color="auto" w:sz="4" w:space="0"/>
            </w:tcBorders>
            <w:vAlign w:val="bottom"/>
          </w:tcPr>
          <w:p w14:paraId="00011D7C">
            <w:pPr>
              <w:shd w:val="clear"/>
              <w:rPr>
                <w:rFonts w:ascii="宋体" w:hAnsi="宋体" w:cs="宋体"/>
                <w:color w:val="auto"/>
                <w:kern w:val="0"/>
                <w:sz w:val="20"/>
                <w:highlight w:val="none"/>
              </w:rPr>
            </w:pPr>
            <w:r>
              <w:rPr>
                <w:rFonts w:hint="eastAsia" w:ascii="宋体" w:hAnsi="宋体" w:cs="宋体"/>
                <w:color w:val="auto"/>
                <w:kern w:val="0"/>
                <w:sz w:val="20"/>
                <w:highlight w:val="none"/>
              </w:rPr>
              <w:t>Y＜500</w:t>
            </w:r>
          </w:p>
        </w:tc>
        <w:tc>
          <w:tcPr>
            <w:tcW w:w="1221" w:type="dxa"/>
            <w:tcBorders>
              <w:top w:val="nil"/>
              <w:left w:val="nil"/>
              <w:bottom w:val="single" w:color="auto" w:sz="4" w:space="0"/>
              <w:right w:val="single" w:color="auto" w:sz="8" w:space="0"/>
            </w:tcBorders>
            <w:vAlign w:val="bottom"/>
          </w:tcPr>
          <w:p w14:paraId="4F6C6248">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32276FA">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4D8F7139">
            <w:pPr>
              <w:shd w:val="clear"/>
              <w:rPr>
                <w:rFonts w:ascii="宋体" w:hAnsi="宋体" w:cs="宋体"/>
                <w:color w:val="auto"/>
                <w:kern w:val="0"/>
                <w:sz w:val="20"/>
                <w:highlight w:val="none"/>
              </w:rPr>
            </w:pPr>
            <w:r>
              <w:rPr>
                <w:rFonts w:hint="eastAsia" w:ascii="宋体" w:hAnsi="宋体" w:cs="宋体"/>
                <w:color w:val="auto"/>
                <w:kern w:val="0"/>
                <w:sz w:val="18"/>
                <w:highlight w:val="none"/>
              </w:rPr>
              <w:t>15、租赁和商务服务业</w:t>
            </w:r>
          </w:p>
        </w:tc>
        <w:tc>
          <w:tcPr>
            <w:tcW w:w="1498" w:type="dxa"/>
            <w:tcBorders>
              <w:top w:val="nil"/>
              <w:left w:val="nil"/>
              <w:bottom w:val="single" w:color="auto" w:sz="4" w:space="0"/>
              <w:right w:val="single" w:color="auto" w:sz="4" w:space="0"/>
            </w:tcBorders>
            <w:vAlign w:val="bottom"/>
          </w:tcPr>
          <w:p w14:paraId="7C20863B">
            <w:pPr>
              <w:shd w:val="clear"/>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4D464979">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60" w:type="dxa"/>
            <w:tcBorders>
              <w:top w:val="nil"/>
              <w:left w:val="nil"/>
              <w:bottom w:val="single" w:color="auto" w:sz="4" w:space="0"/>
              <w:right w:val="single" w:color="auto" w:sz="8" w:space="0"/>
            </w:tcBorders>
            <w:vAlign w:val="bottom"/>
          </w:tcPr>
          <w:p w14:paraId="0913E357">
            <w:pPr>
              <w:shd w:val="clear"/>
              <w:rPr>
                <w:rFonts w:ascii="宋体" w:hAnsi="宋体" w:cs="宋体"/>
                <w:color w:val="auto"/>
                <w:kern w:val="0"/>
                <w:sz w:val="20"/>
                <w:highlight w:val="none"/>
              </w:rPr>
            </w:pPr>
            <w:r>
              <w:rPr>
                <w:rFonts w:hint="eastAsia" w:ascii="宋体" w:hAnsi="宋体" w:cs="宋体"/>
                <w:color w:val="auto"/>
                <w:kern w:val="0"/>
                <w:sz w:val="18"/>
                <w:highlight w:val="none"/>
              </w:rPr>
              <w:t>8000≤Z＜120000</w:t>
            </w:r>
          </w:p>
        </w:tc>
        <w:tc>
          <w:tcPr>
            <w:tcW w:w="1240" w:type="dxa"/>
            <w:tcBorders>
              <w:top w:val="nil"/>
              <w:left w:val="nil"/>
              <w:bottom w:val="single" w:color="auto" w:sz="4" w:space="0"/>
              <w:right w:val="single" w:color="auto" w:sz="4" w:space="0"/>
            </w:tcBorders>
            <w:vAlign w:val="bottom"/>
          </w:tcPr>
          <w:p w14:paraId="209D9632">
            <w:pPr>
              <w:shd w:val="clear"/>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56B35BA7">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20" w:type="dxa"/>
            <w:tcBorders>
              <w:top w:val="nil"/>
              <w:left w:val="nil"/>
              <w:bottom w:val="single" w:color="auto" w:sz="4" w:space="0"/>
              <w:right w:val="single" w:color="auto" w:sz="8" w:space="0"/>
            </w:tcBorders>
            <w:vAlign w:val="bottom"/>
          </w:tcPr>
          <w:p w14:paraId="7C3B3ACC">
            <w:pPr>
              <w:shd w:val="clear"/>
              <w:rPr>
                <w:rFonts w:ascii="宋体" w:hAnsi="宋体" w:cs="宋体"/>
                <w:color w:val="auto"/>
                <w:kern w:val="0"/>
                <w:sz w:val="20"/>
                <w:highlight w:val="none"/>
              </w:rPr>
            </w:pPr>
            <w:r>
              <w:rPr>
                <w:rFonts w:hint="eastAsia" w:ascii="宋体" w:hAnsi="宋体" w:cs="宋体"/>
                <w:color w:val="auto"/>
                <w:kern w:val="0"/>
                <w:sz w:val="20"/>
                <w:highlight w:val="none"/>
              </w:rPr>
              <w:t xml:space="preserve"> 100≤Z＜8000</w:t>
            </w:r>
          </w:p>
        </w:tc>
        <w:tc>
          <w:tcPr>
            <w:tcW w:w="1285" w:type="dxa"/>
            <w:tcBorders>
              <w:top w:val="nil"/>
              <w:left w:val="nil"/>
              <w:bottom w:val="single" w:color="auto" w:sz="4" w:space="0"/>
              <w:right w:val="single" w:color="auto" w:sz="4" w:space="0"/>
            </w:tcBorders>
            <w:vAlign w:val="bottom"/>
          </w:tcPr>
          <w:p w14:paraId="5B99E5A3">
            <w:pPr>
              <w:shd w:val="clear"/>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66EFC287">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21" w:type="dxa"/>
            <w:tcBorders>
              <w:top w:val="nil"/>
              <w:left w:val="nil"/>
              <w:bottom w:val="single" w:color="auto" w:sz="4" w:space="0"/>
              <w:right w:val="single" w:color="auto" w:sz="8" w:space="0"/>
            </w:tcBorders>
            <w:vAlign w:val="bottom"/>
          </w:tcPr>
          <w:p w14:paraId="528BCF27">
            <w:pPr>
              <w:shd w:val="clear"/>
              <w:rPr>
                <w:rFonts w:ascii="宋体" w:hAnsi="宋体" w:cs="宋体"/>
                <w:color w:val="auto"/>
                <w:kern w:val="0"/>
                <w:sz w:val="20"/>
                <w:highlight w:val="none"/>
              </w:rPr>
            </w:pPr>
            <w:r>
              <w:rPr>
                <w:rFonts w:hint="eastAsia" w:ascii="宋体" w:hAnsi="宋体" w:cs="宋体"/>
                <w:color w:val="auto"/>
                <w:kern w:val="0"/>
                <w:sz w:val="20"/>
                <w:highlight w:val="none"/>
              </w:rPr>
              <w:t>Z＜100</w:t>
            </w:r>
          </w:p>
        </w:tc>
      </w:tr>
      <w:tr w14:paraId="309BC434">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33645D27">
            <w:pPr>
              <w:shd w:val="clear"/>
              <w:rPr>
                <w:rFonts w:ascii="宋体" w:hAnsi="宋体" w:cs="宋体"/>
                <w:color w:val="auto"/>
                <w:kern w:val="0"/>
                <w:sz w:val="20"/>
                <w:highlight w:val="none"/>
              </w:rPr>
            </w:pPr>
            <w:r>
              <w:rPr>
                <w:rFonts w:hint="eastAsia" w:ascii="宋体" w:hAnsi="宋体" w:cs="宋体"/>
                <w:color w:val="auto"/>
                <w:kern w:val="0"/>
                <w:sz w:val="20"/>
                <w:highlight w:val="none"/>
              </w:rPr>
              <w:t>16、其他未列明行业</w:t>
            </w:r>
          </w:p>
        </w:tc>
        <w:tc>
          <w:tcPr>
            <w:tcW w:w="1498" w:type="dxa"/>
            <w:tcBorders>
              <w:top w:val="nil"/>
              <w:left w:val="nil"/>
              <w:bottom w:val="single" w:color="auto" w:sz="8" w:space="0"/>
              <w:right w:val="single" w:color="auto" w:sz="4" w:space="0"/>
            </w:tcBorders>
            <w:vAlign w:val="bottom"/>
          </w:tcPr>
          <w:p w14:paraId="15AB3057">
            <w:pPr>
              <w:shd w:val="clear"/>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8" w:space="0"/>
              <w:right w:val="single" w:color="auto" w:sz="4" w:space="0"/>
            </w:tcBorders>
            <w:vAlign w:val="bottom"/>
          </w:tcPr>
          <w:p w14:paraId="7A7EFE13">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60" w:type="dxa"/>
            <w:tcBorders>
              <w:top w:val="nil"/>
              <w:left w:val="nil"/>
              <w:bottom w:val="single" w:color="auto" w:sz="8" w:space="0"/>
              <w:right w:val="single" w:color="auto" w:sz="8" w:space="0"/>
            </w:tcBorders>
            <w:vAlign w:val="bottom"/>
          </w:tcPr>
          <w:p w14:paraId="24C76DC1">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8" w:space="0"/>
              <w:right w:val="single" w:color="auto" w:sz="4" w:space="0"/>
            </w:tcBorders>
            <w:vAlign w:val="bottom"/>
          </w:tcPr>
          <w:p w14:paraId="6E4D8038">
            <w:pPr>
              <w:shd w:val="clear"/>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8" w:space="0"/>
              <w:right w:val="single" w:color="auto" w:sz="4" w:space="0"/>
            </w:tcBorders>
            <w:vAlign w:val="bottom"/>
          </w:tcPr>
          <w:p w14:paraId="2A1ED406">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20" w:type="dxa"/>
            <w:tcBorders>
              <w:top w:val="nil"/>
              <w:left w:val="nil"/>
              <w:bottom w:val="single" w:color="auto" w:sz="8" w:space="0"/>
              <w:right w:val="single" w:color="auto" w:sz="8" w:space="0"/>
            </w:tcBorders>
            <w:vAlign w:val="bottom"/>
          </w:tcPr>
          <w:p w14:paraId="388EB676">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8" w:space="0"/>
              <w:right w:val="single" w:color="auto" w:sz="4" w:space="0"/>
            </w:tcBorders>
            <w:vAlign w:val="bottom"/>
          </w:tcPr>
          <w:p w14:paraId="4765C8B7">
            <w:pPr>
              <w:shd w:val="clear"/>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8" w:space="0"/>
              <w:right w:val="single" w:color="auto" w:sz="4" w:space="0"/>
            </w:tcBorders>
            <w:vAlign w:val="bottom"/>
          </w:tcPr>
          <w:p w14:paraId="16ABFB9A">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21" w:type="dxa"/>
            <w:tcBorders>
              <w:top w:val="nil"/>
              <w:left w:val="nil"/>
              <w:bottom w:val="single" w:color="auto" w:sz="8" w:space="0"/>
              <w:right w:val="single" w:color="auto" w:sz="8" w:space="0"/>
            </w:tcBorders>
            <w:vAlign w:val="bottom"/>
          </w:tcPr>
          <w:p w14:paraId="18590B88">
            <w:pPr>
              <w:shd w:val="clear"/>
              <w:rPr>
                <w:rFonts w:ascii="宋体" w:hAnsi="宋体" w:cs="宋体"/>
                <w:color w:val="auto"/>
                <w:kern w:val="0"/>
                <w:sz w:val="20"/>
                <w:highlight w:val="none"/>
              </w:rPr>
            </w:pPr>
            <w:r>
              <w:rPr>
                <w:rFonts w:hint="eastAsia" w:ascii="宋体" w:hAnsi="宋体" w:cs="宋体"/>
                <w:color w:val="auto"/>
                <w:kern w:val="0"/>
                <w:sz w:val="20"/>
                <w:highlight w:val="none"/>
              </w:rPr>
              <w:t>　</w:t>
            </w:r>
          </w:p>
        </w:tc>
      </w:tr>
    </w:tbl>
    <w:p w14:paraId="3267199B">
      <w:pPr>
        <w:shd w:val="clear"/>
        <w:spacing w:line="360" w:lineRule="auto"/>
        <w:ind w:right="-283" w:firstLine="480"/>
        <w:rPr>
          <w:rFonts w:asciiTheme="minorEastAsia" w:hAnsiTheme="minorEastAsia" w:eastAsiaTheme="minorEastAsia" w:cstheme="minorEastAsia"/>
          <w:color w:val="auto"/>
          <w:sz w:val="24"/>
          <w:highlight w:val="none"/>
        </w:rPr>
        <w:sectPr>
          <w:pgSz w:w="16838" w:h="11906" w:orient="landscape"/>
          <w:pgMar w:top="1800" w:right="1440" w:bottom="1800" w:left="1440" w:header="851" w:footer="992" w:gutter="0"/>
          <w:cols w:space="425" w:num="1"/>
          <w:docGrid w:type="lines" w:linePitch="312" w:charSpace="0"/>
        </w:sectPr>
      </w:pPr>
    </w:p>
    <w:p w14:paraId="71AB3019">
      <w:pPr>
        <w:shd w:val="clear"/>
        <w:spacing w:line="360" w:lineRule="auto"/>
        <w:ind w:right="-283" w:firstLine="480"/>
        <w:rPr>
          <w:rFonts w:asciiTheme="minorEastAsia" w:hAnsiTheme="minorEastAsia" w:eastAsiaTheme="minorEastAsia" w:cstheme="minorEastAsia"/>
          <w:color w:val="auto"/>
          <w:sz w:val="24"/>
          <w:highlight w:val="none"/>
        </w:rPr>
      </w:pPr>
    </w:p>
    <w:p w14:paraId="14E059FE">
      <w:pPr>
        <w:shd w:val="clear"/>
        <w:spacing w:line="360" w:lineRule="auto"/>
        <w:ind w:firstLine="643"/>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三、残疾人福利性单位声明函（如有）</w:t>
      </w:r>
    </w:p>
    <w:p w14:paraId="2FBF688A">
      <w:pPr>
        <w:shd w:val="clear"/>
        <w:spacing w:line="360" w:lineRule="auto"/>
        <w:ind w:firstLine="626"/>
        <w:rPr>
          <w:rFonts w:asciiTheme="minorEastAsia" w:hAnsiTheme="minorEastAsia" w:eastAsiaTheme="minorEastAsia" w:cstheme="minorEastAsia"/>
          <w:b/>
          <w:color w:val="auto"/>
          <w:spacing w:val="6"/>
          <w:sz w:val="30"/>
          <w:szCs w:val="30"/>
          <w:highlight w:val="none"/>
        </w:rPr>
      </w:pPr>
    </w:p>
    <w:p w14:paraId="34083B8D">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3A0C35">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1FC9272E">
      <w:pPr>
        <w:shd w:val="clear"/>
        <w:spacing w:line="360" w:lineRule="auto"/>
        <w:ind w:firstLine="480" w:firstLineChars="200"/>
        <w:rPr>
          <w:rFonts w:asciiTheme="minorEastAsia" w:hAnsiTheme="minorEastAsia" w:eastAsiaTheme="minorEastAsia" w:cstheme="minorEastAsia"/>
          <w:color w:val="auto"/>
          <w:sz w:val="24"/>
          <w:highlight w:val="none"/>
        </w:rPr>
      </w:pPr>
    </w:p>
    <w:p w14:paraId="4C9E66B8">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p>
    <w:p w14:paraId="15085C7B">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5E366573">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4620C98B">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647BEF28">
      <w:pPr>
        <w:shd w:val="clear"/>
        <w:rPr>
          <w:rFonts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br w:type="page"/>
      </w:r>
    </w:p>
    <w:p w14:paraId="07428B1C">
      <w:pPr>
        <w:shd w:val="clear"/>
        <w:spacing w:line="360" w:lineRule="auto"/>
        <w:jc w:val="center"/>
        <w:rPr>
          <w:rFonts w:ascii="宋体" w:hAnsi="宋体" w:cs="仿宋"/>
          <w:b/>
          <w:color w:val="auto"/>
          <w:kern w:val="44"/>
          <w:sz w:val="32"/>
          <w:szCs w:val="32"/>
          <w:highlight w:val="none"/>
        </w:rPr>
      </w:pPr>
      <w:r>
        <w:rPr>
          <w:rFonts w:hint="eastAsia" w:ascii="宋体" w:hAnsi="宋体" w:cs="仿宋"/>
          <w:b/>
          <w:color w:val="auto"/>
          <w:kern w:val="44"/>
          <w:sz w:val="32"/>
          <w:szCs w:val="32"/>
          <w:highlight w:val="none"/>
        </w:rPr>
        <w:t>四、</w:t>
      </w:r>
      <w:r>
        <w:rPr>
          <w:rFonts w:ascii="宋体" w:hAnsi="宋体" w:cs="仿宋"/>
          <w:b/>
          <w:color w:val="auto"/>
          <w:kern w:val="44"/>
          <w:sz w:val="32"/>
          <w:szCs w:val="32"/>
          <w:highlight w:val="none"/>
        </w:rPr>
        <w:t>监狱企业声明函（如有）</w:t>
      </w:r>
    </w:p>
    <w:p w14:paraId="65DA63A5">
      <w:pPr>
        <w:shd w:val="clear"/>
        <w:spacing w:line="360" w:lineRule="auto"/>
        <w:jc w:val="center"/>
        <w:rPr>
          <w:rFonts w:ascii="宋体" w:hAnsi="宋体" w:cs="仿宋"/>
          <w:b/>
          <w:color w:val="auto"/>
          <w:kern w:val="44"/>
          <w:sz w:val="32"/>
          <w:szCs w:val="32"/>
          <w:highlight w:val="none"/>
        </w:rPr>
      </w:pPr>
    </w:p>
    <w:p w14:paraId="73CFBA26">
      <w:pPr>
        <w:shd w:val="clear"/>
        <w:adjustRightInd w:val="0"/>
        <w:snapToGrid w:val="0"/>
        <w:spacing w:line="300" w:lineRule="auto"/>
        <w:ind w:firstLine="420" w:firstLineChars="200"/>
        <w:rPr>
          <w:rFonts w:ascii="宋体" w:hAnsi="宋体" w:cs="Calibri"/>
          <w:color w:val="auto"/>
          <w:szCs w:val="21"/>
          <w:highlight w:val="none"/>
        </w:rPr>
      </w:pPr>
      <w:r>
        <w:rPr>
          <w:rFonts w:ascii="宋体" w:hAnsi="宋体" w:cs="Calibri"/>
          <w:color w:val="auto"/>
          <w:szCs w:val="21"/>
          <w:highlight w:val="none"/>
        </w:rPr>
        <w:t>本企业郑重声明，根据《关于政府采购支持监狱企业发展有关问题的通知》（财库[2014]68号）的规定，本企业为</w:t>
      </w:r>
      <w:r>
        <w:rPr>
          <w:rFonts w:ascii="宋体" w:hAnsi="宋体" w:cs="Calibri"/>
          <w:color w:val="auto"/>
          <w:szCs w:val="21"/>
          <w:highlight w:val="none"/>
          <w:u w:val="single"/>
        </w:rPr>
        <w:t>监狱企业</w:t>
      </w:r>
      <w:r>
        <w:rPr>
          <w:rFonts w:ascii="宋体" w:hAnsi="宋体" w:cs="Calibri"/>
          <w:color w:val="auto"/>
          <w:szCs w:val="21"/>
          <w:highlight w:val="none"/>
        </w:rPr>
        <w:t>。</w:t>
      </w:r>
    </w:p>
    <w:p w14:paraId="3C08D3E7">
      <w:pPr>
        <w:shd w:val="clear"/>
        <w:adjustRightInd w:val="0"/>
        <w:snapToGrid w:val="0"/>
        <w:spacing w:line="300" w:lineRule="auto"/>
        <w:ind w:firstLine="420" w:firstLineChars="200"/>
        <w:rPr>
          <w:rFonts w:ascii="宋体" w:hAnsi="宋体" w:cs="Calibri"/>
          <w:color w:val="auto"/>
          <w:szCs w:val="21"/>
          <w:highlight w:val="none"/>
        </w:rPr>
      </w:pPr>
      <w:r>
        <w:rPr>
          <w:rFonts w:ascii="宋体" w:hAnsi="宋体" w:cs="Calibri"/>
          <w:color w:val="auto"/>
          <w:szCs w:val="21"/>
          <w:highlight w:val="none"/>
        </w:rPr>
        <w:t>根据上述标准，我企业属于</w:t>
      </w:r>
      <w:r>
        <w:rPr>
          <w:rFonts w:ascii="宋体" w:hAnsi="宋体" w:cs="Calibri"/>
          <w:color w:val="auto"/>
          <w:szCs w:val="21"/>
          <w:highlight w:val="none"/>
          <w:u w:val="single"/>
        </w:rPr>
        <w:t>监狱企业</w:t>
      </w:r>
      <w:r>
        <w:rPr>
          <w:rFonts w:ascii="宋体" w:hAnsi="宋体" w:cs="Calibri"/>
          <w:color w:val="auto"/>
          <w:szCs w:val="21"/>
          <w:highlight w:val="none"/>
        </w:rPr>
        <w:t>的理由为：</w:t>
      </w:r>
      <w:r>
        <w:rPr>
          <w:rFonts w:ascii="宋体" w:hAnsi="宋体" w:cs="Calibri"/>
          <w:color w:val="auto"/>
          <w:highlight w:val="none"/>
          <w:u w:val="single"/>
        </w:rPr>
        <w:t>【           】</w:t>
      </w:r>
      <w:r>
        <w:rPr>
          <w:rFonts w:ascii="宋体" w:hAnsi="宋体" w:cs="Calibri"/>
          <w:color w:val="auto"/>
          <w:szCs w:val="21"/>
          <w:highlight w:val="none"/>
        </w:rPr>
        <w:t>。</w:t>
      </w:r>
    </w:p>
    <w:p w14:paraId="79A24275">
      <w:pPr>
        <w:shd w:val="clear"/>
        <w:adjustRightInd w:val="0"/>
        <w:snapToGrid w:val="0"/>
        <w:spacing w:line="300" w:lineRule="auto"/>
        <w:ind w:firstLine="420" w:firstLineChars="200"/>
        <w:rPr>
          <w:rFonts w:ascii="宋体" w:hAnsi="宋体" w:cs="Calibri"/>
          <w:color w:val="auto"/>
          <w:szCs w:val="21"/>
          <w:highlight w:val="none"/>
        </w:rPr>
      </w:pPr>
      <w:r>
        <w:rPr>
          <w:rFonts w:ascii="宋体" w:hAnsi="宋体" w:cs="Calibri"/>
          <w:color w:val="auto"/>
          <w:szCs w:val="21"/>
          <w:highlight w:val="none"/>
        </w:rPr>
        <w:t>本企业为参加</w:t>
      </w:r>
      <w:r>
        <w:rPr>
          <w:rFonts w:hint="eastAsia" w:ascii="宋体" w:hAnsi="宋体" w:cs="Calibri"/>
          <w:color w:val="auto"/>
          <w:szCs w:val="21"/>
          <w:highlight w:val="none"/>
          <w:u w:val="single"/>
        </w:rPr>
        <w:t xml:space="preserve">                        </w:t>
      </w:r>
      <w:r>
        <w:rPr>
          <w:rFonts w:ascii="宋体" w:hAnsi="宋体" w:cs="Calibri"/>
          <w:color w:val="auto"/>
          <w:szCs w:val="21"/>
          <w:highlight w:val="none"/>
        </w:rPr>
        <w:t>（采购人）</w:t>
      </w:r>
      <w:r>
        <w:rPr>
          <w:rFonts w:hint="eastAsia" w:hAnsi="宋体" w:cs="Calibri"/>
          <w:color w:val="auto"/>
          <w:highlight w:val="none"/>
          <w:u w:val="single"/>
        </w:rPr>
        <w:t xml:space="preserve">               </w:t>
      </w:r>
      <w:r>
        <w:rPr>
          <w:rFonts w:ascii="宋体" w:hAnsi="宋体" w:cs="Calibri"/>
          <w:color w:val="auto"/>
          <w:highlight w:val="none"/>
        </w:rPr>
        <w:t>（项目名称）</w:t>
      </w:r>
      <w:r>
        <w:rPr>
          <w:rFonts w:ascii="宋体" w:hAnsi="宋体" w:cs="Calibri"/>
          <w:color w:val="auto"/>
          <w:szCs w:val="21"/>
          <w:highlight w:val="none"/>
        </w:rPr>
        <w:t>采购活动提供本企业的产品。</w:t>
      </w:r>
    </w:p>
    <w:p w14:paraId="0E634549">
      <w:pPr>
        <w:shd w:val="clear"/>
        <w:adjustRightInd w:val="0"/>
        <w:snapToGrid w:val="0"/>
        <w:spacing w:line="300" w:lineRule="auto"/>
        <w:ind w:firstLine="420" w:firstLineChars="200"/>
        <w:rPr>
          <w:rFonts w:ascii="宋体" w:hAnsi="宋体" w:cs="Calibri"/>
          <w:color w:val="auto"/>
          <w:szCs w:val="21"/>
          <w:highlight w:val="none"/>
        </w:rPr>
      </w:pPr>
      <w:r>
        <w:rPr>
          <w:rFonts w:ascii="宋体" w:hAnsi="宋体" w:cs="Calibri"/>
          <w:color w:val="auto"/>
          <w:szCs w:val="21"/>
          <w:highlight w:val="none"/>
        </w:rPr>
        <w:t>本企业对上述声明的真实性负责。如有虚假，将依法承担相应责任。</w:t>
      </w:r>
    </w:p>
    <w:p w14:paraId="52EA7F5F">
      <w:pPr>
        <w:shd w:val="clear"/>
        <w:adjustRightInd w:val="0"/>
        <w:snapToGrid w:val="0"/>
        <w:spacing w:line="300" w:lineRule="auto"/>
        <w:ind w:firstLine="420" w:firstLineChars="200"/>
        <w:jc w:val="center"/>
        <w:rPr>
          <w:rFonts w:ascii="宋体" w:hAnsi="宋体" w:cs="Calibri"/>
          <w:color w:val="auto"/>
          <w:szCs w:val="21"/>
          <w:highlight w:val="none"/>
        </w:rPr>
      </w:pPr>
    </w:p>
    <w:p w14:paraId="30665DA5">
      <w:pPr>
        <w:pStyle w:val="14"/>
        <w:shd w:val="clear"/>
        <w:adjustRightInd w:val="0"/>
        <w:snapToGrid w:val="0"/>
        <w:spacing w:before="120" w:after="120" w:line="300" w:lineRule="auto"/>
        <w:rPr>
          <w:rFonts w:hAnsi="宋体" w:cs="Calibri"/>
          <w:color w:val="auto"/>
          <w:highlight w:val="none"/>
          <w:u w:val="single"/>
        </w:rPr>
      </w:pPr>
      <w:r>
        <w:rPr>
          <w:rFonts w:hint="eastAsia" w:hAnsi="宋体" w:cs="Calibri"/>
          <w:color w:val="auto"/>
          <w:highlight w:val="none"/>
        </w:rPr>
        <w:t>供应商</w:t>
      </w:r>
      <w:r>
        <w:rPr>
          <w:rFonts w:hAnsi="宋体" w:cs="Calibri"/>
          <w:color w:val="auto"/>
          <w:highlight w:val="none"/>
        </w:rPr>
        <w:t>全称：</w:t>
      </w:r>
      <w:r>
        <w:rPr>
          <w:rFonts w:hAnsi="宋体" w:cs="Calibri"/>
          <w:color w:val="auto"/>
          <w:highlight w:val="none"/>
          <w:u w:val="single"/>
        </w:rPr>
        <w:t xml:space="preserve">                      </w:t>
      </w:r>
      <w:r>
        <w:rPr>
          <w:rFonts w:hAnsi="宋体" w:cs="Calibri"/>
          <w:color w:val="auto"/>
          <w:highlight w:val="none"/>
        </w:rPr>
        <w:t>（盖单位公章）</w:t>
      </w:r>
    </w:p>
    <w:p w14:paraId="6D8CF625">
      <w:pPr>
        <w:pStyle w:val="14"/>
        <w:shd w:val="clear"/>
        <w:adjustRightInd w:val="0"/>
        <w:snapToGrid w:val="0"/>
        <w:spacing w:before="120" w:after="120" w:line="300" w:lineRule="auto"/>
        <w:rPr>
          <w:rFonts w:hAnsi="宋体" w:cs="Calibri"/>
          <w:color w:val="auto"/>
          <w:highlight w:val="none"/>
          <w:u w:val="single"/>
        </w:rPr>
      </w:pPr>
      <w:r>
        <w:rPr>
          <w:rFonts w:hAnsi="宋体" w:cs="Calibri"/>
          <w:color w:val="auto"/>
          <w:highlight w:val="none"/>
        </w:rPr>
        <w:t>日期：</w:t>
      </w:r>
      <w:r>
        <w:rPr>
          <w:rFonts w:hint="eastAsia" w:hAnsi="宋体" w:cs="Calibri"/>
          <w:color w:val="auto"/>
          <w:kern w:val="0"/>
          <w:highlight w:val="none"/>
        </w:rPr>
        <w:t xml:space="preserve">    </w:t>
      </w:r>
      <w:r>
        <w:rPr>
          <w:rFonts w:hAnsi="宋体" w:cs="Calibri"/>
          <w:color w:val="auto"/>
          <w:kern w:val="0"/>
          <w:highlight w:val="none"/>
        </w:rPr>
        <w:t>年  月  日</w:t>
      </w:r>
    </w:p>
    <w:p w14:paraId="4CCD2662">
      <w:pPr>
        <w:shd w:val="clear"/>
        <w:snapToGrid w:val="0"/>
        <w:spacing w:line="300" w:lineRule="auto"/>
        <w:ind w:firstLine="420" w:firstLineChars="200"/>
        <w:rPr>
          <w:rFonts w:ascii="宋体" w:hAnsi="宋体" w:cs="Calibri"/>
          <w:color w:val="auto"/>
          <w:kern w:val="0"/>
          <w:szCs w:val="21"/>
          <w:highlight w:val="none"/>
        </w:rPr>
      </w:pPr>
      <w:r>
        <w:rPr>
          <w:rFonts w:ascii="宋体" w:hAnsi="宋体" w:cs="Calibri"/>
          <w:color w:val="auto"/>
          <w:kern w:val="0"/>
          <w:szCs w:val="21"/>
          <w:highlight w:val="none"/>
        </w:rPr>
        <w:t>说明：</w:t>
      </w:r>
    </w:p>
    <w:p w14:paraId="52A88D5D">
      <w:pPr>
        <w:shd w:val="clear"/>
        <w:snapToGrid w:val="0"/>
        <w:spacing w:line="300" w:lineRule="auto"/>
        <w:ind w:firstLine="420" w:firstLineChars="200"/>
        <w:rPr>
          <w:rFonts w:ascii="宋体" w:hAnsi="宋体" w:cs="Calibri"/>
          <w:color w:val="auto"/>
          <w:kern w:val="0"/>
          <w:szCs w:val="21"/>
          <w:highlight w:val="none"/>
        </w:rPr>
      </w:pPr>
      <w:r>
        <w:rPr>
          <w:rFonts w:ascii="宋体" w:hAnsi="宋体" w:cs="Calibri"/>
          <w:color w:val="auto"/>
          <w:szCs w:val="21"/>
          <w:highlight w:val="none"/>
        </w:rPr>
        <w:t>（</w:t>
      </w:r>
      <w:r>
        <w:rPr>
          <w:rFonts w:ascii="宋体" w:hAnsi="宋体" w:cs="Calibri"/>
          <w:color w:val="auto"/>
          <w:kern w:val="0"/>
          <w:szCs w:val="21"/>
          <w:highlight w:val="none"/>
        </w:rPr>
        <w:t>1）监狱企业参加政府采购活动时，应当提供由省级以上监狱管理局、戒毒管理局（含新疆生产建设兵团）出具的属于监狱企业的证明文件。</w:t>
      </w:r>
    </w:p>
    <w:p w14:paraId="52F9B149">
      <w:pPr>
        <w:shd w:val="clear"/>
        <w:snapToGrid w:val="0"/>
        <w:spacing w:line="300" w:lineRule="auto"/>
        <w:ind w:firstLine="420" w:firstLineChars="200"/>
        <w:rPr>
          <w:rFonts w:ascii="宋体" w:hAnsi="宋体" w:cs="Calibri"/>
          <w:color w:val="auto"/>
          <w:kern w:val="0"/>
          <w:szCs w:val="21"/>
          <w:highlight w:val="none"/>
        </w:rPr>
      </w:pPr>
      <w:r>
        <w:rPr>
          <w:rFonts w:ascii="宋体" w:hAnsi="宋体" w:cs="Calibri"/>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02F50A4">
      <w:pPr>
        <w:shd w:val="clear"/>
        <w:spacing w:line="360" w:lineRule="auto"/>
        <w:ind w:firstLine="643"/>
        <w:rPr>
          <w:rFonts w:asciiTheme="minorEastAsia" w:hAnsiTheme="minorEastAsia" w:eastAsiaTheme="minorEastAsia" w:cstheme="minorEastAsia"/>
          <w:b/>
          <w:color w:val="auto"/>
          <w:sz w:val="32"/>
          <w:szCs w:val="32"/>
          <w:highlight w:val="none"/>
        </w:rPr>
      </w:pPr>
      <w:r>
        <w:rPr>
          <w:rFonts w:ascii="宋体" w:hAnsi="宋体" w:cs="Calibri"/>
          <w:color w:val="auto"/>
          <w:szCs w:val="21"/>
          <w:highlight w:val="none"/>
        </w:rPr>
        <w:t>（</w:t>
      </w:r>
      <w:r>
        <w:rPr>
          <w:rFonts w:ascii="宋体" w:hAnsi="宋体" w:cs="Calibri"/>
          <w:color w:val="auto"/>
          <w:kern w:val="0"/>
          <w:szCs w:val="21"/>
          <w:highlight w:val="none"/>
        </w:rPr>
        <w:t>2）</w:t>
      </w:r>
      <w:r>
        <w:rPr>
          <w:rFonts w:ascii="宋体" w:hAnsi="宋体" w:cs="Calibri"/>
          <w:bCs/>
          <w:color w:val="auto"/>
          <w:szCs w:val="21"/>
          <w:highlight w:val="none"/>
        </w:rPr>
        <w:t>不属于监狱企业，不用提供此函</w:t>
      </w:r>
      <w:r>
        <w:rPr>
          <w:rFonts w:hint="eastAsia" w:ascii="宋体" w:hAnsi="宋体" w:cs="Calibri"/>
          <w:bCs/>
          <w:color w:val="auto"/>
          <w:szCs w:val="21"/>
          <w:highlight w:val="none"/>
        </w:rPr>
        <w:t>。</w:t>
      </w:r>
    </w:p>
    <w:p w14:paraId="7D92D336">
      <w:pPr>
        <w:shd w:val="clear"/>
        <w:spacing w:line="360" w:lineRule="auto"/>
        <w:ind w:firstLine="667"/>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r>
        <w:rPr>
          <w:rFonts w:hint="eastAsia" w:asciiTheme="minorEastAsia" w:hAnsiTheme="minorEastAsia" w:eastAsiaTheme="minorEastAsia" w:cstheme="minorEastAsia"/>
          <w:b/>
          <w:color w:val="auto"/>
          <w:spacing w:val="6"/>
          <w:sz w:val="32"/>
          <w:szCs w:val="32"/>
          <w:highlight w:val="none"/>
        </w:rPr>
        <w:t>五、采购统计基础信息表</w:t>
      </w:r>
    </w:p>
    <w:p w14:paraId="4DFB8962">
      <w:pPr>
        <w:pStyle w:val="34"/>
        <w:shd w:val="clear"/>
        <w:spacing w:line="360" w:lineRule="auto"/>
        <w:ind w:firstLine="0" w:firstLineChars="0"/>
        <w:rPr>
          <w:rFonts w:asciiTheme="minorEastAsia" w:hAnsiTheme="minorEastAsia" w:eastAsiaTheme="minorEastAsia" w:cstheme="minorEastAsia"/>
          <w:color w:val="auto"/>
          <w:highlight w:val="none"/>
        </w:rPr>
      </w:pPr>
    </w:p>
    <w:tbl>
      <w:tblPr>
        <w:tblStyle w:val="27"/>
        <w:tblW w:w="8537" w:type="dxa"/>
        <w:jc w:val="center"/>
        <w:tblLayout w:type="fixed"/>
        <w:tblCellMar>
          <w:top w:w="0" w:type="dxa"/>
          <w:left w:w="108" w:type="dxa"/>
          <w:bottom w:w="0" w:type="dxa"/>
          <w:right w:w="108" w:type="dxa"/>
        </w:tblCellMar>
      </w:tblPr>
      <w:tblGrid>
        <w:gridCol w:w="4998"/>
        <w:gridCol w:w="3539"/>
      </w:tblGrid>
      <w:tr w14:paraId="20D7119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C115297">
            <w:pPr>
              <w:shd w:val="clear"/>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7149B937">
            <w:pPr>
              <w:shd w:val="clear"/>
              <w:spacing w:line="360" w:lineRule="auto"/>
              <w:rPr>
                <w:rFonts w:asciiTheme="minorEastAsia" w:hAnsiTheme="minorEastAsia" w:eastAsiaTheme="minorEastAsia" w:cstheme="minorEastAsia"/>
                <w:color w:val="auto"/>
                <w:highlight w:val="none"/>
              </w:rPr>
            </w:pPr>
          </w:p>
        </w:tc>
      </w:tr>
      <w:tr w14:paraId="51897D8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660E9D">
            <w:pPr>
              <w:shd w:val="clear"/>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3539" w:type="dxa"/>
            <w:tcBorders>
              <w:top w:val="single" w:color="000000" w:sz="4" w:space="0"/>
              <w:left w:val="nil"/>
              <w:bottom w:val="single" w:color="000000" w:sz="4" w:space="0"/>
              <w:right w:val="single" w:color="000000" w:sz="4" w:space="0"/>
            </w:tcBorders>
          </w:tcPr>
          <w:p w14:paraId="414BC400">
            <w:pPr>
              <w:shd w:val="clear"/>
              <w:spacing w:line="360" w:lineRule="auto"/>
              <w:rPr>
                <w:rFonts w:asciiTheme="minorEastAsia" w:hAnsiTheme="minorEastAsia" w:eastAsiaTheme="minorEastAsia" w:cstheme="minorEastAsia"/>
                <w:color w:val="auto"/>
                <w:highlight w:val="none"/>
              </w:rPr>
            </w:pPr>
          </w:p>
        </w:tc>
      </w:tr>
      <w:tr w14:paraId="26D4922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1B7B01C">
            <w:pPr>
              <w:shd w:val="clear"/>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供应商是否为外商投资企业</w:t>
            </w:r>
          </w:p>
        </w:tc>
        <w:tc>
          <w:tcPr>
            <w:tcW w:w="3539" w:type="dxa"/>
            <w:tcBorders>
              <w:top w:val="single" w:color="000000" w:sz="4" w:space="0"/>
              <w:left w:val="nil"/>
              <w:bottom w:val="single" w:color="000000" w:sz="4" w:space="0"/>
              <w:right w:val="single" w:color="000000" w:sz="4" w:space="0"/>
            </w:tcBorders>
          </w:tcPr>
          <w:p w14:paraId="5E5ACA25">
            <w:pPr>
              <w:shd w:val="clear"/>
              <w:spacing w:line="360" w:lineRule="auto"/>
              <w:rPr>
                <w:rFonts w:asciiTheme="minorEastAsia" w:hAnsiTheme="minorEastAsia" w:eastAsiaTheme="minorEastAsia" w:cstheme="minorEastAsia"/>
                <w:color w:val="auto"/>
                <w:highlight w:val="none"/>
              </w:rPr>
            </w:pPr>
          </w:p>
        </w:tc>
      </w:tr>
      <w:tr w14:paraId="56DEF8C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EC1E924">
            <w:pPr>
              <w:shd w:val="clear"/>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供应商是否为宁波企业</w:t>
            </w:r>
          </w:p>
        </w:tc>
        <w:tc>
          <w:tcPr>
            <w:tcW w:w="3539" w:type="dxa"/>
            <w:tcBorders>
              <w:top w:val="single" w:color="000000" w:sz="4" w:space="0"/>
              <w:left w:val="nil"/>
              <w:bottom w:val="single" w:color="000000" w:sz="4" w:space="0"/>
              <w:right w:val="single" w:color="000000" w:sz="4" w:space="0"/>
            </w:tcBorders>
          </w:tcPr>
          <w:p w14:paraId="2AF4473F">
            <w:pPr>
              <w:shd w:val="clear"/>
              <w:spacing w:line="360" w:lineRule="auto"/>
              <w:rPr>
                <w:rFonts w:asciiTheme="minorEastAsia" w:hAnsiTheme="minorEastAsia" w:eastAsiaTheme="minorEastAsia" w:cstheme="minorEastAsia"/>
                <w:color w:val="auto"/>
                <w:highlight w:val="none"/>
              </w:rPr>
            </w:pPr>
          </w:p>
        </w:tc>
      </w:tr>
      <w:tr w14:paraId="631E534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292CEAE">
            <w:pPr>
              <w:shd w:val="clear"/>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05211879">
            <w:pPr>
              <w:shd w:val="clear"/>
              <w:spacing w:line="360" w:lineRule="auto"/>
              <w:rPr>
                <w:rFonts w:asciiTheme="minorEastAsia" w:hAnsiTheme="minorEastAsia" w:eastAsiaTheme="minorEastAsia" w:cstheme="minorEastAsia"/>
                <w:color w:val="auto"/>
                <w:highlight w:val="none"/>
              </w:rPr>
            </w:pPr>
          </w:p>
        </w:tc>
      </w:tr>
      <w:tr w14:paraId="2916D79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3D113C4">
            <w:pPr>
              <w:shd w:val="clear"/>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3D514B79">
            <w:pPr>
              <w:shd w:val="clear"/>
              <w:spacing w:line="360" w:lineRule="auto"/>
              <w:rPr>
                <w:rFonts w:asciiTheme="minorEastAsia" w:hAnsiTheme="minorEastAsia" w:eastAsiaTheme="minorEastAsia" w:cstheme="minorEastAsia"/>
                <w:color w:val="auto"/>
                <w:highlight w:val="none"/>
              </w:rPr>
            </w:pPr>
          </w:p>
        </w:tc>
      </w:tr>
      <w:tr w14:paraId="7D4AE7C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87D5E53">
            <w:pPr>
              <w:shd w:val="clear"/>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5FE1BC63">
            <w:pPr>
              <w:shd w:val="clear"/>
              <w:spacing w:line="360" w:lineRule="auto"/>
              <w:rPr>
                <w:rFonts w:asciiTheme="minorEastAsia" w:hAnsiTheme="minorEastAsia" w:eastAsiaTheme="minorEastAsia" w:cstheme="minorEastAsia"/>
                <w:color w:val="auto"/>
                <w:highlight w:val="none"/>
              </w:rPr>
            </w:pPr>
          </w:p>
        </w:tc>
      </w:tr>
      <w:tr w14:paraId="665A2DD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BD5D6BC">
            <w:pPr>
              <w:shd w:val="clear"/>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67164A2C">
            <w:pPr>
              <w:shd w:val="clear"/>
              <w:spacing w:line="360" w:lineRule="auto"/>
              <w:rPr>
                <w:rFonts w:asciiTheme="minorEastAsia" w:hAnsiTheme="minorEastAsia" w:eastAsiaTheme="minorEastAsia" w:cstheme="minorEastAsia"/>
                <w:color w:val="auto"/>
                <w:highlight w:val="none"/>
              </w:rPr>
            </w:pPr>
          </w:p>
        </w:tc>
      </w:tr>
      <w:tr w14:paraId="3420523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A318991">
            <w:pPr>
              <w:shd w:val="clear"/>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71AB189F">
            <w:pPr>
              <w:shd w:val="clear"/>
              <w:spacing w:line="360" w:lineRule="auto"/>
              <w:rPr>
                <w:rFonts w:asciiTheme="minorEastAsia" w:hAnsiTheme="minorEastAsia" w:eastAsiaTheme="minorEastAsia" w:cstheme="minorEastAsia"/>
                <w:color w:val="auto"/>
                <w:highlight w:val="none"/>
              </w:rPr>
            </w:pPr>
          </w:p>
        </w:tc>
      </w:tr>
      <w:tr w14:paraId="1F98447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A6910D8">
            <w:pPr>
              <w:shd w:val="clear"/>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32DB0F7E">
            <w:pPr>
              <w:shd w:val="clear"/>
              <w:spacing w:line="360" w:lineRule="auto"/>
              <w:rPr>
                <w:rFonts w:asciiTheme="minorEastAsia" w:hAnsiTheme="minorEastAsia" w:eastAsiaTheme="minorEastAsia" w:cstheme="minorEastAsia"/>
                <w:color w:val="auto"/>
                <w:highlight w:val="none"/>
              </w:rPr>
            </w:pPr>
          </w:p>
        </w:tc>
      </w:tr>
    </w:tbl>
    <w:p w14:paraId="67D6A443">
      <w:pPr>
        <w:shd w:val="clear"/>
        <w:adjustRightInd w:val="0"/>
        <w:spacing w:line="360" w:lineRule="auto"/>
        <w:ind w:firstLine="480"/>
        <w:rPr>
          <w:rFonts w:asciiTheme="minorEastAsia" w:hAnsiTheme="minorEastAsia" w:eastAsiaTheme="minorEastAsia" w:cstheme="minorEastAsia"/>
          <w:color w:val="auto"/>
          <w:sz w:val="24"/>
          <w:highlight w:val="none"/>
        </w:rPr>
      </w:pPr>
    </w:p>
    <w:p w14:paraId="4919FAAD">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备注：请各供应商务必填写此表作为响应文件的组成部分。</w:t>
      </w:r>
    </w:p>
    <w:p w14:paraId="143EABCC">
      <w:pPr>
        <w:shd w:val="clear"/>
        <w:adjustRightInd w:val="0"/>
        <w:spacing w:line="360" w:lineRule="auto"/>
        <w:ind w:firstLine="480"/>
        <w:rPr>
          <w:rFonts w:asciiTheme="minorEastAsia" w:hAnsiTheme="minorEastAsia" w:eastAsiaTheme="minorEastAsia" w:cstheme="minorEastAsia"/>
          <w:color w:val="auto"/>
          <w:sz w:val="24"/>
          <w:highlight w:val="none"/>
        </w:rPr>
      </w:pPr>
    </w:p>
    <w:p w14:paraId="1415F1A2">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p>
    <w:p w14:paraId="55026800">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7C73FE29">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083945A">
      <w:pPr>
        <w:shd w:val="clear"/>
        <w:snapToGrid w:val="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bookmarkEnd w:id="6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46491">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446B50FA">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0A484">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7841038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E201">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19A5163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9F72">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E88FE8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19718">
    <w:pPr>
      <w:pStyle w:val="18"/>
      <w:pBdr>
        <w:bottom w:val="none" w:color="auto" w:sz="0" w:space="0"/>
      </w:pBdr>
      <w:jc w:val="right"/>
      <w:rPr>
        <w:rFonts w:ascii="仿宋_GB2312" w:eastAsia="仿宋_GB2312"/>
        <w:b/>
        <w:i/>
        <w:u w:val="single"/>
      </w:rPr>
    </w:pPr>
    <w:r>
      <w:t></w:t>
    </w:r>
    <w:r>
      <w:rPr>
        <w:rFonts w:hint="eastAsia"/>
      </w:rPr>
      <w:t xml:space="preserve">                                               </w:t>
    </w:r>
  </w:p>
  <w:p w14:paraId="7246EA47">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D2FA7">
    <w:pPr>
      <w:pStyle w:val="18"/>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4960F">
    <w:pPr>
      <w:pStyle w:val="18"/>
      <w:pBdr>
        <w:bottom w:val="none" w:color="auto" w:sz="0" w:space="1"/>
      </w:pBdr>
      <w:jc w:val="right"/>
      <w:rPr>
        <w:rFonts w:ascii="仿宋_GB2312" w:eastAsia="仿宋_GB2312"/>
        <w:b/>
        <w:i/>
        <w:u w:val="single"/>
      </w:rPr>
    </w:pPr>
    <w:r>
      <w:rPr>
        <w:rFonts w:hint="eastAsia"/>
      </w:rPr>
      <w:t xml:space="preserve">                                 </w:t>
    </w:r>
  </w:p>
  <w:p w14:paraId="4EDA44F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E2FB">
    <w:pPr>
      <w:pStyle w:val="18"/>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1">
    <w:nsid w:val="2DC53F9C"/>
    <w:multiLevelType w:val="singleLevel"/>
    <w:tmpl w:val="2DC53F9C"/>
    <w:lvl w:ilvl="0" w:tentative="0">
      <w:start w:val="5"/>
      <w:numFmt w:val="chineseCounting"/>
      <w:suff w:val="space"/>
      <w:lvlText w:val="第%1部分"/>
      <w:lvlJc w:val="left"/>
      <w:rPr>
        <w:rFonts w:hint="eastAsia"/>
      </w:rPr>
    </w:lvl>
  </w:abstractNum>
  <w:abstractNum w:abstractNumId="2">
    <w:nsid w:val="495C2BCE"/>
    <w:multiLevelType w:val="singleLevel"/>
    <w:tmpl w:val="495C2BCE"/>
    <w:lvl w:ilvl="0" w:tentative="0">
      <w:start w:val="1"/>
      <w:numFmt w:val="chineseCounting"/>
      <w:suff w:val="nothing"/>
      <w:lvlText w:val="%1、"/>
      <w:lvlJc w:val="left"/>
      <w:rPr>
        <w:rFonts w:hint="eastAsia"/>
      </w:rPr>
    </w:lvl>
  </w:abstractNum>
  <w:abstractNum w:abstractNumId="3">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1ZGNkMmVmYTc0MzgzZDY0NWM1YWY1ODNjN2IyNmIifQ=="/>
  </w:docVars>
  <w:rsids>
    <w:rsidRoot w:val="004E6532"/>
    <w:rsid w:val="00004645"/>
    <w:rsid w:val="00005078"/>
    <w:rsid w:val="0001018B"/>
    <w:rsid w:val="00023D48"/>
    <w:rsid w:val="0002482C"/>
    <w:rsid w:val="00034901"/>
    <w:rsid w:val="00036406"/>
    <w:rsid w:val="0004202E"/>
    <w:rsid w:val="00052644"/>
    <w:rsid w:val="000633A9"/>
    <w:rsid w:val="000714E7"/>
    <w:rsid w:val="00092E42"/>
    <w:rsid w:val="00093DBC"/>
    <w:rsid w:val="000A380F"/>
    <w:rsid w:val="000A42DD"/>
    <w:rsid w:val="000D43B5"/>
    <w:rsid w:val="000E4D6E"/>
    <w:rsid w:val="000E6C12"/>
    <w:rsid w:val="000F071B"/>
    <w:rsid w:val="000F49C7"/>
    <w:rsid w:val="00107D61"/>
    <w:rsid w:val="00127A19"/>
    <w:rsid w:val="00141566"/>
    <w:rsid w:val="0014331C"/>
    <w:rsid w:val="001433F4"/>
    <w:rsid w:val="00145660"/>
    <w:rsid w:val="00147A9F"/>
    <w:rsid w:val="00152211"/>
    <w:rsid w:val="00153DD5"/>
    <w:rsid w:val="0016702E"/>
    <w:rsid w:val="0016738B"/>
    <w:rsid w:val="00183EE1"/>
    <w:rsid w:val="00184605"/>
    <w:rsid w:val="00187ED9"/>
    <w:rsid w:val="00192CA3"/>
    <w:rsid w:val="00195087"/>
    <w:rsid w:val="001969B6"/>
    <w:rsid w:val="001A0E98"/>
    <w:rsid w:val="001A419E"/>
    <w:rsid w:val="001B7196"/>
    <w:rsid w:val="001C4668"/>
    <w:rsid w:val="001D05FA"/>
    <w:rsid w:val="001D5B9E"/>
    <w:rsid w:val="001E2A93"/>
    <w:rsid w:val="001E3291"/>
    <w:rsid w:val="001E63F0"/>
    <w:rsid w:val="001F29BC"/>
    <w:rsid w:val="0020318E"/>
    <w:rsid w:val="00224FF7"/>
    <w:rsid w:val="00235AD9"/>
    <w:rsid w:val="002622EF"/>
    <w:rsid w:val="002628D6"/>
    <w:rsid w:val="00266319"/>
    <w:rsid w:val="00267D9E"/>
    <w:rsid w:val="002725E3"/>
    <w:rsid w:val="00282421"/>
    <w:rsid w:val="00287020"/>
    <w:rsid w:val="002A0BE4"/>
    <w:rsid w:val="002A2159"/>
    <w:rsid w:val="002A7689"/>
    <w:rsid w:val="002C62DE"/>
    <w:rsid w:val="002E1797"/>
    <w:rsid w:val="00301440"/>
    <w:rsid w:val="00301967"/>
    <w:rsid w:val="00303A7F"/>
    <w:rsid w:val="00306111"/>
    <w:rsid w:val="003212F0"/>
    <w:rsid w:val="003320D1"/>
    <w:rsid w:val="00362B5D"/>
    <w:rsid w:val="00382391"/>
    <w:rsid w:val="00391D38"/>
    <w:rsid w:val="003923E5"/>
    <w:rsid w:val="00396CA2"/>
    <w:rsid w:val="003B0110"/>
    <w:rsid w:val="003C300A"/>
    <w:rsid w:val="003F6AE7"/>
    <w:rsid w:val="00402E3B"/>
    <w:rsid w:val="00405449"/>
    <w:rsid w:val="004131AB"/>
    <w:rsid w:val="0041759B"/>
    <w:rsid w:val="00427CDE"/>
    <w:rsid w:val="004369B5"/>
    <w:rsid w:val="00437E21"/>
    <w:rsid w:val="004427C5"/>
    <w:rsid w:val="004503D5"/>
    <w:rsid w:val="00453F9B"/>
    <w:rsid w:val="00461191"/>
    <w:rsid w:val="00464B36"/>
    <w:rsid w:val="004A3F9D"/>
    <w:rsid w:val="004D1150"/>
    <w:rsid w:val="004D2F26"/>
    <w:rsid w:val="004D35F7"/>
    <w:rsid w:val="004E6532"/>
    <w:rsid w:val="004E6FDF"/>
    <w:rsid w:val="005009A4"/>
    <w:rsid w:val="005104A4"/>
    <w:rsid w:val="00521C83"/>
    <w:rsid w:val="00523E94"/>
    <w:rsid w:val="00535688"/>
    <w:rsid w:val="0054723B"/>
    <w:rsid w:val="00554F92"/>
    <w:rsid w:val="0056214E"/>
    <w:rsid w:val="0056429F"/>
    <w:rsid w:val="005737B6"/>
    <w:rsid w:val="005768FE"/>
    <w:rsid w:val="00580799"/>
    <w:rsid w:val="005935A5"/>
    <w:rsid w:val="005A029E"/>
    <w:rsid w:val="005A0EE6"/>
    <w:rsid w:val="005A4DEB"/>
    <w:rsid w:val="005C3A2F"/>
    <w:rsid w:val="005C62F2"/>
    <w:rsid w:val="005D5B94"/>
    <w:rsid w:val="005E7505"/>
    <w:rsid w:val="005E79EB"/>
    <w:rsid w:val="005F4444"/>
    <w:rsid w:val="005F7CE0"/>
    <w:rsid w:val="00601313"/>
    <w:rsid w:val="006025D5"/>
    <w:rsid w:val="006132B3"/>
    <w:rsid w:val="00616EEA"/>
    <w:rsid w:val="00621873"/>
    <w:rsid w:val="00624EFA"/>
    <w:rsid w:val="00627B17"/>
    <w:rsid w:val="00664BC8"/>
    <w:rsid w:val="006721D3"/>
    <w:rsid w:val="0068074A"/>
    <w:rsid w:val="006809A6"/>
    <w:rsid w:val="006924F5"/>
    <w:rsid w:val="006925CB"/>
    <w:rsid w:val="00695C83"/>
    <w:rsid w:val="006C2513"/>
    <w:rsid w:val="006C4337"/>
    <w:rsid w:val="006D6A57"/>
    <w:rsid w:val="006E3C66"/>
    <w:rsid w:val="006F3767"/>
    <w:rsid w:val="00700B46"/>
    <w:rsid w:val="00720146"/>
    <w:rsid w:val="0072267F"/>
    <w:rsid w:val="00724ED7"/>
    <w:rsid w:val="00734C63"/>
    <w:rsid w:val="007403D0"/>
    <w:rsid w:val="0074580E"/>
    <w:rsid w:val="0076475C"/>
    <w:rsid w:val="00771BC5"/>
    <w:rsid w:val="00777D7E"/>
    <w:rsid w:val="007800AF"/>
    <w:rsid w:val="007A2DB9"/>
    <w:rsid w:val="007B204D"/>
    <w:rsid w:val="007B2CFE"/>
    <w:rsid w:val="007D62EE"/>
    <w:rsid w:val="007F483A"/>
    <w:rsid w:val="00801E40"/>
    <w:rsid w:val="00803953"/>
    <w:rsid w:val="008140B4"/>
    <w:rsid w:val="008176C9"/>
    <w:rsid w:val="008178BC"/>
    <w:rsid w:val="008277C4"/>
    <w:rsid w:val="00842501"/>
    <w:rsid w:val="00845818"/>
    <w:rsid w:val="0085433C"/>
    <w:rsid w:val="00877893"/>
    <w:rsid w:val="008859D0"/>
    <w:rsid w:val="0089085D"/>
    <w:rsid w:val="008A29D8"/>
    <w:rsid w:val="008A62ED"/>
    <w:rsid w:val="008A6371"/>
    <w:rsid w:val="008A65B4"/>
    <w:rsid w:val="008C52DE"/>
    <w:rsid w:val="008C54CC"/>
    <w:rsid w:val="008C70DC"/>
    <w:rsid w:val="008E3867"/>
    <w:rsid w:val="008F08A4"/>
    <w:rsid w:val="008F4A24"/>
    <w:rsid w:val="008F6DD3"/>
    <w:rsid w:val="00911A8C"/>
    <w:rsid w:val="00922E36"/>
    <w:rsid w:val="009247B5"/>
    <w:rsid w:val="00926E98"/>
    <w:rsid w:val="0093798A"/>
    <w:rsid w:val="00942DD2"/>
    <w:rsid w:val="00975314"/>
    <w:rsid w:val="00975609"/>
    <w:rsid w:val="00975E2D"/>
    <w:rsid w:val="00977913"/>
    <w:rsid w:val="009821A7"/>
    <w:rsid w:val="00984A29"/>
    <w:rsid w:val="00990306"/>
    <w:rsid w:val="00995B8B"/>
    <w:rsid w:val="009A3B58"/>
    <w:rsid w:val="009B3568"/>
    <w:rsid w:val="009D1BF4"/>
    <w:rsid w:val="009D7CB5"/>
    <w:rsid w:val="009F03FB"/>
    <w:rsid w:val="009F1169"/>
    <w:rsid w:val="009F62BE"/>
    <w:rsid w:val="00A05BD4"/>
    <w:rsid w:val="00A17B33"/>
    <w:rsid w:val="00A21E24"/>
    <w:rsid w:val="00A22DD3"/>
    <w:rsid w:val="00A46132"/>
    <w:rsid w:val="00A54768"/>
    <w:rsid w:val="00A56428"/>
    <w:rsid w:val="00A57E19"/>
    <w:rsid w:val="00A64BCF"/>
    <w:rsid w:val="00A71625"/>
    <w:rsid w:val="00A76595"/>
    <w:rsid w:val="00AA4613"/>
    <w:rsid w:val="00AB3E06"/>
    <w:rsid w:val="00AC321F"/>
    <w:rsid w:val="00AE20E5"/>
    <w:rsid w:val="00AF09DF"/>
    <w:rsid w:val="00AF37BC"/>
    <w:rsid w:val="00B02217"/>
    <w:rsid w:val="00B06129"/>
    <w:rsid w:val="00B12066"/>
    <w:rsid w:val="00B230F3"/>
    <w:rsid w:val="00B258CD"/>
    <w:rsid w:val="00B344D3"/>
    <w:rsid w:val="00B45DE7"/>
    <w:rsid w:val="00B67374"/>
    <w:rsid w:val="00B85239"/>
    <w:rsid w:val="00B869FB"/>
    <w:rsid w:val="00B94155"/>
    <w:rsid w:val="00BA045E"/>
    <w:rsid w:val="00BB56F4"/>
    <w:rsid w:val="00BB78CF"/>
    <w:rsid w:val="00BC3481"/>
    <w:rsid w:val="00BE700F"/>
    <w:rsid w:val="00C009F8"/>
    <w:rsid w:val="00C011EE"/>
    <w:rsid w:val="00C15B95"/>
    <w:rsid w:val="00C34140"/>
    <w:rsid w:val="00C47867"/>
    <w:rsid w:val="00C73030"/>
    <w:rsid w:val="00C73F83"/>
    <w:rsid w:val="00C74190"/>
    <w:rsid w:val="00C801D9"/>
    <w:rsid w:val="00CA2F82"/>
    <w:rsid w:val="00CA5B51"/>
    <w:rsid w:val="00CA61CF"/>
    <w:rsid w:val="00CA758F"/>
    <w:rsid w:val="00CB0E79"/>
    <w:rsid w:val="00CC2C70"/>
    <w:rsid w:val="00CD3472"/>
    <w:rsid w:val="00CE0209"/>
    <w:rsid w:val="00CE0F0C"/>
    <w:rsid w:val="00D01129"/>
    <w:rsid w:val="00D10611"/>
    <w:rsid w:val="00D10684"/>
    <w:rsid w:val="00D20E3E"/>
    <w:rsid w:val="00D33EBA"/>
    <w:rsid w:val="00D341ED"/>
    <w:rsid w:val="00D437BE"/>
    <w:rsid w:val="00D43C04"/>
    <w:rsid w:val="00D46994"/>
    <w:rsid w:val="00D569A9"/>
    <w:rsid w:val="00D63DA1"/>
    <w:rsid w:val="00D85589"/>
    <w:rsid w:val="00D973B3"/>
    <w:rsid w:val="00DC2C40"/>
    <w:rsid w:val="00DD4294"/>
    <w:rsid w:val="00DD4C6D"/>
    <w:rsid w:val="00DF32B4"/>
    <w:rsid w:val="00DF6AFA"/>
    <w:rsid w:val="00E10E23"/>
    <w:rsid w:val="00E148E4"/>
    <w:rsid w:val="00E2034C"/>
    <w:rsid w:val="00E4163E"/>
    <w:rsid w:val="00E51ED8"/>
    <w:rsid w:val="00E57D56"/>
    <w:rsid w:val="00E65A54"/>
    <w:rsid w:val="00E7608A"/>
    <w:rsid w:val="00E77EED"/>
    <w:rsid w:val="00E852B1"/>
    <w:rsid w:val="00E85D0C"/>
    <w:rsid w:val="00EC3F89"/>
    <w:rsid w:val="00ED5412"/>
    <w:rsid w:val="00F00981"/>
    <w:rsid w:val="00F01506"/>
    <w:rsid w:val="00F0480E"/>
    <w:rsid w:val="00F05B21"/>
    <w:rsid w:val="00F16915"/>
    <w:rsid w:val="00F20EE6"/>
    <w:rsid w:val="00F330A6"/>
    <w:rsid w:val="00F41703"/>
    <w:rsid w:val="00F451EA"/>
    <w:rsid w:val="00F710EB"/>
    <w:rsid w:val="00F75C3C"/>
    <w:rsid w:val="00F90F30"/>
    <w:rsid w:val="00F91CD1"/>
    <w:rsid w:val="00F97CCC"/>
    <w:rsid w:val="00FB3DEC"/>
    <w:rsid w:val="00FC251C"/>
    <w:rsid w:val="00FC4926"/>
    <w:rsid w:val="00FE4389"/>
    <w:rsid w:val="00FE6F81"/>
    <w:rsid w:val="017D31AE"/>
    <w:rsid w:val="017E3702"/>
    <w:rsid w:val="022507A0"/>
    <w:rsid w:val="027C3B74"/>
    <w:rsid w:val="029C46B6"/>
    <w:rsid w:val="02E1776D"/>
    <w:rsid w:val="02FF0DA1"/>
    <w:rsid w:val="03092820"/>
    <w:rsid w:val="033C0E47"/>
    <w:rsid w:val="04133956"/>
    <w:rsid w:val="04330EDE"/>
    <w:rsid w:val="043F7883"/>
    <w:rsid w:val="04694D1C"/>
    <w:rsid w:val="04756284"/>
    <w:rsid w:val="0507351D"/>
    <w:rsid w:val="05C46291"/>
    <w:rsid w:val="064433FA"/>
    <w:rsid w:val="064C314F"/>
    <w:rsid w:val="06F70059"/>
    <w:rsid w:val="06FC438C"/>
    <w:rsid w:val="07F92E63"/>
    <w:rsid w:val="08153A45"/>
    <w:rsid w:val="08251EAA"/>
    <w:rsid w:val="083409E2"/>
    <w:rsid w:val="085F360E"/>
    <w:rsid w:val="08C43072"/>
    <w:rsid w:val="08D31906"/>
    <w:rsid w:val="08EC5795"/>
    <w:rsid w:val="08F04266"/>
    <w:rsid w:val="08FC70AE"/>
    <w:rsid w:val="09130DDF"/>
    <w:rsid w:val="0A042457"/>
    <w:rsid w:val="0A7C7012"/>
    <w:rsid w:val="0ACE6B28"/>
    <w:rsid w:val="0AD05F14"/>
    <w:rsid w:val="0AEF28D2"/>
    <w:rsid w:val="0B095AB3"/>
    <w:rsid w:val="0B666C9E"/>
    <w:rsid w:val="0BEB340A"/>
    <w:rsid w:val="0C061FF2"/>
    <w:rsid w:val="0C436DA2"/>
    <w:rsid w:val="0CCA783C"/>
    <w:rsid w:val="0CD345CA"/>
    <w:rsid w:val="0D014A54"/>
    <w:rsid w:val="0D0504FC"/>
    <w:rsid w:val="0D3869DE"/>
    <w:rsid w:val="0DCE6B40"/>
    <w:rsid w:val="0E012A71"/>
    <w:rsid w:val="0E230468"/>
    <w:rsid w:val="0E57573D"/>
    <w:rsid w:val="0E83792A"/>
    <w:rsid w:val="0E9318F3"/>
    <w:rsid w:val="0E9E4764"/>
    <w:rsid w:val="0EA917EE"/>
    <w:rsid w:val="0ECE36AE"/>
    <w:rsid w:val="0F2904D1"/>
    <w:rsid w:val="0F2C086B"/>
    <w:rsid w:val="0F3D21CF"/>
    <w:rsid w:val="0F7352C5"/>
    <w:rsid w:val="10040AFF"/>
    <w:rsid w:val="101C0036"/>
    <w:rsid w:val="103872B6"/>
    <w:rsid w:val="10826462"/>
    <w:rsid w:val="10831E66"/>
    <w:rsid w:val="11283F40"/>
    <w:rsid w:val="11324747"/>
    <w:rsid w:val="11B06C88"/>
    <w:rsid w:val="1255782F"/>
    <w:rsid w:val="12B36308"/>
    <w:rsid w:val="137C74D8"/>
    <w:rsid w:val="13BA5B9C"/>
    <w:rsid w:val="13CD7831"/>
    <w:rsid w:val="13E72483"/>
    <w:rsid w:val="13ED41C3"/>
    <w:rsid w:val="13F7788D"/>
    <w:rsid w:val="142B4CEC"/>
    <w:rsid w:val="14635EBD"/>
    <w:rsid w:val="149071FA"/>
    <w:rsid w:val="14D01094"/>
    <w:rsid w:val="14FA236F"/>
    <w:rsid w:val="150C577F"/>
    <w:rsid w:val="155E07DE"/>
    <w:rsid w:val="157C5293"/>
    <w:rsid w:val="165E2A90"/>
    <w:rsid w:val="167977CF"/>
    <w:rsid w:val="167A1613"/>
    <w:rsid w:val="172F62D6"/>
    <w:rsid w:val="17321EED"/>
    <w:rsid w:val="17342109"/>
    <w:rsid w:val="17552F75"/>
    <w:rsid w:val="17AC492E"/>
    <w:rsid w:val="17EC672F"/>
    <w:rsid w:val="17EE0FBD"/>
    <w:rsid w:val="181222ED"/>
    <w:rsid w:val="183463C4"/>
    <w:rsid w:val="185A5BA0"/>
    <w:rsid w:val="189D783A"/>
    <w:rsid w:val="18CB084B"/>
    <w:rsid w:val="18CF43F8"/>
    <w:rsid w:val="18DB244F"/>
    <w:rsid w:val="198133B8"/>
    <w:rsid w:val="19893365"/>
    <w:rsid w:val="199E386A"/>
    <w:rsid w:val="19B968F6"/>
    <w:rsid w:val="19C808E7"/>
    <w:rsid w:val="1A1A55E6"/>
    <w:rsid w:val="1A1F1050"/>
    <w:rsid w:val="1A660D28"/>
    <w:rsid w:val="1ABD5311"/>
    <w:rsid w:val="1AFD5CB9"/>
    <w:rsid w:val="1B2D0950"/>
    <w:rsid w:val="1B7E7809"/>
    <w:rsid w:val="1BD47C9F"/>
    <w:rsid w:val="1C006A5E"/>
    <w:rsid w:val="1C1412E3"/>
    <w:rsid w:val="1CDF0421"/>
    <w:rsid w:val="1CEA33EA"/>
    <w:rsid w:val="1D773D97"/>
    <w:rsid w:val="1D780306"/>
    <w:rsid w:val="1DA358F3"/>
    <w:rsid w:val="1DB47B11"/>
    <w:rsid w:val="1DD87CBB"/>
    <w:rsid w:val="1DDC5928"/>
    <w:rsid w:val="1DE35D79"/>
    <w:rsid w:val="1E021BDD"/>
    <w:rsid w:val="1E522E75"/>
    <w:rsid w:val="1E6D6A63"/>
    <w:rsid w:val="1E8219AC"/>
    <w:rsid w:val="1F30765A"/>
    <w:rsid w:val="1F4F59E7"/>
    <w:rsid w:val="1F882FF2"/>
    <w:rsid w:val="1FB738D7"/>
    <w:rsid w:val="20341126"/>
    <w:rsid w:val="20605D1D"/>
    <w:rsid w:val="209669C5"/>
    <w:rsid w:val="224B3B55"/>
    <w:rsid w:val="227F4EF1"/>
    <w:rsid w:val="22AB1754"/>
    <w:rsid w:val="22C73E32"/>
    <w:rsid w:val="2322363D"/>
    <w:rsid w:val="235651B5"/>
    <w:rsid w:val="23572696"/>
    <w:rsid w:val="23A710EC"/>
    <w:rsid w:val="23BD5235"/>
    <w:rsid w:val="23BF2D5B"/>
    <w:rsid w:val="23F0560A"/>
    <w:rsid w:val="240E7E40"/>
    <w:rsid w:val="24681644"/>
    <w:rsid w:val="24D434BF"/>
    <w:rsid w:val="2538304D"/>
    <w:rsid w:val="253E0A44"/>
    <w:rsid w:val="25B763DF"/>
    <w:rsid w:val="25CF1F63"/>
    <w:rsid w:val="25F018F1"/>
    <w:rsid w:val="25F37999"/>
    <w:rsid w:val="2698739F"/>
    <w:rsid w:val="27002F0E"/>
    <w:rsid w:val="272A6E20"/>
    <w:rsid w:val="27545EB0"/>
    <w:rsid w:val="27A645AF"/>
    <w:rsid w:val="282C43E5"/>
    <w:rsid w:val="284B2E0F"/>
    <w:rsid w:val="290E65DB"/>
    <w:rsid w:val="293B13D7"/>
    <w:rsid w:val="297E7214"/>
    <w:rsid w:val="29960D1A"/>
    <w:rsid w:val="2A0B7EDE"/>
    <w:rsid w:val="2A4C32D1"/>
    <w:rsid w:val="2A500BB0"/>
    <w:rsid w:val="2A6E7289"/>
    <w:rsid w:val="2B1B1001"/>
    <w:rsid w:val="2B30757B"/>
    <w:rsid w:val="2B367DA6"/>
    <w:rsid w:val="2B400C25"/>
    <w:rsid w:val="2B793CF1"/>
    <w:rsid w:val="2BFC0FF0"/>
    <w:rsid w:val="2C091017"/>
    <w:rsid w:val="2C26606D"/>
    <w:rsid w:val="2C413D86"/>
    <w:rsid w:val="2C9254B0"/>
    <w:rsid w:val="2CAB0320"/>
    <w:rsid w:val="2CD07D87"/>
    <w:rsid w:val="2CF40EA6"/>
    <w:rsid w:val="2CF47F19"/>
    <w:rsid w:val="2CFD7065"/>
    <w:rsid w:val="2D2D4885"/>
    <w:rsid w:val="2DFA155F"/>
    <w:rsid w:val="2E1F57F0"/>
    <w:rsid w:val="2E3E3A4B"/>
    <w:rsid w:val="2E7C0E64"/>
    <w:rsid w:val="2E9C43C4"/>
    <w:rsid w:val="2EA6182F"/>
    <w:rsid w:val="2EF17446"/>
    <w:rsid w:val="2F364819"/>
    <w:rsid w:val="2FFB1093"/>
    <w:rsid w:val="307849BD"/>
    <w:rsid w:val="3086532C"/>
    <w:rsid w:val="30C70AAC"/>
    <w:rsid w:val="30E03567"/>
    <w:rsid w:val="310E2AB3"/>
    <w:rsid w:val="315622A6"/>
    <w:rsid w:val="316A07AA"/>
    <w:rsid w:val="31D04385"/>
    <w:rsid w:val="31D42AD9"/>
    <w:rsid w:val="32024DD3"/>
    <w:rsid w:val="32B52734"/>
    <w:rsid w:val="33686F6B"/>
    <w:rsid w:val="34600F0C"/>
    <w:rsid w:val="34DC29FF"/>
    <w:rsid w:val="34E826F0"/>
    <w:rsid w:val="34F25146"/>
    <w:rsid w:val="35523A2F"/>
    <w:rsid w:val="355B0F59"/>
    <w:rsid w:val="359853D9"/>
    <w:rsid w:val="35C80418"/>
    <w:rsid w:val="35FC7E3E"/>
    <w:rsid w:val="360C1DD5"/>
    <w:rsid w:val="361857ED"/>
    <w:rsid w:val="36D45640"/>
    <w:rsid w:val="370A0339"/>
    <w:rsid w:val="373830F8"/>
    <w:rsid w:val="37554814"/>
    <w:rsid w:val="376E08C8"/>
    <w:rsid w:val="38121F62"/>
    <w:rsid w:val="38194CD8"/>
    <w:rsid w:val="385D6A11"/>
    <w:rsid w:val="38CC45DC"/>
    <w:rsid w:val="38EF3C8A"/>
    <w:rsid w:val="39301B35"/>
    <w:rsid w:val="39737207"/>
    <w:rsid w:val="39C34538"/>
    <w:rsid w:val="3A1439A9"/>
    <w:rsid w:val="3A4D4E6B"/>
    <w:rsid w:val="3A9B6FE8"/>
    <w:rsid w:val="3AD66EB0"/>
    <w:rsid w:val="3AF47A17"/>
    <w:rsid w:val="3B0500A6"/>
    <w:rsid w:val="3B2D013E"/>
    <w:rsid w:val="3BC136BC"/>
    <w:rsid w:val="3BFF77DC"/>
    <w:rsid w:val="3C3025F0"/>
    <w:rsid w:val="3C3976F6"/>
    <w:rsid w:val="3C5928B0"/>
    <w:rsid w:val="3C8660E7"/>
    <w:rsid w:val="3CC01E92"/>
    <w:rsid w:val="3D034FD9"/>
    <w:rsid w:val="3D2708D9"/>
    <w:rsid w:val="3D2C725B"/>
    <w:rsid w:val="3D7C4B69"/>
    <w:rsid w:val="3D964084"/>
    <w:rsid w:val="3D9D51F4"/>
    <w:rsid w:val="3E0055CC"/>
    <w:rsid w:val="3E18716F"/>
    <w:rsid w:val="3E1C107E"/>
    <w:rsid w:val="3E682515"/>
    <w:rsid w:val="3E7A5C4E"/>
    <w:rsid w:val="3ED41F77"/>
    <w:rsid w:val="3F2226C4"/>
    <w:rsid w:val="3F27643D"/>
    <w:rsid w:val="3F9133A5"/>
    <w:rsid w:val="3FF12C21"/>
    <w:rsid w:val="3FFC1167"/>
    <w:rsid w:val="401D732F"/>
    <w:rsid w:val="4030201A"/>
    <w:rsid w:val="4043280B"/>
    <w:rsid w:val="404716EC"/>
    <w:rsid w:val="40490A78"/>
    <w:rsid w:val="40565930"/>
    <w:rsid w:val="40593D4A"/>
    <w:rsid w:val="406D191F"/>
    <w:rsid w:val="408E3D89"/>
    <w:rsid w:val="414B23A1"/>
    <w:rsid w:val="41AE11A5"/>
    <w:rsid w:val="41C317D4"/>
    <w:rsid w:val="41D13F2D"/>
    <w:rsid w:val="41FF4DFA"/>
    <w:rsid w:val="420E7D4A"/>
    <w:rsid w:val="431324CB"/>
    <w:rsid w:val="431421AB"/>
    <w:rsid w:val="43713C1A"/>
    <w:rsid w:val="43A35D9D"/>
    <w:rsid w:val="43CA50D8"/>
    <w:rsid w:val="43DB54C4"/>
    <w:rsid w:val="446B4F27"/>
    <w:rsid w:val="44A818BD"/>
    <w:rsid w:val="44A92F3F"/>
    <w:rsid w:val="4533775E"/>
    <w:rsid w:val="457E261E"/>
    <w:rsid w:val="45813EBC"/>
    <w:rsid w:val="45840DA9"/>
    <w:rsid w:val="45A656D1"/>
    <w:rsid w:val="45EE77A4"/>
    <w:rsid w:val="45F823D0"/>
    <w:rsid w:val="46502789"/>
    <w:rsid w:val="46794B93"/>
    <w:rsid w:val="47087801"/>
    <w:rsid w:val="470A75E8"/>
    <w:rsid w:val="47321912"/>
    <w:rsid w:val="47484C91"/>
    <w:rsid w:val="477A0BC3"/>
    <w:rsid w:val="47AA594C"/>
    <w:rsid w:val="47AE7265"/>
    <w:rsid w:val="47D6229D"/>
    <w:rsid w:val="48236574"/>
    <w:rsid w:val="48BA396D"/>
    <w:rsid w:val="491D1CBF"/>
    <w:rsid w:val="491E17A4"/>
    <w:rsid w:val="496A6840"/>
    <w:rsid w:val="49D86B18"/>
    <w:rsid w:val="4A084FAB"/>
    <w:rsid w:val="4A356245"/>
    <w:rsid w:val="4A4E6CBD"/>
    <w:rsid w:val="4A75005D"/>
    <w:rsid w:val="4A8602B5"/>
    <w:rsid w:val="4A940235"/>
    <w:rsid w:val="4AA77F21"/>
    <w:rsid w:val="4ABE652B"/>
    <w:rsid w:val="4B490FD8"/>
    <w:rsid w:val="4BA44460"/>
    <w:rsid w:val="4BAA6663"/>
    <w:rsid w:val="4BAF77E3"/>
    <w:rsid w:val="4BF13DF4"/>
    <w:rsid w:val="4C6D519A"/>
    <w:rsid w:val="4C871DB8"/>
    <w:rsid w:val="4C8F29A0"/>
    <w:rsid w:val="4C9B6AAD"/>
    <w:rsid w:val="4CE849E2"/>
    <w:rsid w:val="4D43424C"/>
    <w:rsid w:val="4DA32011"/>
    <w:rsid w:val="4DCF4114"/>
    <w:rsid w:val="4DE566F3"/>
    <w:rsid w:val="4E9B35E0"/>
    <w:rsid w:val="4EE51018"/>
    <w:rsid w:val="4F482BB0"/>
    <w:rsid w:val="4F6C6D93"/>
    <w:rsid w:val="4FC852ED"/>
    <w:rsid w:val="4FE723F0"/>
    <w:rsid w:val="4FEE4E74"/>
    <w:rsid w:val="50083210"/>
    <w:rsid w:val="502A762A"/>
    <w:rsid w:val="50414974"/>
    <w:rsid w:val="50C65D39"/>
    <w:rsid w:val="50EF314A"/>
    <w:rsid w:val="52124314"/>
    <w:rsid w:val="522D3402"/>
    <w:rsid w:val="526346FC"/>
    <w:rsid w:val="52875411"/>
    <w:rsid w:val="52C27015"/>
    <w:rsid w:val="533031C8"/>
    <w:rsid w:val="53926AE9"/>
    <w:rsid w:val="53990623"/>
    <w:rsid w:val="53A30025"/>
    <w:rsid w:val="53B25189"/>
    <w:rsid w:val="53CC27A6"/>
    <w:rsid w:val="54081F7F"/>
    <w:rsid w:val="540E302C"/>
    <w:rsid w:val="54212AF2"/>
    <w:rsid w:val="54582C4F"/>
    <w:rsid w:val="550C002C"/>
    <w:rsid w:val="55E36282"/>
    <w:rsid w:val="565371AF"/>
    <w:rsid w:val="56920EB1"/>
    <w:rsid w:val="57162CDC"/>
    <w:rsid w:val="579E009D"/>
    <w:rsid w:val="58166CB4"/>
    <w:rsid w:val="58532F19"/>
    <w:rsid w:val="586A1CF4"/>
    <w:rsid w:val="588C4FEA"/>
    <w:rsid w:val="59573918"/>
    <w:rsid w:val="5977723A"/>
    <w:rsid w:val="59D94D98"/>
    <w:rsid w:val="59E556AD"/>
    <w:rsid w:val="59EF0396"/>
    <w:rsid w:val="59F36282"/>
    <w:rsid w:val="5A2E5F54"/>
    <w:rsid w:val="5A84219A"/>
    <w:rsid w:val="5AEB2E9C"/>
    <w:rsid w:val="5B59698A"/>
    <w:rsid w:val="5B8B1199"/>
    <w:rsid w:val="5B9F3F13"/>
    <w:rsid w:val="5BAE0A62"/>
    <w:rsid w:val="5BCD355F"/>
    <w:rsid w:val="5CFA4229"/>
    <w:rsid w:val="5D027239"/>
    <w:rsid w:val="5D5849F8"/>
    <w:rsid w:val="5D7368EC"/>
    <w:rsid w:val="5DA12EF6"/>
    <w:rsid w:val="5DE27796"/>
    <w:rsid w:val="5E1B6804"/>
    <w:rsid w:val="5E353599"/>
    <w:rsid w:val="5EB7749D"/>
    <w:rsid w:val="5F265461"/>
    <w:rsid w:val="5F3E6C4E"/>
    <w:rsid w:val="5FDE4273"/>
    <w:rsid w:val="60234553"/>
    <w:rsid w:val="606C4BDB"/>
    <w:rsid w:val="60830691"/>
    <w:rsid w:val="610417D1"/>
    <w:rsid w:val="618D5C6B"/>
    <w:rsid w:val="624272DA"/>
    <w:rsid w:val="62456545"/>
    <w:rsid w:val="62742987"/>
    <w:rsid w:val="62931431"/>
    <w:rsid w:val="629C1BC7"/>
    <w:rsid w:val="62BC31A0"/>
    <w:rsid w:val="62E73159"/>
    <w:rsid w:val="634A36E8"/>
    <w:rsid w:val="63514A76"/>
    <w:rsid w:val="638E5CCA"/>
    <w:rsid w:val="63AE1B87"/>
    <w:rsid w:val="63C90AB0"/>
    <w:rsid w:val="63CF7A2D"/>
    <w:rsid w:val="63DD0CDE"/>
    <w:rsid w:val="63F456DA"/>
    <w:rsid w:val="64005F33"/>
    <w:rsid w:val="64106A0E"/>
    <w:rsid w:val="64151F48"/>
    <w:rsid w:val="64777236"/>
    <w:rsid w:val="64CF3B8C"/>
    <w:rsid w:val="64E5191A"/>
    <w:rsid w:val="65116BAE"/>
    <w:rsid w:val="653B59DE"/>
    <w:rsid w:val="65D07CD0"/>
    <w:rsid w:val="65F52031"/>
    <w:rsid w:val="65FD2887"/>
    <w:rsid w:val="66BB6DD6"/>
    <w:rsid w:val="66BC2B4E"/>
    <w:rsid w:val="66E75E1D"/>
    <w:rsid w:val="66FA6724"/>
    <w:rsid w:val="676F40CB"/>
    <w:rsid w:val="67713939"/>
    <w:rsid w:val="67A06958"/>
    <w:rsid w:val="67A07D7A"/>
    <w:rsid w:val="67F00D02"/>
    <w:rsid w:val="680A3960"/>
    <w:rsid w:val="685B4DEF"/>
    <w:rsid w:val="68790F37"/>
    <w:rsid w:val="689478DF"/>
    <w:rsid w:val="68C34233"/>
    <w:rsid w:val="68E17934"/>
    <w:rsid w:val="68E5615F"/>
    <w:rsid w:val="68FD584B"/>
    <w:rsid w:val="692E3867"/>
    <w:rsid w:val="694A1AEF"/>
    <w:rsid w:val="69761612"/>
    <w:rsid w:val="69A80F39"/>
    <w:rsid w:val="69DD66F3"/>
    <w:rsid w:val="6A0D369A"/>
    <w:rsid w:val="6B552703"/>
    <w:rsid w:val="6BB362CE"/>
    <w:rsid w:val="6BDB75D3"/>
    <w:rsid w:val="6C141DD0"/>
    <w:rsid w:val="6C5A499B"/>
    <w:rsid w:val="6D064B23"/>
    <w:rsid w:val="6D8A305E"/>
    <w:rsid w:val="6E3A617C"/>
    <w:rsid w:val="6EC46A44"/>
    <w:rsid w:val="6ED24445"/>
    <w:rsid w:val="6F1F3C7A"/>
    <w:rsid w:val="6F616377"/>
    <w:rsid w:val="6FDD4CA3"/>
    <w:rsid w:val="702F6391"/>
    <w:rsid w:val="70577DED"/>
    <w:rsid w:val="70F3716D"/>
    <w:rsid w:val="70F40025"/>
    <w:rsid w:val="7146712D"/>
    <w:rsid w:val="71607A0E"/>
    <w:rsid w:val="71704C61"/>
    <w:rsid w:val="717A2F15"/>
    <w:rsid w:val="7185070D"/>
    <w:rsid w:val="71DD3F80"/>
    <w:rsid w:val="71EB06FF"/>
    <w:rsid w:val="73651ECB"/>
    <w:rsid w:val="745E2272"/>
    <w:rsid w:val="74640AAD"/>
    <w:rsid w:val="74D95234"/>
    <w:rsid w:val="74EB4D2A"/>
    <w:rsid w:val="75264AAF"/>
    <w:rsid w:val="760360A4"/>
    <w:rsid w:val="760F1165"/>
    <w:rsid w:val="7654281B"/>
    <w:rsid w:val="765B4ACC"/>
    <w:rsid w:val="766A30C6"/>
    <w:rsid w:val="768550FD"/>
    <w:rsid w:val="76DD06A3"/>
    <w:rsid w:val="76EC7780"/>
    <w:rsid w:val="772A140E"/>
    <w:rsid w:val="77756B2D"/>
    <w:rsid w:val="77A64F39"/>
    <w:rsid w:val="77B5517C"/>
    <w:rsid w:val="77B87094"/>
    <w:rsid w:val="78411105"/>
    <w:rsid w:val="78E8332F"/>
    <w:rsid w:val="78EB6D2D"/>
    <w:rsid w:val="79074801"/>
    <w:rsid w:val="792A3C52"/>
    <w:rsid w:val="795F1843"/>
    <w:rsid w:val="796C21B2"/>
    <w:rsid w:val="79D705DD"/>
    <w:rsid w:val="7A0F2BA3"/>
    <w:rsid w:val="7A1E16FE"/>
    <w:rsid w:val="7A5C507C"/>
    <w:rsid w:val="7A996102"/>
    <w:rsid w:val="7AB210C4"/>
    <w:rsid w:val="7ABB6F4D"/>
    <w:rsid w:val="7AC22F08"/>
    <w:rsid w:val="7AEB35FE"/>
    <w:rsid w:val="7B3A2568"/>
    <w:rsid w:val="7C25271F"/>
    <w:rsid w:val="7CB00608"/>
    <w:rsid w:val="7CD6006E"/>
    <w:rsid w:val="7CDB38D7"/>
    <w:rsid w:val="7CE338D3"/>
    <w:rsid w:val="7D472D1A"/>
    <w:rsid w:val="7D893EF3"/>
    <w:rsid w:val="7DB87774"/>
    <w:rsid w:val="7DF8613C"/>
    <w:rsid w:val="7E8A55B4"/>
    <w:rsid w:val="7E996565"/>
    <w:rsid w:val="7EC02D84"/>
    <w:rsid w:val="7EF67AE6"/>
    <w:rsid w:val="7F184765"/>
    <w:rsid w:val="7F272E03"/>
    <w:rsid w:val="7F49054D"/>
    <w:rsid w:val="7F533BF8"/>
    <w:rsid w:val="7F6B6DEB"/>
    <w:rsid w:val="7FE95693"/>
    <w:rsid w:val="7FED775F"/>
    <w:rsid w:val="D23B0C4F"/>
    <w:rsid w:val="EF23D64C"/>
    <w:rsid w:val="F5BF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ind w:firstLine="425"/>
      <w:outlineLvl w:val="0"/>
    </w:pPr>
    <w:rPr>
      <w:b/>
      <w:bCs/>
      <w:i/>
      <w:iCs/>
      <w:sz w:val="52"/>
      <w:szCs w:val="20"/>
    </w:rPr>
  </w:style>
  <w:style w:type="paragraph" w:styleId="3">
    <w:name w:val="heading 2"/>
    <w:basedOn w:val="1"/>
    <w:next w:val="1"/>
    <w:link w:val="39"/>
    <w:autoRedefine/>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4">
    <w:name w:val="heading 3"/>
    <w:basedOn w:val="1"/>
    <w:next w:val="1"/>
    <w:link w:val="5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autoRedefine/>
    <w:qFormat/>
    <w:uiPriority w:val="0"/>
    <w:pPr>
      <w:keepNext/>
      <w:keepLines/>
      <w:spacing w:before="240" w:after="64" w:line="317" w:lineRule="auto"/>
      <w:outlineLvl w:val="5"/>
    </w:pPr>
    <w:rPr>
      <w:rFonts w:ascii="Cambria" w:hAnsi="Cambria"/>
      <w:b/>
      <w:bCs/>
      <w:sz w:val="24"/>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7">
    <w:name w:val="Normal Indent"/>
    <w:basedOn w:val="1"/>
    <w:next w:val="1"/>
    <w:autoRedefine/>
    <w:qFormat/>
    <w:uiPriority w:val="0"/>
    <w:pPr>
      <w:snapToGrid w:val="0"/>
      <w:spacing w:line="480" w:lineRule="exact"/>
      <w:ind w:firstLine="567"/>
    </w:pPr>
    <w:rPr>
      <w:rFonts w:ascii="宋体"/>
      <w:snapToGrid w:val="0"/>
      <w:color w:val="000000"/>
      <w:kern w:val="28"/>
      <w:sz w:val="28"/>
      <w:szCs w:val="20"/>
    </w:rPr>
  </w:style>
  <w:style w:type="paragraph" w:styleId="8">
    <w:name w:val="annotation text"/>
    <w:basedOn w:val="1"/>
    <w:link w:val="61"/>
    <w:autoRedefine/>
    <w:unhideWhenUsed/>
    <w:qFormat/>
    <w:uiPriority w:val="0"/>
  </w:style>
  <w:style w:type="paragraph" w:styleId="9">
    <w:name w:val="Body Text"/>
    <w:basedOn w:val="1"/>
    <w:next w:val="10"/>
    <w:link w:val="43"/>
    <w:autoRedefine/>
    <w:qFormat/>
    <w:uiPriority w:val="0"/>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1"/>
    <w:autoRedefine/>
    <w:qFormat/>
    <w:uiPriority w:val="0"/>
    <w:pPr>
      <w:adjustRightInd w:val="0"/>
    </w:pPr>
    <w:rPr>
      <w:rFonts w:ascii="Times New Roman" w:hAnsi="Times New Roman" w:cs="Times New Roman"/>
      <w:sz w:val="28"/>
      <w:lang w:val="en-US"/>
    </w:rPr>
  </w:style>
  <w:style w:type="paragraph" w:styleId="11">
    <w:name w:val="toc 6"/>
    <w:basedOn w:val="1"/>
    <w:next w:val="1"/>
    <w:autoRedefine/>
    <w:qFormat/>
    <w:uiPriority w:val="39"/>
    <w:pPr>
      <w:ind w:left="1000" w:leftChars="1000"/>
    </w:pPr>
  </w:style>
  <w:style w:type="paragraph" w:styleId="12">
    <w:name w:val="Body Text Indent"/>
    <w:basedOn w:val="1"/>
    <w:next w:val="1"/>
    <w:link w:val="40"/>
    <w:autoRedefine/>
    <w:qFormat/>
    <w:uiPriority w:val="0"/>
    <w:pPr>
      <w:spacing w:line="480" w:lineRule="exact"/>
      <w:ind w:firstLine="480" w:firstLineChars="200"/>
    </w:pPr>
    <w:rPr>
      <w:rFonts w:ascii="宋体" w:hAnsi="宋体"/>
      <w:sz w:val="24"/>
    </w:rPr>
  </w:style>
  <w:style w:type="paragraph" w:styleId="13">
    <w:name w:val="toc 3"/>
    <w:basedOn w:val="1"/>
    <w:next w:val="1"/>
    <w:autoRedefine/>
    <w:qFormat/>
    <w:uiPriority w:val="0"/>
    <w:pPr>
      <w:ind w:left="840" w:leftChars="400"/>
    </w:pPr>
    <w:rPr>
      <w:rFonts w:ascii="Times New Roman" w:hAnsi="Times New Roman"/>
    </w:rPr>
  </w:style>
  <w:style w:type="paragraph" w:styleId="14">
    <w:name w:val="Plain Text"/>
    <w:basedOn w:val="1"/>
    <w:link w:val="42"/>
    <w:autoRedefine/>
    <w:qFormat/>
    <w:uiPriority w:val="0"/>
    <w:pPr>
      <w:spacing w:line="450" w:lineRule="exact"/>
      <w:ind w:firstLine="422" w:firstLineChars="200"/>
    </w:pPr>
    <w:rPr>
      <w:rFonts w:ascii="宋体" w:hAnsi="Courier New" w:cs="Arial"/>
      <w:b/>
      <w:snapToGrid w:val="0"/>
      <w:szCs w:val="21"/>
    </w:rPr>
  </w:style>
  <w:style w:type="paragraph" w:styleId="15">
    <w:name w:val="Date"/>
    <w:basedOn w:val="1"/>
    <w:next w:val="1"/>
    <w:link w:val="41"/>
    <w:autoRedefine/>
    <w:qFormat/>
    <w:uiPriority w:val="0"/>
    <w:pPr>
      <w:ind w:left="100" w:leftChars="2500"/>
    </w:pPr>
    <w:rPr>
      <w:rFonts w:ascii="宋体"/>
      <w:sz w:val="24"/>
      <w:szCs w:val="21"/>
      <w:lang w:val="zh-CN"/>
    </w:rPr>
  </w:style>
  <w:style w:type="paragraph" w:styleId="16">
    <w:name w:val="Balloon Text"/>
    <w:basedOn w:val="1"/>
    <w:link w:val="56"/>
    <w:autoRedefine/>
    <w:unhideWhenUsed/>
    <w:qFormat/>
    <w:uiPriority w:val="99"/>
    <w:rPr>
      <w:sz w:val="18"/>
      <w:szCs w:val="18"/>
    </w:rPr>
  </w:style>
  <w:style w:type="paragraph" w:styleId="17">
    <w:name w:val="footer"/>
    <w:basedOn w:val="1"/>
    <w:link w:val="38"/>
    <w:autoRedefine/>
    <w:unhideWhenUsed/>
    <w:qFormat/>
    <w:uiPriority w:val="99"/>
    <w:pPr>
      <w:tabs>
        <w:tab w:val="center" w:pos="4153"/>
        <w:tab w:val="right" w:pos="8306"/>
      </w:tabs>
      <w:snapToGrid w:val="0"/>
    </w:pPr>
    <w:rPr>
      <w:sz w:val="18"/>
      <w:szCs w:val="18"/>
    </w:rPr>
  </w:style>
  <w:style w:type="paragraph" w:styleId="18">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84"/>
    <w:autoRedefine/>
    <w:qFormat/>
    <w:uiPriority w:val="0"/>
    <w:pPr>
      <w:spacing w:before="240" w:after="60" w:line="312" w:lineRule="auto"/>
      <w:jc w:val="center"/>
      <w:outlineLvl w:val="1"/>
    </w:pPr>
    <w:rPr>
      <w:rFonts w:ascii="Cambria" w:hAnsi="Cambria"/>
      <w:b/>
      <w:bCs/>
      <w:kern w:val="28"/>
      <w:sz w:val="32"/>
      <w:szCs w:val="32"/>
    </w:rPr>
  </w:style>
  <w:style w:type="paragraph" w:styleId="20">
    <w:name w:val="Body Text Indent 3"/>
    <w:basedOn w:val="1"/>
    <w:link w:val="72"/>
    <w:autoRedefine/>
    <w:qFormat/>
    <w:uiPriority w:val="0"/>
    <w:pPr>
      <w:spacing w:after="120"/>
      <w:ind w:left="420" w:leftChars="200"/>
    </w:pPr>
    <w:rPr>
      <w:rFonts w:ascii="Times New Roman" w:hAnsi="Times New Roman"/>
      <w:sz w:val="16"/>
      <w:szCs w:val="16"/>
    </w:rPr>
  </w:style>
  <w:style w:type="paragraph" w:styleId="21">
    <w:name w:val="HTML Preformatted"/>
    <w:basedOn w:val="1"/>
    <w:autoRedefine/>
    <w:qFormat/>
    <w:uiPriority w:val="0"/>
    <w:rPr>
      <w:rFonts w:ascii="Courier New" w:hAnsi="Courier New" w:eastAsia="仿宋_GB2312"/>
      <w:b/>
      <w:sz w:val="32"/>
      <w:szCs w:val="32"/>
      <w:lang w:val="en-GB"/>
    </w:rPr>
  </w:style>
  <w:style w:type="paragraph" w:styleId="22">
    <w:name w:val="Normal (Web)"/>
    <w:basedOn w:val="1"/>
    <w:autoRedefine/>
    <w:qFormat/>
    <w:uiPriority w:val="99"/>
    <w:pPr>
      <w:spacing w:before="100" w:beforeAutospacing="1" w:after="100" w:afterAutospacing="1"/>
    </w:pPr>
    <w:rPr>
      <w:kern w:val="0"/>
      <w:sz w:val="24"/>
    </w:rPr>
  </w:style>
  <w:style w:type="paragraph" w:styleId="23">
    <w:name w:val="Title"/>
    <w:basedOn w:val="1"/>
    <w:next w:val="1"/>
    <w:link w:val="82"/>
    <w:autoRedefine/>
    <w:qFormat/>
    <w:uiPriority w:val="0"/>
    <w:pPr>
      <w:widowControl w:val="0"/>
      <w:spacing w:before="240" w:after="60"/>
      <w:jc w:val="center"/>
      <w:outlineLvl w:val="0"/>
    </w:pPr>
    <w:rPr>
      <w:rFonts w:ascii="Cambria" w:hAnsi="Cambria"/>
      <w:b/>
      <w:bCs/>
      <w:sz w:val="32"/>
      <w:szCs w:val="32"/>
    </w:rPr>
  </w:style>
  <w:style w:type="paragraph" w:styleId="24">
    <w:name w:val="annotation subject"/>
    <w:basedOn w:val="8"/>
    <w:next w:val="8"/>
    <w:link w:val="62"/>
    <w:autoRedefine/>
    <w:unhideWhenUsed/>
    <w:qFormat/>
    <w:uiPriority w:val="99"/>
    <w:rPr>
      <w:b/>
      <w:bCs/>
    </w:rPr>
  </w:style>
  <w:style w:type="paragraph" w:styleId="25">
    <w:name w:val="Body Text First Indent 2"/>
    <w:basedOn w:val="12"/>
    <w:next w:val="26"/>
    <w:autoRedefine/>
    <w:unhideWhenUsed/>
    <w:qFormat/>
    <w:uiPriority w:val="99"/>
    <w:pPr>
      <w:ind w:firstLine="420"/>
    </w:pPr>
  </w:style>
  <w:style w:type="paragraph" w:customStyle="1" w:styleId="2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table" w:styleId="28">
    <w:name w:val="Table Grid"/>
    <w:basedOn w:val="2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rPr>
      <w:rFonts w:ascii="Arial" w:hAnsi="Arial" w:eastAsia="黑体" w:cs="Arial"/>
      <w:snapToGrid w:val="0"/>
      <w:kern w:val="0"/>
      <w:szCs w:val="21"/>
    </w:rPr>
  </w:style>
  <w:style w:type="character" w:styleId="31">
    <w:name w:val="FollowedHyperlink"/>
    <w:basedOn w:val="29"/>
    <w:autoRedefine/>
    <w:semiHidden/>
    <w:unhideWhenUsed/>
    <w:qFormat/>
    <w:uiPriority w:val="99"/>
    <w:rPr>
      <w:color w:val="800080"/>
      <w:u w:val="none"/>
    </w:rPr>
  </w:style>
  <w:style w:type="character" w:styleId="32">
    <w:name w:val="Hyperlink"/>
    <w:autoRedefine/>
    <w:qFormat/>
    <w:uiPriority w:val="99"/>
    <w:rPr>
      <w:rFonts w:ascii="Arial" w:hAnsi="Arial" w:eastAsia="黑体" w:cs="Arial"/>
      <w:snapToGrid w:val="0"/>
      <w:color w:val="000000"/>
      <w:kern w:val="0"/>
      <w:sz w:val="18"/>
      <w:szCs w:val="18"/>
      <w:u w:val="none"/>
    </w:rPr>
  </w:style>
  <w:style w:type="character" w:styleId="33">
    <w:name w:val="annotation reference"/>
    <w:basedOn w:val="29"/>
    <w:autoRedefine/>
    <w:unhideWhenUsed/>
    <w:qFormat/>
    <w:uiPriority w:val="99"/>
    <w:rPr>
      <w:sz w:val="21"/>
      <w:szCs w:val="21"/>
    </w:rPr>
  </w:style>
  <w:style w:type="paragraph" w:customStyle="1" w:styleId="34">
    <w:name w:val="_Style 3"/>
    <w:basedOn w:val="1"/>
    <w:autoRedefine/>
    <w:qFormat/>
    <w:uiPriority w:val="0"/>
    <w:pPr>
      <w:ind w:firstLine="420" w:firstLineChars="200"/>
    </w:pPr>
    <w:rPr>
      <w:rFonts w:eastAsia="仿宋_GB2312"/>
      <w:sz w:val="28"/>
    </w:rPr>
  </w:style>
  <w:style w:type="paragraph" w:customStyle="1" w:styleId="35">
    <w:name w:val="列出段落1"/>
    <w:basedOn w:val="1"/>
    <w:autoRedefine/>
    <w:qFormat/>
    <w:uiPriority w:val="0"/>
    <w:pPr>
      <w:ind w:firstLine="420" w:firstLineChars="200"/>
    </w:pPr>
    <w:rPr>
      <w:szCs w:val="22"/>
    </w:rPr>
  </w:style>
  <w:style w:type="paragraph" w:customStyle="1" w:styleId="36">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页眉 Char"/>
    <w:basedOn w:val="29"/>
    <w:link w:val="18"/>
    <w:autoRedefine/>
    <w:qFormat/>
    <w:uiPriority w:val="99"/>
    <w:rPr>
      <w:sz w:val="18"/>
      <w:szCs w:val="18"/>
    </w:rPr>
  </w:style>
  <w:style w:type="character" w:customStyle="1" w:styleId="38">
    <w:name w:val="页脚 Char"/>
    <w:basedOn w:val="29"/>
    <w:link w:val="17"/>
    <w:autoRedefine/>
    <w:qFormat/>
    <w:uiPriority w:val="99"/>
    <w:rPr>
      <w:sz w:val="18"/>
      <w:szCs w:val="18"/>
    </w:rPr>
  </w:style>
  <w:style w:type="character" w:customStyle="1" w:styleId="39">
    <w:name w:val="标题 2 Char"/>
    <w:basedOn w:val="29"/>
    <w:link w:val="3"/>
    <w:autoRedefine/>
    <w:qFormat/>
    <w:uiPriority w:val="0"/>
    <w:rPr>
      <w:rFonts w:ascii="仿宋_GB2312" w:hAnsi="仿宋" w:eastAsia="仿宋_GB2312" w:cs="Times New Roman"/>
      <w:b/>
      <w:bCs/>
      <w:sz w:val="32"/>
      <w:szCs w:val="32"/>
      <w:lang w:val="zh-CN"/>
    </w:rPr>
  </w:style>
  <w:style w:type="character" w:customStyle="1" w:styleId="40">
    <w:name w:val="正文文本缩进 Char"/>
    <w:basedOn w:val="29"/>
    <w:link w:val="12"/>
    <w:autoRedefine/>
    <w:qFormat/>
    <w:uiPriority w:val="0"/>
    <w:rPr>
      <w:rFonts w:ascii="宋体" w:hAnsi="宋体" w:eastAsia="宋体" w:cs="Times New Roman"/>
      <w:sz w:val="24"/>
      <w:szCs w:val="24"/>
    </w:rPr>
  </w:style>
  <w:style w:type="character" w:customStyle="1" w:styleId="41">
    <w:name w:val="日期 Char"/>
    <w:basedOn w:val="29"/>
    <w:link w:val="15"/>
    <w:autoRedefine/>
    <w:qFormat/>
    <w:uiPriority w:val="0"/>
    <w:rPr>
      <w:rFonts w:ascii="宋体" w:hAnsi="Calibri" w:eastAsia="宋体" w:cs="Times New Roman"/>
      <w:sz w:val="24"/>
      <w:szCs w:val="21"/>
      <w:lang w:val="zh-CN"/>
    </w:rPr>
  </w:style>
  <w:style w:type="character" w:customStyle="1" w:styleId="42">
    <w:name w:val="纯文本 Char"/>
    <w:basedOn w:val="29"/>
    <w:link w:val="14"/>
    <w:autoRedefine/>
    <w:qFormat/>
    <w:uiPriority w:val="0"/>
    <w:rPr>
      <w:rFonts w:ascii="宋体" w:hAnsi="Courier New" w:cs="Arial"/>
      <w:b/>
      <w:snapToGrid w:val="0"/>
      <w:kern w:val="2"/>
      <w:sz w:val="21"/>
      <w:szCs w:val="21"/>
    </w:rPr>
  </w:style>
  <w:style w:type="character" w:customStyle="1" w:styleId="43">
    <w:name w:val="正文文本 Char"/>
    <w:basedOn w:val="29"/>
    <w:link w:val="9"/>
    <w:autoRedefine/>
    <w:qFormat/>
    <w:uiPriority w:val="0"/>
    <w:rPr>
      <w:rFonts w:ascii="宋体" w:hAnsi="Arial" w:eastAsia="宋体" w:cs="Arial"/>
      <w:snapToGrid w:val="0"/>
      <w:sz w:val="24"/>
      <w:szCs w:val="21"/>
      <w:lang w:val="zh-CN"/>
    </w:rPr>
  </w:style>
  <w:style w:type="paragraph" w:customStyle="1" w:styleId="44">
    <w:name w:val="索引 11"/>
    <w:basedOn w:val="1"/>
    <w:next w:val="1"/>
    <w:autoRedefine/>
    <w:qFormat/>
    <w:uiPriority w:val="99"/>
    <w:pPr>
      <w:spacing w:line="360" w:lineRule="auto"/>
    </w:pPr>
    <w:rPr>
      <w:rFonts w:ascii="仿宋_GB2312" w:eastAsia="仿宋_GB2312"/>
      <w:sz w:val="24"/>
      <w:szCs w:val="20"/>
    </w:rPr>
  </w:style>
  <w:style w:type="paragraph" w:customStyle="1" w:styleId="4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autoRedefine/>
    <w:semiHidden/>
    <w:qFormat/>
    <w:uiPriority w:val="99"/>
    <w:pPr>
      <w:spacing w:before="100" w:beforeAutospacing="1" w:after="100" w:afterAutospacing="1"/>
    </w:pPr>
    <w:rPr>
      <w:rFonts w:ascii="宋体" w:hAnsi="宋体" w:cs="宋体"/>
      <w:kern w:val="0"/>
      <w:sz w:val="24"/>
    </w:rPr>
  </w:style>
  <w:style w:type="paragraph" w:customStyle="1" w:styleId="48">
    <w:name w:val="纯文本1"/>
    <w:basedOn w:val="1"/>
    <w:autoRedefine/>
    <w:qFormat/>
    <w:uiPriority w:val="0"/>
    <w:rPr>
      <w:rFonts w:ascii="宋体" w:hAnsi="Courier New"/>
      <w:kern w:val="0"/>
      <w:sz w:val="20"/>
      <w:szCs w:val="20"/>
    </w:rPr>
  </w:style>
  <w:style w:type="paragraph" w:customStyle="1" w:styleId="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autoRedefine/>
    <w:qFormat/>
    <w:uiPriority w:val="0"/>
    <w:rPr>
      <w:rFonts w:ascii="宋体" w:hAnsi="Courier New"/>
      <w:szCs w:val="21"/>
    </w:rPr>
  </w:style>
  <w:style w:type="paragraph" w:customStyle="1" w:styleId="51">
    <w:name w:val="正文2"/>
    <w:basedOn w:val="1"/>
    <w:autoRedefine/>
    <w:qFormat/>
    <w:uiPriority w:val="0"/>
    <w:pPr>
      <w:spacing w:before="156" w:line="360" w:lineRule="auto"/>
      <w:ind w:firstLine="510" w:firstLineChars="200"/>
    </w:pPr>
    <w:rPr>
      <w:sz w:val="24"/>
      <w:szCs w:val="20"/>
    </w:rPr>
  </w:style>
  <w:style w:type="paragraph" w:customStyle="1" w:styleId="52">
    <w:name w:val="正文缩进1"/>
    <w:basedOn w:val="1"/>
    <w:next w:val="12"/>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3">
    <w:name w:val="标题 3 Char"/>
    <w:basedOn w:val="29"/>
    <w:link w:val="4"/>
    <w:autoRedefine/>
    <w:semiHidden/>
    <w:qFormat/>
    <w:uiPriority w:val="9"/>
    <w:rPr>
      <w:rFonts w:ascii="Calibri" w:hAnsi="Calibri" w:eastAsia="宋体" w:cs="Times New Roman"/>
      <w:b/>
      <w:bCs/>
      <w:sz w:val="32"/>
      <w:szCs w:val="32"/>
    </w:rPr>
  </w:style>
  <w:style w:type="character" w:customStyle="1" w:styleId="54">
    <w:name w:val="标题 4 Char"/>
    <w:basedOn w:val="29"/>
    <w:link w:val="5"/>
    <w:autoRedefine/>
    <w:semiHidden/>
    <w:qFormat/>
    <w:uiPriority w:val="9"/>
    <w:rPr>
      <w:rFonts w:asciiTheme="majorHAnsi" w:hAnsiTheme="majorHAnsi" w:eastAsiaTheme="majorEastAsia" w:cstheme="majorBidi"/>
      <w:b/>
      <w:bCs/>
      <w:sz w:val="28"/>
      <w:szCs w:val="28"/>
    </w:rPr>
  </w:style>
  <w:style w:type="paragraph" w:customStyle="1" w:styleId="55">
    <w:name w:val="标题4"/>
    <w:basedOn w:val="1"/>
    <w:autoRedefine/>
    <w:qFormat/>
    <w:uiPriority w:val="0"/>
    <w:rPr>
      <w:rFonts w:ascii="Times New Roman" w:hAnsi="Times New Roman" w:eastAsia="仿宋_GB2312"/>
      <w:sz w:val="32"/>
      <w:szCs w:val="20"/>
    </w:rPr>
  </w:style>
  <w:style w:type="character" w:customStyle="1" w:styleId="56">
    <w:name w:val="批注框文本 Char"/>
    <w:basedOn w:val="29"/>
    <w:link w:val="16"/>
    <w:autoRedefine/>
    <w:semiHidden/>
    <w:qFormat/>
    <w:uiPriority w:val="99"/>
    <w:rPr>
      <w:rFonts w:ascii="Calibri" w:hAnsi="Calibri" w:eastAsia="宋体" w:cs="Times New Roman"/>
      <w:sz w:val="18"/>
      <w:szCs w:val="18"/>
    </w:rPr>
  </w:style>
  <w:style w:type="character" w:customStyle="1" w:styleId="57">
    <w:name w:val="List Paragraph Char"/>
    <w:link w:val="58"/>
    <w:autoRedefine/>
    <w:qFormat/>
    <w:locked/>
    <w:uiPriority w:val="0"/>
    <w:rPr>
      <w:rFonts w:ascii="Times New Roman" w:hAnsi="Times New Roman"/>
      <w:szCs w:val="24"/>
    </w:rPr>
  </w:style>
  <w:style w:type="paragraph" w:customStyle="1" w:styleId="58">
    <w:name w:val="列出段落11"/>
    <w:basedOn w:val="1"/>
    <w:link w:val="57"/>
    <w:autoRedefine/>
    <w:qFormat/>
    <w:uiPriority w:val="0"/>
    <w:pPr>
      <w:ind w:firstLine="420" w:firstLineChars="200"/>
    </w:pPr>
    <w:rPr>
      <w:rFonts w:ascii="Times New Roman" w:hAnsi="Times New Roman" w:eastAsiaTheme="minorEastAsia" w:cstheme="minorBidi"/>
    </w:rPr>
  </w:style>
  <w:style w:type="paragraph" w:customStyle="1" w:styleId="59">
    <w:name w:val="列表段落1"/>
    <w:basedOn w:val="1"/>
    <w:autoRedefine/>
    <w:qFormat/>
    <w:uiPriority w:val="99"/>
    <w:pPr>
      <w:ind w:firstLine="420" w:firstLineChars="200"/>
    </w:pPr>
  </w:style>
  <w:style w:type="paragraph" w:customStyle="1" w:styleId="60">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1">
    <w:name w:val="批注文字 Char"/>
    <w:basedOn w:val="29"/>
    <w:link w:val="8"/>
    <w:autoRedefine/>
    <w:qFormat/>
    <w:uiPriority w:val="0"/>
    <w:rPr>
      <w:rFonts w:ascii="Calibri" w:hAnsi="Calibri"/>
      <w:kern w:val="2"/>
      <w:sz w:val="21"/>
      <w:szCs w:val="24"/>
    </w:rPr>
  </w:style>
  <w:style w:type="character" w:customStyle="1" w:styleId="62">
    <w:name w:val="批注主题 Char"/>
    <w:basedOn w:val="61"/>
    <w:link w:val="24"/>
    <w:autoRedefine/>
    <w:semiHidden/>
    <w:qFormat/>
    <w:uiPriority w:val="99"/>
    <w:rPr>
      <w:rFonts w:ascii="Calibri" w:hAnsi="Calibri"/>
      <w:b/>
      <w:bCs/>
      <w:kern w:val="2"/>
      <w:sz w:val="21"/>
      <w:szCs w:val="24"/>
    </w:rPr>
  </w:style>
  <w:style w:type="paragraph" w:customStyle="1" w:styleId="63">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4">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5">
    <w:name w:val="textcolor1"/>
    <w:basedOn w:val="29"/>
    <w:autoRedefine/>
    <w:qFormat/>
    <w:uiPriority w:val="0"/>
    <w:rPr>
      <w:color w:val="FF6600"/>
    </w:rPr>
  </w:style>
  <w:style w:type="table" w:customStyle="1" w:styleId="66">
    <w:name w:val="Table Normal"/>
    <w:autoRedefine/>
    <w:semiHidden/>
    <w:unhideWhenUsed/>
    <w:qFormat/>
    <w:uiPriority w:val="0"/>
    <w:tblPr>
      <w:tblCellMar>
        <w:top w:w="0" w:type="dxa"/>
        <w:left w:w="0" w:type="dxa"/>
        <w:bottom w:w="0" w:type="dxa"/>
        <w:right w:w="0" w:type="dxa"/>
      </w:tblCellMar>
    </w:tblPr>
  </w:style>
  <w:style w:type="paragraph" w:customStyle="1" w:styleId="67">
    <w:name w:val="公告正文"/>
    <w:basedOn w:val="1"/>
    <w:autoRedefine/>
    <w:qFormat/>
    <w:uiPriority w:val="0"/>
    <w:pPr>
      <w:spacing w:line="400" w:lineRule="atLeast"/>
      <w:ind w:firstLine="437"/>
    </w:pPr>
    <w:rPr>
      <w:rFonts w:ascii="宋体" w:hAnsi="宋体"/>
      <w:kern w:val="0"/>
      <w:sz w:val="24"/>
    </w:rPr>
  </w:style>
  <w:style w:type="paragraph" w:customStyle="1" w:styleId="68">
    <w:name w:val="须知二级小标题"/>
    <w:basedOn w:val="1"/>
    <w:autoRedefine/>
    <w:qFormat/>
    <w:uiPriority w:val="0"/>
    <w:pPr>
      <w:spacing w:line="500" w:lineRule="exact"/>
    </w:pPr>
    <w:rPr>
      <w:rFonts w:ascii="宋体"/>
      <w:b/>
      <w:sz w:val="24"/>
    </w:rPr>
  </w:style>
  <w:style w:type="paragraph" w:customStyle="1" w:styleId="69">
    <w:name w:val="纯文本2"/>
    <w:basedOn w:val="1"/>
    <w:autoRedefine/>
    <w:qFormat/>
    <w:uiPriority w:val="0"/>
    <w:rPr>
      <w:rFonts w:ascii="宋体" w:hAnsi="Courier New" w:eastAsia="Times New Roman"/>
      <w:kern w:val="0"/>
      <w:sz w:val="20"/>
      <w:szCs w:val="20"/>
    </w:rPr>
  </w:style>
  <w:style w:type="paragraph" w:customStyle="1" w:styleId="70">
    <w:name w:val="[Normal]"/>
    <w:autoRedefine/>
    <w:qFormat/>
    <w:uiPriority w:val="0"/>
    <w:rPr>
      <w:rFonts w:ascii="宋体" w:hAnsi="宋体" w:eastAsia="宋体" w:cs="Times New Roman"/>
      <w:sz w:val="24"/>
      <w:szCs w:val="22"/>
      <w:lang w:val="zh-CN" w:eastAsia="zh-CN" w:bidi="ar-SA"/>
    </w:rPr>
  </w:style>
  <w:style w:type="paragraph" w:customStyle="1" w:styleId="71">
    <w:name w:val="正文空格"/>
    <w:basedOn w:val="1"/>
    <w:next w:val="1"/>
    <w:autoRedefine/>
    <w:qFormat/>
    <w:uiPriority w:val="0"/>
    <w:pPr>
      <w:spacing w:line="400" w:lineRule="exact"/>
      <w:ind w:firstLine="200" w:firstLineChars="200"/>
    </w:pPr>
    <w:rPr>
      <w:sz w:val="24"/>
      <w:szCs w:val="22"/>
    </w:rPr>
  </w:style>
  <w:style w:type="character" w:customStyle="1" w:styleId="72">
    <w:name w:val="正文文本缩进 3 Char"/>
    <w:basedOn w:val="29"/>
    <w:link w:val="20"/>
    <w:autoRedefine/>
    <w:qFormat/>
    <w:uiPriority w:val="0"/>
    <w:rPr>
      <w:kern w:val="2"/>
      <w:sz w:val="16"/>
      <w:szCs w:val="16"/>
    </w:rPr>
  </w:style>
  <w:style w:type="paragraph" w:customStyle="1" w:styleId="73">
    <w:name w:val="Table Paragraph"/>
    <w:basedOn w:val="1"/>
    <w:qFormat/>
    <w:uiPriority w:val="0"/>
    <w:pPr>
      <w:widowControl w:val="0"/>
      <w:autoSpaceDE w:val="0"/>
      <w:autoSpaceDN w:val="0"/>
      <w:adjustRightInd w:val="0"/>
    </w:pPr>
    <w:rPr>
      <w:kern w:val="0"/>
      <w:sz w:val="24"/>
    </w:rPr>
  </w:style>
  <w:style w:type="character" w:customStyle="1" w:styleId="74">
    <w:name w:val="NormalCharacter"/>
    <w:semiHidden/>
    <w:qFormat/>
    <w:uiPriority w:val="0"/>
  </w:style>
  <w:style w:type="character" w:customStyle="1" w:styleId="75">
    <w:name w:val="font51"/>
    <w:basedOn w:val="29"/>
    <w:qFormat/>
    <w:uiPriority w:val="0"/>
    <w:rPr>
      <w:rFonts w:hint="eastAsia" w:ascii="宋体" w:hAnsi="宋体" w:eastAsia="宋体" w:cs="宋体"/>
      <w:b/>
      <w:color w:val="000000"/>
      <w:sz w:val="16"/>
      <w:szCs w:val="16"/>
      <w:u w:val="none"/>
    </w:rPr>
  </w:style>
  <w:style w:type="character" w:customStyle="1" w:styleId="76">
    <w:name w:val="font41"/>
    <w:basedOn w:val="29"/>
    <w:qFormat/>
    <w:uiPriority w:val="0"/>
    <w:rPr>
      <w:rFonts w:hint="eastAsia" w:ascii="宋体" w:hAnsi="宋体" w:eastAsia="宋体" w:cs="宋体"/>
      <w:b/>
      <w:color w:val="000000"/>
      <w:sz w:val="20"/>
      <w:szCs w:val="20"/>
      <w:u w:val="none"/>
    </w:rPr>
  </w:style>
  <w:style w:type="character" w:customStyle="1" w:styleId="77">
    <w:name w:val="font21"/>
    <w:basedOn w:val="29"/>
    <w:qFormat/>
    <w:uiPriority w:val="0"/>
    <w:rPr>
      <w:rFonts w:hint="eastAsia" w:ascii="宋体" w:hAnsi="宋体" w:eastAsia="宋体" w:cs="宋体"/>
      <w:color w:val="000000"/>
      <w:sz w:val="13"/>
      <w:szCs w:val="13"/>
      <w:u w:val="none"/>
    </w:rPr>
  </w:style>
  <w:style w:type="character" w:customStyle="1" w:styleId="78">
    <w:name w:val="font11"/>
    <w:basedOn w:val="29"/>
    <w:qFormat/>
    <w:uiPriority w:val="0"/>
    <w:rPr>
      <w:rFonts w:hint="eastAsia" w:ascii="宋体" w:hAnsi="宋体" w:eastAsia="宋体" w:cs="宋体"/>
      <w:b/>
      <w:color w:val="000000"/>
      <w:sz w:val="13"/>
      <w:szCs w:val="13"/>
      <w:u w:val="none"/>
    </w:rPr>
  </w:style>
  <w:style w:type="paragraph" w:styleId="79">
    <w:name w:val="List Paragraph"/>
    <w:basedOn w:val="1"/>
    <w:qFormat/>
    <w:uiPriority w:val="99"/>
    <w:pPr>
      <w:ind w:firstLine="420" w:firstLineChars="200"/>
    </w:pPr>
  </w:style>
  <w:style w:type="character" w:customStyle="1" w:styleId="80">
    <w:name w:val="样式1 Char Char"/>
    <w:link w:val="81"/>
    <w:autoRedefine/>
    <w:qFormat/>
    <w:uiPriority w:val="0"/>
    <w:rPr>
      <w:rFonts w:ascii="宋体" w:hAnsi="宋体"/>
      <w:color w:val="222222"/>
      <w:sz w:val="28"/>
      <w:szCs w:val="28"/>
    </w:rPr>
  </w:style>
  <w:style w:type="paragraph" w:customStyle="1" w:styleId="81">
    <w:name w:val="样式1"/>
    <w:basedOn w:val="1"/>
    <w:link w:val="80"/>
    <w:autoRedefine/>
    <w:qFormat/>
    <w:uiPriority w:val="0"/>
    <w:pPr>
      <w:widowControl w:val="0"/>
      <w:spacing w:line="360" w:lineRule="auto"/>
      <w:ind w:firstLine="560" w:firstLineChars="200"/>
      <w:jc w:val="both"/>
    </w:pPr>
    <w:rPr>
      <w:rFonts w:ascii="宋体" w:hAnsi="宋体"/>
      <w:color w:val="222222"/>
      <w:kern w:val="0"/>
      <w:sz w:val="28"/>
      <w:szCs w:val="28"/>
    </w:rPr>
  </w:style>
  <w:style w:type="character" w:customStyle="1" w:styleId="82">
    <w:name w:val="标题 Char"/>
    <w:basedOn w:val="29"/>
    <w:link w:val="23"/>
    <w:qFormat/>
    <w:uiPriority w:val="0"/>
    <w:rPr>
      <w:rFonts w:ascii="Cambria" w:hAnsi="Cambria"/>
      <w:b/>
      <w:bCs/>
      <w:kern w:val="2"/>
      <w:sz w:val="32"/>
      <w:szCs w:val="32"/>
    </w:rPr>
  </w:style>
  <w:style w:type="character" w:customStyle="1" w:styleId="83">
    <w:name w:val="副标题 Char"/>
    <w:basedOn w:val="29"/>
    <w:autoRedefine/>
    <w:qFormat/>
    <w:uiPriority w:val="0"/>
    <w:rPr>
      <w:rFonts w:asciiTheme="majorHAnsi" w:hAnsiTheme="majorHAnsi" w:cstheme="majorBidi"/>
      <w:b/>
      <w:bCs/>
      <w:kern w:val="28"/>
      <w:sz w:val="32"/>
      <w:szCs w:val="32"/>
    </w:rPr>
  </w:style>
  <w:style w:type="character" w:customStyle="1" w:styleId="84">
    <w:name w:val="副标题 Char1"/>
    <w:link w:val="19"/>
    <w:autoRedefine/>
    <w:qFormat/>
    <w:uiPriority w:val="0"/>
    <w:rPr>
      <w:rFonts w:ascii="Cambria" w:hAnsi="Cambria"/>
      <w:b/>
      <w:bCs/>
      <w:kern w:val="28"/>
      <w:sz w:val="32"/>
      <w:szCs w:val="32"/>
    </w:rPr>
  </w:style>
  <w:style w:type="character" w:customStyle="1" w:styleId="85">
    <w:name w:val="标题 字符"/>
    <w:autoRedefine/>
    <w:qFormat/>
    <w:uiPriority w:val="0"/>
    <w:rPr>
      <w:rFonts w:ascii="Arial" w:hAnsi="Arial" w:cs="Arial"/>
      <w:b/>
      <w:bCs/>
      <w:sz w:val="32"/>
      <w:szCs w:val="32"/>
    </w:rPr>
  </w:style>
  <w:style w:type="paragraph" w:customStyle="1" w:styleId="86">
    <w:name w:val="p0"/>
    <w:basedOn w:val="1"/>
    <w:autoRedefine/>
    <w:qFormat/>
    <w:uiPriority w:val="0"/>
    <w:pPr>
      <w:jc w:val="both"/>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57</Pages>
  <Words>10118</Words>
  <Characters>11277</Characters>
  <Lines>229</Lines>
  <Paragraphs>64</Paragraphs>
  <TotalTime>40</TotalTime>
  <ScaleCrop>false</ScaleCrop>
  <LinksUpToDate>false</LinksUpToDate>
  <CharactersWithSpaces>11782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2023-02-05T05:06:00Z</dcterms:created>
  <dc:creator>Microsoft</dc:creator>
  <cp:lastModifiedBy>莫甘娜</cp:lastModifiedBy>
  <cp:lastPrinted>2025-04-10T12:08:00Z</cp:lastPrinted>
  <dcterms:modified xsi:type="dcterms:W3CDTF">2025-06-04T05:55:45Z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8B5B27000FE445D087EE802C81AAB260_13</vt:lpwstr>
  </property>
  <property fmtid="{D5CDD505-2E9C-101B-9397-08002B2CF9AE}" pid="4" name="KSOTemplateDocerSaveRecord">
    <vt:lpwstr>eyJoZGlkIjoiZjY1ZGNkMmVmYTc0MzgzZDY0NWM1YWY1ODNjN2IyNmIiLCJ1c2VySWQiOiI1NDQ3ODE1NjMifQ==</vt:lpwstr>
  </property>
</Properties>
</file>