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DB258">
      <w:pPr>
        <w:spacing w:line="360" w:lineRule="auto"/>
        <w:jc w:val="center"/>
        <w:rPr>
          <w:rFonts w:ascii="宋体" w:hAnsi="宋体" w:cs="宋体"/>
          <w:b/>
          <w:color w:val="000000" w:themeColor="text1"/>
          <w:sz w:val="24"/>
          <w:highlight w:val="none"/>
          <w14:textFill>
            <w14:solidFill>
              <w14:schemeClr w14:val="tx1"/>
            </w14:solidFill>
          </w14:textFill>
        </w:rPr>
      </w:pPr>
    </w:p>
    <w:p w14:paraId="0F2DF641">
      <w:pPr>
        <w:spacing w:line="360" w:lineRule="auto"/>
        <w:jc w:val="center"/>
        <w:rPr>
          <w:rFonts w:ascii="宋体" w:hAnsi="宋体" w:cs="宋体"/>
          <w:b/>
          <w:color w:val="000000" w:themeColor="text1"/>
          <w:sz w:val="24"/>
          <w:highlight w:val="none"/>
          <w14:textFill>
            <w14:solidFill>
              <w14:schemeClr w14:val="tx1"/>
            </w14:solidFill>
          </w14:textFill>
        </w:rPr>
      </w:pPr>
    </w:p>
    <w:p w14:paraId="60D7CC75">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p>
    <w:p w14:paraId="00C92D9C">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77CA6072">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14:paraId="661FB1E9">
      <w:pPr>
        <w:adjustRightInd/>
        <w:spacing w:line="360" w:lineRule="auto"/>
        <w:jc w:val="center"/>
        <w:rPr>
          <w:rFonts w:hint="eastAsia" w:ascii="宋体" w:hAnsi="宋体" w:eastAsia="宋体" w:cs="宋体"/>
          <w:color w:val="000000" w:themeColor="text1"/>
          <w:sz w:val="48"/>
          <w:szCs w:val="48"/>
          <w:highlight w:val="none"/>
          <w:lang w:eastAsia="zh-CN"/>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萧山区市心实验中学餐桌椅采购项目</w:t>
      </w:r>
    </w:p>
    <w:p w14:paraId="69F3B5AE">
      <w:pPr>
        <w:adjustRightInd/>
        <w:spacing w:line="360" w:lineRule="auto"/>
        <w:jc w:val="center"/>
        <w:rPr>
          <w:rFonts w:hint="eastAsia" w:asciiTheme="minorEastAsia" w:hAnsiTheme="minorEastAsia" w:eastAsiaTheme="minorEastAsia" w:cstheme="minorEastAsia"/>
          <w:color w:val="auto"/>
          <w:sz w:val="56"/>
          <w:szCs w:val="56"/>
          <w:highlight w:val="none"/>
        </w:rPr>
      </w:pPr>
      <w:r>
        <w:rPr>
          <w:rFonts w:hint="eastAsia" w:asciiTheme="minorEastAsia" w:hAnsiTheme="minorEastAsia" w:eastAsiaTheme="minorEastAsia" w:cstheme="minorEastAsia"/>
          <w:color w:val="auto"/>
          <w:sz w:val="56"/>
          <w:szCs w:val="56"/>
          <w:highlight w:val="none"/>
          <w:lang w:eastAsia="zh-CN"/>
        </w:rPr>
        <w:t>交易文件</w:t>
      </w:r>
    </w:p>
    <w:p w14:paraId="258DC818">
      <w:pPr>
        <w:adjustRightInd/>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w:t>
      </w:r>
      <w:r>
        <w:rPr>
          <w:rFonts w:hint="eastAsia" w:asciiTheme="minorEastAsia" w:hAnsiTheme="minorEastAsia" w:eastAsiaTheme="minorEastAsia" w:cstheme="minorEastAsia"/>
          <w:b/>
          <w:color w:val="auto"/>
          <w:sz w:val="44"/>
          <w:szCs w:val="44"/>
          <w:highlight w:val="none"/>
          <w:lang w:val="en-US" w:eastAsia="zh-CN"/>
        </w:rPr>
        <w:t>交易</w:t>
      </w:r>
      <w:r>
        <w:rPr>
          <w:rFonts w:hint="eastAsia" w:asciiTheme="minorEastAsia" w:hAnsiTheme="minorEastAsia" w:eastAsiaTheme="minorEastAsia" w:cstheme="minorEastAsia"/>
          <w:b/>
          <w:color w:val="auto"/>
          <w:sz w:val="44"/>
          <w:szCs w:val="44"/>
          <w:highlight w:val="none"/>
        </w:rPr>
        <w:t>标）</w:t>
      </w:r>
    </w:p>
    <w:p w14:paraId="557826F6">
      <w:pPr>
        <w:snapToGrid w:val="0"/>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SXZX-2025-CG-004</w:t>
      </w:r>
    </w:p>
    <w:p w14:paraId="6A7BBEEF">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03988B8A">
      <w:pPr>
        <w:spacing w:line="360" w:lineRule="auto"/>
        <w:jc w:val="center"/>
        <w:rPr>
          <w:rFonts w:hint="eastAsia" w:ascii="宋体" w:hAnsi="宋体" w:cs="宋体"/>
          <w:b/>
          <w:color w:val="000000" w:themeColor="text1"/>
          <w:sz w:val="44"/>
          <w:szCs w:val="44"/>
          <w:highlight w:val="none"/>
          <w14:textFill>
            <w14:solidFill>
              <w14:schemeClr w14:val="tx1"/>
            </w14:solidFill>
          </w14:textFill>
        </w:rPr>
      </w:pPr>
    </w:p>
    <w:p w14:paraId="52FB2416">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443E3FB9">
      <w:pPr>
        <w:spacing w:line="360" w:lineRule="auto"/>
        <w:jc w:val="both"/>
        <w:rPr>
          <w:rFonts w:ascii="宋体" w:hAnsi="宋体" w:cs="宋体"/>
          <w:color w:val="000000" w:themeColor="text1"/>
          <w:sz w:val="24"/>
          <w:highlight w:val="none"/>
          <w14:textFill>
            <w14:solidFill>
              <w14:schemeClr w14:val="tx1"/>
            </w14:solidFill>
          </w14:textFill>
        </w:rPr>
      </w:pPr>
    </w:p>
    <w:p w14:paraId="0A5D3D8D">
      <w:pPr>
        <w:spacing w:line="360" w:lineRule="auto"/>
        <w:rPr>
          <w:rFonts w:ascii="宋体" w:hAnsi="宋体" w:cs="宋体"/>
          <w:color w:val="000000" w:themeColor="text1"/>
          <w:sz w:val="32"/>
          <w:szCs w:val="32"/>
          <w:highlight w:val="none"/>
          <w14:textFill>
            <w14:solidFill>
              <w14:schemeClr w14:val="tx1"/>
            </w14:solidFill>
          </w14:textFill>
        </w:rPr>
      </w:pPr>
    </w:p>
    <w:p w14:paraId="1B714669">
      <w:pPr>
        <w:snapToGrid w:val="0"/>
        <w:spacing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萧山区市心实验中学</w:t>
      </w:r>
    </w:p>
    <w:p w14:paraId="4FA4D7E6">
      <w:pPr>
        <w:snapToGrid w:val="0"/>
        <w:spacing w:line="360" w:lineRule="auto"/>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浙江天卫工程咨询有限公司</w:t>
      </w:r>
    </w:p>
    <w:p w14:paraId="7A22DF6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ascii="宋体" w:hAnsi="宋体" w:cs="宋体"/>
          <w:bCs/>
          <w:color w:val="000000" w:themeColor="text1"/>
          <w:sz w:val="32"/>
          <w:szCs w:val="32"/>
          <w:highlight w:val="none"/>
          <w14:textFill>
            <w14:solidFill>
              <w14:schemeClr w14:val="tx1"/>
            </w14:solidFill>
          </w14:textFill>
        </w:rPr>
        <w:t>202</w:t>
      </w:r>
      <w:r>
        <w:rPr>
          <w:rFonts w:hint="eastAsia" w:ascii="宋体" w:hAnsi="宋体" w:cs="宋体"/>
          <w:bCs/>
          <w:color w:val="000000" w:themeColor="text1"/>
          <w:sz w:val="32"/>
          <w:szCs w:val="32"/>
          <w:highlight w:val="none"/>
          <w:lang w:val="en-US" w:eastAsia="zh-CN"/>
          <w14:textFill>
            <w14:solidFill>
              <w14:schemeClr w14:val="tx1"/>
            </w14:solidFill>
          </w14:textFill>
        </w:rPr>
        <w:t>5</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07</w:t>
      </w:r>
      <w:r>
        <w:rPr>
          <w:rFonts w:hint="eastAsia" w:ascii="宋体" w:hAnsi="宋体" w:cs="宋体"/>
          <w:bCs/>
          <w:color w:val="000000" w:themeColor="text1"/>
          <w:sz w:val="32"/>
          <w:szCs w:val="32"/>
          <w:highlight w:val="none"/>
          <w14:textFill>
            <w14:solidFill>
              <w14:schemeClr w14:val="tx1"/>
            </w14:solidFill>
          </w14:textFill>
        </w:rPr>
        <w:t>月</w:t>
      </w: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6DD860E4">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5547A767">
      <w:pPr>
        <w:spacing w:line="360" w:lineRule="auto"/>
        <w:rPr>
          <w:rFonts w:ascii="宋体" w:hAnsi="宋体" w:cs="宋体"/>
          <w:color w:val="000000" w:themeColor="text1"/>
          <w:sz w:val="32"/>
          <w:szCs w:val="32"/>
          <w:highlight w:val="none"/>
          <w14:textFill>
            <w14:solidFill>
              <w14:schemeClr w14:val="tx1"/>
            </w14:solidFill>
          </w14:textFill>
        </w:rPr>
      </w:pPr>
    </w:p>
    <w:p w14:paraId="1E5708B9">
      <w:pPr>
        <w:spacing w:line="360" w:lineRule="auto"/>
        <w:rPr>
          <w:rFonts w:ascii="宋体" w:hAnsi="宋体" w:cs="宋体"/>
          <w:color w:val="000000" w:themeColor="text1"/>
          <w:sz w:val="32"/>
          <w:szCs w:val="32"/>
          <w:highlight w:val="none"/>
          <w14:textFill>
            <w14:solidFill>
              <w14:schemeClr w14:val="tx1"/>
            </w14:solidFill>
          </w14:textFill>
        </w:rPr>
      </w:pPr>
    </w:p>
    <w:p w14:paraId="6D06DECA">
      <w:pPr>
        <w:spacing w:line="360" w:lineRule="auto"/>
        <w:ind w:firstLine="1280" w:firstLineChars="400"/>
        <w:rPr>
          <w:rFonts w:hint="eastAsia" w:asciiTheme="minorEastAsia" w:hAnsiTheme="minorEastAsia" w:eastAsiaTheme="minorEastAsia" w:cstheme="minorEastAsia"/>
          <w:color w:val="auto"/>
          <w:sz w:val="32"/>
          <w:szCs w:val="32"/>
          <w:highlight w:val="none"/>
          <w:lang w:eastAsia="zh-CN"/>
        </w:rPr>
      </w:pPr>
      <w:bookmarkStart w:id="1" w:name="_Hlt91233176"/>
      <w:bookmarkEnd w:id="1"/>
      <w:bookmarkStart w:id="2" w:name="_Toc91899869"/>
      <w:r>
        <w:rPr>
          <w:rFonts w:hint="eastAsia" w:asciiTheme="minorEastAsia" w:hAnsiTheme="minorEastAsia" w:eastAsiaTheme="minorEastAsia" w:cstheme="minorEastAsia"/>
          <w:color w:val="auto"/>
          <w:sz w:val="32"/>
          <w:szCs w:val="32"/>
          <w:highlight w:val="none"/>
        </w:rPr>
        <w:t xml:space="preserve">第一部分      </w:t>
      </w:r>
      <w:r>
        <w:rPr>
          <w:rFonts w:hint="eastAsia" w:asciiTheme="minorEastAsia" w:hAnsiTheme="minorEastAsia" w:eastAsiaTheme="minorEastAsia" w:cstheme="minorEastAsia"/>
          <w:color w:val="auto"/>
          <w:sz w:val="32"/>
          <w:szCs w:val="32"/>
          <w:highlight w:val="none"/>
          <w:lang w:eastAsia="zh-CN"/>
        </w:rPr>
        <w:t>交易公告</w:t>
      </w:r>
    </w:p>
    <w:p w14:paraId="2C1DDDF3">
      <w:pPr>
        <w:spacing w:line="360" w:lineRule="auto"/>
        <w:ind w:firstLine="1280" w:firstLineChars="40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 xml:space="preserve">第二部分      </w:t>
      </w:r>
      <w:r>
        <w:rPr>
          <w:rFonts w:hint="eastAsia" w:asciiTheme="minorEastAsia" w:hAnsiTheme="minorEastAsia" w:eastAsiaTheme="minorEastAsia" w:cstheme="minorEastAsia"/>
          <w:color w:val="auto"/>
          <w:sz w:val="32"/>
          <w:szCs w:val="32"/>
          <w:highlight w:val="none"/>
          <w:lang w:eastAsia="zh-CN"/>
        </w:rPr>
        <w:t>供应商须知</w:t>
      </w:r>
    </w:p>
    <w:p w14:paraId="2764AE63">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265E3A13">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评标办法</w:t>
      </w:r>
    </w:p>
    <w:p w14:paraId="6228DEA7">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25EDBF66">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72A7D2F0">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192B2C2">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DE65C1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66067E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FA8E269">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CDF8F1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D443E9B">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5356C76">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FABDF6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268D363">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E31B36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85FA51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CFA895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C0EF6DE">
      <w:pPr>
        <w:spacing w:line="360" w:lineRule="auto"/>
        <w:rPr>
          <w:rFonts w:ascii="宋体" w:hAnsi="宋体" w:cs="宋体"/>
          <w:color w:val="000000" w:themeColor="text1"/>
          <w:sz w:val="24"/>
          <w:highlight w:val="none"/>
          <w14:textFill>
            <w14:solidFill>
              <w14:schemeClr w14:val="tx1"/>
            </w14:solidFill>
          </w14:textFill>
        </w:rPr>
      </w:pPr>
    </w:p>
    <w:p w14:paraId="50474E0C">
      <w:pPr>
        <w:adjustRightInd/>
        <w:spacing w:line="360" w:lineRule="auto"/>
        <w:jc w:val="center"/>
        <w:outlineLvl w:val="0"/>
        <w:rPr>
          <w:rFonts w:hint="eastAsia" w:asciiTheme="minorEastAsia" w:hAnsiTheme="minorEastAsia" w:eastAsiaTheme="minorEastAsia" w:cstheme="minorEastAsia"/>
          <w:b/>
          <w:color w:val="auto"/>
          <w:sz w:val="36"/>
          <w:szCs w:val="20"/>
          <w:highlight w:val="none"/>
          <w:lang w:eastAsia="zh-CN"/>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 xml:space="preserve">第一部分 </w:t>
      </w:r>
      <w:r>
        <w:rPr>
          <w:rFonts w:hint="eastAsia" w:asciiTheme="minorEastAsia" w:hAnsiTheme="minorEastAsia" w:eastAsiaTheme="minorEastAsia" w:cstheme="minorEastAsia"/>
          <w:b/>
          <w:color w:val="auto"/>
          <w:sz w:val="36"/>
          <w:szCs w:val="20"/>
          <w:highlight w:val="none"/>
          <w:lang w:eastAsia="zh-CN"/>
        </w:rPr>
        <w:t>交易公告</w:t>
      </w:r>
    </w:p>
    <w:p w14:paraId="5EB3BF2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14:paraId="66FC1020">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萧山区市心实验中学餐桌椅采购项目</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项目的潜在</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应在</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"https://www.zcygov.cn/）获取（下载）招标文件，并于202%20年%20月%20日%20点%20分00秒"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snapToGrid/>
          <w:color w:val="auto"/>
          <w:kern w:val="2"/>
          <w:sz w:val="24"/>
          <w:szCs w:val="24"/>
          <w:highlight w:val="none"/>
          <w:lang w:eastAsia="zh-CN"/>
        </w:rPr>
        <w:t>www.lecaiyun.com</w:t>
      </w:r>
      <w:r>
        <w:rPr>
          <w:rStyle w:val="21"/>
          <w:rFonts w:hint="eastAsia" w:asciiTheme="minorEastAsia" w:hAnsiTheme="minorEastAsia" w:eastAsiaTheme="minorEastAsia" w:cstheme="minorEastAsia"/>
          <w:snapToGrid/>
          <w:color w:val="auto"/>
          <w:kern w:val="2"/>
          <w:sz w:val="24"/>
          <w:szCs w:val="24"/>
          <w:highlight w:val="none"/>
        </w:rPr>
        <w:t>）获取（下</w:t>
      </w:r>
      <w:r>
        <w:rPr>
          <w:rFonts w:hint="eastAsia" w:asciiTheme="minorEastAsia" w:hAnsiTheme="minorEastAsia" w:eastAsiaTheme="minorEastAsia" w:cstheme="minorEastAsia"/>
          <w:color w:val="auto"/>
          <w:sz w:val="24"/>
          <w:highlight w:val="none"/>
        </w:rPr>
        <w:t>载）</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w:t>
      </w:r>
      <w:r>
        <w:rPr>
          <w:rStyle w:val="21"/>
          <w:rFonts w:hint="eastAsia" w:asciiTheme="minorEastAsia" w:hAnsiTheme="minorEastAsia" w:eastAsiaTheme="minorEastAsia" w:cstheme="minorEastAsia"/>
          <w:snapToGrid/>
          <w:color w:val="auto"/>
          <w:kern w:val="2"/>
          <w:sz w:val="24"/>
          <w:szCs w:val="24"/>
          <w:highlight w:val="none"/>
        </w:rPr>
        <w:t>并于202</w:t>
      </w:r>
      <w:r>
        <w:rPr>
          <w:rStyle w:val="21"/>
          <w:rFonts w:hint="eastAsia" w:asciiTheme="minorEastAsia" w:hAnsiTheme="minorEastAsia" w:eastAsiaTheme="minorEastAsia" w:cstheme="minorEastAsia"/>
          <w:snapToGrid/>
          <w:color w:val="auto"/>
          <w:kern w:val="2"/>
          <w:sz w:val="24"/>
          <w:szCs w:val="24"/>
          <w:highlight w:val="none"/>
          <w:lang w:val="en-US" w:eastAsia="zh-CN"/>
        </w:rPr>
        <w:t>5</w:t>
      </w:r>
      <w:r>
        <w:rPr>
          <w:rStyle w:val="21"/>
          <w:rFonts w:hint="eastAsia" w:asciiTheme="minorEastAsia" w:hAnsiTheme="minorEastAsia" w:eastAsiaTheme="minorEastAsia" w:cstheme="minorEastAsia"/>
          <w:snapToGrid/>
          <w:color w:val="auto"/>
          <w:kern w:val="2"/>
          <w:sz w:val="24"/>
          <w:szCs w:val="24"/>
          <w:highlight w:val="none"/>
        </w:rPr>
        <w:t>年</w:t>
      </w:r>
      <w:r>
        <w:rPr>
          <w:rStyle w:val="21"/>
          <w:rFonts w:hint="eastAsia" w:asciiTheme="minorEastAsia" w:hAnsiTheme="minorEastAsia" w:eastAsiaTheme="minorEastAsia" w:cstheme="minorEastAsia"/>
          <w:snapToGrid/>
          <w:color w:val="auto"/>
          <w:kern w:val="2"/>
          <w:sz w:val="24"/>
          <w:szCs w:val="24"/>
          <w:highlight w:val="none"/>
          <w:lang w:val="en-US" w:eastAsia="zh-CN"/>
        </w:rPr>
        <w:t xml:space="preserve"> 07 </w:t>
      </w:r>
      <w:r>
        <w:rPr>
          <w:rStyle w:val="21"/>
          <w:rFonts w:hint="eastAsia" w:asciiTheme="minorEastAsia" w:hAnsiTheme="minorEastAsia" w:eastAsiaTheme="minorEastAsia" w:cstheme="minorEastAsia"/>
          <w:snapToGrid/>
          <w:color w:val="auto"/>
          <w:kern w:val="2"/>
          <w:sz w:val="24"/>
          <w:szCs w:val="24"/>
          <w:highlight w:val="none"/>
        </w:rPr>
        <w:t>月</w:t>
      </w:r>
      <w:r>
        <w:rPr>
          <w:rStyle w:val="21"/>
          <w:rFonts w:hint="eastAsia" w:asciiTheme="minorEastAsia" w:hAnsiTheme="minorEastAsia" w:eastAsiaTheme="minorEastAsia" w:cstheme="minorEastAsia"/>
          <w:snapToGrid/>
          <w:color w:val="auto"/>
          <w:kern w:val="2"/>
          <w:sz w:val="24"/>
          <w:szCs w:val="24"/>
          <w:highlight w:val="none"/>
          <w:lang w:val="en-US" w:eastAsia="zh-CN"/>
        </w:rPr>
        <w:t xml:space="preserve"> 9 </w:t>
      </w:r>
      <w:r>
        <w:rPr>
          <w:rStyle w:val="21"/>
          <w:rFonts w:hint="eastAsia" w:asciiTheme="minorEastAsia" w:hAnsiTheme="minorEastAsia" w:eastAsiaTheme="minorEastAsia" w:cstheme="minorEastAsia"/>
          <w:snapToGrid/>
          <w:color w:val="auto"/>
          <w:kern w:val="2"/>
          <w:sz w:val="24"/>
          <w:szCs w:val="24"/>
          <w:highlight w:val="none"/>
        </w:rPr>
        <w:t>日</w:t>
      </w:r>
      <w:r>
        <w:rPr>
          <w:rStyle w:val="21"/>
          <w:rFonts w:hint="eastAsia" w:asciiTheme="minorEastAsia" w:hAnsiTheme="minorEastAsia" w:eastAsiaTheme="minorEastAsia" w:cstheme="minorEastAsia"/>
          <w:snapToGrid/>
          <w:color w:val="auto"/>
          <w:kern w:val="2"/>
          <w:sz w:val="24"/>
          <w:szCs w:val="24"/>
          <w:highlight w:val="none"/>
          <w:lang w:val="en-US" w:eastAsia="zh-CN"/>
        </w:rPr>
        <w:t>14</w:t>
      </w:r>
      <w:r>
        <w:rPr>
          <w:rStyle w:val="21"/>
          <w:rFonts w:hint="eastAsia" w:asciiTheme="minorEastAsia" w:hAnsiTheme="minorEastAsia" w:eastAsiaTheme="minorEastAsia" w:cstheme="minorEastAsia"/>
          <w:snapToGrid/>
          <w:color w:val="auto"/>
          <w:kern w:val="2"/>
          <w:sz w:val="24"/>
          <w:szCs w:val="24"/>
          <w:highlight w:val="none"/>
        </w:rPr>
        <w:t>点</w:t>
      </w:r>
      <w:r>
        <w:rPr>
          <w:rStyle w:val="21"/>
          <w:rFonts w:hint="eastAsia" w:asciiTheme="minorEastAsia" w:hAnsiTheme="minorEastAsia" w:eastAsiaTheme="minorEastAsia" w:cstheme="minorEastAsia"/>
          <w:snapToGrid/>
          <w:color w:val="auto"/>
          <w:kern w:val="2"/>
          <w:sz w:val="24"/>
          <w:szCs w:val="24"/>
          <w:highlight w:val="none"/>
          <w:lang w:val="en-US" w:eastAsia="zh-CN"/>
        </w:rPr>
        <w:t>00</w:t>
      </w:r>
      <w:r>
        <w:rPr>
          <w:rStyle w:val="21"/>
          <w:rFonts w:hint="eastAsia" w:asciiTheme="minorEastAsia" w:hAnsiTheme="minorEastAsia" w:eastAsiaTheme="minorEastAsia" w:cstheme="minorEastAsia"/>
          <w:snapToGrid/>
          <w:color w:val="auto"/>
          <w:kern w:val="2"/>
          <w:sz w:val="24"/>
          <w:szCs w:val="24"/>
          <w:highlight w:val="none"/>
        </w:rPr>
        <w:t>分</w:t>
      </w:r>
      <w:r>
        <w:rPr>
          <w:rStyle w:val="21"/>
          <w:rFonts w:hint="eastAsia" w:asciiTheme="minorEastAsia" w:hAnsiTheme="minorEastAsia" w:eastAsiaTheme="minorEastAsia" w:cstheme="minorEastAsia"/>
          <w:bCs/>
          <w:snapToGrid/>
          <w:color w:val="auto"/>
          <w:kern w:val="2"/>
          <w:sz w:val="24"/>
          <w:szCs w:val="24"/>
          <w:highlight w:val="none"/>
        </w:rPr>
        <w:t>00秒</w:t>
      </w:r>
      <w:r>
        <w:rPr>
          <w:rStyle w:val="21"/>
          <w:rFonts w:hint="eastAsia" w:asciiTheme="minorEastAsia" w:hAnsiTheme="minorEastAsia" w:eastAsiaTheme="minorEastAsia" w:cstheme="minorEastAsia"/>
          <w:bCs/>
          <w:snapToGrid/>
          <w:color w:val="auto"/>
          <w:kern w:val="2"/>
          <w:sz w:val="24"/>
          <w:szCs w:val="24"/>
          <w:highlight w:val="none"/>
        </w:rPr>
        <w:fldChar w:fldCharType="end"/>
      </w:r>
      <w:r>
        <w:rPr>
          <w:rFonts w:hint="eastAsia" w:asciiTheme="minorEastAsia" w:hAnsiTheme="minorEastAsia" w:eastAsiaTheme="minorEastAsia" w:cstheme="minorEastAsia"/>
          <w:bCs/>
          <w:color w:val="auto"/>
          <w:sz w:val="24"/>
          <w:highlight w:val="none"/>
        </w:rPr>
        <w:t>（北京时间）前</w:t>
      </w:r>
      <w:r>
        <w:rPr>
          <w:rFonts w:hint="eastAsia" w:asciiTheme="minorEastAsia" w:hAnsiTheme="minorEastAsia" w:eastAsiaTheme="minorEastAsia" w:cstheme="minorEastAsia"/>
          <w:color w:val="auto"/>
          <w:sz w:val="24"/>
          <w:highlight w:val="none"/>
        </w:rPr>
        <w:t>递交（上传）</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w:t>
      </w:r>
    </w:p>
    <w:p w14:paraId="2226F73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4684193B">
      <w:pPr>
        <w:spacing w:line="360" w:lineRule="auto"/>
        <w:ind w:firstLine="48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b/>
          <w:color w:val="000000" w:themeColor="text1"/>
          <w:sz w:val="24"/>
          <w:highlight w:val="none"/>
          <w:lang w:val="en-US" w:eastAsia="zh-CN"/>
          <w14:textFill>
            <w14:solidFill>
              <w14:schemeClr w14:val="tx1"/>
            </w14:solidFill>
          </w14:textFill>
        </w:rPr>
        <w:t>SXZX-2025-CG-004</w:t>
      </w:r>
    </w:p>
    <w:p w14:paraId="03AE59E8">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萧山区市心实验中学餐桌椅采购项目</w:t>
      </w:r>
    </w:p>
    <w:p w14:paraId="0A6132B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b/>
          <w:color w:val="000000" w:themeColor="text1"/>
          <w:sz w:val="24"/>
          <w:highlight w:val="none"/>
          <w:lang w:val="en-US" w:eastAsia="zh-CN"/>
          <w14:textFill>
            <w14:solidFill>
              <w14:schemeClr w14:val="tx1"/>
            </w14:solidFill>
          </w14:textFill>
        </w:rPr>
        <w:t xml:space="preserve">422300 </w:t>
      </w:r>
      <w:r>
        <w:rPr>
          <w:rFonts w:hint="eastAsia" w:ascii="宋体" w:hAnsi="宋体" w:cs="宋体"/>
          <w:bCs/>
          <w:color w:val="000000" w:themeColor="text1"/>
          <w:sz w:val="24"/>
          <w:highlight w:val="none"/>
          <w14:textFill>
            <w14:solidFill>
              <w14:schemeClr w14:val="tx1"/>
            </w14:solidFill>
          </w14:textFill>
        </w:rPr>
        <w:t xml:space="preserve">元 </w:t>
      </w:r>
      <w:r>
        <w:rPr>
          <w:rFonts w:hint="eastAsia" w:ascii="宋体" w:hAnsi="宋体" w:cs="宋体"/>
          <w:color w:val="000000" w:themeColor="text1"/>
          <w:sz w:val="24"/>
          <w:highlight w:val="none"/>
          <w14:textFill>
            <w14:solidFill>
              <w14:schemeClr w14:val="tx1"/>
            </w14:solidFill>
          </w14:textFill>
        </w:rPr>
        <w:t xml:space="preserve"> </w:t>
      </w:r>
    </w:p>
    <w:p w14:paraId="156F571C">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
          <w:color w:val="000000" w:themeColor="text1"/>
          <w:sz w:val="24"/>
          <w:highlight w:val="none"/>
          <w:lang w:val="en-US" w:eastAsia="zh-CN"/>
          <w14:textFill>
            <w14:solidFill>
              <w14:schemeClr w14:val="tx1"/>
            </w14:solidFill>
          </w14:textFill>
        </w:rPr>
        <w:t xml:space="preserve">422300 </w:t>
      </w:r>
      <w:r>
        <w:rPr>
          <w:rFonts w:hint="eastAsia" w:ascii="宋体" w:hAnsi="宋体" w:cs="宋体"/>
          <w:bCs/>
          <w:color w:val="000000" w:themeColor="text1"/>
          <w:sz w:val="24"/>
          <w:highlight w:val="none"/>
          <w14:textFill>
            <w14:solidFill>
              <w14:schemeClr w14:val="tx1"/>
            </w14:solidFill>
          </w14:textFill>
        </w:rPr>
        <w:t xml:space="preserve">元 </w:t>
      </w:r>
    </w:p>
    <w:p w14:paraId="2526C600">
      <w:pPr>
        <w:pStyle w:val="6"/>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萧山区市心实验中学餐桌椅采购项目。</w:t>
      </w:r>
      <w:r>
        <w:rPr>
          <w:rFonts w:hint="eastAsia" w:hAnsi="宋体" w:cs="宋体"/>
          <w:bCs/>
          <w:snapToGrid/>
          <w:color w:val="000000" w:themeColor="text1"/>
          <w:kern w:val="2"/>
          <w:sz w:val="24"/>
          <w:szCs w:val="24"/>
          <w:highlight w:val="none"/>
          <w14:textFill>
            <w14:solidFill>
              <w14:schemeClr w14:val="tx1"/>
            </w14:solidFill>
          </w14:textFill>
        </w:rPr>
        <w:t>主要内容：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萧山区市心实验中学餐桌椅采购</w:t>
      </w:r>
      <w:r>
        <w:rPr>
          <w:rFonts w:hint="eastAsia" w:hAnsi="宋体" w:cs="宋体"/>
          <w:bCs/>
          <w:snapToGrid/>
          <w:color w:val="000000" w:themeColor="text1"/>
          <w:kern w:val="2"/>
          <w:sz w:val="24"/>
          <w:szCs w:val="24"/>
          <w:highlight w:val="none"/>
          <w14:textFill>
            <w14:solidFill>
              <w14:schemeClr w14:val="tx1"/>
            </w14:solidFill>
          </w14:textFill>
        </w:rPr>
        <w:t>。</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w:t>
      </w:r>
      <w:r>
        <w:rPr>
          <w:rFonts w:hint="eastAsia" w:asciiTheme="minorEastAsia" w:hAnsiTheme="minorEastAsia" w:eastAsiaTheme="minorEastAsia"/>
          <w:snapToGrid/>
          <w:color w:val="000000" w:themeColor="text1"/>
          <w:kern w:val="2"/>
          <w:sz w:val="24"/>
          <w:szCs w:val="24"/>
          <w:highlight w:val="none"/>
          <w:lang w:eastAsia="zh-CN"/>
          <w14:textFill>
            <w14:solidFill>
              <w14:schemeClr w14:val="tx1"/>
            </w14:solidFill>
          </w14:textFill>
        </w:rPr>
        <w:t>交易文件</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第三部分采购需求为准，供应商可点击本公告下方“浏览采购文件”查看采购需求。</w:t>
      </w:r>
    </w:p>
    <w:p w14:paraId="0FBFCBB7">
      <w:pPr>
        <w:pStyle w:val="22"/>
        <w:ind w:firstLine="482"/>
        <w:outlineLvl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color w:val="auto"/>
          <w:highlight w:val="none"/>
        </w:rPr>
        <w:t>合同履约期限：</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en-US" w:eastAsia="zh-CN"/>
        </w:rPr>
        <w:t>详见交易文件</w:t>
      </w:r>
    </w:p>
    <w:p w14:paraId="2143228A">
      <w:pPr>
        <w:pStyle w:val="6"/>
        <w:spacing w:line="360" w:lineRule="auto"/>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highlight w:val="none"/>
        </w:rPr>
        <w:t>本项目接受联合体</w:t>
      </w:r>
      <w:r>
        <w:rPr>
          <w:rFonts w:hint="eastAsia" w:asciiTheme="minorEastAsia" w:hAnsiTheme="minorEastAsia" w:eastAsiaTheme="minorEastAsia" w:cstheme="minorEastAsia"/>
          <w:b/>
          <w:color w:val="auto"/>
          <w:sz w:val="24"/>
          <w:highlight w:val="none"/>
          <w:lang w:val="en-US" w:eastAsia="zh-CN"/>
        </w:rPr>
        <w:t>响应</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highlight w:val="none"/>
        </w:rPr>
        <w:sym w:font="Wingdings" w:char="00FE"/>
      </w:r>
      <w:r>
        <w:rPr>
          <w:rFonts w:hint="eastAsia" w:asciiTheme="minorEastAsia" w:hAnsiTheme="minorEastAsia" w:eastAsiaTheme="minorEastAsia" w:cstheme="minorEastAsia"/>
          <w:b/>
          <w:color w:val="auto"/>
          <w:sz w:val="24"/>
          <w:highlight w:val="none"/>
          <w:lang w:val="en-US" w:eastAsia="zh-CN"/>
        </w:rPr>
        <w:t>否</w:t>
      </w:r>
      <w:r>
        <w:rPr>
          <w:rFonts w:hint="eastAsia" w:asciiTheme="minorEastAsia" w:hAnsiTheme="minorEastAsia" w:eastAsiaTheme="minorEastAsia" w:cstheme="minorEastAsia"/>
          <w:color w:val="auto"/>
          <w:kern w:val="0"/>
          <w:sz w:val="24"/>
          <w:highlight w:val="none"/>
        </w:rPr>
        <w:t>。</w:t>
      </w:r>
    </w:p>
    <w:p w14:paraId="1B853DA2">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14:paraId="43D4F823">
      <w:pPr>
        <w:spacing w:line="360" w:lineRule="auto"/>
        <w:ind w:firstLine="48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7E409DC">
      <w:p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snapToGrid w:val="0"/>
          <w:color w:val="auto"/>
          <w:kern w:val="28"/>
          <w:sz w:val="24"/>
          <w:szCs w:val="20"/>
          <w:highlight w:val="none"/>
          <w:lang w:val="en-US" w:eastAsia="zh-CN"/>
        </w:rPr>
        <w:t>2</w:t>
      </w:r>
      <w:r>
        <w:rPr>
          <w:rFonts w:hint="eastAsia" w:asciiTheme="minorEastAsia" w:hAnsiTheme="minorEastAsia" w:eastAsiaTheme="minorEastAsia" w:cstheme="minorEastAsia"/>
          <w:snapToGrid w:val="0"/>
          <w:color w:val="auto"/>
          <w:kern w:val="28"/>
          <w:sz w:val="24"/>
          <w:szCs w:val="20"/>
          <w:highlight w:val="none"/>
        </w:rPr>
        <w:t>.落实采购政策需满足的资格要求：</w:t>
      </w:r>
      <w:r>
        <w:rPr>
          <w:rFonts w:hint="eastAsia" w:asciiTheme="minorEastAsia" w:hAnsiTheme="minorEastAsia" w:eastAsiaTheme="minorEastAsia" w:cstheme="minorEastAsia"/>
          <w:snapToGrid w:val="0"/>
          <w:color w:val="auto"/>
          <w:kern w:val="28"/>
          <w:sz w:val="24"/>
          <w:szCs w:val="20"/>
          <w:highlight w:val="none"/>
          <w:lang w:val="en-US" w:eastAsia="zh-CN"/>
        </w:rPr>
        <w:t>无</w:t>
      </w:r>
    </w:p>
    <w:p w14:paraId="0AFC8E7F">
      <w:pPr>
        <w:snapToGrid w:val="0"/>
        <w:spacing w:line="360" w:lineRule="auto"/>
        <w:ind w:firstLine="480" w:firstLineChars="200"/>
        <w:rPr>
          <w:rFonts w:hint="eastAsia"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.本项目的特定资格要求：</w:t>
      </w:r>
      <w:r>
        <w:rPr>
          <w:rFonts w:hint="eastAsia" w:asciiTheme="minorEastAsia" w:hAnsiTheme="minorEastAsia" w:eastAsiaTheme="minorEastAsia" w:cstheme="minorEastAsia"/>
          <w:color w:val="auto"/>
          <w:sz w:val="24"/>
          <w:highlight w:val="none"/>
          <w:lang w:val="en-US" w:eastAsia="zh-CN"/>
        </w:rPr>
        <w:t>无</w:t>
      </w:r>
    </w:p>
    <w:p w14:paraId="3BF3269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7FA00840">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三、获取</w:t>
      </w:r>
      <w:r>
        <w:rPr>
          <w:rFonts w:hint="eastAsia" w:asciiTheme="minorEastAsia" w:hAnsiTheme="minorEastAsia" w:eastAsiaTheme="minorEastAsia" w:cstheme="minorEastAsia"/>
          <w:b/>
          <w:color w:val="auto"/>
          <w:sz w:val="24"/>
          <w:highlight w:val="none"/>
          <w:lang w:eastAsia="zh-CN"/>
        </w:rPr>
        <w:t>交易文件</w:t>
      </w:r>
      <w:r>
        <w:rPr>
          <w:rFonts w:hint="eastAsia" w:asciiTheme="minorEastAsia" w:hAnsiTheme="minorEastAsia" w:eastAsiaTheme="minorEastAsia" w:cstheme="minorEastAsia"/>
          <w:b/>
          <w:color w:val="auto"/>
          <w:sz w:val="24"/>
          <w:highlight w:val="none"/>
        </w:rPr>
        <w:t xml:space="preserve"> </w:t>
      </w:r>
    </w:p>
    <w:p w14:paraId="16A34BEF">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 xml:space="preserve"> 07 </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 xml:space="preserve"> 9 </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，下午12:00至23:59（北京时间，线上获取法定节假日均可，线下获取文件法定节假日除外）</w:t>
      </w:r>
    </w:p>
    <w:p w14:paraId="300A6258">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www.lecaiyun.com</w:t>
      </w:r>
      <w:r>
        <w:rPr>
          <w:rFonts w:hint="eastAsia" w:asciiTheme="minorEastAsia" w:hAnsiTheme="minorEastAsia" w:eastAsiaTheme="minorEastAsia" w:cstheme="minorEastAsia"/>
          <w:color w:val="auto"/>
          <w:sz w:val="24"/>
          <w:highlight w:val="none"/>
        </w:rPr>
        <w:t xml:space="preserve">） </w:t>
      </w:r>
    </w:p>
    <w:p w14:paraId="09131274">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供应商登录</w:t>
      </w:r>
      <w:r>
        <w:rPr>
          <w:rFonts w:hint="eastAsia" w:asciiTheme="minorEastAsia" w:hAnsiTheme="minorEastAsia" w:eastAsiaTheme="minorEastAsia" w:cstheme="minorEastAsia"/>
          <w:color w:val="auto"/>
          <w:sz w:val="24"/>
          <w:highlight w:val="none"/>
          <w:lang w:eastAsia="zh-CN"/>
        </w:rPr>
        <w:t>乐采云平台www.lecaiyun.com</w:t>
      </w:r>
      <w:r>
        <w:rPr>
          <w:rFonts w:hint="eastAsia" w:asciiTheme="minorEastAsia" w:hAnsiTheme="minorEastAsia" w:eastAsiaTheme="minorEastAsia" w:cstheme="minorEastAsia"/>
          <w:color w:val="auto"/>
          <w:sz w:val="24"/>
          <w:highlight w:val="none"/>
        </w:rPr>
        <w:t xml:space="preserve">在线申请获取采购文件（进入“项目采购”应用，在获取采购文件菜单中选择项目，申请获取采购文件）。 </w:t>
      </w:r>
    </w:p>
    <w:p w14:paraId="732A00B4">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 xml:space="preserve">0 </w:t>
      </w:r>
      <w:r>
        <w:rPr>
          <w:rFonts w:hint="eastAsia" w:asciiTheme="minorEastAsia" w:hAnsiTheme="minorEastAsia" w:eastAsiaTheme="minorEastAsia" w:cstheme="minorEastAsia"/>
          <w:color w:val="auto"/>
          <w:sz w:val="24"/>
          <w:highlight w:val="none"/>
        </w:rPr>
        <w:tab/>
      </w:r>
    </w:p>
    <w:p w14:paraId="2DDD59D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w:t>
      </w:r>
      <w:r>
        <w:rPr>
          <w:rFonts w:hint="eastAsia" w:asciiTheme="minorEastAsia" w:hAnsiTheme="minorEastAsia" w:eastAsiaTheme="minorEastAsia" w:cstheme="minorEastAsia"/>
          <w:b/>
          <w:color w:val="auto"/>
          <w:sz w:val="24"/>
          <w:highlight w:val="none"/>
          <w:lang w:eastAsia="zh-CN"/>
        </w:rPr>
        <w:t>响应文件</w:t>
      </w:r>
      <w:r>
        <w:rPr>
          <w:rFonts w:hint="eastAsia" w:asciiTheme="minorEastAsia" w:hAnsiTheme="minorEastAsia" w:eastAsiaTheme="minorEastAsia" w:cstheme="minorEastAsia"/>
          <w:b/>
          <w:color w:val="auto"/>
          <w:sz w:val="24"/>
          <w:highlight w:val="none"/>
        </w:rPr>
        <w:t>截止时间、</w:t>
      </w:r>
      <w:r>
        <w:rPr>
          <w:rFonts w:hint="eastAsia" w:asciiTheme="minorEastAsia" w:hAnsiTheme="minorEastAsia" w:eastAsiaTheme="minorEastAsia" w:cstheme="minorEastAsia"/>
          <w:b/>
          <w:color w:val="auto"/>
          <w:sz w:val="24"/>
          <w:highlight w:val="none"/>
          <w:lang w:eastAsia="zh-CN"/>
        </w:rPr>
        <w:t>交易时间</w:t>
      </w:r>
      <w:r>
        <w:rPr>
          <w:rFonts w:hint="eastAsia" w:asciiTheme="minorEastAsia" w:hAnsiTheme="minorEastAsia" w:eastAsiaTheme="minorEastAsia" w:cstheme="minorEastAsia"/>
          <w:b/>
          <w:color w:val="auto"/>
          <w:sz w:val="24"/>
          <w:highlight w:val="none"/>
        </w:rPr>
        <w:t>和地点</w:t>
      </w:r>
    </w:p>
    <w:p w14:paraId="4B0E045C">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w:t>
      </w:r>
      <w:r>
        <w:rPr>
          <w:rFonts w:hint="eastAsia" w:asciiTheme="minorEastAsia" w:hAnsiTheme="minorEastAsia" w:eastAsiaTheme="minorEastAsia" w:cstheme="minorEastAsia"/>
          <w:b/>
          <w:color w:val="auto"/>
          <w:sz w:val="24"/>
          <w:highlight w:val="none"/>
          <w:lang w:eastAsia="zh-CN"/>
        </w:rPr>
        <w:t>响应文件</w:t>
      </w:r>
      <w:r>
        <w:rPr>
          <w:rFonts w:hint="eastAsia" w:asciiTheme="minorEastAsia" w:hAnsiTheme="minorEastAsia" w:eastAsiaTheme="minorEastAsia" w:cstheme="minorEastAsia"/>
          <w:b/>
          <w:color w:val="auto"/>
          <w:sz w:val="24"/>
          <w:highlight w:val="none"/>
        </w:rPr>
        <w:t>截止时间：</w:t>
      </w:r>
      <w:r>
        <w:rPr>
          <w:rFonts w:hint="eastAsia" w:asciiTheme="minorEastAsia" w:hAnsiTheme="minorEastAsia" w:eastAsiaTheme="minorEastAsia" w:cstheme="minorEastAsia"/>
          <w:color w:val="auto"/>
          <w:sz w:val="24"/>
          <w:highlight w:val="none"/>
          <w:u w:val="single"/>
        </w:rPr>
        <w:t xml:space="preserve"> 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 xml:space="preserve"> 9 </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rPr>
        <w:t>分00秒</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（北京时间）</w:t>
      </w:r>
    </w:p>
    <w:p w14:paraId="716E68C8">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eastAsia="zh-CN"/>
        </w:rPr>
        <w:t>响应地点</w:t>
      </w:r>
      <w:r>
        <w:rPr>
          <w:rFonts w:hint="eastAsia" w:asciiTheme="minorEastAsia" w:hAnsiTheme="minorEastAsia" w:eastAsiaTheme="minorEastAsia" w:cstheme="minorEastAsia"/>
          <w:b/>
          <w:color w:val="auto"/>
          <w:sz w:val="24"/>
          <w:highlight w:val="none"/>
        </w:rPr>
        <w:t>（网址）：</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www.lecaiyun.com</w:t>
      </w:r>
      <w:r>
        <w:rPr>
          <w:rFonts w:hint="eastAsia" w:asciiTheme="minorEastAsia" w:hAnsiTheme="minorEastAsia" w:eastAsiaTheme="minorEastAsia" w:cstheme="minorEastAsia"/>
          <w:color w:val="auto"/>
          <w:sz w:val="24"/>
          <w:highlight w:val="none"/>
        </w:rPr>
        <w:t xml:space="preserve">） </w:t>
      </w:r>
    </w:p>
    <w:p w14:paraId="33818134">
      <w:pPr>
        <w:spacing w:line="360" w:lineRule="auto"/>
        <w:ind w:firstLine="482"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lang w:eastAsia="zh-CN"/>
        </w:rPr>
        <w:t>交易时间</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 xml:space="preserve"> 9 </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rPr>
        <w:t>分00秒</w:t>
      </w:r>
      <w:r>
        <w:rPr>
          <w:rFonts w:hint="eastAsia" w:asciiTheme="minorEastAsia" w:hAnsiTheme="minorEastAsia" w:eastAsiaTheme="minorEastAsia" w:cstheme="minorEastAsia"/>
          <w:bCs/>
          <w:color w:val="auto"/>
          <w:sz w:val="24"/>
          <w:highlight w:val="none"/>
          <w:u w:val="single"/>
        </w:rPr>
        <w:t xml:space="preserve">  </w:t>
      </w:r>
    </w:p>
    <w:p w14:paraId="2F9A9C18">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lang w:eastAsia="zh-CN"/>
        </w:rPr>
        <w:t>交易地点</w:t>
      </w:r>
      <w:r>
        <w:rPr>
          <w:rFonts w:hint="eastAsia" w:asciiTheme="minorEastAsia" w:hAnsiTheme="minorEastAsia" w:eastAsiaTheme="minorEastAsia" w:cstheme="minorEastAsia"/>
          <w:b/>
          <w:color w:val="auto"/>
          <w:sz w:val="24"/>
          <w:highlight w:val="none"/>
        </w:rPr>
        <w:t>（网址）：</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www.lecaiyun.com</w:t>
      </w:r>
      <w:r>
        <w:rPr>
          <w:rFonts w:hint="eastAsia" w:asciiTheme="minorEastAsia" w:hAnsiTheme="minorEastAsia" w:eastAsiaTheme="minorEastAsia" w:cstheme="minorEastAsia"/>
          <w:color w:val="auto"/>
          <w:sz w:val="24"/>
          <w:highlight w:val="none"/>
        </w:rPr>
        <w:t>）</w:t>
      </w:r>
    </w:p>
    <w:p w14:paraId="34A123C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五、公告期限 </w:t>
      </w:r>
    </w:p>
    <w:p w14:paraId="4977588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自本公告发布之日起5</w:t>
      </w:r>
      <w:r>
        <w:rPr>
          <w:rFonts w:hint="eastAsia" w:asciiTheme="minorEastAsia" w:hAnsiTheme="minorEastAsia" w:eastAsiaTheme="minorEastAsia" w:cstheme="minorEastAsia"/>
          <w:color w:val="auto"/>
          <w:sz w:val="24"/>
          <w:highlight w:val="none"/>
          <w:lang w:val="en-US" w:eastAsia="zh-CN"/>
        </w:rPr>
        <w:t>个工作</w:t>
      </w:r>
      <w:r>
        <w:rPr>
          <w:rFonts w:hint="eastAsia" w:asciiTheme="minorEastAsia" w:hAnsiTheme="minorEastAsia" w:eastAsiaTheme="minorEastAsia" w:cstheme="minorEastAsia"/>
          <w:color w:val="auto"/>
          <w:sz w:val="24"/>
          <w:highlight w:val="none"/>
        </w:rPr>
        <w:t>日。</w:t>
      </w:r>
    </w:p>
    <w:p w14:paraId="42E4CADB">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六、其他补充事宜</w:t>
      </w:r>
    </w:p>
    <w:p w14:paraId="53B5351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.供应商认为</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使自己的权益受到损害的，可以自获取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之日或者</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公告期限届满之日（公告期限届满后获取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的，以公告期限届满之日为准）起</w:t>
      </w:r>
      <w:r>
        <w:rPr>
          <w:rFonts w:hint="eastAsia" w:asciiTheme="minorEastAsia" w:hAnsiTheme="minorEastAsia" w:eastAsiaTheme="minorEastAsia" w:cstheme="minorEastAsia"/>
          <w:color w:val="auto"/>
          <w:sz w:val="24"/>
          <w:highlight w:val="none"/>
          <w:lang w:val="en-US" w:eastAsia="zh-CN"/>
        </w:rPr>
        <w:t>7个工作日</w:t>
      </w:r>
      <w:r>
        <w:rPr>
          <w:rFonts w:hint="eastAsia" w:asciiTheme="minorEastAsia" w:hAnsiTheme="minorEastAsia" w:eastAsiaTheme="minorEastAsia" w:cstheme="minorEastAsia"/>
          <w:color w:val="auto"/>
          <w:sz w:val="24"/>
          <w:highlight w:val="none"/>
        </w:rPr>
        <w:t>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6643AFF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.其他事项：（1）需要落实的采购政策：</w:t>
      </w:r>
      <w:r>
        <w:rPr>
          <w:rFonts w:hint="eastAsia" w:asciiTheme="minorEastAsia" w:hAnsiTheme="minorEastAsia" w:eastAsiaTheme="minorEastAsia" w:cstheme="minorEastAsia"/>
          <w:color w:val="auto"/>
          <w:sz w:val="24"/>
          <w:highlight w:val="none"/>
          <w:lang w:val="en-US" w:eastAsia="zh-CN"/>
        </w:rPr>
        <w:t>无</w:t>
      </w:r>
      <w:r>
        <w:rPr>
          <w:rFonts w:hint="eastAsia" w:asciiTheme="minorEastAsia" w:hAnsiTheme="minorEastAsia" w:eastAsiaTheme="minorEastAsia" w:cstheme="minorEastAsia"/>
          <w:color w:val="auto"/>
          <w:sz w:val="24"/>
          <w:highlight w:val="none"/>
        </w:rPr>
        <w:t>。（2）电子交易（招投标）的说明：①电子交易（招投标）：本项目以数据电文形式，依托“</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（www.zcygov.cn）”进行</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活动，不接受纸质</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；②</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准备：注册账号--点击“商家入驻”，进行供应商资料填写；申领CA数字证书---申领流程详见“浙江政府采购网-下载专区-电子交易客户端-CA驱动和申领流程”；安装“</w:t>
      </w:r>
      <w:r>
        <w:rPr>
          <w:rFonts w:hint="eastAsia" w:asciiTheme="minorEastAsia" w:hAnsiTheme="minorEastAsia" w:eastAsiaTheme="minorEastAsia" w:cstheme="minorEastAsia"/>
          <w:color w:val="auto"/>
          <w:sz w:val="24"/>
          <w:highlight w:val="none"/>
          <w:lang w:val="en-US" w:eastAsia="zh-CN"/>
        </w:rPr>
        <w:t>乐</w:t>
      </w:r>
      <w:r>
        <w:rPr>
          <w:rFonts w:hint="eastAsia" w:asciiTheme="minorEastAsia" w:hAnsiTheme="minorEastAsia" w:eastAsiaTheme="minorEastAsia" w:cstheme="minorEastAsia"/>
          <w:color w:val="auto"/>
          <w:sz w:val="24"/>
          <w:highlight w:val="none"/>
        </w:rPr>
        <w:t>采云电子交易客户端”</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下载链接：https://b.zhengcaiyun.cn/luban/category?parentId=550045&amp;childrenCode=qicaiCategory17&amp;utm=luban.luban-PC-39026.959-pc-websitegroup-navBar-front.8.c8789bc0520b11efb86dbfa49a87be0d）；③</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的获取：使用账号登录或者使用CA登录</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；进入“项目采购”应用，在获取采购文件菜单中选择项目，获取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；④</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的制作：在“</w:t>
      </w:r>
      <w:r>
        <w:rPr>
          <w:rFonts w:hint="eastAsia" w:asciiTheme="minorEastAsia" w:hAnsiTheme="minorEastAsia" w:eastAsiaTheme="minorEastAsia" w:cstheme="minorEastAsia"/>
          <w:color w:val="auto"/>
          <w:sz w:val="24"/>
          <w:highlight w:val="none"/>
          <w:lang w:val="en-US" w:eastAsia="zh-CN"/>
        </w:rPr>
        <w:t>乐</w:t>
      </w:r>
      <w:r>
        <w:rPr>
          <w:rFonts w:hint="eastAsia" w:asciiTheme="minorEastAsia" w:hAnsiTheme="minorEastAsia" w:eastAsiaTheme="minorEastAsia" w:cstheme="minorEastAsia"/>
          <w:color w:val="auto"/>
          <w:sz w:val="24"/>
          <w:highlight w:val="none"/>
        </w:rPr>
        <w:t>采云电子交易客户端”中完成“填写基本信息”、“导入</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”、“标书关联”、“标书检查”、“电子签名”、“生成电子标书”等操作；⑤采购人、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将依托</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完成本项目的电子交易活动，平台不接受未按上述方式获取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的供应商进行</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活动； ⑥对未按上述方式获取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的供应商对该文件提出的质疑，采购人或采购代理机构将不予处理；⑦不提供</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纸质版；⑧</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的传输递交：</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在</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截止时间前将加密的</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上传至</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，还可以在</w:t>
      </w:r>
      <w:r>
        <w:rPr>
          <w:rFonts w:hint="eastAsia" w:asciiTheme="minorEastAsia" w:hAnsiTheme="minorEastAsia" w:eastAsiaTheme="minorEastAsia" w:cstheme="minorEastAsia"/>
          <w:color w:val="auto"/>
          <w:sz w:val="24"/>
          <w:highlight w:val="none"/>
          <w:lang w:eastAsia="zh-CN"/>
        </w:rPr>
        <w:t>响应截止时间</w:t>
      </w:r>
      <w:r>
        <w:rPr>
          <w:rFonts w:hint="eastAsia" w:asciiTheme="minorEastAsia" w:hAnsiTheme="minorEastAsia" w:eastAsiaTheme="minorEastAsia" w:cstheme="minorEastAsia"/>
          <w:color w:val="auto"/>
          <w:sz w:val="24"/>
          <w:highlight w:val="none"/>
        </w:rPr>
        <w:t>前直接提交或者以邮政快递方式递交备份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1份。备份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的制作、存储、密封详见</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第二部分第15点—“备份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项目是否接收备份文件，以前附表说明为准。</w:t>
      </w:r>
      <w:r>
        <w:rPr>
          <w:rFonts w:hint="eastAsia" w:asciiTheme="minorEastAsia" w:hAnsiTheme="minorEastAsia" w:eastAsiaTheme="minorEastAsia" w:cstheme="minorEastAsia"/>
          <w:color w:val="auto"/>
          <w:sz w:val="24"/>
          <w:highlight w:val="none"/>
        </w:rPr>
        <w:t>⑨</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的解密：</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按照平台提示和</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的规定在半小时内完成在线解密。通过“</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”上传递交的</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无法按时解密，</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供应商递交了备份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的，以备份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为依据，否则视为</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撤回。通过“</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”上传递交的</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已按时解密的，备份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自动失效。</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仅提交备份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，未在电子交易平台传输递交</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无效；⑩具体操作指南：详见</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“服务中心-帮助文档-项目采购-操作流程-电子招投标-政府采购项目电子交易管理操作指南-供应商”。（3）</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公告期限与</w:t>
      </w:r>
      <w:r>
        <w:rPr>
          <w:rFonts w:hint="eastAsia" w:asciiTheme="minorEastAsia" w:hAnsiTheme="minorEastAsia" w:eastAsiaTheme="minorEastAsia" w:cstheme="minorEastAsia"/>
          <w:color w:val="auto"/>
          <w:sz w:val="24"/>
          <w:highlight w:val="none"/>
          <w:lang w:eastAsia="zh-CN"/>
        </w:rPr>
        <w:t>交易公告</w:t>
      </w:r>
      <w:r>
        <w:rPr>
          <w:rFonts w:hint="eastAsia" w:asciiTheme="minorEastAsia" w:hAnsiTheme="minorEastAsia" w:eastAsiaTheme="minorEastAsia" w:cstheme="minorEastAsia"/>
          <w:color w:val="auto"/>
          <w:sz w:val="24"/>
          <w:highlight w:val="none"/>
        </w:rPr>
        <w:t>的公告期限一致。</w:t>
      </w:r>
    </w:p>
    <w:p w14:paraId="14BF402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7A54188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795B065C">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名称：</w:t>
      </w:r>
      <w:r>
        <w:rPr>
          <w:rFonts w:hint="eastAsia" w:ascii="宋体" w:hAnsi="宋体" w:cs="宋体"/>
          <w:color w:val="000000" w:themeColor="text1"/>
          <w:sz w:val="24"/>
          <w:highlight w:val="none"/>
          <w:lang w:eastAsia="zh-CN"/>
          <w14:textFill>
            <w14:solidFill>
              <w14:schemeClr w14:val="tx1"/>
            </w14:solidFill>
          </w14:textFill>
        </w:rPr>
        <w:t>萧山区市心实验中学</w:t>
      </w:r>
    </w:p>
    <w:p w14:paraId="1FE65F9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地址：</w:t>
      </w:r>
      <w:r>
        <w:rPr>
          <w:rFonts w:hint="eastAsia" w:ascii="宋体" w:hAnsi="宋体" w:cs="宋体"/>
          <w:color w:val="000000" w:themeColor="text1"/>
          <w:sz w:val="24"/>
          <w:highlight w:val="none"/>
          <w:lang w:val="en-US" w:eastAsia="zh-CN"/>
          <w14:textFill>
            <w14:solidFill>
              <w14:schemeClr w14:val="tx1"/>
            </w14:solidFill>
          </w14:textFill>
        </w:rPr>
        <w:t>浙江省杭州市萧山区宁围街道建设二路1377号</w:t>
      </w:r>
    </w:p>
    <w:p w14:paraId="7163E589">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 /</w:t>
      </w:r>
    </w:p>
    <w:p w14:paraId="42CA5492">
      <w:pP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lang w:val="en-US" w:eastAsia="zh-CN"/>
          <w14:textFill>
            <w14:solidFill>
              <w14:schemeClr w14:val="tx1"/>
            </w14:solidFill>
          </w14:textFill>
        </w:rPr>
        <w:t>来主任</w:t>
      </w:r>
    </w:p>
    <w:p w14:paraId="082A137B">
      <w:pPr>
        <w:spacing w:line="360" w:lineRule="auto"/>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w:t>
      </w:r>
      <w:r>
        <w:rPr>
          <w:rFonts w:hint="eastAsia" w:ascii="宋体" w:hAnsi="宋体" w:cs="宋体"/>
          <w:color w:val="000000" w:themeColor="text1"/>
          <w:sz w:val="24"/>
          <w:highlight w:val="none"/>
          <w:lang w:val="en-US" w:eastAsia="zh-CN"/>
          <w14:textFill>
            <w14:solidFill>
              <w14:schemeClr w14:val="tx1"/>
            </w14:solidFill>
          </w14:textFill>
        </w:rPr>
        <w:t>18067991337</w:t>
      </w:r>
    </w:p>
    <w:p w14:paraId="2ED21AF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rPr>
        <w:t xml:space="preserve">   </w:t>
      </w: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w:t>
      </w:r>
    </w:p>
    <w:p w14:paraId="25282402">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14:paraId="0A802CE8">
      <w:pPr>
        <w:spacing w:line="360" w:lineRule="auto"/>
        <w:rPr>
          <w:rFonts w:ascii="宋体" w:hAnsi="宋体" w:cs="宋体"/>
          <w:color w:val="000000" w:themeColor="text1"/>
          <w:sz w:val="24"/>
          <w:highlight w:val="none"/>
          <w14:textFill>
            <w14:solidFill>
              <w14:schemeClr w14:val="tx1"/>
            </w14:solidFill>
          </w14:textFill>
        </w:rPr>
      </w:pPr>
    </w:p>
    <w:p w14:paraId="15D0D4F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30D53E92">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名称：浙江天卫工程咨询有限公司</w:t>
      </w:r>
    </w:p>
    <w:p w14:paraId="0514FBA9">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地址：杭州市萧山区北干街道山阴路1202号</w:t>
      </w:r>
    </w:p>
    <w:p w14:paraId="286E999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传真：/</w:t>
      </w:r>
    </w:p>
    <w:p w14:paraId="0C3A59B2">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w:t>
      </w:r>
      <w:r>
        <w:rPr>
          <w:rFonts w:hint="eastAsia" w:ascii="宋体" w:hAnsi="宋体" w:cs="宋体"/>
          <w:color w:val="000000" w:themeColor="text1"/>
          <w:sz w:val="24"/>
          <w:highlight w:val="none"/>
          <w:lang w:val="en-US" w:eastAsia="zh-CN"/>
          <w14:textFill>
            <w14:solidFill>
              <w14:schemeClr w14:val="tx1"/>
            </w14:solidFill>
          </w14:textFill>
        </w:rPr>
        <w:t>汪工</w:t>
      </w:r>
    </w:p>
    <w:p w14:paraId="064D866D">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eastAsia="zh-CN"/>
          <w14:textFill>
            <w14:solidFill>
              <w14:schemeClr w14:val="tx1"/>
            </w14:solidFill>
          </w14:textFill>
        </w:rPr>
        <w:t>18005882291</w:t>
      </w:r>
    </w:p>
    <w:p w14:paraId="1484130D">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rPr>
        <w:t xml:space="preserve">   </w:t>
      </w: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w:t>
      </w:r>
    </w:p>
    <w:p w14:paraId="4C6F3965">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14:paraId="613AF3DD">
      <w:pPr>
        <w:spacing w:line="360" w:lineRule="auto"/>
        <w:ind w:left="237" w:leftChars="113" w:firstLine="180" w:firstLineChars="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01E2AFB6">
      <w:pPr>
        <w:spacing w:line="360" w:lineRule="auto"/>
        <w:ind w:firstLine="480"/>
        <w:rPr>
          <w:rFonts w:ascii="宋体" w:hAnsi="宋体" w:cs="宋体"/>
          <w:color w:val="000000" w:themeColor="text1"/>
          <w:sz w:val="24"/>
          <w:highlight w:val="none"/>
          <w14:textFill>
            <w14:solidFill>
              <w14:schemeClr w14:val="tx1"/>
            </w14:solidFill>
          </w14:textFill>
        </w:rPr>
      </w:pPr>
    </w:p>
    <w:p w14:paraId="065AF976">
      <w:pPr>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47F84A8A">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0FBB94A4">
      <w:pPr>
        <w:pStyle w:val="3"/>
        <w:rPr>
          <w:rFonts w:ascii="宋体"/>
          <w:snapToGrid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55E532F1">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w:t>
      </w:r>
      <w:bookmarkEnd w:id="9"/>
      <w:r>
        <w:rPr>
          <w:rFonts w:hint="eastAsia" w:ascii="宋体" w:hAnsi="宋体" w:cs="宋体"/>
          <w:b/>
          <w:color w:val="000000" w:themeColor="text1"/>
          <w:sz w:val="36"/>
          <w:szCs w:val="20"/>
          <w:highlight w:val="none"/>
          <w14:textFill>
            <w14:solidFill>
              <w14:schemeClr w14:val="tx1"/>
            </w14:solidFill>
          </w14:textFill>
        </w:rPr>
        <w:t>供应商须知</w:t>
      </w:r>
    </w:p>
    <w:p w14:paraId="06BBE7AD">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1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54"/>
      </w:tblGrid>
      <w:tr w14:paraId="5A9CE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41EEBB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788009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254" w:type="dxa"/>
            <w:tcBorders>
              <w:top w:val="single" w:color="000000" w:sz="8" w:space="0"/>
              <w:left w:val="single" w:color="000000" w:sz="2" w:space="0"/>
              <w:bottom w:val="single" w:color="000000" w:sz="8" w:space="0"/>
              <w:right w:val="single" w:color="000000" w:sz="8" w:space="0"/>
            </w:tcBorders>
            <w:vAlign w:val="center"/>
          </w:tcPr>
          <w:p w14:paraId="06DDD6AB">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6DB57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2924A388">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6EBC70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9C42D8E">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项目属性与核心产品</w:t>
            </w:r>
          </w:p>
        </w:tc>
        <w:tc>
          <w:tcPr>
            <w:tcW w:w="6254" w:type="dxa"/>
            <w:tcBorders>
              <w:top w:val="single" w:color="000000" w:sz="8" w:space="0"/>
              <w:left w:val="single" w:color="000000" w:sz="2" w:space="0"/>
              <w:bottom w:val="single" w:color="000000" w:sz="8" w:space="0"/>
              <w:right w:val="single" w:color="000000" w:sz="8" w:space="0"/>
            </w:tcBorders>
            <w:vAlign w:val="center"/>
          </w:tcPr>
          <w:p w14:paraId="39E1291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货物类，单一产品或</w:t>
            </w:r>
            <w:r>
              <w:rPr>
                <w:rFonts w:hint="eastAsia" w:ascii="宋体" w:hAnsi="宋体" w:cs="宋体"/>
                <w:color w:val="000000" w:themeColor="text1"/>
                <w:kern w:val="0"/>
                <w:sz w:val="24"/>
                <w:highlight w:val="none"/>
                <w14:textFill>
                  <w14:solidFill>
                    <w14:schemeClr w14:val="tx1"/>
                  </w14:solidFill>
                </w14:textFill>
              </w:rPr>
              <w:t>核心产品为：</w:t>
            </w:r>
            <w:r>
              <w:rPr>
                <w:rFonts w:hint="eastAsia" w:ascii="宋体" w:hAnsi="宋体" w:cs="宋体"/>
                <w:color w:val="000000" w:themeColor="text1"/>
                <w:kern w:val="0"/>
                <w:sz w:val="24"/>
                <w:highlight w:val="none"/>
                <w:u w:val="single"/>
                <w:lang w:val="en-US" w:eastAsia="zh-CN"/>
                <w14:textFill>
                  <w14:solidFill>
                    <w14:schemeClr w14:val="tx1"/>
                  </w14:solidFill>
                </w14:textFill>
              </w:rPr>
              <w:t>餐桌椅</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tc>
      </w:tr>
      <w:tr w14:paraId="10BC0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8E00BB1">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1CDD75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AB3AD2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254" w:type="dxa"/>
            <w:tcBorders>
              <w:top w:val="single" w:color="000000" w:sz="8" w:space="0"/>
              <w:left w:val="single" w:color="000000" w:sz="2" w:space="0"/>
              <w:bottom w:val="single" w:color="000000" w:sz="8" w:space="0"/>
              <w:right w:val="single" w:color="000000" w:sz="8" w:space="0"/>
            </w:tcBorders>
            <w:vAlign w:val="center"/>
          </w:tcPr>
          <w:p w14:paraId="3295362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（1）标的：</w:t>
            </w:r>
            <w:r>
              <w:rPr>
                <w:rFonts w:hint="eastAsia" w:ascii="宋体" w:hAnsi="宋体" w:cs="宋体"/>
                <w:color w:val="000000" w:themeColor="text1"/>
                <w:sz w:val="24"/>
                <w:highlight w:val="none"/>
                <w:u w:val="single"/>
                <w:lang w:val="en-US" w:eastAsia="zh-CN"/>
                <w14:textFill>
                  <w14:solidFill>
                    <w14:schemeClr w14:val="tx1"/>
                  </w14:solidFill>
                </w14:textFill>
              </w:rPr>
              <w:t>交易</w:t>
            </w:r>
            <w:r>
              <w:rPr>
                <w:rFonts w:hint="eastAsia" w:ascii="宋体" w:hAnsi="宋体" w:cs="宋体"/>
                <w:color w:val="000000" w:themeColor="text1"/>
                <w:sz w:val="24"/>
                <w:highlight w:val="none"/>
                <w:u w:val="single"/>
                <w14:textFill>
                  <w14:solidFill>
                    <w14:schemeClr w14:val="tx1"/>
                  </w14:solidFill>
                </w14:textFill>
              </w:rPr>
              <w:t>文件第三部分采购需求-二、</w:t>
            </w:r>
            <w:r>
              <w:rPr>
                <w:rFonts w:hint="eastAsia" w:ascii="宋体" w:hAnsi="宋体" w:cs="宋体"/>
                <w:color w:val="000000" w:themeColor="text1"/>
                <w:sz w:val="24"/>
                <w:highlight w:val="none"/>
                <w:u w:val="single"/>
                <w:lang w:val="en-US" w:eastAsia="zh-CN"/>
                <w14:textFill>
                  <w14:solidFill>
                    <w14:schemeClr w14:val="tx1"/>
                  </w14:solidFill>
                </w14:textFill>
              </w:rPr>
              <w:t>交易</w:t>
            </w:r>
            <w:r>
              <w:rPr>
                <w:rFonts w:hint="eastAsia" w:ascii="宋体" w:hAnsi="宋体" w:cs="宋体"/>
                <w:color w:val="000000" w:themeColor="text1"/>
                <w:sz w:val="24"/>
                <w:highlight w:val="none"/>
                <w:u w:val="single"/>
                <w14:textFill>
                  <w14:solidFill>
                    <w14:schemeClr w14:val="tx1"/>
                  </w14:solidFill>
                </w14:textFill>
              </w:rPr>
              <w:t>需求-1.技术需求</w:t>
            </w:r>
            <w:r>
              <w:rPr>
                <w:rFonts w:hint="eastAsia" w:asciiTheme="minorEastAsia" w:hAnsiTheme="minorEastAsia" w:eastAsiaTheme="minorEastAsia" w:cstheme="minorEastAsia"/>
                <w:kern w:val="0"/>
                <w:sz w:val="24"/>
                <w:u w:val="single"/>
              </w:rPr>
              <w:t>餐桌椅</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工业 </w:t>
            </w:r>
            <w:r>
              <w:rPr>
                <w:rFonts w:hint="eastAsia" w:ascii="宋体" w:hAnsi="宋体" w:cs="宋体"/>
                <w:color w:val="000000" w:themeColor="text1"/>
                <w:sz w:val="24"/>
                <w:highlight w:val="none"/>
                <w14:textFill>
                  <w14:solidFill>
                    <w14:schemeClr w14:val="tx1"/>
                  </w14:solidFill>
                </w14:textFill>
              </w:rPr>
              <w:t>行业；</w:t>
            </w:r>
          </w:p>
          <w:p w14:paraId="7C5792AA">
            <w:pPr>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《关于印发中小企业划型标准规定的通知》工信部联企业〔2011〕300号</w:t>
            </w:r>
          </w:p>
        </w:tc>
      </w:tr>
      <w:tr w14:paraId="715CC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91CE78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A3B77ED">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9A8B17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4B9FDD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是否允许采购进口产品</w:t>
            </w:r>
          </w:p>
        </w:tc>
        <w:tc>
          <w:tcPr>
            <w:tcW w:w="6254" w:type="dxa"/>
            <w:tcBorders>
              <w:top w:val="single" w:color="000000" w:sz="8" w:space="0"/>
              <w:left w:val="single" w:color="000000" w:sz="2" w:space="0"/>
              <w:bottom w:val="single" w:color="000000" w:sz="8" w:space="0"/>
              <w:right w:val="single" w:color="000000" w:sz="8" w:space="0"/>
            </w:tcBorders>
            <w:vAlign w:val="center"/>
          </w:tcPr>
          <w:p w14:paraId="4B2D0EE2">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sz w:val="24"/>
                <w:szCs w:val="32"/>
              </w:rPr>
              <w:t>本项目不允许采购进口产品。</w:t>
            </w:r>
          </w:p>
          <w:p w14:paraId="644B56BF">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kern w:val="0"/>
                <w:sz w:val="24"/>
              </w:rPr>
              <w:t>(  )</w:t>
            </w:r>
            <w:r>
              <w:rPr>
                <w:rFonts w:hint="eastAsia" w:asciiTheme="minorEastAsia" w:hAnsiTheme="minorEastAsia" w:eastAsiaTheme="minorEastAsia" w:cstheme="minorEastAsia"/>
                <w:sz w:val="24"/>
                <w:szCs w:val="32"/>
              </w:rPr>
              <w:t>可以就</w:t>
            </w:r>
            <w:r>
              <w:rPr>
                <w:rFonts w:hint="eastAsia" w:asciiTheme="minorEastAsia" w:hAnsiTheme="minorEastAsia" w:eastAsiaTheme="minorEastAsia" w:cstheme="minorEastAsia"/>
                <w:sz w:val="24"/>
                <w:szCs w:val="32"/>
                <w:u w:val="single"/>
              </w:rPr>
              <w:t xml:space="preserve">  /  </w:t>
            </w:r>
            <w:r>
              <w:rPr>
                <w:rFonts w:hint="eastAsia" w:asciiTheme="minorEastAsia" w:hAnsiTheme="minorEastAsia" w:eastAsiaTheme="minorEastAsia" w:cstheme="minorEastAsia"/>
                <w:sz w:val="24"/>
                <w:szCs w:val="32"/>
              </w:rPr>
              <w:t>采购进口产品。</w:t>
            </w:r>
          </w:p>
          <w:p w14:paraId="5BA9F105">
            <w:pPr>
              <w:pStyle w:val="3"/>
              <w:ind w:left="432" w:leftChars="0" w:hanging="432" w:firstLineChars="0"/>
              <w:rPr>
                <w:color w:val="000000" w:themeColor="text1"/>
                <w:highlight w:val="none"/>
                <w14:textFill>
                  <w14:solidFill>
                    <w14:schemeClr w14:val="tx1"/>
                  </w14:solidFill>
                </w14:textFill>
              </w:rPr>
            </w:pPr>
            <w:r>
              <w:rPr>
                <w:rFonts w:hint="eastAsia" w:asciiTheme="minorEastAsia" w:hAnsiTheme="minorEastAsia" w:eastAsiaTheme="minorEastAsia" w:cstheme="minorEastAsia"/>
                <w:kern w:val="0"/>
                <w:sz w:val="24"/>
                <w:lang w:val="en-US"/>
              </w:rPr>
              <w:t>进口产品是指通过中国海关保关验放进入中国境内且产自境关外的产品。</w:t>
            </w:r>
          </w:p>
        </w:tc>
      </w:tr>
      <w:tr w14:paraId="65D4B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95C86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0F1015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分包</w:t>
            </w:r>
          </w:p>
        </w:tc>
        <w:tc>
          <w:tcPr>
            <w:tcW w:w="6254" w:type="dxa"/>
            <w:tcBorders>
              <w:top w:val="single" w:color="000000" w:sz="8" w:space="0"/>
              <w:left w:val="single" w:color="000000" w:sz="2" w:space="0"/>
              <w:bottom w:val="single" w:color="000000" w:sz="8" w:space="0"/>
              <w:right w:val="single" w:color="000000" w:sz="8" w:space="0"/>
            </w:tcBorders>
            <w:vAlign w:val="center"/>
          </w:tcPr>
          <w:p w14:paraId="6C0C5399">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r>
              <w:rPr>
                <w:rFonts w:hint="eastAsia" w:asciiTheme="minorEastAsia" w:hAnsiTheme="minorEastAsia" w:eastAsiaTheme="minorEastAsia" w:cstheme="minorEastAsia"/>
                <w:bCs/>
                <w:kern w:val="0"/>
                <w:sz w:val="24"/>
              </w:rPr>
              <w:t>A</w:t>
            </w:r>
            <w:r>
              <w:rPr>
                <w:rFonts w:hint="eastAsia" w:asciiTheme="minorEastAsia" w:hAnsiTheme="minorEastAsia" w:eastAsiaTheme="minorEastAsia" w:cstheme="minorEastAsia"/>
                <w:bCs/>
                <w:sz w:val="24"/>
              </w:rPr>
              <w:t>同意将非主体、非关键性的</w:t>
            </w:r>
            <w:r>
              <w:rPr>
                <w:rFonts w:hint="eastAsia" w:asciiTheme="minorEastAsia" w:hAnsiTheme="minorEastAsia" w:eastAsiaTheme="minorEastAsia" w:cstheme="minorEastAsia"/>
                <w:bCs/>
                <w:sz w:val="24"/>
                <w:u w:val="single"/>
              </w:rPr>
              <w:t xml:space="preserve">    </w:t>
            </w:r>
            <w:r>
              <w:rPr>
                <w:rFonts w:hint="eastAsia" w:ascii="宋体" w:hAnsi="宋体" w:cs="宋体"/>
                <w:color w:val="000000" w:themeColor="text1"/>
                <w:sz w:val="24"/>
                <w:highlight w:val="none"/>
                <w:u w:val="single"/>
                <w14:textFill>
                  <w14:solidFill>
                    <w14:schemeClr w14:val="tx1"/>
                  </w14:solidFill>
                </w14:textFill>
              </w:rPr>
              <w:t>运输</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工作分包。</w:t>
            </w:r>
          </w:p>
          <w:p w14:paraId="27CF3673">
            <w:pPr>
              <w:spacing w:line="360" w:lineRule="auto"/>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sz w:val="24"/>
                <w:lang w:val="en-US" w:eastAsia="zh-CN"/>
              </w:rPr>
              <w:t xml:space="preserve">  </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kern w:val="0"/>
                <w:sz w:val="24"/>
              </w:rPr>
              <w:t>B</w:t>
            </w:r>
            <w:r>
              <w:rPr>
                <w:rFonts w:hint="eastAsia" w:asciiTheme="minorEastAsia" w:hAnsiTheme="minorEastAsia" w:eastAsiaTheme="minorEastAsia" w:cstheme="minorEastAsia"/>
                <w:bCs/>
                <w:sz w:val="24"/>
              </w:rPr>
              <w:t>不同意分包。</w:t>
            </w:r>
          </w:p>
        </w:tc>
      </w:tr>
      <w:tr w14:paraId="5B9A4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0" w:hRule="atLeast"/>
          <w:tblHeader/>
        </w:trPr>
        <w:tc>
          <w:tcPr>
            <w:tcW w:w="629" w:type="dxa"/>
            <w:tcBorders>
              <w:top w:val="single" w:color="auto" w:sz="4" w:space="0"/>
              <w:left w:val="single" w:color="auto" w:sz="4" w:space="0"/>
              <w:bottom w:val="single" w:color="auto" w:sz="4" w:space="0"/>
              <w:right w:val="single" w:color="auto" w:sz="4" w:space="0"/>
            </w:tcBorders>
          </w:tcPr>
          <w:p w14:paraId="610DF16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27A47B2">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AD7EC8F">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A0BED6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交易前答疑会或现场考察</w:t>
            </w:r>
          </w:p>
        </w:tc>
        <w:tc>
          <w:tcPr>
            <w:tcW w:w="6254" w:type="dxa"/>
            <w:tcBorders>
              <w:top w:val="single" w:color="000000" w:sz="8" w:space="0"/>
              <w:left w:val="single" w:color="000000" w:sz="2" w:space="0"/>
              <w:bottom w:val="single" w:color="000000" w:sz="8" w:space="0"/>
              <w:right w:val="single" w:color="000000" w:sz="8" w:space="0"/>
            </w:tcBorders>
            <w:vAlign w:val="center"/>
          </w:tcPr>
          <w:p w14:paraId="114A0A6C">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kern w:val="0"/>
                <w:sz w:val="24"/>
              </w:rPr>
              <w:t>A</w:t>
            </w:r>
            <w:r>
              <w:rPr>
                <w:rFonts w:hint="eastAsia" w:asciiTheme="minorEastAsia" w:hAnsiTheme="minorEastAsia" w:eastAsiaTheme="minorEastAsia" w:cstheme="minorEastAsia"/>
                <w:bCs/>
                <w:sz w:val="24"/>
              </w:rPr>
              <w:t>不组织。</w:t>
            </w:r>
          </w:p>
          <w:p w14:paraId="281E8923">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r>
              <w:rPr>
                <w:rFonts w:hint="eastAsia" w:asciiTheme="minorEastAsia" w:hAnsiTheme="minorEastAsia" w:eastAsiaTheme="minorEastAsia" w:cstheme="minorEastAsia"/>
                <w:bCs/>
                <w:kern w:val="0"/>
                <w:sz w:val="24"/>
              </w:rPr>
              <w:t>B组织，</w:t>
            </w:r>
            <w:r>
              <w:rPr>
                <w:rFonts w:hint="eastAsia" w:asciiTheme="minorEastAsia" w:hAnsiTheme="minorEastAsia" w:eastAsiaTheme="minorEastAsia" w:cstheme="minorEastAsia"/>
                <w:bCs/>
                <w:sz w:val="24"/>
              </w:rPr>
              <w:t>时间：</w:t>
            </w:r>
            <w:r>
              <w:rPr>
                <w:rFonts w:hint="eastAsia" w:asciiTheme="minorEastAsia" w:hAnsiTheme="minorEastAsia" w:eastAsiaTheme="minorEastAsia" w:cstheme="minorEastAsia"/>
                <w:bCs/>
                <w:sz w:val="24"/>
                <w:u w:val="single"/>
              </w:rPr>
              <w:t xml:space="preserve">  /    </w:t>
            </w:r>
            <w:r>
              <w:rPr>
                <w:rFonts w:hint="eastAsia" w:asciiTheme="minorEastAsia" w:hAnsiTheme="minorEastAsia" w:eastAsiaTheme="minorEastAsia" w:cstheme="minorEastAsia"/>
                <w:bCs/>
                <w:sz w:val="24"/>
              </w:rPr>
              <w:t>,地点：</w:t>
            </w:r>
            <w:r>
              <w:rPr>
                <w:rFonts w:hint="eastAsia" w:asciiTheme="minorEastAsia" w:hAnsiTheme="minorEastAsia" w:eastAsiaTheme="minorEastAsia" w:cstheme="minorEastAsia"/>
                <w:bCs/>
                <w:sz w:val="24"/>
                <w:u w:val="single"/>
              </w:rPr>
              <w:t xml:space="preserve">   /   </w:t>
            </w:r>
            <w:r>
              <w:rPr>
                <w:rFonts w:hint="eastAsia" w:asciiTheme="minorEastAsia" w:hAnsiTheme="minorEastAsia" w:eastAsiaTheme="minorEastAsia" w:cstheme="minorEastAsia"/>
                <w:bCs/>
                <w:sz w:val="24"/>
              </w:rPr>
              <w:t>，</w:t>
            </w:r>
          </w:p>
          <w:p w14:paraId="21FA6AB3">
            <w:pPr>
              <w:spacing w:line="360" w:lineRule="auto"/>
              <w:rPr>
                <w:rFonts w:ascii="宋体" w:hAnsi="宋体" w:cs="宋体"/>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bCs/>
                <w:sz w:val="24"/>
              </w:rPr>
              <w:t>联系人：</w:t>
            </w:r>
            <w:r>
              <w:rPr>
                <w:rFonts w:hint="eastAsia" w:asciiTheme="minorEastAsia" w:hAnsiTheme="minorEastAsia" w:eastAsiaTheme="minorEastAsia" w:cstheme="minorEastAsia"/>
                <w:bCs/>
                <w:sz w:val="24"/>
                <w:u w:val="single"/>
              </w:rPr>
              <w:t xml:space="preserve">   /   </w:t>
            </w:r>
            <w:r>
              <w:rPr>
                <w:rFonts w:hint="eastAsia" w:asciiTheme="minorEastAsia" w:hAnsiTheme="minorEastAsia" w:eastAsiaTheme="minorEastAsia" w:cstheme="minorEastAsia"/>
                <w:bCs/>
                <w:sz w:val="24"/>
              </w:rPr>
              <w:t>；其他说明：</w:t>
            </w:r>
            <w:r>
              <w:rPr>
                <w:rFonts w:hint="eastAsia" w:asciiTheme="minorEastAsia" w:hAnsiTheme="minorEastAsia" w:eastAsiaTheme="minorEastAsia" w:cstheme="minorEastAsia"/>
                <w:bCs/>
                <w:sz w:val="24"/>
                <w:u w:val="single"/>
              </w:rPr>
              <w:t>/</w:t>
            </w:r>
          </w:p>
        </w:tc>
      </w:tr>
      <w:tr w14:paraId="48475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tcPr>
          <w:p w14:paraId="7D348EB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4291421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0B5C99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auto"/>
                <w:sz w:val="24"/>
                <w:szCs w:val="24"/>
              </w:rPr>
              <w:t>样品提供</w:t>
            </w:r>
          </w:p>
        </w:tc>
        <w:tc>
          <w:tcPr>
            <w:tcW w:w="6254" w:type="dxa"/>
            <w:tcBorders>
              <w:top w:val="single" w:color="000000" w:sz="8" w:space="0"/>
              <w:left w:val="single" w:color="000000" w:sz="2" w:space="0"/>
              <w:bottom w:val="single" w:color="000000" w:sz="8" w:space="0"/>
              <w:right w:val="single" w:color="000000" w:sz="8" w:space="0"/>
            </w:tcBorders>
            <w:vAlign w:val="center"/>
          </w:tcPr>
          <w:p w14:paraId="53FE71D2">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（）A不要求提供。</w:t>
            </w:r>
          </w:p>
          <w:p w14:paraId="7BE2306F">
            <w:pPr>
              <w:spacing w:line="360" w:lineRule="auto"/>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rPr>
              <w:t>（√）B要求提供</w:t>
            </w:r>
            <w:r>
              <w:rPr>
                <w:rFonts w:hint="eastAsia" w:asciiTheme="minorEastAsia" w:hAnsiTheme="minorEastAsia" w:eastAsiaTheme="minorEastAsia" w:cstheme="minorEastAsia"/>
                <w:bCs/>
                <w:sz w:val="24"/>
                <w:lang w:eastAsia="zh-CN"/>
              </w:rPr>
              <w:t>：</w:t>
            </w:r>
          </w:p>
          <w:p w14:paraId="057FAB70">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（1）样品：</w:t>
            </w:r>
            <w:r>
              <w:rPr>
                <w:rFonts w:hint="eastAsia" w:asciiTheme="minorEastAsia" w:hAnsiTheme="minorEastAsia" w:eastAsiaTheme="minorEastAsia" w:cstheme="minorEastAsia"/>
                <w:kern w:val="0"/>
                <w:sz w:val="24"/>
                <w:lang w:val="en-US" w:eastAsia="zh-CN"/>
              </w:rPr>
              <w:t>学生</w:t>
            </w:r>
            <w:r>
              <w:rPr>
                <w:rFonts w:hint="eastAsia" w:ascii="宋体" w:hAnsi="宋体" w:cs="宋体"/>
                <w:color w:val="000000" w:themeColor="text1"/>
                <w:kern w:val="0"/>
                <w:sz w:val="24"/>
                <w:highlight w:val="none"/>
                <w:u w:val="none"/>
                <w:lang w:val="en-US" w:eastAsia="zh-CN"/>
                <w14:textFill>
                  <w14:solidFill>
                    <w14:schemeClr w14:val="tx1"/>
                  </w14:solidFill>
                </w14:textFill>
              </w:rPr>
              <w:t>餐桌椅</w:t>
            </w:r>
            <w:r>
              <w:rPr>
                <w:rFonts w:hint="eastAsia" w:asciiTheme="minorEastAsia" w:hAnsiTheme="minorEastAsia" w:eastAsiaTheme="minorEastAsia" w:cstheme="minorEastAsia"/>
                <w:kern w:val="0"/>
                <w:sz w:val="24"/>
                <w:u w:val="none"/>
                <w:lang w:val="zh-CN"/>
              </w:rPr>
              <w:t xml:space="preserve"> </w:t>
            </w:r>
            <w:r>
              <w:rPr>
                <w:rFonts w:hint="eastAsia" w:asciiTheme="minorEastAsia" w:hAnsiTheme="minorEastAsia" w:eastAsiaTheme="minorEastAsia" w:cstheme="minorEastAsia"/>
                <w:kern w:val="0"/>
                <w:sz w:val="24"/>
                <w:lang w:val="zh-CN"/>
              </w:rPr>
              <w:t xml:space="preserve"> ；</w:t>
            </w:r>
          </w:p>
          <w:p w14:paraId="3C78FD9A">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（2）样品制作的标准和要求：详见采购需求 ；</w:t>
            </w:r>
          </w:p>
          <w:p w14:paraId="527277B8">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（3）样品的评审方法以及评审标准：详见评标办法；</w:t>
            </w:r>
          </w:p>
          <w:p w14:paraId="70E38621">
            <w:pPr>
              <w:spacing w:line="360" w:lineRule="auto"/>
              <w:rPr>
                <w:rFonts w:hint="eastAsia" w:asciiTheme="minorEastAsia" w:hAnsiTheme="minorEastAsia" w:eastAsiaTheme="minorEastAsia" w:cstheme="minorEastAsia"/>
                <w:kern w:val="0"/>
                <w:sz w:val="24"/>
                <w:lang w:val="zh-CN"/>
              </w:rPr>
            </w:pPr>
            <w:sdt>
              <w:sdtPr>
                <w:rPr>
                  <w:rFonts w:hint="eastAsia" w:asciiTheme="minorEastAsia" w:hAnsiTheme="minorEastAsia" w:eastAsiaTheme="minorEastAsia" w:cstheme="minorEastAsia"/>
                  <w:kern w:val="0"/>
                  <w:sz w:val="24"/>
                  <w:lang w:val="zh-CN"/>
                </w:rPr>
                <w:id w:val="14745118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4"/>
                  <w:lang w:val="zh-CN"/>
                </w:rPr>
              </w:sdtEndPr>
              <w:sdtContent>
                <w:r>
                  <w:rPr>
                    <w:rFonts w:hint="eastAsia" w:ascii="Wingdings" w:hAnsi="Wingdings" w:eastAsiaTheme="minorEastAsia" w:cstheme="minorEastAsia"/>
                    <w:kern w:val="0"/>
                    <w:sz w:val="24"/>
                    <w:szCs w:val="24"/>
                    <w:lang w:val="zh-CN" w:eastAsia="zh-CN" w:bidi="ar-SA"/>
                  </w:rPr>
                  <w:t>þ</w:t>
                </w:r>
              </w:sdtContent>
            </w:sdt>
            <w:r>
              <w:rPr>
                <w:rFonts w:hint="eastAsia" w:asciiTheme="minorEastAsia" w:hAnsiTheme="minorEastAsia" w:eastAsiaTheme="minorEastAsia" w:cstheme="minorEastAsia"/>
                <w:kern w:val="0"/>
                <w:sz w:val="24"/>
                <w:lang w:val="zh-CN"/>
              </w:rPr>
              <w:t>样品分未超过价格分的50%；</w:t>
            </w:r>
          </w:p>
          <w:p w14:paraId="147692EE">
            <w:pPr>
              <w:spacing w:line="360" w:lineRule="auto"/>
              <w:rPr>
                <w:rFonts w:hint="eastAsia" w:asciiTheme="minorEastAsia" w:hAnsiTheme="minorEastAsia" w:eastAsiaTheme="minorEastAsia" w:cstheme="minorEastAsia"/>
                <w:kern w:val="0"/>
                <w:sz w:val="24"/>
                <w:lang w:val="zh-CN"/>
              </w:rPr>
            </w:pPr>
            <w:sdt>
              <w:sdtPr>
                <w:rPr>
                  <w:rFonts w:hint="eastAsia" w:asciiTheme="minorEastAsia" w:hAnsiTheme="minorEastAsia" w:eastAsiaTheme="minorEastAsia" w:cstheme="minorEastAsia"/>
                  <w:kern w:val="0"/>
                  <w:sz w:val="24"/>
                  <w:lang w:val="zh-CN"/>
                </w:rPr>
                <w:id w:val="147459866"/>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4"/>
                  <w:lang w:val="zh-CN"/>
                </w:rPr>
              </w:sdtEndPr>
              <w:sdtContent>
                <w:r>
                  <w:rPr>
                    <w:rFonts w:hint="eastAsia" w:asciiTheme="minorEastAsia" w:hAnsiTheme="minorEastAsia" w:eastAsiaTheme="minorEastAsia" w:cstheme="minorEastAsia"/>
                    <w:kern w:val="0"/>
                    <w:sz w:val="24"/>
                    <w:lang w:val="zh-CN"/>
                  </w:rPr>
                  <w:t>☐</w:t>
                </w:r>
              </w:sdtContent>
            </w:sdt>
            <w:r>
              <w:rPr>
                <w:rFonts w:hint="eastAsia" w:asciiTheme="minorEastAsia" w:hAnsiTheme="minorEastAsia" w:eastAsiaTheme="minorEastAsia" w:cstheme="minorEastAsia"/>
                <w:kern w:val="0"/>
                <w:sz w:val="24"/>
                <w:lang w:val="zh-CN"/>
              </w:rPr>
              <w:t>样品分超过价格分的50%，理由     ；</w:t>
            </w:r>
          </w:p>
          <w:p w14:paraId="24706C27">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详见招标文件第四部分评标办分法。 </w:t>
            </w:r>
          </w:p>
          <w:p w14:paraId="7F97C98C">
            <w:pPr>
              <w:spacing w:line="360" w:lineRule="auto"/>
              <w:rPr>
                <w:rFonts w:hint="eastAsia" w:asciiTheme="minorEastAsia" w:hAnsiTheme="minorEastAsia" w:eastAsiaTheme="minorEastAsia" w:cstheme="minorEastAsia"/>
                <w:kern w:val="0"/>
                <w:sz w:val="24"/>
                <w:lang w:val="zh-CN" w:eastAsia="zh-CN"/>
              </w:rPr>
            </w:pPr>
            <w:r>
              <w:rPr>
                <w:rFonts w:hint="eastAsia" w:asciiTheme="minorEastAsia" w:hAnsiTheme="minorEastAsia" w:eastAsiaTheme="minorEastAsia" w:cstheme="minorEastAsia"/>
                <w:kern w:val="0"/>
                <w:sz w:val="24"/>
                <w:lang w:val="zh-CN"/>
              </w:rPr>
              <w:t>（4）是否需要随样品提交检测报告：</w:t>
            </w:r>
            <w:sdt>
              <w:sdtPr>
                <w:rPr>
                  <w:rFonts w:hint="eastAsia" w:asciiTheme="minorEastAsia" w:hAnsiTheme="minorEastAsia" w:eastAsiaTheme="minorEastAsia" w:cstheme="minorEastAsia"/>
                  <w:kern w:val="0"/>
                  <w:sz w:val="24"/>
                  <w:lang w:val="zh-CN"/>
                </w:rPr>
                <w:id w:val="147466744"/>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4"/>
                  <w:lang w:val="zh-CN"/>
                </w:rPr>
              </w:sdtEndPr>
              <w:sdtContent>
                <w:r>
                  <w:rPr>
                    <w:rFonts w:hint="eastAsia" w:asciiTheme="minorEastAsia" w:hAnsiTheme="minorEastAsia" w:eastAsiaTheme="minorEastAsia" w:cstheme="minorEastAsia"/>
                    <w:kern w:val="0"/>
                    <w:sz w:val="24"/>
                    <w:lang w:val="zh-CN"/>
                  </w:rPr>
                  <w:t></w:t>
                </w:r>
              </w:sdtContent>
            </w:sdt>
            <w:r>
              <w:rPr>
                <w:rFonts w:hint="eastAsia" w:asciiTheme="minorEastAsia" w:hAnsiTheme="minorEastAsia" w:eastAsiaTheme="minorEastAsia" w:cstheme="minorEastAsia"/>
                <w:kern w:val="0"/>
                <w:sz w:val="24"/>
                <w:lang w:val="zh-CN"/>
              </w:rPr>
              <w:t>否</w:t>
            </w:r>
          </w:p>
          <w:p w14:paraId="7A7866C3">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（5）提供样品的时间：开标当天</w:t>
            </w:r>
            <w:r>
              <w:rPr>
                <w:rFonts w:hint="eastAsia" w:asciiTheme="minorEastAsia" w:hAnsiTheme="minorEastAsia" w:eastAsiaTheme="minorEastAsia" w:cstheme="minorEastAsia"/>
                <w:kern w:val="0"/>
                <w:sz w:val="24"/>
                <w:lang w:val="en-US" w:eastAsia="zh-CN"/>
              </w:rPr>
              <w:t>9</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lang w:val="en-US" w:eastAsia="zh-CN"/>
              </w:rPr>
              <w:t>00</w:t>
            </w:r>
            <w:r>
              <w:rPr>
                <w:rFonts w:hint="eastAsia" w:asciiTheme="minorEastAsia" w:hAnsiTheme="minorEastAsia" w:eastAsiaTheme="minorEastAsia" w:cstheme="minorEastAsia"/>
                <w:kern w:val="0"/>
                <w:sz w:val="24"/>
                <w:lang w:val="zh-CN"/>
              </w:rPr>
              <w:t>分至</w:t>
            </w:r>
            <w:r>
              <w:rPr>
                <w:rFonts w:hint="eastAsia" w:asciiTheme="minorEastAsia" w:hAnsiTheme="minorEastAsia" w:eastAsiaTheme="minorEastAsia" w:cstheme="minorEastAsia"/>
                <w:kern w:val="0"/>
                <w:sz w:val="24"/>
                <w:lang w:val="en-US" w:eastAsia="zh-CN"/>
              </w:rPr>
              <w:t>13</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lang w:val="en-US" w:eastAsia="zh-CN"/>
              </w:rPr>
              <w:t>30</w:t>
            </w:r>
            <w:r>
              <w:rPr>
                <w:rFonts w:hint="eastAsia" w:asciiTheme="minorEastAsia" w:hAnsiTheme="minorEastAsia" w:eastAsiaTheme="minorEastAsia" w:cstheme="minorEastAsia"/>
                <w:kern w:val="0"/>
                <w:sz w:val="24"/>
                <w:lang w:val="zh-CN"/>
              </w:rPr>
              <w:t>分前；地点：杭州市萧山区北干街道山阴路1202</w:t>
            </w:r>
            <w:bookmarkStart w:id="550" w:name="_GoBack"/>
            <w:bookmarkEnd w:id="550"/>
            <w:r>
              <w:rPr>
                <w:rFonts w:hint="eastAsia" w:asciiTheme="minorEastAsia" w:hAnsiTheme="minorEastAsia" w:eastAsiaTheme="minorEastAsia" w:cstheme="minorEastAsia"/>
                <w:kern w:val="0"/>
                <w:sz w:val="24"/>
                <w:lang w:val="zh-CN"/>
              </w:rPr>
              <w:t>号。联系人：</w:t>
            </w:r>
            <w:r>
              <w:rPr>
                <w:rFonts w:hint="eastAsia" w:asciiTheme="minorEastAsia" w:hAnsiTheme="minorEastAsia" w:eastAsiaTheme="minorEastAsia" w:cstheme="minorEastAsia"/>
                <w:kern w:val="0"/>
                <w:sz w:val="24"/>
                <w:lang w:val="en-US" w:eastAsia="zh-CN"/>
              </w:rPr>
              <w:t>汪工</w:t>
            </w:r>
            <w:r>
              <w:rPr>
                <w:rFonts w:hint="eastAsia" w:asciiTheme="minorEastAsia" w:hAnsiTheme="minorEastAsia" w:eastAsiaTheme="minorEastAsia" w:cstheme="minorEastAsia"/>
                <w:kern w:val="0"/>
                <w:sz w:val="24"/>
                <w:lang w:val="zh-CN"/>
              </w:rPr>
              <w:t>，联系电话：</w:t>
            </w:r>
            <w:r>
              <w:rPr>
                <w:rFonts w:hint="eastAsia" w:asciiTheme="minorEastAsia" w:hAnsiTheme="minorEastAsia" w:eastAsiaTheme="minorEastAsia" w:cstheme="minorEastAsia"/>
                <w:kern w:val="0"/>
                <w:sz w:val="24"/>
                <w:lang w:val="en-US" w:eastAsia="zh-CN"/>
              </w:rPr>
              <w:t>18005882291</w:t>
            </w:r>
            <w:r>
              <w:rPr>
                <w:rFonts w:hint="eastAsia" w:asciiTheme="minorEastAsia" w:hAnsiTheme="minorEastAsia" w:eastAsiaTheme="minorEastAsia" w:cstheme="minorEastAsia"/>
                <w:kern w:val="0"/>
                <w:sz w:val="24"/>
                <w:lang w:val="zh-CN"/>
              </w:rPr>
              <w:t>。请供应商在上述时间内提供样品，样品递交人须提供供应商的授权书（见附件格式，法人代表请携带身份证复件及营业执照复印件）、身份证。超过截止时间的，采购人或采购代理机构将不予接收，并将清场并封闭样品现场。</w:t>
            </w:r>
          </w:p>
          <w:p w14:paraId="44ED6573">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BDBE9BE">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（7）制作、运输、安装和保管样品所发生的一切费用由供应商自理。</w:t>
            </w:r>
          </w:p>
          <w:p w14:paraId="4A1C8F1B">
            <w:pPr>
              <w:spacing w:line="360" w:lineRule="auto"/>
            </w:pPr>
            <w:r>
              <w:rPr>
                <w:rFonts w:hint="eastAsia" w:asciiTheme="minorEastAsia" w:hAnsiTheme="minorEastAsia" w:eastAsiaTheme="minorEastAsia" w:cstheme="minorEastAsia"/>
                <w:kern w:val="0"/>
                <w:sz w:val="24"/>
                <w:lang w:val="en-US"/>
              </w:rPr>
              <w:t>( 8 )未提</w:t>
            </w:r>
            <w:r>
              <w:rPr>
                <w:rFonts w:hint="eastAsia" w:asciiTheme="minorEastAsia" w:hAnsiTheme="minorEastAsia" w:eastAsiaTheme="minorEastAsia" w:cstheme="minorEastAsia"/>
                <w:kern w:val="0"/>
                <w:sz w:val="24"/>
                <w:lang w:val="zh-CN"/>
              </w:rPr>
              <w:t>供样品或提供样品不满足采购需求实质性条件（“▲” 系指实质性要求）的供应商，投标无效</w:t>
            </w:r>
            <w:r>
              <w:rPr>
                <w:rFonts w:hint="eastAsia" w:asciiTheme="minorEastAsia" w:hAnsiTheme="minorEastAsia" w:eastAsiaTheme="minorEastAsia" w:cstheme="minorEastAsia"/>
                <w:kern w:val="0"/>
                <w:sz w:val="24"/>
                <w:lang w:val="zh-CN" w:eastAsia="zh-CN"/>
              </w:rPr>
              <w:t>。</w:t>
            </w:r>
          </w:p>
        </w:tc>
      </w:tr>
      <w:tr w14:paraId="55C88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86B05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1AC4DA9">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方案讲解演示</w:t>
            </w:r>
          </w:p>
        </w:tc>
        <w:tc>
          <w:tcPr>
            <w:tcW w:w="6254" w:type="dxa"/>
            <w:tcBorders>
              <w:top w:val="single" w:color="000000" w:sz="8" w:space="0"/>
              <w:left w:val="single" w:color="000000" w:sz="2" w:space="0"/>
              <w:bottom w:val="single" w:color="000000" w:sz="8" w:space="0"/>
              <w:right w:val="single" w:color="000000" w:sz="8" w:space="0"/>
            </w:tcBorders>
            <w:vAlign w:val="center"/>
          </w:tcPr>
          <w:p w14:paraId="2216D872">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kern w:val="0"/>
                <w:sz w:val="24"/>
              </w:rPr>
              <w:t>A</w:t>
            </w:r>
            <w:r>
              <w:rPr>
                <w:rFonts w:hint="eastAsia" w:asciiTheme="minorEastAsia" w:hAnsiTheme="minorEastAsia" w:eastAsiaTheme="minorEastAsia" w:cstheme="minorEastAsia"/>
                <w:bCs/>
                <w:sz w:val="24"/>
              </w:rPr>
              <w:t>不组织。</w:t>
            </w:r>
          </w:p>
          <w:p w14:paraId="026BC0AF">
            <w:pPr>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bCs/>
                <w:sz w:val="24"/>
              </w:rPr>
              <w:t>（  ）</w:t>
            </w:r>
            <w:r>
              <w:rPr>
                <w:rFonts w:hint="eastAsia" w:asciiTheme="minorEastAsia" w:hAnsiTheme="minorEastAsia" w:eastAsiaTheme="minorEastAsia" w:cstheme="minorEastAsia"/>
                <w:bCs/>
                <w:kern w:val="0"/>
                <w:sz w:val="24"/>
              </w:rPr>
              <w:t>B组织。</w:t>
            </w:r>
          </w:p>
        </w:tc>
      </w:tr>
      <w:tr w14:paraId="643DE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F35B7F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658BFB8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供应商应当提供的资格、资信证明文件</w:t>
            </w:r>
          </w:p>
        </w:tc>
        <w:tc>
          <w:tcPr>
            <w:tcW w:w="6254" w:type="dxa"/>
            <w:tcBorders>
              <w:top w:val="single" w:color="000000" w:sz="8" w:space="0"/>
              <w:left w:val="single" w:color="000000" w:sz="2" w:space="0"/>
              <w:bottom w:val="single" w:color="auto" w:sz="4" w:space="0"/>
              <w:right w:val="single" w:color="000000" w:sz="8" w:space="0"/>
            </w:tcBorders>
            <w:vAlign w:val="center"/>
          </w:tcPr>
          <w:p w14:paraId="1EC99D7F">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（1）资格证明文件：见交易文件第二部分10.1。</w:t>
            </w:r>
          </w:p>
          <w:p w14:paraId="481B2D24">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kern w:val="0"/>
                <w:sz w:val="24"/>
                <w:lang w:val="zh-CN"/>
              </w:rPr>
              <w:t>供应商未提供有效的资格证明文件的，视为供应商不具备交易文件中规定的资格要求，响应无效。</w:t>
            </w:r>
          </w:p>
        </w:tc>
      </w:tr>
      <w:tr w14:paraId="72902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4826824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5CED39AC">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254" w:type="dxa"/>
            <w:tcBorders>
              <w:top w:val="single" w:color="auto" w:sz="4" w:space="0"/>
              <w:left w:val="single" w:color="000000" w:sz="2" w:space="0"/>
              <w:bottom w:val="single" w:color="000000" w:sz="8" w:space="0"/>
              <w:right w:val="single" w:color="000000" w:sz="8" w:space="0"/>
            </w:tcBorders>
            <w:vAlign w:val="center"/>
          </w:tcPr>
          <w:p w14:paraId="7007B3F2">
            <w:pPr>
              <w:spacing w:line="360" w:lineRule="auto"/>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rPr>
              <w:t>（2）资信证明文件：根据交易文件第四部分评审标准提供。</w:t>
            </w:r>
          </w:p>
        </w:tc>
      </w:tr>
      <w:tr w14:paraId="03161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tcBorders>
              <w:left w:val="single" w:color="auto" w:sz="4" w:space="0"/>
              <w:bottom w:val="single" w:color="auto" w:sz="4" w:space="0"/>
              <w:right w:val="single" w:color="auto" w:sz="4" w:space="0"/>
            </w:tcBorders>
            <w:vAlign w:val="center"/>
          </w:tcPr>
          <w:p w14:paraId="6954D22A">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383957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报价要求</w:t>
            </w:r>
          </w:p>
        </w:tc>
        <w:tc>
          <w:tcPr>
            <w:tcW w:w="6254" w:type="dxa"/>
            <w:tcBorders>
              <w:top w:val="single" w:color="000000" w:sz="8" w:space="0"/>
              <w:left w:val="single" w:color="000000" w:sz="2" w:space="0"/>
              <w:bottom w:val="single" w:color="000000" w:sz="8" w:space="0"/>
              <w:right w:val="single" w:color="000000" w:sz="8" w:space="0"/>
            </w:tcBorders>
            <w:vAlign w:val="center"/>
          </w:tcPr>
          <w:p w14:paraId="2EB8F410">
            <w:pPr>
              <w:spacing w:line="360" w:lineRule="auto"/>
              <w:ind w:firstLine="480" w:firstLineChars="200"/>
              <w:rPr>
                <w:rFonts w:hint="eastAsia" w:asciiTheme="minorEastAsia" w:hAnsiTheme="minorEastAsia" w:eastAsiaTheme="minorEastAsia" w:cstheme="minorEastAsia"/>
                <w:bCs/>
                <w:kern w:val="0"/>
                <w:sz w:val="24"/>
                <w:lang w:val="zh-CN"/>
              </w:rPr>
            </w:pPr>
            <w:r>
              <w:rPr>
                <w:rFonts w:hint="eastAsia" w:asciiTheme="minorEastAsia" w:hAnsiTheme="minorEastAsia" w:eastAsiaTheme="minorEastAsia" w:cstheme="minorEastAsia"/>
                <w:bCs/>
                <w:kern w:val="0"/>
                <w:sz w:val="24"/>
                <w:lang w:val="zh-CN"/>
              </w:rPr>
              <w:t>有关本项目实施所需的所有费用（含税费）均计入报价。</w:t>
            </w:r>
            <w:r>
              <w:rPr>
                <w:rFonts w:hint="eastAsia" w:asciiTheme="minorEastAsia" w:hAnsiTheme="minorEastAsia" w:eastAsiaTheme="minorEastAsia" w:cstheme="minorEastAsia"/>
                <w:bCs/>
                <w:kern w:val="0"/>
                <w:sz w:val="24"/>
              </w:rPr>
              <w:t>交易一览表（报价表）是报价的唯一载体</w:t>
            </w:r>
            <w:r>
              <w:rPr>
                <w:rFonts w:hint="eastAsia" w:asciiTheme="minorEastAsia" w:hAnsiTheme="minorEastAsia" w:eastAsiaTheme="minorEastAsia" w:cstheme="minorEastAsia"/>
                <w:bCs/>
                <w:kern w:val="0"/>
                <w:sz w:val="24"/>
                <w:lang w:val="zh-CN"/>
              </w:rPr>
              <w:t>。响应文件中价格全部采用人民币报价。交易文件未列明，而供应商认为必需的费用也需列入报价。</w:t>
            </w:r>
          </w:p>
          <w:p w14:paraId="58C468DD">
            <w:pPr>
              <w:spacing w:line="360" w:lineRule="auto"/>
              <w:ind w:firstLine="480" w:firstLineChars="200"/>
              <w:rPr>
                <w:rFonts w:hint="eastAsia" w:asciiTheme="minorEastAsia" w:hAnsiTheme="minorEastAsia" w:eastAsiaTheme="minorEastAsia" w:cstheme="minorEastAsia"/>
                <w:bCs/>
                <w:kern w:val="0"/>
                <w:sz w:val="24"/>
                <w:lang w:val="en-US" w:eastAsia="zh-CN"/>
              </w:rPr>
            </w:pPr>
            <w:r>
              <w:rPr>
                <w:rFonts w:hint="eastAsia" w:asciiTheme="minorEastAsia" w:hAnsiTheme="minorEastAsia" w:eastAsiaTheme="minorEastAsia" w:cstheme="minorEastAsia"/>
                <w:bCs/>
                <w:kern w:val="0"/>
                <w:sz w:val="24"/>
                <w:lang w:val="en-US" w:eastAsia="zh-CN"/>
              </w:rPr>
              <w:t>报价含设备安装调试及后期质保运维工作的费用。</w:t>
            </w:r>
          </w:p>
          <w:p w14:paraId="4E18E84B">
            <w:pPr>
              <w:spacing w:line="360" w:lineRule="auto"/>
              <w:rPr>
                <w:rFonts w:hint="eastAsia" w:asciiTheme="minorEastAsia" w:hAnsiTheme="minorEastAsia" w:eastAsiaTheme="minorEastAsia" w:cstheme="minorEastAsia"/>
                <w:bCs/>
                <w:kern w:val="0"/>
                <w:sz w:val="24"/>
                <w:lang w:val="zh-CN"/>
              </w:rPr>
            </w:pPr>
            <w:r>
              <w:rPr>
                <w:rFonts w:hint="eastAsia" w:asciiTheme="minorEastAsia" w:hAnsiTheme="minorEastAsia" w:eastAsiaTheme="minorEastAsia" w:cstheme="minorEastAsia"/>
                <w:bCs/>
                <w:kern w:val="0"/>
                <w:sz w:val="24"/>
                <w:lang w:val="zh-CN"/>
              </w:rPr>
              <w:t>响应报价出现下列情形的，响应无效：</w:t>
            </w:r>
          </w:p>
          <w:p w14:paraId="2CA52F89">
            <w:pPr>
              <w:spacing w:line="360" w:lineRule="auto"/>
              <w:ind w:firstLine="480" w:firstLineChars="200"/>
              <w:rPr>
                <w:rFonts w:hint="eastAsia" w:asciiTheme="minorEastAsia" w:hAnsiTheme="minorEastAsia" w:eastAsiaTheme="minorEastAsia" w:cstheme="minorEastAsia"/>
                <w:bCs/>
                <w:kern w:val="0"/>
                <w:sz w:val="24"/>
                <w:lang w:val="zh-CN"/>
              </w:rPr>
            </w:pPr>
            <w:r>
              <w:rPr>
                <w:rFonts w:hint="eastAsia" w:asciiTheme="minorEastAsia" w:hAnsiTheme="minorEastAsia" w:eastAsiaTheme="minorEastAsia" w:cstheme="minorEastAsia"/>
                <w:bCs/>
                <w:kern w:val="0"/>
                <w:sz w:val="24"/>
                <w:lang w:val="zh-CN"/>
              </w:rPr>
              <w:t>响应文件出现不是唯一的、有选择性响应报价的；</w:t>
            </w:r>
          </w:p>
          <w:p w14:paraId="11526A03">
            <w:pPr>
              <w:spacing w:line="360" w:lineRule="auto"/>
              <w:ind w:firstLine="480" w:firstLineChars="200"/>
              <w:rPr>
                <w:rFonts w:hint="eastAsia" w:asciiTheme="minorEastAsia" w:hAnsiTheme="minorEastAsia" w:eastAsiaTheme="minorEastAsia" w:cstheme="minorEastAsia"/>
                <w:bCs/>
                <w:kern w:val="0"/>
                <w:sz w:val="24"/>
                <w:lang w:val="zh-CN"/>
              </w:rPr>
            </w:pPr>
            <w:r>
              <w:rPr>
                <w:rFonts w:hint="eastAsia" w:asciiTheme="minorEastAsia" w:hAnsiTheme="minorEastAsia" w:eastAsiaTheme="minorEastAsia" w:cstheme="minorEastAsia"/>
                <w:bCs/>
                <w:kern w:val="0"/>
                <w:sz w:val="24"/>
                <w:lang w:val="zh-CN"/>
              </w:rPr>
              <w:t>响应报价超过交易文件中规定的预算金额或者最高限价的；</w:t>
            </w:r>
          </w:p>
          <w:p w14:paraId="5CA02FCD">
            <w:pPr>
              <w:spacing w:line="360" w:lineRule="auto"/>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Cs/>
                <w:kern w:val="0"/>
                <w:sz w:val="24"/>
                <w:lang w:val="zh-CN"/>
              </w:rPr>
              <w:t>；</w:t>
            </w:r>
          </w:p>
          <w:p w14:paraId="54F169E7">
            <w:pPr>
              <w:spacing w:line="360" w:lineRule="auto"/>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供应商对根据修正原则修正后的报价不确认的。</w:t>
            </w:r>
          </w:p>
          <w:p w14:paraId="145CC774">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资格文件、商务技术文件与报价文件未分开制作</w:t>
            </w:r>
            <w:r>
              <w:rPr>
                <w:rFonts w:hint="eastAsia" w:asciiTheme="minorEastAsia" w:hAnsiTheme="minorEastAsia" w:eastAsiaTheme="minorEastAsia" w:cstheme="minorEastAsia"/>
                <w:bCs/>
                <w:sz w:val="24"/>
              </w:rPr>
              <w:t>。</w:t>
            </w:r>
          </w:p>
        </w:tc>
      </w:tr>
      <w:tr w14:paraId="70E16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658319">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494A2D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备份响应文件</w:t>
            </w:r>
          </w:p>
        </w:tc>
        <w:tc>
          <w:tcPr>
            <w:tcW w:w="6254" w:type="dxa"/>
            <w:tcBorders>
              <w:top w:val="single" w:color="000000" w:sz="8" w:space="0"/>
              <w:left w:val="single" w:color="000000" w:sz="2" w:space="0"/>
              <w:bottom w:val="single" w:color="000000" w:sz="8" w:space="0"/>
              <w:right w:val="single" w:color="000000" w:sz="8" w:space="0"/>
            </w:tcBorders>
            <w:vAlign w:val="center"/>
          </w:tcPr>
          <w:p w14:paraId="4C5375E5">
            <w:pPr>
              <w:pStyle w:val="10"/>
              <w:spacing w:line="360" w:lineRule="auto"/>
              <w:ind w:hanging="4" w:firstLineChars="0"/>
              <w:rPr>
                <w:rFonts w:ascii="宋体" w:hAnsi="宋体" w:cs="宋体"/>
                <w:color w:val="000000" w:themeColor="text1"/>
                <w:highlight w:val="none"/>
                <w14:textFill>
                  <w14:solidFill>
                    <w14:schemeClr w14:val="tx1"/>
                  </w14:solidFill>
                </w14:textFill>
              </w:rPr>
            </w:pPr>
            <w:r>
              <w:rPr>
                <w:rFonts w:hint="eastAsia" w:asciiTheme="minorEastAsia" w:hAnsiTheme="minorEastAsia" w:eastAsiaTheme="minorEastAsia" w:cstheme="minorEastAsia"/>
                <w:kern w:val="28"/>
                <w:sz w:val="24"/>
                <w:szCs w:val="24"/>
              </w:rPr>
              <w:t>备份文件是否收取：不收取。</w:t>
            </w:r>
          </w:p>
        </w:tc>
      </w:tr>
      <w:tr w14:paraId="3E250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9B5488">
            <w:pPr>
              <w:snapToGrid w:val="0"/>
              <w:spacing w:line="360" w:lineRule="auto"/>
              <w:jc w:val="center"/>
              <w:rPr>
                <w:rFonts w:hint="eastAsia" w:ascii="宋体" w:hAnsi="宋体" w:cs="宋体"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1</w:t>
            </w:r>
          </w:p>
        </w:tc>
        <w:tc>
          <w:tcPr>
            <w:tcW w:w="1843" w:type="dxa"/>
            <w:tcBorders>
              <w:top w:val="single" w:color="000000" w:sz="8" w:space="0"/>
              <w:left w:val="single" w:color="000000" w:sz="2" w:space="0"/>
              <w:right w:val="single" w:color="000000" w:sz="8" w:space="0"/>
            </w:tcBorders>
            <w:vAlign w:val="center"/>
          </w:tcPr>
          <w:p w14:paraId="1271E5E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方案讲解演示</w:t>
            </w:r>
          </w:p>
        </w:tc>
        <w:tc>
          <w:tcPr>
            <w:tcW w:w="6254" w:type="dxa"/>
            <w:tcBorders>
              <w:top w:val="single" w:color="000000" w:sz="8" w:space="0"/>
              <w:left w:val="single" w:color="000000" w:sz="2" w:space="0"/>
              <w:right w:val="single" w:color="000000" w:sz="8" w:space="0"/>
            </w:tcBorders>
            <w:vAlign w:val="center"/>
          </w:tcPr>
          <w:p w14:paraId="2DBFC2B8">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kern w:val="0"/>
                <w:sz w:val="24"/>
              </w:rPr>
              <w:t>A</w:t>
            </w:r>
            <w:r>
              <w:rPr>
                <w:rFonts w:hint="eastAsia" w:asciiTheme="minorEastAsia" w:hAnsiTheme="minorEastAsia" w:eastAsiaTheme="minorEastAsia" w:cstheme="minorEastAsia"/>
                <w:bCs/>
                <w:sz w:val="24"/>
              </w:rPr>
              <w:t>不组织。</w:t>
            </w:r>
          </w:p>
          <w:p w14:paraId="5281A6AA">
            <w:pPr>
              <w:spacing w:line="360" w:lineRule="auto"/>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sz w:val="24"/>
              </w:rPr>
              <w:t>（  ）</w:t>
            </w:r>
            <w:r>
              <w:rPr>
                <w:rFonts w:hint="eastAsia" w:asciiTheme="minorEastAsia" w:hAnsiTheme="minorEastAsia" w:eastAsiaTheme="minorEastAsia" w:cstheme="minorEastAsia"/>
                <w:bCs/>
                <w:kern w:val="0"/>
                <w:sz w:val="24"/>
              </w:rPr>
              <w:t>B组织。</w:t>
            </w:r>
          </w:p>
        </w:tc>
      </w:tr>
      <w:tr w14:paraId="4AC75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01472A9A">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sz w:val="24"/>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A8B94E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供应商应当提供的资格、资信证明文件</w:t>
            </w:r>
          </w:p>
        </w:tc>
        <w:tc>
          <w:tcPr>
            <w:tcW w:w="6254" w:type="dxa"/>
            <w:tcBorders>
              <w:top w:val="single" w:color="000000" w:sz="8" w:space="0"/>
              <w:left w:val="single" w:color="000000" w:sz="2" w:space="0"/>
              <w:bottom w:val="single" w:color="000000" w:sz="8" w:space="0"/>
              <w:right w:val="single" w:color="000000" w:sz="8" w:space="0"/>
            </w:tcBorders>
            <w:vAlign w:val="center"/>
          </w:tcPr>
          <w:p w14:paraId="58E59242">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（1）资格证明文件：见交易文件第二部分10.1。</w:t>
            </w:r>
          </w:p>
          <w:p w14:paraId="19090662">
            <w:pPr>
              <w:spacing w:line="360" w:lineRule="auto"/>
              <w:rPr>
                <w:color w:val="000000" w:themeColor="text1"/>
                <w:highlight w:val="none"/>
                <w14:textFill>
                  <w14:solidFill>
                    <w14:schemeClr w14:val="tx1"/>
                  </w14:solidFill>
                </w14:textFill>
              </w:rPr>
            </w:pPr>
            <w:r>
              <w:rPr>
                <w:rFonts w:hint="eastAsia" w:asciiTheme="minorEastAsia" w:hAnsiTheme="minorEastAsia" w:eastAsiaTheme="minorEastAsia" w:cstheme="minorEastAsia"/>
                <w:kern w:val="0"/>
                <w:sz w:val="24"/>
                <w:lang w:val="zh-CN"/>
              </w:rPr>
              <w:t>供应商未提供有效的资格证明文件的，视为供应商不具备交易文件中规定的资格要求，响应无效。</w:t>
            </w:r>
          </w:p>
        </w:tc>
      </w:tr>
      <w:tr w14:paraId="02799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8469107">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F3738A5">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采购机构代理费用</w:t>
            </w:r>
          </w:p>
        </w:tc>
        <w:tc>
          <w:tcPr>
            <w:tcW w:w="6254" w:type="dxa"/>
            <w:tcBorders>
              <w:top w:val="single" w:color="000000" w:sz="8" w:space="0"/>
              <w:left w:val="single" w:color="000000" w:sz="2" w:space="0"/>
              <w:bottom w:val="single" w:color="000000" w:sz="8" w:space="0"/>
              <w:right w:val="single" w:color="000000" w:sz="8" w:space="0"/>
            </w:tcBorders>
            <w:vAlign w:val="center"/>
          </w:tcPr>
          <w:p w14:paraId="27660037">
            <w:pPr>
              <w:pStyle w:val="10"/>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本项目的采购代理服务费由各标项</w:t>
            </w:r>
            <w:r>
              <w:rPr>
                <w:rFonts w:hint="eastAsia" w:hAnsi="宋体" w:cs="宋体"/>
                <w:kern w:val="28"/>
                <w:sz w:val="24"/>
                <w:szCs w:val="24"/>
                <w:highlight w:val="none"/>
                <w:lang w:val="en-US" w:eastAsia="zh-CN"/>
              </w:rPr>
              <w:t>成交</w:t>
            </w:r>
            <w:r>
              <w:rPr>
                <w:rFonts w:hint="eastAsia" w:ascii="宋体" w:hAnsi="宋体" w:eastAsia="宋体" w:cs="宋体"/>
                <w:kern w:val="28"/>
                <w:sz w:val="24"/>
                <w:szCs w:val="24"/>
                <w:highlight w:val="none"/>
                <w:lang w:val="en-US" w:eastAsia="zh-CN"/>
              </w:rPr>
              <w:t>供应商支付。</w:t>
            </w:r>
          </w:p>
          <w:p w14:paraId="77E9ADE0">
            <w:pPr>
              <w:pStyle w:val="10"/>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1.计费标准：</w:t>
            </w:r>
          </w:p>
          <w:p w14:paraId="4A85992E">
            <w:pPr>
              <w:pStyle w:val="10"/>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采购代理服务费以</w:t>
            </w:r>
            <w:r>
              <w:rPr>
                <w:rFonts w:hint="eastAsia" w:ascii="宋体" w:hAnsi="宋体" w:eastAsia="宋体" w:cs="宋体"/>
                <w:kern w:val="0"/>
                <w:sz w:val="24"/>
                <w:szCs w:val="24"/>
                <w:highlight w:val="none"/>
                <w:lang w:val="en-US" w:eastAsia="zh-CN"/>
              </w:rPr>
              <w:t>中标</w:t>
            </w:r>
            <w:r>
              <w:rPr>
                <w:rFonts w:hint="eastAsia" w:ascii="宋体" w:hAnsi="宋体" w:eastAsia="宋体" w:cs="宋体"/>
                <w:kern w:val="0"/>
                <w:sz w:val="24"/>
                <w:szCs w:val="24"/>
                <w:highlight w:val="none"/>
              </w:rPr>
              <w:t>金额为计费基准，计费标准</w:t>
            </w:r>
            <w:r>
              <w:rPr>
                <w:rFonts w:hint="eastAsia" w:hAnsi="宋体" w:cs="宋体"/>
                <w:kern w:val="0"/>
                <w:sz w:val="24"/>
                <w:szCs w:val="24"/>
                <w:highlight w:val="none"/>
                <w:lang w:eastAsia="zh-CN"/>
              </w:rPr>
              <w:t>参照</w:t>
            </w:r>
            <w:r>
              <w:rPr>
                <w:rFonts w:hint="eastAsia" w:ascii="宋体" w:hAnsi="宋体" w:eastAsia="宋体" w:cs="宋体"/>
                <w:kern w:val="0"/>
                <w:sz w:val="24"/>
                <w:szCs w:val="24"/>
                <w:highlight w:val="none"/>
              </w:rPr>
              <w:t>原《计价格［2002］1980号》及《发改办价格［2003］857号》规定的</w:t>
            </w:r>
            <w:r>
              <w:rPr>
                <w:rFonts w:hint="eastAsia" w:ascii="宋体" w:hAnsi="宋体" w:eastAsia="宋体" w:cs="宋体"/>
                <w:kern w:val="0"/>
                <w:sz w:val="24"/>
                <w:szCs w:val="24"/>
                <w:highlight w:val="none"/>
                <w:lang w:eastAsia="zh-CN"/>
              </w:rPr>
              <w:t>货物</w:t>
            </w:r>
            <w:r>
              <w:rPr>
                <w:rFonts w:hint="eastAsia" w:ascii="宋体" w:hAnsi="宋体" w:eastAsia="宋体" w:cs="宋体"/>
                <w:kern w:val="0"/>
                <w:sz w:val="24"/>
                <w:szCs w:val="24"/>
                <w:highlight w:val="none"/>
              </w:rPr>
              <w:t>类收费标准</w:t>
            </w:r>
            <w:r>
              <w:rPr>
                <w:rFonts w:hint="eastAsia" w:ascii="宋体" w:hAnsi="宋体" w:eastAsia="宋体" w:cs="宋体"/>
                <w:kern w:val="0"/>
                <w:sz w:val="24"/>
                <w:szCs w:val="24"/>
                <w:highlight w:val="none"/>
                <w:lang w:eastAsia="zh-CN"/>
              </w:rPr>
              <w:t>的八折</w:t>
            </w:r>
            <w:r>
              <w:rPr>
                <w:rFonts w:hint="eastAsia" w:ascii="宋体" w:hAnsi="宋体" w:eastAsia="宋体" w:cs="宋体"/>
                <w:kern w:val="0"/>
                <w:sz w:val="24"/>
                <w:szCs w:val="24"/>
                <w:highlight w:val="none"/>
              </w:rPr>
              <w:t>计取。</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2"/>
              <w:gridCol w:w="1628"/>
              <w:gridCol w:w="1628"/>
            </w:tblGrid>
            <w:tr w14:paraId="3BDC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5D0806E5">
                  <w:pPr>
                    <w:adjustRightInd w:val="0"/>
                    <w:jc w:val="center"/>
                    <w:rPr>
                      <w:rFonts w:hint="eastAsia" w:ascii="宋体" w:hAnsi="宋体" w:eastAsia="宋体" w:cs="宋体"/>
                      <w:sz w:val="24"/>
                      <w:szCs w:val="24"/>
                      <w:highlight w:val="none"/>
                    </w:rPr>
                  </w:pPr>
                  <w:r>
                    <w:rPr>
                      <w:rFonts w:hint="eastAsia" w:hAnsi="宋体" w:cs="宋体"/>
                      <w:kern w:val="28"/>
                      <w:sz w:val="24"/>
                      <w:szCs w:val="24"/>
                      <w:highlight w:val="none"/>
                      <w:lang w:val="en-US" w:eastAsia="zh-CN"/>
                    </w:rPr>
                    <w:t>成交</w:t>
                  </w:r>
                  <w:r>
                    <w:rPr>
                      <w:rFonts w:hint="eastAsia" w:ascii="宋体" w:hAnsi="宋体" w:eastAsia="宋体" w:cs="宋体"/>
                      <w:sz w:val="24"/>
                      <w:szCs w:val="24"/>
                      <w:highlight w:val="none"/>
                    </w:rPr>
                    <w:t>金额</w:t>
                  </w:r>
                </w:p>
              </w:tc>
              <w:tc>
                <w:tcPr>
                  <w:tcW w:w="1628" w:type="dxa"/>
                  <w:noWrap w:val="0"/>
                  <w:vAlign w:val="top"/>
                </w:tcPr>
                <w:p w14:paraId="13B7A113">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标准费率</w:t>
                  </w:r>
                </w:p>
              </w:tc>
              <w:tc>
                <w:tcPr>
                  <w:tcW w:w="1628" w:type="dxa"/>
                  <w:noWrap w:val="0"/>
                  <w:vAlign w:val="top"/>
                </w:tcPr>
                <w:p w14:paraId="042EF8E7">
                  <w:pPr>
                    <w:adjustRightIn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八折费率</w:t>
                  </w:r>
                </w:p>
              </w:tc>
            </w:tr>
            <w:tr w14:paraId="32BA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6F20092E">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≤100万元</w:t>
                  </w:r>
                </w:p>
              </w:tc>
              <w:tc>
                <w:tcPr>
                  <w:tcW w:w="1628" w:type="dxa"/>
                  <w:noWrap w:val="0"/>
                  <w:vAlign w:val="top"/>
                </w:tcPr>
                <w:p w14:paraId="4549F21B">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rPr>
                    <w:t>1.5%</w:t>
                  </w:r>
                </w:p>
              </w:tc>
              <w:tc>
                <w:tcPr>
                  <w:tcW w:w="1628" w:type="dxa"/>
                  <w:noWrap w:val="0"/>
                  <w:vAlign w:val="center"/>
                </w:tcPr>
                <w:p w14:paraId="10B4785E">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r>
            <w:tr w14:paraId="5129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5BA94A1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100-500</w:t>
                  </w:r>
                </w:p>
              </w:tc>
              <w:tc>
                <w:tcPr>
                  <w:tcW w:w="1628" w:type="dxa"/>
                  <w:noWrap w:val="0"/>
                  <w:vAlign w:val="top"/>
                </w:tcPr>
                <w:p w14:paraId="1F6E2348">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rPr>
                    <w:t>%</w:t>
                  </w:r>
                </w:p>
              </w:tc>
              <w:tc>
                <w:tcPr>
                  <w:tcW w:w="1628" w:type="dxa"/>
                  <w:noWrap w:val="0"/>
                  <w:vAlign w:val="center"/>
                </w:tcPr>
                <w:p w14:paraId="0F7B0ACC">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88</w:t>
                  </w:r>
                  <w:r>
                    <w:rPr>
                      <w:rFonts w:hint="eastAsia" w:ascii="宋体" w:hAnsi="宋体" w:eastAsia="宋体" w:cs="宋体"/>
                      <w:sz w:val="24"/>
                      <w:szCs w:val="24"/>
                      <w:highlight w:val="none"/>
                    </w:rPr>
                    <w:t>%</w:t>
                  </w:r>
                </w:p>
              </w:tc>
            </w:tr>
            <w:tr w14:paraId="1CC3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462" w:type="dxa"/>
                  <w:noWrap w:val="0"/>
                  <w:vAlign w:val="top"/>
                </w:tcPr>
                <w:p w14:paraId="07BA5695">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500-1000</w:t>
                  </w:r>
                </w:p>
              </w:tc>
              <w:tc>
                <w:tcPr>
                  <w:tcW w:w="1628" w:type="dxa"/>
                  <w:noWrap w:val="0"/>
                  <w:vAlign w:val="top"/>
                </w:tcPr>
                <w:p w14:paraId="404C2EFA">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rPr>
                    <w:t>0.8%</w:t>
                  </w:r>
                </w:p>
              </w:tc>
              <w:tc>
                <w:tcPr>
                  <w:tcW w:w="1628" w:type="dxa"/>
                  <w:noWrap w:val="0"/>
                  <w:vAlign w:val="center"/>
                </w:tcPr>
                <w:p w14:paraId="5AFD0259">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64</w:t>
                  </w:r>
                  <w:r>
                    <w:rPr>
                      <w:rFonts w:hint="eastAsia" w:ascii="宋体" w:hAnsi="宋体" w:eastAsia="宋体" w:cs="宋体"/>
                      <w:sz w:val="24"/>
                      <w:szCs w:val="24"/>
                      <w:highlight w:val="none"/>
                    </w:rPr>
                    <w:t>%</w:t>
                  </w:r>
                </w:p>
              </w:tc>
            </w:tr>
          </w:tbl>
          <w:p w14:paraId="2526D0A5">
            <w:pPr>
              <w:pStyle w:val="10"/>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采购代理费收费按照差额定率累进法计取。</w:t>
            </w:r>
          </w:p>
          <w:p w14:paraId="746A0644">
            <w:pPr>
              <w:pStyle w:val="10"/>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lang w:val="en-US" w:eastAsia="zh-CN"/>
              </w:rPr>
              <w:t>2.</w:t>
            </w:r>
            <w:r>
              <w:rPr>
                <w:rFonts w:hint="eastAsia" w:ascii="宋体" w:hAnsi="宋体" w:eastAsia="宋体" w:cs="宋体"/>
                <w:kern w:val="28"/>
                <w:sz w:val="24"/>
                <w:szCs w:val="24"/>
                <w:highlight w:val="none"/>
              </w:rPr>
              <w:t>结算方式及时间为：</w:t>
            </w:r>
            <w:r>
              <w:rPr>
                <w:rFonts w:hint="eastAsia" w:hAnsi="宋体" w:cs="宋体"/>
                <w:kern w:val="28"/>
                <w:sz w:val="24"/>
                <w:szCs w:val="24"/>
                <w:highlight w:val="none"/>
                <w:lang w:val="en-US" w:eastAsia="zh-CN"/>
              </w:rPr>
              <w:t>成交</w:t>
            </w:r>
            <w:r>
              <w:rPr>
                <w:rFonts w:hint="eastAsia" w:ascii="宋体" w:hAnsi="宋体" w:eastAsia="宋体" w:cs="宋体"/>
                <w:kern w:val="28"/>
                <w:sz w:val="24"/>
                <w:szCs w:val="24"/>
                <w:highlight w:val="none"/>
              </w:rPr>
              <w:t>结果公示之日起5个工作日之内。</w:t>
            </w:r>
          </w:p>
          <w:p w14:paraId="1BB808BF">
            <w:pPr>
              <w:rPr>
                <w:rFonts w:hAnsi="宋体" w:cs="宋体"/>
                <w:color w:val="000000" w:themeColor="text1"/>
                <w:kern w:val="28"/>
                <w:sz w:val="24"/>
                <w:highlight w:val="none"/>
                <w14:textFill>
                  <w14:solidFill>
                    <w14:schemeClr w14:val="tx1"/>
                  </w14:solidFill>
                </w14:textFill>
              </w:rPr>
            </w:pPr>
            <w:r>
              <w:rPr>
                <w:rFonts w:hint="eastAsia" w:ascii="宋体" w:hAnsi="宋体" w:eastAsia="宋体" w:cs="宋体"/>
                <w:b/>
                <w:bCs/>
                <w:sz w:val="24"/>
                <w:szCs w:val="24"/>
                <w:highlight w:val="none"/>
                <w:lang w:val="en-US" w:eastAsia="zh-CN"/>
              </w:rPr>
              <w:t>特别说明：成交供应商放弃成交资格导致重新采购的，应当承担支付代理费和专家评审费等费用在内的赔偿责任。</w:t>
            </w:r>
          </w:p>
        </w:tc>
      </w:tr>
      <w:tr w14:paraId="2F585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E82F211">
            <w:pPr>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0500BF58">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履约保证金</w:t>
            </w:r>
          </w:p>
        </w:tc>
        <w:tc>
          <w:tcPr>
            <w:tcW w:w="6254" w:type="dxa"/>
            <w:tcBorders>
              <w:top w:val="single" w:color="000000" w:sz="8" w:space="0"/>
              <w:left w:val="single" w:color="000000" w:sz="2" w:space="0"/>
              <w:bottom w:val="single" w:color="000000" w:sz="8" w:space="0"/>
              <w:right w:val="single" w:color="000000" w:sz="8" w:space="0"/>
            </w:tcBorders>
            <w:shd w:val="clear" w:color="auto" w:fill="auto"/>
            <w:vAlign w:val="center"/>
          </w:tcPr>
          <w:p w14:paraId="458AC6BE">
            <w:pPr>
              <w:spacing w:line="360" w:lineRule="auto"/>
              <w:rPr>
                <w:color w:val="000000" w:themeColor="text1"/>
                <w:highlight w:val="none"/>
                <w14:textFill>
                  <w14:solidFill>
                    <w14:schemeClr w14:val="tx1"/>
                  </w14:solidFill>
                </w14:textFill>
              </w:rPr>
            </w:pPr>
            <w:r>
              <w:rPr>
                <w:rFonts w:hint="eastAsia" w:asciiTheme="minorEastAsia" w:hAnsiTheme="minorEastAsia" w:eastAsiaTheme="minorEastAsia" w:cstheme="minorEastAsia"/>
                <w:kern w:val="28"/>
                <w:sz w:val="24"/>
                <w:szCs w:val="24"/>
              </w:rPr>
              <w:t>不收取</w:t>
            </w:r>
          </w:p>
        </w:tc>
      </w:tr>
      <w:tr w14:paraId="7CF66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584B3278">
            <w:pPr>
              <w:jc w:val="cente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C8AAB40">
            <w:pPr>
              <w:snapToGrid w:val="0"/>
              <w:spacing w:line="360" w:lineRule="auto"/>
              <w:jc w:val="center"/>
              <w:rPr>
                <w:rFonts w:hint="eastAsia"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rPr>
              <w:t>资格审查</w:t>
            </w:r>
          </w:p>
        </w:tc>
        <w:tc>
          <w:tcPr>
            <w:tcW w:w="6254" w:type="dxa"/>
            <w:tcBorders>
              <w:top w:val="single" w:color="000000" w:sz="8" w:space="0"/>
              <w:left w:val="single" w:color="000000" w:sz="2" w:space="0"/>
              <w:bottom w:val="single" w:color="000000" w:sz="8" w:space="0"/>
              <w:right w:val="single" w:color="000000" w:sz="8" w:space="0"/>
            </w:tcBorders>
            <w:vAlign w:val="center"/>
          </w:tcPr>
          <w:p w14:paraId="7CD2C52A">
            <w:pPr>
              <w:pStyle w:val="10"/>
              <w:spacing w:line="360" w:lineRule="auto"/>
              <w:ind w:hanging="4"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本项目由采购人进行资格文件查询。</w:t>
            </w:r>
          </w:p>
        </w:tc>
      </w:tr>
      <w:tr w14:paraId="0E0AB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423581DB">
            <w:pP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5FADB2F3">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质疑接收人及答复</w:t>
            </w:r>
          </w:p>
        </w:tc>
        <w:tc>
          <w:tcPr>
            <w:tcW w:w="6254" w:type="dxa"/>
            <w:tcBorders>
              <w:top w:val="single" w:color="000000" w:sz="8" w:space="0"/>
              <w:left w:val="single" w:color="000000" w:sz="2" w:space="0"/>
              <w:bottom w:val="single" w:color="000000" w:sz="8" w:space="0"/>
              <w:right w:val="single" w:color="000000" w:sz="8" w:space="0"/>
            </w:tcBorders>
            <w:vAlign w:val="center"/>
          </w:tcPr>
          <w:p w14:paraId="0771D3AA">
            <w:pPr>
              <w:pStyle w:val="10"/>
              <w:spacing w:line="360" w:lineRule="auto"/>
              <w:ind w:hanging="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采购人、采购机构质疑接收人、联系方式：详见公告</w:t>
            </w:r>
          </w:p>
          <w:p w14:paraId="14CA6EB7">
            <w:pPr>
              <w:pStyle w:val="10"/>
              <w:spacing w:line="360" w:lineRule="auto"/>
              <w:ind w:hanging="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线上提交质疑方式：乐采云线上质疑路径：项目采购-询问质疑投诉-质疑列表。请使用ca签章在每一页质疑文件中加盖电子公章，上传完整附件。</w:t>
            </w:r>
          </w:p>
          <w:p w14:paraId="42B96D0E">
            <w:pPr>
              <w:pStyle w:val="10"/>
              <w:spacing w:line="360" w:lineRule="auto"/>
              <w:ind w:hanging="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本项目涉及资格条件、采购需求、评分办法及采购过程中有关现场考察或开标前答疑会等事项由采购人进行答复。</w:t>
            </w:r>
          </w:p>
          <w:p w14:paraId="5B4980CE">
            <w:pPr>
              <w:pStyle w:val="10"/>
              <w:spacing w:line="360" w:lineRule="auto"/>
              <w:ind w:hanging="4" w:firstLineChars="0"/>
              <w:rPr>
                <w:color w:val="000000" w:themeColor="text1"/>
                <w:highlight w:val="none"/>
                <w14:textFill>
                  <w14:solidFill>
                    <w14:schemeClr w14:val="tx1"/>
                  </w14:solidFill>
                </w14:textFill>
              </w:rPr>
            </w:pPr>
            <w:r>
              <w:rPr>
                <w:rFonts w:hint="eastAsia" w:asciiTheme="minorEastAsia" w:hAnsiTheme="minorEastAsia" w:eastAsiaTheme="minorEastAsia" w:cstheme="minorEastAsia"/>
                <w:sz w:val="24"/>
              </w:rPr>
              <w:t>涉及流程规范性、组织程序等相关事项，由采购机构进行答复。</w:t>
            </w:r>
          </w:p>
        </w:tc>
      </w:tr>
      <w:tr w14:paraId="5B609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1CC2C23A">
            <w:pP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7</w:t>
            </w:r>
          </w:p>
        </w:tc>
        <w:tc>
          <w:tcPr>
            <w:tcW w:w="1843" w:type="dxa"/>
            <w:tcBorders>
              <w:left w:val="single" w:color="000000" w:sz="2" w:space="0"/>
              <w:bottom w:val="single" w:color="000000" w:sz="8" w:space="0"/>
              <w:right w:val="single" w:color="000000" w:sz="8" w:space="0"/>
            </w:tcBorders>
            <w:shd w:val="clear" w:color="auto" w:fill="auto"/>
            <w:vAlign w:val="center"/>
          </w:tcPr>
          <w:p w14:paraId="642AAC48">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特别说明</w:t>
            </w:r>
          </w:p>
        </w:tc>
        <w:tc>
          <w:tcPr>
            <w:tcW w:w="6254" w:type="dxa"/>
            <w:tcBorders>
              <w:top w:val="single" w:color="000000" w:sz="8" w:space="0"/>
              <w:left w:val="single" w:color="000000" w:sz="2" w:space="0"/>
              <w:bottom w:val="single" w:color="000000" w:sz="8" w:space="0"/>
              <w:right w:val="single" w:color="000000" w:sz="8" w:space="0"/>
            </w:tcBorders>
            <w:vAlign w:val="center"/>
          </w:tcPr>
          <w:p w14:paraId="1AD3AC5B">
            <w:pPr>
              <w:pStyle w:val="10"/>
              <w:spacing w:line="360" w:lineRule="auto"/>
              <w:ind w:left="239" w:leftChars="114" w:firstLine="236" w:firstLineChars="98"/>
              <w:rPr>
                <w:rFonts w:cs="仿宋_GB2312"/>
                <w:color w:val="000000" w:themeColor="text1"/>
                <w:sz w:val="22"/>
                <w:highlight w:val="none"/>
                <w14:textFill>
                  <w14:solidFill>
                    <w14:schemeClr w14:val="tx1"/>
                  </w14:solidFill>
                </w14:textFill>
              </w:rPr>
            </w:pPr>
            <w:r>
              <w:rPr>
                <w:rFonts w:hint="eastAsia" w:asciiTheme="minorEastAsia" w:hAnsiTheme="minorEastAsia" w:eastAsiaTheme="minorEastAsia" w:cstheme="minorEastAsia"/>
                <w:b/>
                <w:sz w:val="24"/>
              </w:rPr>
              <w:t>本项目通用总则条款与前附表等专用特别规定有冲突之处，以专用条款（特别规定）为准</w:t>
            </w:r>
          </w:p>
        </w:tc>
      </w:tr>
    </w:tbl>
    <w:p w14:paraId="62D024D8">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14:paraId="45E10211">
      <w:pPr>
        <w:spacing w:line="360" w:lineRule="auto"/>
        <w:rPr>
          <w:rFonts w:hint="eastAsia" w:asciiTheme="minorEastAsia" w:hAnsiTheme="minorEastAsia" w:eastAsiaTheme="minorEastAsia" w:cstheme="minorEastAsia"/>
          <w:b/>
          <w:sz w:val="32"/>
          <w:szCs w:val="20"/>
        </w:rPr>
      </w:pPr>
      <w:bookmarkStart w:id="11" w:name="_Hlt68072998"/>
      <w:bookmarkEnd w:id="11"/>
      <w:bookmarkStart w:id="12" w:name="_Hlt74729768"/>
      <w:bookmarkEnd w:id="12"/>
      <w:bookmarkStart w:id="13" w:name="_Hlt68403820"/>
      <w:bookmarkEnd w:id="13"/>
      <w:bookmarkStart w:id="14" w:name="_Hlt75236011"/>
      <w:bookmarkEnd w:id="14"/>
      <w:bookmarkStart w:id="15" w:name="_Hlt75236290"/>
      <w:bookmarkEnd w:id="15"/>
      <w:bookmarkStart w:id="16" w:name="_Hlt68057669"/>
      <w:bookmarkEnd w:id="16"/>
      <w:bookmarkStart w:id="17" w:name="_Hlt75236101"/>
      <w:bookmarkEnd w:id="17"/>
      <w:bookmarkStart w:id="18" w:name="_Hlt74707468"/>
      <w:bookmarkEnd w:id="18"/>
      <w:bookmarkStart w:id="19" w:name="_Hlt74730295"/>
      <w:bookmarkEnd w:id="19"/>
      <w:bookmarkStart w:id="20" w:name="_Hlt68072990"/>
      <w:bookmarkEnd w:id="20"/>
      <w:bookmarkStart w:id="21" w:name="_Hlt68073093"/>
      <w:bookmarkEnd w:id="21"/>
      <w:bookmarkStart w:id="22" w:name="_Hlt74714665"/>
      <w:bookmarkEnd w:id="22"/>
      <w:bookmarkStart w:id="23" w:name="第三部分"/>
      <w:bookmarkStart w:id="24" w:name="_Toc164416483"/>
      <w:r>
        <w:rPr>
          <w:rFonts w:hint="eastAsia" w:asciiTheme="minorEastAsia" w:hAnsiTheme="minorEastAsia" w:eastAsiaTheme="minorEastAsia" w:cstheme="minorEastAsia"/>
          <w:b/>
          <w:sz w:val="32"/>
          <w:szCs w:val="20"/>
        </w:rPr>
        <w:t>一、总则</w:t>
      </w:r>
    </w:p>
    <w:p w14:paraId="10D33909">
      <w:pPr>
        <w:snapToGrid w:val="0"/>
        <w:spacing w:line="360" w:lineRule="auto"/>
        <w:ind w:firstLine="482" w:firstLineChars="200"/>
        <w:jc w:val="left"/>
        <w:outlineLvl w:val="1"/>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 适用范围</w:t>
      </w:r>
    </w:p>
    <w:p w14:paraId="6620A358">
      <w:pPr>
        <w:snapToGrid w:val="0"/>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本交易文件适用于该项目的交易、资格审查及信用信息查询、评审、定标、合同、验收等行为（法律、法规另有规定的，从其规定）。</w:t>
      </w:r>
    </w:p>
    <w:p w14:paraId="21F4A093">
      <w:pPr>
        <w:snapToGrid w:val="0"/>
        <w:spacing w:line="360" w:lineRule="auto"/>
        <w:ind w:firstLine="482" w:firstLineChars="20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2.定义</w:t>
      </w:r>
    </w:p>
    <w:p w14:paraId="65EC1AB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 “采购人”系指交易公告中载明的本项目的采购人。</w:t>
      </w:r>
    </w:p>
    <w:p w14:paraId="4144A37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 “采购机构”系指交易公告中载明的本项目的采购机构。</w:t>
      </w:r>
    </w:p>
    <w:p w14:paraId="53D3ECD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 “供应商”系指是指响应交易、参加交易竞争的法人、其他组织或者自然人。</w:t>
      </w:r>
    </w:p>
    <w:p w14:paraId="6B4938D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2.4 “负责人”系指法人企业的法定负责人，或其他组织为法律、行政法规规定代表单位行使职权的主要负责人，或自然人本人。</w:t>
      </w:r>
    </w:p>
    <w:p w14:paraId="068418C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4）。</w:t>
      </w:r>
    </w:p>
    <w:p w14:paraId="3E91395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2.6“电子交易平台”是指本项目采购活动所依托的</w:t>
      </w:r>
      <w:r>
        <w:rPr>
          <w:rFonts w:hint="eastAsia" w:asciiTheme="minorEastAsia" w:hAnsiTheme="minorEastAsia" w:eastAsiaTheme="minorEastAsia" w:cstheme="minorEastAsia"/>
          <w:sz w:val="24"/>
          <w:lang w:eastAsia="zh-CN"/>
        </w:rPr>
        <w:t>乐采云平台</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https://www.lecaiyun.com/</w:t>
      </w:r>
      <w:r>
        <w:rPr>
          <w:rFonts w:hint="eastAsia" w:asciiTheme="minorEastAsia" w:hAnsiTheme="minorEastAsia" w:eastAsiaTheme="minorEastAsia" w:cstheme="minorEastAsia"/>
          <w:sz w:val="24"/>
        </w:rPr>
        <w:t>）。</w:t>
      </w:r>
    </w:p>
    <w:p w14:paraId="136634C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2.7 “▲” 系指实质性要求条款，“（</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sz w:val="24"/>
        </w:rPr>
        <w:t>）” 系指适用本项目的要求，“（  ）”系指不适用本项目的要求。</w:t>
      </w:r>
    </w:p>
    <w:p w14:paraId="55936EDF">
      <w:pPr>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sz w:val="24"/>
        </w:rPr>
        <w:t xml:space="preserve"> 询问、质疑、投诉</w:t>
      </w:r>
    </w:p>
    <w:p w14:paraId="6D674379">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.1供应商询问</w:t>
      </w:r>
    </w:p>
    <w:p w14:paraId="1033E10D">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64572E2">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.2供应商质疑</w:t>
      </w:r>
    </w:p>
    <w:p w14:paraId="5FF838AB">
      <w:pPr>
        <w:pStyle w:val="1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.2</w:t>
      </w:r>
      <w:r>
        <w:rPr>
          <w:rFonts w:hint="eastAsia" w:asciiTheme="minorEastAsia" w:hAnsiTheme="minorEastAsia" w:eastAsiaTheme="minorEastAsia" w:cstheme="minorEastAsia"/>
          <w:sz w:val="24"/>
        </w:rPr>
        <w:t>.1提出质疑的供应商应当是参与所质疑项目采购活动的供应商。潜在供应商已依法获取其可质疑的交易文件的，可以对该文件提出质疑。</w:t>
      </w:r>
    </w:p>
    <w:p w14:paraId="6EDE5FCB">
      <w:pPr>
        <w:pStyle w:val="1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.2</w:t>
      </w:r>
      <w:r>
        <w:rPr>
          <w:rFonts w:hint="eastAsia" w:asciiTheme="minorEastAsia" w:hAnsiTheme="minorEastAsia" w:eastAsiaTheme="minorEastAsia" w:cstheme="minorEastAsia"/>
          <w:sz w:val="24"/>
        </w:rPr>
        <w:t>.2供应商认为交易文件、采购过程和成交结果使自己的权益受到损害的，可以在知道或者应知其权益受到损害之日起3日内，以书面形式向采购人或者采购机构提出质疑，否则，采购人或者采购机构不予受理：</w:t>
      </w:r>
    </w:p>
    <w:p w14:paraId="6174CB39">
      <w:pPr>
        <w:pStyle w:val="6"/>
        <w:spacing w:line="360" w:lineRule="auto"/>
        <w:ind w:firstLine="480" w:firstLineChars="200"/>
        <w:rPr>
          <w:rFonts w:hint="eastAsia" w:asciiTheme="minorEastAsia" w:hAnsiTheme="minorEastAsia" w:eastAsiaTheme="minorEastAsia" w:cstheme="minorEastAsia"/>
          <w:snapToGrid/>
          <w:color w:val="auto"/>
          <w:kern w:val="2"/>
          <w:sz w:val="24"/>
        </w:rPr>
      </w:pPr>
      <w:r>
        <w:rPr>
          <w:rFonts w:hint="eastAsia" w:asciiTheme="minorEastAsia" w:hAnsiTheme="minorEastAsia" w:eastAsiaTheme="minorEastAsia" w:cstheme="minorEastAsia"/>
          <w:snapToGrid/>
          <w:color w:val="auto"/>
          <w:kern w:val="2"/>
          <w:sz w:val="24"/>
        </w:rPr>
        <w:t>3.2.2.1对交易文件提出质疑的，质疑期限为供应商获得交易文件之日或者交易文件公告期限届满之日起计算。</w:t>
      </w:r>
    </w:p>
    <w:p w14:paraId="119B1D58">
      <w:pPr>
        <w:pStyle w:val="1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3.2.2.2对采购过程提出质疑的，质疑期限为各采购程序环节结束之日起计算。对同一采购程序环节的质疑，供应商须一次性提出。</w:t>
      </w:r>
    </w:p>
    <w:p w14:paraId="65987299">
      <w:pPr>
        <w:pStyle w:val="1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3.2.2.3对采购结果提出质疑的，质疑期限自采购结果公告期限届满之日起计算。</w:t>
      </w:r>
    </w:p>
    <w:p w14:paraId="3DC92403">
      <w:pPr>
        <w:pStyle w:val="10"/>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3.2.3</w:t>
      </w:r>
      <w:r>
        <w:rPr>
          <w:rFonts w:hint="eastAsia" w:asciiTheme="minorEastAsia" w:hAnsiTheme="minorEastAsia" w:eastAsiaTheme="minorEastAsia" w:cstheme="minorEastAsia"/>
          <w:sz w:val="24"/>
        </w:rPr>
        <w:t>供应商提出质疑应当提交质疑函和必要的证明材料。质疑函应当包括下列内容：</w:t>
      </w:r>
    </w:p>
    <w:p w14:paraId="323F372B">
      <w:pPr>
        <w:pStyle w:val="10"/>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3.2.3.1供应商的姓名或者名称、地址、邮编、联系人及联系电话；</w:t>
      </w:r>
    </w:p>
    <w:p w14:paraId="599DB7D2">
      <w:pPr>
        <w:pStyle w:val="10"/>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3.2.3.2质疑项目的名称、编号；</w:t>
      </w:r>
    </w:p>
    <w:p w14:paraId="579ACE69">
      <w:pPr>
        <w:pStyle w:val="10"/>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3.2.3.3具体、明确的质疑事项和与质疑事项相关的请求；</w:t>
      </w:r>
    </w:p>
    <w:p w14:paraId="4B9E2A1F">
      <w:pPr>
        <w:pStyle w:val="10"/>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3.2.3.4事实依据；</w:t>
      </w:r>
    </w:p>
    <w:p w14:paraId="01CE1AB9">
      <w:pPr>
        <w:pStyle w:val="10"/>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3.2.3.5必要的法律依据；</w:t>
      </w:r>
    </w:p>
    <w:p w14:paraId="428F05DA">
      <w:pPr>
        <w:pStyle w:val="10"/>
        <w:spacing w:line="360" w:lineRule="auto"/>
        <w:ind w:firstLine="960" w:firstLineChars="4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3.2.3.6提出质疑的日期。</w:t>
      </w:r>
    </w:p>
    <w:p w14:paraId="6DD818FC">
      <w:pPr>
        <w:pStyle w:val="24"/>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供应商提交的质疑函需一式三份。供应商为自然人的，应当由本人签字；供应商为法人或者其他组织的，应当由法定代表人、主要负责人，或者其授权代表签字或者盖章，并加盖公章。</w:t>
      </w:r>
    </w:p>
    <w:p w14:paraId="326FCB15">
      <w:pPr>
        <w:pStyle w:val="24"/>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质疑函范本及制作说明详见附件2。</w:t>
      </w:r>
    </w:p>
    <w:p w14:paraId="41C7D511">
      <w:pPr>
        <w:pStyle w:val="24"/>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3.2</w:t>
      </w:r>
      <w:r>
        <w:rPr>
          <w:rFonts w:hint="eastAsia" w:asciiTheme="minorEastAsia" w:hAnsiTheme="minorEastAsia" w:eastAsiaTheme="minorEastAsia" w:cstheme="minorEastAsia"/>
        </w:rPr>
        <w:t>.4采购人或者采购机构应当在收到供应商的书面质疑后2日内作出答复，并以书面形式通知质疑供应商和其他与质疑处理结果有利害关系的采购当事人，但答复的内容不得涉及商业秘密。</w:t>
      </w:r>
    </w:p>
    <w:p w14:paraId="0C904DC7">
      <w:pPr>
        <w:pStyle w:val="24"/>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3.2</w:t>
      </w:r>
      <w:r>
        <w:rPr>
          <w:rFonts w:hint="eastAsia" w:asciiTheme="minorEastAsia" w:hAnsiTheme="minorEastAsia" w:eastAsiaTheme="minorEastAsia" w:cstheme="minorEastAsia"/>
        </w:rPr>
        <w:t>.5询问或者质疑事项可能影响采购结果的，采购人应当暂停签订合同，已经签订合同的，应当中止履行合同。</w:t>
      </w:r>
    </w:p>
    <w:p w14:paraId="3EF0C2CB">
      <w:pPr>
        <w:pStyle w:val="24"/>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3.3供应商投诉</w:t>
      </w:r>
    </w:p>
    <w:p w14:paraId="0B7394C8">
      <w:pPr>
        <w:pStyle w:val="24"/>
        <w:shd w:val="clear" w:color="auto" w:fill="FFFFFF"/>
        <w:snapToGrid w:val="0"/>
        <w:spacing w:after="240" w:afterAutospacing="0" w:line="360" w:lineRule="auto"/>
        <w:ind w:right="-218" w:rightChars="-104"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3.3.1质疑供应商对采购人、采购机构的答复不满意或者采购人、采购机构未在规定的时间内作出答复的，可以在答复期满后十五个工作日内向同级采购监督管理部门提出投诉。</w:t>
      </w:r>
    </w:p>
    <w:p w14:paraId="1AEB66A9">
      <w:pPr>
        <w:pStyle w:val="24"/>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3.3.</w:t>
      </w: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rPr>
        <w:t>供应商投诉的事项不得超出已质疑事项的范围，基于质疑答复内容提出的投诉事项除外。</w:t>
      </w:r>
    </w:p>
    <w:p w14:paraId="4AF30646">
      <w:pPr>
        <w:pStyle w:val="24"/>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3.3.3供应商投诉应当有明确的请求和必要的证明材料。</w:t>
      </w:r>
    </w:p>
    <w:p w14:paraId="1453C3F5">
      <w:pPr>
        <w:adjustRightInd/>
        <w:spacing w:line="360" w:lineRule="auto"/>
        <w:jc w:val="center"/>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 xml:space="preserve">      二、交易文件的构成、澄清、修改</w:t>
      </w:r>
    </w:p>
    <w:p w14:paraId="1B7BAD66">
      <w:pPr>
        <w:pStyle w:val="1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4．交易文件的构成</w:t>
      </w:r>
    </w:p>
    <w:p w14:paraId="7F96731D">
      <w:pPr>
        <w:pStyle w:val="1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交易文件包括下列文件及附件：</w:t>
      </w:r>
    </w:p>
    <w:p w14:paraId="7B141D49">
      <w:pPr>
        <w:pStyle w:val="10"/>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4.1.1交易公告；</w:t>
      </w:r>
    </w:p>
    <w:p w14:paraId="7ACADBBD">
      <w:pPr>
        <w:pStyle w:val="10"/>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4.1.2供应商须知；</w:t>
      </w:r>
    </w:p>
    <w:p w14:paraId="01E95A6B">
      <w:pPr>
        <w:pStyle w:val="10"/>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4.1.3采购需求；</w:t>
      </w:r>
    </w:p>
    <w:p w14:paraId="7666A0D6">
      <w:pPr>
        <w:pStyle w:val="10"/>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4.1.4评审办法；</w:t>
      </w:r>
    </w:p>
    <w:p w14:paraId="0C9D1C7B">
      <w:pPr>
        <w:pStyle w:val="10"/>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4.1.5拟签订的合同文本；</w:t>
      </w:r>
    </w:p>
    <w:p w14:paraId="5C752756">
      <w:pPr>
        <w:pStyle w:val="10"/>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4.1.6</w:t>
      </w:r>
      <w:r>
        <w:rPr>
          <w:rFonts w:hint="eastAsia" w:asciiTheme="minorEastAsia" w:hAnsiTheme="minorEastAsia" w:eastAsiaTheme="minorEastAsia" w:cstheme="minorEastAsia"/>
          <w:sz w:val="24"/>
          <w:szCs w:val="24"/>
        </w:rPr>
        <w:t>应提交的有关格式范例。</w:t>
      </w:r>
    </w:p>
    <w:p w14:paraId="3B02B9E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4.2与本项目有关的</w:t>
      </w:r>
      <w:r>
        <w:rPr>
          <w:rFonts w:hint="eastAsia" w:asciiTheme="minorEastAsia" w:hAnsiTheme="minorEastAsia" w:eastAsiaTheme="minorEastAsia" w:cstheme="minorEastAsia"/>
          <w:bCs/>
          <w:sz w:val="24"/>
        </w:rPr>
        <w:t>澄清或者修改的内容为交易文件的组成部分</w:t>
      </w:r>
      <w:r>
        <w:rPr>
          <w:rFonts w:hint="eastAsia" w:asciiTheme="minorEastAsia" w:hAnsiTheme="minorEastAsia" w:eastAsiaTheme="minorEastAsia" w:cstheme="minorEastAsia"/>
          <w:sz w:val="24"/>
        </w:rPr>
        <w:t>。</w:t>
      </w:r>
    </w:p>
    <w:p w14:paraId="3FB883EB">
      <w:pPr>
        <w:pStyle w:val="1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 交易文件的澄清、修改</w:t>
      </w:r>
    </w:p>
    <w:p w14:paraId="1F77C0F0">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5.1已获取交易文件的潜在供应商，若有问题需要澄清，应于交易截止时间前，以书面形式向采购机构提出。</w:t>
      </w:r>
    </w:p>
    <w:p w14:paraId="67CABECA">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5.2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3621A396">
      <w:pPr>
        <w:pStyle w:val="8"/>
        <w:spacing w:line="360" w:lineRule="auto"/>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Cs w:val="24"/>
          <w:lang w:val="en-US"/>
        </w:rPr>
        <w:t xml:space="preserve">    </w:t>
      </w:r>
    </w:p>
    <w:p w14:paraId="27B7E4DF">
      <w:pPr>
        <w:adjustRightInd/>
        <w:spacing w:line="360" w:lineRule="auto"/>
        <w:jc w:val="center"/>
        <w:outlineLvl w:val="0"/>
        <w:rPr>
          <w:rFonts w:hint="eastAsia" w:asciiTheme="minorEastAsia" w:hAnsiTheme="minorEastAsia" w:eastAsiaTheme="minorEastAsia" w:cstheme="minorEastAsia"/>
          <w:b/>
          <w:sz w:val="30"/>
          <w:szCs w:val="20"/>
        </w:rPr>
      </w:pPr>
      <w:r>
        <w:rPr>
          <w:rFonts w:hint="eastAsia" w:asciiTheme="minorEastAsia" w:hAnsiTheme="minorEastAsia" w:eastAsiaTheme="minorEastAsia" w:cstheme="minorEastAsia"/>
          <w:b/>
          <w:sz w:val="30"/>
          <w:szCs w:val="20"/>
        </w:rPr>
        <w:t>三、交易</w:t>
      </w:r>
    </w:p>
    <w:p w14:paraId="54DD972A">
      <w:pPr>
        <w:pStyle w:val="1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 交易文件的获取</w:t>
      </w:r>
    </w:p>
    <w:p w14:paraId="6416EBD5">
      <w:pPr>
        <w:spacing w:line="360" w:lineRule="auto"/>
        <w:ind w:firstLine="480" w:firstLineChars="200"/>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详见交易公告中获取交易文件的时间期限、地点、方式及交易文件售价。</w:t>
      </w:r>
    </w:p>
    <w:p w14:paraId="45919960">
      <w:pPr>
        <w:pStyle w:val="1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7.交易前答疑会或现场考察</w:t>
      </w:r>
    </w:p>
    <w:p w14:paraId="27045522">
      <w:pPr>
        <w:pStyle w:val="1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采购人组织潜在供应商现场考察或者召开交易前答疑会的，潜在供应商按第二部分供应商须知前附表的规定参加现场考察或者交易前答疑会。</w:t>
      </w:r>
    </w:p>
    <w:p w14:paraId="688E38E4">
      <w:pPr>
        <w:pStyle w:val="10"/>
        <w:spacing w:line="360" w:lineRule="auto"/>
        <w:ind w:firstLine="482" w:firstLineChars="20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kern w:val="28"/>
          <w:sz w:val="24"/>
          <w:szCs w:val="24"/>
        </w:rPr>
        <w:t>8.交易保证金</w:t>
      </w:r>
    </w:p>
    <w:p w14:paraId="23A04010">
      <w:pPr>
        <w:pStyle w:val="6"/>
        <w:spacing w:line="360" w:lineRule="auto"/>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本项目不需缴纳交易保证金。</w:t>
      </w:r>
    </w:p>
    <w:p w14:paraId="40DD1151">
      <w:pPr>
        <w:pStyle w:val="1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9. 响应文件的语言</w:t>
      </w:r>
    </w:p>
    <w:p w14:paraId="48187281">
      <w:pPr>
        <w:autoSpaceDE w:val="0"/>
        <w:autoSpaceDN w:val="0"/>
        <w:spacing w:line="360" w:lineRule="auto"/>
        <w:ind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响应文件及供应商与采购有关的来往通知、函件和文件均应使用中文。</w:t>
      </w:r>
    </w:p>
    <w:p w14:paraId="40187D1F">
      <w:pPr>
        <w:pStyle w:val="1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10. 响应文件的组成</w:t>
      </w:r>
    </w:p>
    <w:p w14:paraId="2216866A">
      <w:pPr>
        <w:snapToGrid w:val="0"/>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10.1资格文件：</w:t>
      </w:r>
    </w:p>
    <w:p w14:paraId="7CAAB499">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10.1.1符合参加采购活动应当具备的一般条件的承诺函；</w:t>
      </w:r>
    </w:p>
    <w:p w14:paraId="4367842F">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10.1.2落实采购政策需满足的资格要求。</w:t>
      </w:r>
    </w:p>
    <w:p w14:paraId="0C5C7F8F">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10.1.3本项目的特定资格要求。</w:t>
      </w:r>
    </w:p>
    <w:p w14:paraId="1F89C44B">
      <w:pPr>
        <w:snapToGrid w:val="0"/>
        <w:spacing w:line="360" w:lineRule="auto"/>
        <w:ind w:firstLine="482" w:firstLineChars="200"/>
        <w:rPr>
          <w:rFonts w:hint="eastAsia"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w:t>
      </w:r>
      <w:r>
        <w:rPr>
          <w:rFonts w:hint="eastAsia" w:asciiTheme="minorEastAsia" w:hAnsiTheme="minorEastAsia" w:eastAsiaTheme="minorEastAsia" w:cstheme="minorEastAsia"/>
          <w:b/>
          <w:bCs/>
          <w:sz w:val="24"/>
        </w:rPr>
        <w:t>0</w:t>
      </w:r>
      <w:r>
        <w:rPr>
          <w:rFonts w:hint="eastAsia" w:asciiTheme="minorEastAsia" w:hAnsiTheme="minorEastAsia" w:eastAsiaTheme="minorEastAsia" w:cstheme="minorEastAsia"/>
          <w:b/>
          <w:bCs/>
          <w:sz w:val="24"/>
          <w:lang w:val="zh-CN"/>
        </w:rPr>
        <w:t>.</w:t>
      </w:r>
      <w:r>
        <w:rPr>
          <w:rFonts w:hint="eastAsia" w:asciiTheme="minorEastAsia" w:hAnsiTheme="minorEastAsia" w:eastAsiaTheme="minorEastAsia" w:cstheme="minorEastAsia"/>
          <w:b/>
          <w:bCs/>
          <w:sz w:val="24"/>
        </w:rPr>
        <w:t>2</w:t>
      </w:r>
      <w:r>
        <w:rPr>
          <w:rFonts w:hint="eastAsia" w:asciiTheme="minorEastAsia" w:hAnsiTheme="minorEastAsia" w:eastAsiaTheme="minorEastAsia" w:cstheme="minorEastAsia"/>
          <w:b/>
          <w:bCs/>
          <w:sz w:val="24"/>
          <w:lang w:val="zh-CN"/>
        </w:rPr>
        <w:t xml:space="preserve">  </w:t>
      </w:r>
      <w:r>
        <w:rPr>
          <w:rFonts w:hint="eastAsia" w:asciiTheme="minorEastAsia" w:hAnsiTheme="minorEastAsia" w:eastAsiaTheme="minorEastAsia" w:cstheme="minorEastAsia"/>
          <w:b/>
          <w:bCs/>
          <w:sz w:val="24"/>
        </w:rPr>
        <w:t>商务技术</w:t>
      </w:r>
      <w:r>
        <w:rPr>
          <w:rFonts w:hint="eastAsia" w:asciiTheme="minorEastAsia" w:hAnsiTheme="minorEastAsia" w:eastAsiaTheme="minorEastAsia" w:cstheme="minorEastAsia"/>
          <w:b/>
          <w:bCs/>
          <w:sz w:val="24"/>
          <w:lang w:val="zh-CN"/>
        </w:rPr>
        <w:t>文件：</w:t>
      </w:r>
    </w:p>
    <w:p w14:paraId="367FF6EA">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10.2.1响应函；</w:t>
      </w:r>
      <w:r>
        <w:rPr>
          <w:rFonts w:hint="eastAsia" w:asciiTheme="minorEastAsia" w:hAnsiTheme="minorEastAsia" w:eastAsiaTheme="minorEastAsia" w:cstheme="minorEastAsia"/>
          <w:sz w:val="24"/>
          <w:lang w:val="zh-CN"/>
        </w:rPr>
        <w:t xml:space="preserve"> </w:t>
      </w:r>
    </w:p>
    <w:p w14:paraId="4444C7CD">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10.2.2授权委托书或法定代表人（单位负责人、自然人本人）身份证明；</w:t>
      </w:r>
    </w:p>
    <w:p w14:paraId="12B32815">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10.2.3符合性审查资料；</w:t>
      </w:r>
    </w:p>
    <w:p w14:paraId="7E757FA6">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10.2.4评审标准相应的商务技术资料；</w:t>
      </w:r>
    </w:p>
    <w:p w14:paraId="09E7E3E9">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10.2.5交易标的清单；</w:t>
      </w:r>
    </w:p>
    <w:p w14:paraId="06DE75FC">
      <w:pPr>
        <w:snapToGrid w:val="0"/>
        <w:spacing w:line="360" w:lineRule="auto"/>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10.2.6商务技术偏离表；</w:t>
      </w:r>
    </w:p>
    <w:p w14:paraId="1ECB4EF7">
      <w:pPr>
        <w:snapToGrid w:val="0"/>
        <w:spacing w:line="360" w:lineRule="auto"/>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10.2.7</w:t>
      </w:r>
      <w:r>
        <w:rPr>
          <w:rFonts w:hint="eastAsia" w:asciiTheme="minorEastAsia" w:hAnsiTheme="minorEastAsia" w:eastAsiaTheme="minorEastAsia" w:cstheme="minorEastAsia"/>
          <w:sz w:val="24"/>
          <w:lang w:val="zh-CN"/>
        </w:rPr>
        <w:t>采购供应商廉洁自律承诺书；</w:t>
      </w:r>
    </w:p>
    <w:p w14:paraId="50AC64D0">
      <w:pPr>
        <w:snapToGrid w:val="0"/>
        <w:spacing w:line="360" w:lineRule="auto"/>
        <w:ind w:firstLine="482" w:firstLineChars="200"/>
        <w:rPr>
          <w:rFonts w:hint="eastAsia" w:asciiTheme="minorEastAsia" w:hAnsiTheme="minorEastAsia" w:eastAsiaTheme="minorEastAsia" w:cstheme="minorEastAsia"/>
          <w:b/>
          <w:bCs/>
          <w:sz w:val="24"/>
          <w:u w:val="single"/>
          <w:lang w:val="zh-CN"/>
        </w:rPr>
      </w:pPr>
      <w:r>
        <w:rPr>
          <w:rFonts w:hint="eastAsia" w:asciiTheme="minorEastAsia" w:hAnsiTheme="minorEastAsia" w:eastAsiaTheme="minorEastAsia" w:cstheme="minorEastAsia"/>
          <w:b/>
          <w:bCs/>
          <w:kern w:val="0"/>
          <w:sz w:val="24"/>
          <w:lang w:val="zh-CN"/>
        </w:rPr>
        <w:t>1</w:t>
      </w:r>
      <w:r>
        <w:rPr>
          <w:rFonts w:hint="eastAsia" w:asciiTheme="minorEastAsia" w:hAnsiTheme="minorEastAsia" w:eastAsiaTheme="minorEastAsia" w:cstheme="minorEastAsia"/>
          <w:b/>
          <w:bCs/>
          <w:kern w:val="0"/>
          <w:sz w:val="24"/>
        </w:rPr>
        <w:t>0</w:t>
      </w:r>
      <w:r>
        <w:rPr>
          <w:rFonts w:hint="eastAsia" w:asciiTheme="minorEastAsia" w:hAnsiTheme="minorEastAsia" w:eastAsiaTheme="minorEastAsia" w:cstheme="minorEastAsia"/>
          <w:b/>
          <w:bCs/>
          <w:kern w:val="0"/>
          <w:sz w:val="24"/>
          <w:lang w:val="zh-CN"/>
        </w:rPr>
        <w:t>.</w:t>
      </w:r>
      <w:r>
        <w:rPr>
          <w:rFonts w:hint="eastAsia" w:asciiTheme="minorEastAsia" w:hAnsiTheme="minorEastAsia" w:eastAsiaTheme="minorEastAsia" w:cstheme="minorEastAsia"/>
          <w:b/>
          <w:bCs/>
          <w:kern w:val="0"/>
          <w:sz w:val="24"/>
        </w:rPr>
        <w:t>3</w:t>
      </w:r>
      <w:r>
        <w:rPr>
          <w:rFonts w:hint="eastAsia" w:asciiTheme="minorEastAsia" w:hAnsiTheme="minorEastAsia" w:eastAsiaTheme="minorEastAsia" w:cstheme="minorEastAsia"/>
          <w:b/>
          <w:bCs/>
          <w:sz w:val="24"/>
        </w:rPr>
        <w:t xml:space="preserve">报价文件： </w:t>
      </w:r>
    </w:p>
    <w:p w14:paraId="4B429213">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10.3.1交易一览表（报价表）；</w:t>
      </w:r>
    </w:p>
    <w:p w14:paraId="565E54F1">
      <w:pPr>
        <w:spacing w:line="360" w:lineRule="auto"/>
        <w:ind w:firstLine="723" w:firstLineChars="3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响应文件含有采购人不能接受的附加条件的，交易无效；</w:t>
      </w:r>
    </w:p>
    <w:p w14:paraId="385DB714">
      <w:pPr>
        <w:spacing w:line="360" w:lineRule="auto"/>
        <w:ind w:firstLine="723" w:firstLineChars="300"/>
        <w:rPr>
          <w:rFonts w:hint="eastAsia" w:asciiTheme="minorEastAsia" w:hAnsiTheme="minorEastAsia" w:eastAsiaTheme="minorEastAsia" w:cstheme="minorEastAsia"/>
          <w:b/>
          <w:sz w:val="24"/>
          <w:szCs w:val="21"/>
        </w:rPr>
      </w:pPr>
      <w:r>
        <w:rPr>
          <w:rFonts w:hint="eastAsia" w:asciiTheme="minorEastAsia" w:hAnsiTheme="minorEastAsia" w:eastAsiaTheme="minorEastAsia" w:cstheme="minorEastAsia"/>
          <w:b/>
          <w:sz w:val="24"/>
        </w:rPr>
        <w:t>供应商提供虚假材料交易的，交易无效。</w:t>
      </w:r>
    </w:p>
    <w:p w14:paraId="77163D79">
      <w:pPr>
        <w:pStyle w:val="22"/>
        <w:snapToGrid w:val="0"/>
        <w:spacing w:before="0" w:line="360" w:lineRule="auto"/>
        <w:ind w:firstLine="482"/>
        <w:outlineLvl w:val="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11</w:t>
      </w:r>
      <w:r>
        <w:rPr>
          <w:rFonts w:hint="eastAsia" w:asciiTheme="minorEastAsia" w:hAnsiTheme="minorEastAsia" w:eastAsiaTheme="minorEastAsia" w:cstheme="minorEastAsia"/>
          <w:b/>
          <w:kern w:val="0"/>
          <w:szCs w:val="24"/>
          <w:lang w:val="zh-CN"/>
        </w:rPr>
        <w:t xml:space="preserve">. </w:t>
      </w:r>
      <w:r>
        <w:rPr>
          <w:rFonts w:hint="eastAsia" w:asciiTheme="minorEastAsia" w:hAnsiTheme="minorEastAsia" w:eastAsiaTheme="minorEastAsia" w:cstheme="minorEastAsia"/>
          <w:b/>
          <w:szCs w:val="24"/>
        </w:rPr>
        <w:t>响应文件的编制</w:t>
      </w:r>
    </w:p>
    <w:p w14:paraId="631CEC64">
      <w:pPr>
        <w:spacing w:line="360" w:lineRule="auto"/>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09AF05B7">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zh-CN"/>
        </w:rPr>
        <w:t>.2供应商进行电子交易（投标）应安装客户端软件—“乐采云电子交易客户端”，并按照交易文件和电子交易平台的要求编制并加密响应文件。供应商未按规定加密的响应文件，电子交易平台将拒收并提示。</w:t>
      </w:r>
    </w:p>
    <w:p w14:paraId="16563892">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zh-CN"/>
        </w:rPr>
        <w:t>.3使用“乐采云电子交易客户端”需要提前申领CA数字证书，申领流程请自行前往“浙江政府采购网-下载专区-电子交易客户端-CA驱动和申领流程”进行查阅。</w:t>
      </w:r>
    </w:p>
    <w:p w14:paraId="075415F8">
      <w:pPr>
        <w:snapToGrid w:val="0"/>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12.响应文件的签署、盖章</w:t>
      </w:r>
    </w:p>
    <w:p w14:paraId="781C8CB1">
      <w:pPr>
        <w:pStyle w:val="22"/>
        <w:snapToGrid w:val="0"/>
        <w:spacing w:before="0" w:line="360" w:lineRule="auto"/>
        <w:ind w:firstLine="480"/>
        <w:rPr>
          <w:rFonts w:hint="eastAsia" w:asciiTheme="minorEastAsia" w:hAnsiTheme="minorEastAsia" w:eastAsiaTheme="minorEastAsia" w:cstheme="minorEastAsia"/>
          <w:b/>
        </w:rPr>
      </w:pPr>
      <w:r>
        <w:rPr>
          <w:rFonts w:hint="eastAsia" w:asciiTheme="minorEastAsia" w:hAnsiTheme="minorEastAsia" w:eastAsiaTheme="minorEastAsia" w:cstheme="minorEastAsia"/>
          <w:szCs w:val="24"/>
        </w:rPr>
        <w:t>12.1响应文件按照交易文件第六部分格式要</w:t>
      </w:r>
      <w:r>
        <w:rPr>
          <w:rFonts w:hint="eastAsia" w:asciiTheme="minorEastAsia" w:hAnsiTheme="minorEastAsia" w:eastAsiaTheme="minorEastAsia" w:cstheme="minorEastAsia"/>
        </w:rPr>
        <w:t>求进行签署、盖章。</w:t>
      </w:r>
      <w:r>
        <w:rPr>
          <w:rFonts w:hint="eastAsia" w:asciiTheme="minorEastAsia" w:hAnsiTheme="minorEastAsia" w:eastAsiaTheme="minorEastAsia" w:cstheme="minorEastAsia"/>
          <w:b/>
        </w:rPr>
        <w:t>▲供应商的响应文件未按照交易文件要求签署、盖章的，其交易无效</w:t>
      </w:r>
      <w:r>
        <w:rPr>
          <w:rFonts w:hint="eastAsia" w:asciiTheme="minorEastAsia" w:hAnsiTheme="minorEastAsia" w:eastAsiaTheme="minorEastAsia" w:cstheme="minorEastAsia"/>
          <w:szCs w:val="24"/>
        </w:rPr>
        <w:t>。</w:t>
      </w:r>
    </w:p>
    <w:p w14:paraId="37C61A28">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12.2为确保网上操作合法、有效和安全，供应商应当在交易截止时间前完成在“</w:t>
      </w:r>
      <w:r>
        <w:rPr>
          <w:rFonts w:hint="eastAsia" w:asciiTheme="minorEastAsia" w:hAnsiTheme="minorEastAsia" w:eastAsiaTheme="minorEastAsia" w:cstheme="minorEastAsia"/>
          <w:lang w:eastAsia="zh-CN"/>
        </w:rPr>
        <w:t>乐采云平台</w:t>
      </w:r>
      <w:r>
        <w:rPr>
          <w:rFonts w:hint="eastAsia" w:asciiTheme="minorEastAsia" w:hAnsiTheme="minorEastAsia" w:eastAsiaTheme="minorEastAsia" w:cstheme="minorEastAsia"/>
        </w:rPr>
        <w:t>”的身份认证，确保在电子交易（投标）过程中能够对相关数据电文进行加密和使用电子签名。</w:t>
      </w:r>
    </w:p>
    <w:p w14:paraId="30BBF1DD">
      <w:pPr>
        <w:pStyle w:val="22"/>
        <w:snapToGrid w:val="0"/>
        <w:spacing w:before="0"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rPr>
        <w:t>12.3交易文件对响应文件签署、盖章的要求适用于电子签名。</w:t>
      </w:r>
    </w:p>
    <w:p w14:paraId="3033F98D">
      <w:pPr>
        <w:pStyle w:val="22"/>
        <w:spacing w:before="0" w:line="360" w:lineRule="auto"/>
        <w:ind w:firstLine="48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13. 响应文件的提交、补充、修改、撤回</w:t>
      </w:r>
    </w:p>
    <w:p w14:paraId="25366E7F">
      <w:pPr>
        <w:pStyle w:val="22"/>
        <w:spacing w:before="0"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13.1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1A14E8BA">
      <w:pPr>
        <w:pStyle w:val="22"/>
        <w:spacing w:before="0"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13.2电子交易平台收到响应文件，将妥善保存并即时向供应商发出确认回执通知。在交易截止时间前，除供应商补充、修改或者撤回响应文件外，任何单位和个人不得解密或提取响应文件。</w:t>
      </w:r>
    </w:p>
    <w:p w14:paraId="18A65377">
      <w:pPr>
        <w:pStyle w:val="22"/>
        <w:spacing w:before="0"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13.3采购人、采购机构可以视情况延长响应文件提交的截止时间。在上述情况下，采购机构与供应商以前在交易截止期方面的全部权利、责任和义务，将适用于延长至新的交易截止期。</w:t>
      </w:r>
    </w:p>
    <w:p w14:paraId="27F73412">
      <w:pPr>
        <w:pStyle w:val="1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14.备份响应文件</w:t>
      </w:r>
    </w:p>
    <w:p w14:paraId="39EF4FE0">
      <w:pPr>
        <w:pStyle w:val="10"/>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本项目不收取备份响应文件</w:t>
      </w:r>
    </w:p>
    <w:p w14:paraId="1A812D2A">
      <w:pPr>
        <w:pStyle w:val="22"/>
        <w:spacing w:before="0" w:line="360" w:lineRule="auto"/>
        <w:ind w:firstLine="48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15.响应文件的无效处理</w:t>
      </w:r>
    </w:p>
    <w:p w14:paraId="5BFA67AE">
      <w:pPr>
        <w:pStyle w:val="9"/>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有交易文件第四部分</w:t>
      </w:r>
      <w:r>
        <w:rPr>
          <w:rFonts w:hint="eastAsia" w:asciiTheme="minorEastAsia" w:hAnsiTheme="minorEastAsia" w:eastAsiaTheme="minorEastAsia" w:cstheme="minorEastAsia"/>
        </w:rPr>
        <w:t>4.2规定</w:t>
      </w:r>
      <w:r>
        <w:rPr>
          <w:rFonts w:hint="eastAsia" w:asciiTheme="minorEastAsia" w:hAnsiTheme="minorEastAsia" w:eastAsiaTheme="minorEastAsia" w:cstheme="minorEastAsia"/>
          <w:szCs w:val="21"/>
        </w:rPr>
        <w:t>的情形之一的，交易无效：</w:t>
      </w:r>
    </w:p>
    <w:p w14:paraId="31F6FD58">
      <w:pPr>
        <w:pStyle w:val="22"/>
        <w:spacing w:before="0" w:line="360" w:lineRule="auto"/>
        <w:ind w:firstLine="48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16.交易有效期</w:t>
      </w:r>
    </w:p>
    <w:p w14:paraId="0A30F6BC">
      <w:pPr>
        <w:spacing w:line="360" w:lineRule="auto"/>
        <w:ind w:firstLine="480" w:firstLineChars="200"/>
        <w:rPr>
          <w:rFonts w:hint="eastAsia" w:asciiTheme="minorEastAsia" w:hAnsiTheme="minorEastAsia" w:eastAsiaTheme="minorEastAsia" w:cstheme="minorEastAsia"/>
          <w:b/>
          <w:sz w:val="24"/>
          <w:szCs w:val="21"/>
        </w:rPr>
      </w:pPr>
      <w:r>
        <w:rPr>
          <w:rFonts w:hint="eastAsia" w:asciiTheme="minorEastAsia" w:hAnsiTheme="minorEastAsia" w:eastAsiaTheme="minorEastAsia" w:cstheme="minorEastAsia"/>
          <w:sz w:val="24"/>
          <w:szCs w:val="20"/>
        </w:rPr>
        <w:t>16.1交易有效期为从提交响应文件的截止之日起90天。▲</w:t>
      </w:r>
      <w:r>
        <w:rPr>
          <w:rFonts w:hint="eastAsia" w:asciiTheme="minorEastAsia" w:hAnsiTheme="minorEastAsia" w:eastAsiaTheme="minorEastAsia" w:cstheme="minorEastAsia"/>
          <w:b/>
          <w:sz w:val="24"/>
          <w:szCs w:val="20"/>
        </w:rPr>
        <w:t>供应商的响应文件中承</w:t>
      </w:r>
      <w:r>
        <w:rPr>
          <w:rFonts w:hint="eastAsia" w:asciiTheme="minorEastAsia" w:hAnsiTheme="minorEastAsia" w:eastAsiaTheme="minorEastAsia" w:cstheme="minorEastAsia"/>
          <w:b/>
          <w:sz w:val="24"/>
          <w:szCs w:val="21"/>
        </w:rPr>
        <w:t>诺的交易有效期少于交易文件中载明的交易有效期的，交易无效。</w:t>
      </w:r>
    </w:p>
    <w:p w14:paraId="5F41CA8F">
      <w:pPr>
        <w:pStyle w:val="22"/>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16.2响应文件合格投递后，自交易截止日期起，在交易有效期内有效。</w:t>
      </w:r>
    </w:p>
    <w:p w14:paraId="5CF9B28C">
      <w:pPr>
        <w:pStyle w:val="22"/>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16.3在原定交易有效期满之前，如果出现特殊情况，采购机构可以以书面形式通知供应商延长交易有效期。供应商同意延长的，不得要求或被允许修改其响应文件，供应商拒绝延长的，其交易无效。</w:t>
      </w:r>
    </w:p>
    <w:p w14:paraId="36680930">
      <w:pPr>
        <w:pStyle w:val="22"/>
        <w:spacing w:before="0" w:line="360" w:lineRule="auto"/>
        <w:ind w:firstLine="0" w:firstLineChars="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四、交易、资格审查</w:t>
      </w:r>
    </w:p>
    <w:p w14:paraId="0BFBEB0C">
      <w:pPr>
        <w:pStyle w:val="25"/>
        <w:spacing w:before="0" w:line="360" w:lineRule="auto"/>
        <w:ind w:left="0" w:firstLine="482"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szCs w:val="24"/>
        </w:rPr>
        <w:t>17.交易</w:t>
      </w:r>
      <w:r>
        <w:rPr>
          <w:rFonts w:hint="eastAsia" w:asciiTheme="minorEastAsia" w:hAnsiTheme="minorEastAsia" w:eastAsiaTheme="minorEastAsia" w:cstheme="minorEastAsia"/>
          <w:sz w:val="24"/>
        </w:rPr>
        <w:t xml:space="preserve"> </w:t>
      </w:r>
    </w:p>
    <w:p w14:paraId="39399C01">
      <w:pPr>
        <w:pStyle w:val="25"/>
        <w:spacing w:before="0" w:line="360" w:lineRule="auto"/>
        <w:ind w:left="0"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17.1采购机构按照交易文件规定的时间通过电子交易平台组织开标，所有供应商均应当准时在线参加。供应商不足3家的，不得交易。</w:t>
      </w:r>
    </w:p>
    <w:p w14:paraId="5CB88EBF">
      <w:pPr>
        <w:pStyle w:val="25"/>
        <w:spacing w:before="0" w:line="360" w:lineRule="auto"/>
        <w:ind w:left="0" w:firstLine="240" w:firstLineChars="1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17.2交易时，电子交易平台按交易时间自动提取所有响应文件。采购机构依托电子交易平台发起开始解密指令，供应商按照平台提示和交易文件的规定在半小时内完成在线解密。</w:t>
      </w:r>
    </w:p>
    <w:p w14:paraId="1CC470FA">
      <w:pPr>
        <w:pStyle w:val="25"/>
        <w:spacing w:before="0" w:line="360" w:lineRule="auto"/>
        <w:ind w:left="0" w:firstLine="240" w:firstLineChars="1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　17.3</w:t>
      </w:r>
      <w:r>
        <w:rPr>
          <w:rFonts w:hint="eastAsia" w:asciiTheme="minorEastAsia" w:hAnsiTheme="minorEastAsia" w:eastAsiaTheme="minorEastAsia" w:cstheme="minorEastAsia"/>
          <w:b/>
          <w:sz w:val="24"/>
        </w:rPr>
        <w:t>响应文件未按时解密，供应商提供了备份响应文件的，以备份响应文件作为依据，否则视为响应文件撤回。响应文件已按时解密的，备份响应文件自动失效。</w:t>
      </w:r>
    </w:p>
    <w:p w14:paraId="3A8B2098">
      <w:pPr>
        <w:pStyle w:val="25"/>
        <w:spacing w:before="0" w:line="360" w:lineRule="auto"/>
        <w:ind w:left="0" w:firstLine="241" w:firstLineChars="1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18、资格审查</w:t>
      </w:r>
    </w:p>
    <w:p w14:paraId="5CC9C234">
      <w:pPr>
        <w:pStyle w:val="25"/>
        <w:spacing w:before="0" w:line="360" w:lineRule="auto"/>
        <w:ind w:left="0" w:firstLine="240" w:firstLineChars="100"/>
        <w:contextualSpacing/>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18.1交易后，采购人或采购机构将依法对供应商的资格进行审查。</w:t>
      </w:r>
    </w:p>
    <w:p w14:paraId="6A87A0CD">
      <w:pPr>
        <w:pStyle w:val="25"/>
        <w:spacing w:before="0" w:line="360" w:lineRule="auto"/>
        <w:ind w:left="0" w:firstLine="240" w:firstLineChars="100"/>
        <w:contextualSpacing/>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18.2采购人或采购机构依据法律法规和交易文件的规定，对供应商的基本资格条件、特定资格条件进行审查。</w:t>
      </w:r>
    </w:p>
    <w:p w14:paraId="0C25B0D8">
      <w:pPr>
        <w:pStyle w:val="25"/>
        <w:spacing w:before="0" w:line="360" w:lineRule="auto"/>
        <w:ind w:left="0" w:firstLine="240" w:firstLineChars="100"/>
        <w:contextualSpacing/>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18.3供应商未按照交易文件要求提供与基本资格条件、特定资格条件相应的有效资格证明材料的，视为供应商不具备交易文件中规定的资格要求，其响应无效。</w:t>
      </w:r>
    </w:p>
    <w:p w14:paraId="4C20B999">
      <w:pPr>
        <w:pStyle w:val="25"/>
        <w:spacing w:before="0" w:line="360" w:lineRule="auto"/>
        <w:ind w:left="0" w:firstLine="240" w:firstLineChars="100"/>
        <w:contextualSpacing/>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18.4对未通过资格审查的供应商，采购人或采购机构告知其未通过的原因。</w:t>
      </w:r>
    </w:p>
    <w:p w14:paraId="6821A82C">
      <w:pPr>
        <w:pStyle w:val="25"/>
        <w:spacing w:before="0" w:line="360" w:lineRule="auto"/>
        <w:ind w:left="0" w:firstLine="240" w:firstLineChars="100"/>
        <w:contextualSpacing/>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 w:val="24"/>
          <w:szCs w:val="22"/>
        </w:rPr>
        <w:t>18.5合格供应商不足3家的，不再评标。</w:t>
      </w:r>
    </w:p>
    <w:p w14:paraId="60E86A59">
      <w:pPr>
        <w:snapToGrid w:val="0"/>
        <w:spacing w:line="360" w:lineRule="auto"/>
        <w:jc w:val="center"/>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五、评标</w:t>
      </w:r>
    </w:p>
    <w:p w14:paraId="2E707586">
      <w:pPr>
        <w:spacing w:line="360" w:lineRule="auto"/>
        <w:ind w:firstLine="482" w:firstLineChars="200"/>
        <w:rPr>
          <w:rFonts w:hint="eastAsia" w:asciiTheme="minorEastAsia" w:hAnsiTheme="minorEastAsia" w:eastAsiaTheme="minorEastAsia" w:cstheme="minorEastAsia"/>
          <w:b/>
          <w:sz w:val="24"/>
        </w:rPr>
      </w:pPr>
      <w:bookmarkStart w:id="25" w:name="_Toc91899903"/>
      <w:r>
        <w:rPr>
          <w:rFonts w:hint="eastAsia" w:asciiTheme="minorEastAsia" w:hAnsiTheme="minorEastAsia" w:eastAsiaTheme="minorEastAsia" w:cstheme="minorEastAsia"/>
          <w:b/>
          <w:sz w:val="24"/>
        </w:rPr>
        <w:t>19.</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4"/>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Theme="minorEastAsia" w:hAnsiTheme="minorEastAsia" w:eastAsiaTheme="minorEastAsia" w:cstheme="minorEastAsia"/>
          <w:b/>
          <w:sz w:val="24"/>
        </w:rPr>
        <w:t>详见交易文件第四部分评标办法。</w:t>
      </w:r>
    </w:p>
    <w:p w14:paraId="7AAB74AB">
      <w:pPr>
        <w:spacing w:line="360" w:lineRule="auto"/>
        <w:rPr>
          <w:rFonts w:hint="eastAsia" w:asciiTheme="minorEastAsia" w:hAnsiTheme="minorEastAsia" w:eastAsiaTheme="minorEastAsia" w:cstheme="minorEastAsia"/>
          <w:b/>
          <w:sz w:val="24"/>
        </w:rPr>
      </w:pPr>
    </w:p>
    <w:p w14:paraId="36F3E7E2">
      <w:pPr>
        <w:snapToGrid w:val="0"/>
        <w:spacing w:line="360" w:lineRule="auto"/>
        <w:jc w:val="center"/>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六、定 标</w:t>
      </w:r>
    </w:p>
    <w:p w14:paraId="46054947">
      <w:pPr>
        <w:pStyle w:val="9"/>
        <w:spacing w:line="360" w:lineRule="auto"/>
        <w:ind w:left="479" w:leftChars="228"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20. 确定成交供应商</w:t>
      </w:r>
    </w:p>
    <w:p w14:paraId="01FEC4CA">
      <w:pPr>
        <w:pStyle w:val="22"/>
        <w:snapToGrid w:val="0"/>
        <w:spacing w:before="0" w:line="360" w:lineRule="auto"/>
        <w:ind w:firstLine="48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szCs w:val="24"/>
        </w:rPr>
        <w:t>采购人将自收到评审报告之日起5个工作日内通过电子交易平台在评审报告推荐的成交候选人中按顺序确定成交供应商。</w:t>
      </w:r>
    </w:p>
    <w:p w14:paraId="4E13242D">
      <w:pPr>
        <w:pStyle w:val="22"/>
        <w:snapToGrid w:val="0"/>
        <w:spacing w:before="0" w:line="360" w:lineRule="auto"/>
        <w:ind w:firstLine="48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21. 成交通知与成交结果公告</w:t>
      </w:r>
    </w:p>
    <w:p w14:paraId="5E0A59CB">
      <w:pPr>
        <w:widowControl/>
        <w:shd w:val="clear" w:color="auto" w:fill="FFFFFF"/>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21.1自成交人确定之日起2个工作日内，采购机构通过电子交易平台向成交人发出成交通知书，同时编制发布采购结果公告。采购机构也可以以纸质形式进行成交通知。</w:t>
      </w:r>
    </w:p>
    <w:p w14:paraId="4E234C11">
      <w:pPr>
        <w:widowControl/>
        <w:shd w:val="clear" w:color="auto" w:fill="FFFFFF"/>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21.2成交结果公告内容包括采购人及其委托的采购机构的名称、地址、联系方式，项目名称和项目编号，成交人名称、地址和成交金额，主要成交标的的名称、规格型号、数量、单价、服务要求。</w:t>
      </w:r>
    </w:p>
    <w:p w14:paraId="06922529">
      <w:pPr>
        <w:widowControl/>
        <w:shd w:val="clear" w:color="auto" w:fill="FFFFFF"/>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21.3公告期限为1个工作日。</w:t>
      </w:r>
    </w:p>
    <w:p w14:paraId="58E9ECEC">
      <w:pPr>
        <w:snapToGrid w:val="0"/>
        <w:spacing w:line="360" w:lineRule="auto"/>
        <w:ind w:left="120" w:leftChars="57" w:firstLine="482" w:firstLineChars="150"/>
        <w:jc w:val="center"/>
        <w:rPr>
          <w:rFonts w:hint="eastAsia" w:asciiTheme="minorEastAsia" w:hAnsiTheme="minorEastAsia" w:eastAsiaTheme="minorEastAsia" w:cstheme="minorEastAsia"/>
          <w:b/>
          <w:sz w:val="32"/>
        </w:rPr>
      </w:pPr>
    </w:p>
    <w:p w14:paraId="238715D0">
      <w:pPr>
        <w:snapToGrid w:val="0"/>
        <w:spacing w:line="360" w:lineRule="auto"/>
        <w:ind w:left="120" w:leftChars="57" w:firstLine="482" w:firstLineChars="150"/>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sz w:val="32"/>
        </w:rPr>
        <w:t>七、合同授予</w:t>
      </w:r>
    </w:p>
    <w:p w14:paraId="5089BE61">
      <w:pPr>
        <w:pStyle w:val="9"/>
        <w:spacing w:line="360" w:lineRule="auto"/>
        <w:ind w:left="479" w:leftChars="228"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22. 合同的签订</w:t>
      </w:r>
    </w:p>
    <w:p w14:paraId="1444307D">
      <w:pPr>
        <w:widowControl/>
        <w:shd w:val="clear" w:color="auto" w:fill="FFFFFF"/>
        <w:spacing w:line="360" w:lineRule="auto"/>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22.1</w:t>
      </w:r>
      <w:r>
        <w:rPr>
          <w:rFonts w:hint="eastAsia" w:asciiTheme="minorEastAsia" w:hAnsiTheme="minorEastAsia" w:eastAsiaTheme="minorEastAsia" w:cstheme="minorEastAsia"/>
          <w:kern w:val="0"/>
          <w:sz w:val="24"/>
        </w:rPr>
        <w:t xml:space="preserve"> 采购人与成交人应当通过电子交易平台在成交通知书发出之日起三十日内，按照交易文件确定的事项签订采购合同。</w:t>
      </w:r>
    </w:p>
    <w:p w14:paraId="10E7FCD7">
      <w:pPr>
        <w:widowControl/>
        <w:shd w:val="clear" w:color="auto" w:fill="FFFFFF"/>
        <w:spacing w:line="360" w:lineRule="auto"/>
        <w:ind w:firstLine="480"/>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lang w:val="zh-CN"/>
        </w:rPr>
        <w:t>2</w:t>
      </w:r>
      <w:r>
        <w:rPr>
          <w:rFonts w:hint="eastAsia" w:asciiTheme="minorEastAsia" w:hAnsiTheme="minorEastAsia" w:eastAsiaTheme="minorEastAsia" w:cstheme="minorEastAsia"/>
          <w:kern w:val="0"/>
        </w:rPr>
        <w:t>2</w:t>
      </w:r>
      <w:r>
        <w:rPr>
          <w:rFonts w:hint="eastAsia" w:asciiTheme="minorEastAsia" w:hAnsiTheme="minorEastAsia" w:eastAsiaTheme="minorEastAsia" w:cstheme="minorEastAsia"/>
          <w:kern w:val="0"/>
          <w:lang w:val="zh-CN"/>
        </w:rPr>
        <w:t>.2</w:t>
      </w:r>
      <w:r>
        <w:rPr>
          <w:rFonts w:hint="eastAsia" w:asciiTheme="minorEastAsia" w:hAnsiTheme="minorEastAsia" w:eastAsiaTheme="minorEastAsia" w:cstheme="minorEastAsia"/>
          <w:kern w:val="0"/>
          <w:sz w:val="24"/>
          <w:lang w:val="zh-CN"/>
        </w:rPr>
        <w:t>成交人按规定的日期、时间、地点，由法定代表人或其授权代表与采购人代表签订合同。如成交人为联合体的，由联合体成员各方法定代表人或其授权代表与采购人代表签订合同。</w:t>
      </w:r>
    </w:p>
    <w:p w14:paraId="002BA1FE">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22.3如签订合同并生效后，供应商无故拒绝或延期，除按照合同条款处理外，列入不良行为记录一次，并给予通报。</w:t>
      </w:r>
    </w:p>
    <w:p w14:paraId="1338CF0F">
      <w:pPr>
        <w:pStyle w:val="22"/>
        <w:snapToGrid w:val="0"/>
        <w:spacing w:before="0" w:line="360" w:lineRule="auto"/>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rPr>
        <w:t>22.4成交</w:t>
      </w:r>
      <w:r>
        <w:rPr>
          <w:rFonts w:hint="eastAsia" w:asciiTheme="minorEastAsia" w:hAnsiTheme="minorEastAsia" w:eastAsiaTheme="minorEastAsia" w:cstheme="minorEastAsia"/>
          <w:kern w:val="0"/>
          <w:szCs w:val="24"/>
        </w:rPr>
        <w:t>供应商拒绝与采购人签订合同的，采购人可以按照评审报告推荐的成交或者成交候选人名单排序，确定下一候选人为成交供应商，也可以重新开展采购活动。</w:t>
      </w:r>
    </w:p>
    <w:p w14:paraId="25319C2B">
      <w:pPr>
        <w:pStyle w:val="22"/>
        <w:snapToGrid w:val="0"/>
        <w:spacing w:before="0" w:after="120" w:line="360" w:lineRule="auto"/>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22.5采购合同由采购人与成交供应商根据交易文件、响应文件等内容通过采购电子交易平台在线签订，自动备案。</w:t>
      </w:r>
    </w:p>
    <w:p w14:paraId="360C1DAC">
      <w:pPr>
        <w:pStyle w:val="9"/>
        <w:spacing w:line="360" w:lineRule="auto"/>
        <w:ind w:left="479" w:leftChars="228"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23. 履约保证金</w:t>
      </w:r>
    </w:p>
    <w:p w14:paraId="5DDC13A9">
      <w:pPr>
        <w:tabs>
          <w:tab w:val="left" w:pos="0"/>
        </w:tabs>
        <w:spacing w:line="360" w:lineRule="auto"/>
        <w:ind w:firstLine="48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kern w:val="0"/>
          <w:sz w:val="24"/>
        </w:rPr>
        <w:t>拟签订的合同文本要求成交供应商提交履约保证金的，供应商应当以银行支票、汇票、本票或者转账等非现金形式提交</w:t>
      </w:r>
      <w:r>
        <w:rPr>
          <w:rFonts w:hint="eastAsia" w:asciiTheme="minorEastAsia" w:hAnsiTheme="minorEastAsia" w:eastAsiaTheme="minorEastAsia" w:cstheme="minorEastAsia"/>
          <w:sz w:val="24"/>
        </w:rPr>
        <w:t>。</w:t>
      </w:r>
    </w:p>
    <w:p w14:paraId="354E5ACC">
      <w:pPr>
        <w:pStyle w:val="15"/>
        <w:spacing w:line="360" w:lineRule="auto"/>
        <w:rPr>
          <w:rFonts w:hint="eastAsia" w:asciiTheme="minorEastAsia" w:hAnsiTheme="minorEastAsia" w:eastAsiaTheme="minorEastAsia" w:cstheme="minorEastAsia"/>
        </w:rPr>
      </w:pPr>
    </w:p>
    <w:p w14:paraId="359CD696">
      <w:pPr>
        <w:snapToGrid w:val="0"/>
        <w:spacing w:line="360" w:lineRule="auto"/>
        <w:ind w:firstLine="3357" w:firstLineChars="1045"/>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32"/>
        </w:rPr>
        <w:t>八、电子交易活动的中止</w:t>
      </w:r>
    </w:p>
    <w:p w14:paraId="229A5C48">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bCs/>
          <w:szCs w:val="24"/>
        </w:rPr>
        <w:t>4.</w:t>
      </w:r>
      <w:r>
        <w:rPr>
          <w:rFonts w:hint="eastAsia" w:asciiTheme="minorEastAsia" w:hAnsiTheme="minorEastAsia" w:eastAsiaTheme="minorEastAsia" w:cstheme="minorEastAsia"/>
          <w:b/>
          <w:szCs w:val="24"/>
        </w:rPr>
        <w:t xml:space="preserve"> 电子交易活动的中止。</w:t>
      </w:r>
      <w:r>
        <w:rPr>
          <w:rFonts w:hint="eastAsia" w:asciiTheme="minorEastAsia" w:hAnsiTheme="minorEastAsia" w:eastAsiaTheme="minorEastAsia" w:cstheme="minorEastAsia"/>
        </w:rPr>
        <w:t>采购过程中出现以下情形，导致电子交易平台无法正常运行，或者无法保证电子交易的公平、公正和安全时，采购机构可中止电子交易活动：</w:t>
      </w:r>
    </w:p>
    <w:p w14:paraId="0B9A9FE2">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24.1电子交易平台发生故障而无法登录访问的； </w:t>
      </w:r>
    </w:p>
    <w:p w14:paraId="10A49744">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24.2电子交易平台应用或数据库出现错误，不能进行正常操作的；</w:t>
      </w:r>
    </w:p>
    <w:p w14:paraId="2D865E42">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24.3电子交易平台发现严重安全漏洞，有潜在泄密危险的；</w:t>
      </w:r>
    </w:p>
    <w:p w14:paraId="534612C0">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24.4病毒发作导致不能进行正常操作的； </w:t>
      </w:r>
    </w:p>
    <w:p w14:paraId="6D9F41B7">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24.5其他无法保证电子交易的公平、公正和安全的情况。</w:t>
      </w:r>
    </w:p>
    <w:p w14:paraId="5C722613">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25.出现以上情形，不影响采购公平、公正性的，采购组织机构可以待上述情形消除后继续组织电子交易活动，也可以决定某些环节以纸质形式进行；影响或可能影响采购公平、公正性的，应当重新采购。</w:t>
      </w:r>
    </w:p>
    <w:p w14:paraId="409667D0">
      <w:pPr>
        <w:snapToGrid w:val="0"/>
        <w:spacing w:line="360" w:lineRule="auto"/>
        <w:ind w:left="120" w:leftChars="57" w:firstLine="482" w:firstLineChars="15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九、验收</w:t>
      </w:r>
    </w:p>
    <w:p w14:paraId="50A8F428">
      <w:pPr>
        <w:pStyle w:val="9"/>
        <w:spacing w:line="360" w:lineRule="auto"/>
        <w:ind w:firstLine="48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26.验收</w:t>
      </w:r>
    </w:p>
    <w:p w14:paraId="4F96EA00">
      <w:pPr>
        <w:tabs>
          <w:tab w:val="left" w:pos="0"/>
        </w:tabs>
        <w:spacing w:line="360" w:lineRule="auto"/>
        <w:ind w:firstLine="48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kern w:val="0"/>
          <w:sz w:val="24"/>
        </w:rPr>
        <w:t>26.1采购人应当组织对供应商履约的验收。</w:t>
      </w:r>
      <w:bookmarkEnd w:id="25"/>
    </w:p>
    <w:p w14:paraId="7DBED322">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680" w:left="1418" w:header="851" w:footer="992" w:gutter="0"/>
          <w:cols w:space="720" w:num="1"/>
          <w:titlePg/>
          <w:docGrid w:linePitch="312" w:charSpace="0"/>
        </w:sectPr>
      </w:pPr>
      <w:r>
        <w:rPr>
          <w:rFonts w:hint="eastAsia" w:asciiTheme="minorEastAsia" w:hAnsiTheme="minorEastAsia" w:eastAsiaTheme="minorEastAsia" w:cstheme="minorEastAsia"/>
          <w:b/>
          <w:sz w:val="36"/>
          <w:szCs w:val="36"/>
        </w:rPr>
        <w:br w:type="page"/>
      </w:r>
    </w:p>
    <w:bookmarkEnd w:id="23"/>
    <w:bookmarkEnd w:id="24"/>
    <w:p w14:paraId="4850E00B">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26"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75429354">
      <w:pPr>
        <w:snapToGrid w:val="0"/>
        <w:jc w:val="center"/>
        <w:rPr>
          <w:rStyle w:val="26"/>
          <w:color w:val="000000" w:themeColor="text1"/>
          <w:highlight w:val="none"/>
          <w14:textFill>
            <w14:solidFill>
              <w14:schemeClr w14:val="tx1"/>
            </w14:solidFill>
          </w14:textFill>
        </w:rPr>
      </w:pPr>
      <w:r>
        <w:rPr>
          <w:rStyle w:val="26"/>
          <w:rFonts w:hint="eastAsia"/>
          <w:color w:val="000000" w:themeColor="text1"/>
          <w:highlight w:val="none"/>
          <w14:textFill>
            <w14:solidFill>
              <w14:schemeClr w14:val="tx1"/>
            </w14:solidFill>
          </w14:textFill>
        </w:rPr>
        <w:t>属于实质性要求条款的，请用符号“▲”标明，否则属于非实质性要求。</w:t>
      </w:r>
    </w:p>
    <w:p w14:paraId="4031C366">
      <w:pPr>
        <w:snapToGrid w:val="0"/>
        <w:jc w:val="center"/>
        <w:rPr>
          <w:color w:val="000000" w:themeColor="text1"/>
          <w:highlight w:val="none"/>
          <w14:textFill>
            <w14:solidFill>
              <w14:schemeClr w14:val="tx1"/>
            </w14:solidFill>
          </w14:textFill>
        </w:rPr>
      </w:pPr>
      <w:r>
        <w:rPr>
          <w:rStyle w:val="26"/>
          <w:rFonts w:hint="eastAsia"/>
          <w:color w:val="000000" w:themeColor="text1"/>
          <w:highlight w:val="none"/>
          <w14:textFill>
            <w14:solidFill>
              <w14:schemeClr w14:val="tx1"/>
            </w14:solidFill>
          </w14:textFill>
        </w:rPr>
        <w:t>“★”系产品采购项目中单一产品或核心产品。</w:t>
      </w:r>
    </w:p>
    <w:p w14:paraId="36AD4B3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val="en-US" w:eastAsia="zh-CN"/>
        </w:rPr>
        <w:t>一、</w:t>
      </w:r>
      <w:r>
        <w:rPr>
          <w:rFonts w:hint="eastAsia" w:asciiTheme="minorEastAsia" w:hAnsiTheme="minorEastAsia" w:eastAsiaTheme="minorEastAsia" w:cstheme="minorEastAsia"/>
          <w:b/>
          <w:sz w:val="32"/>
          <w:szCs w:val="32"/>
        </w:rPr>
        <w:t>交易一览表</w:t>
      </w:r>
    </w:p>
    <w:p w14:paraId="7236B512">
      <w:pPr>
        <w:pStyle w:val="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标项一：</w:t>
      </w:r>
      <w:r>
        <w:rPr>
          <w:rFonts w:hint="eastAsia" w:ascii="仿宋" w:hAnsi="仿宋" w:eastAsia="仿宋" w:cs="仿宋"/>
          <w:color w:val="000000" w:themeColor="text1"/>
          <w:highlight w:val="none"/>
          <w:lang w:eastAsia="zh-CN"/>
          <w14:textFill>
            <w14:solidFill>
              <w14:schemeClr w14:val="tx1"/>
            </w14:solidFill>
          </w14:textFill>
        </w:rPr>
        <w:t>萧山区市心实验中学餐桌椅采购项目</w:t>
      </w:r>
      <w:r>
        <w:rPr>
          <w:rFonts w:hint="eastAsia" w:ascii="仿宋" w:hAnsi="仿宋" w:eastAsia="仿宋" w:cs="仿宋"/>
          <w:color w:val="000000" w:themeColor="text1"/>
          <w:highlight w:val="none"/>
          <w14:textFill>
            <w14:solidFill>
              <w14:schemeClr w14:val="tx1"/>
            </w14:solidFill>
          </w14:textFill>
        </w:rPr>
        <w:t xml:space="preserve"> </w:t>
      </w:r>
    </w:p>
    <w:tbl>
      <w:tblPr>
        <w:tblStyle w:val="17"/>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103"/>
        <w:gridCol w:w="508"/>
        <w:gridCol w:w="565"/>
        <w:gridCol w:w="991"/>
        <w:gridCol w:w="2993"/>
        <w:gridCol w:w="1996"/>
      </w:tblGrid>
      <w:tr w14:paraId="2D48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523" w:type="dxa"/>
            <w:tcMar>
              <w:top w:w="15" w:type="dxa"/>
              <w:left w:w="15" w:type="dxa"/>
              <w:bottom w:w="0" w:type="dxa"/>
              <w:right w:w="15" w:type="dxa"/>
            </w:tcMar>
            <w:vAlign w:val="center"/>
          </w:tcPr>
          <w:p w14:paraId="577CB866">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序号</w:t>
            </w:r>
          </w:p>
        </w:tc>
        <w:tc>
          <w:tcPr>
            <w:tcW w:w="1103" w:type="dxa"/>
            <w:tcMar>
              <w:top w:w="15" w:type="dxa"/>
              <w:left w:w="15" w:type="dxa"/>
              <w:bottom w:w="0" w:type="dxa"/>
              <w:right w:w="15" w:type="dxa"/>
            </w:tcMar>
            <w:vAlign w:val="center"/>
          </w:tcPr>
          <w:p w14:paraId="249AD86C">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名称</w:t>
            </w:r>
          </w:p>
        </w:tc>
        <w:tc>
          <w:tcPr>
            <w:tcW w:w="508" w:type="dxa"/>
            <w:tcMar>
              <w:top w:w="15" w:type="dxa"/>
              <w:left w:w="15" w:type="dxa"/>
              <w:bottom w:w="0" w:type="dxa"/>
              <w:right w:w="15" w:type="dxa"/>
            </w:tcMar>
            <w:vAlign w:val="center"/>
          </w:tcPr>
          <w:p w14:paraId="7218AE03">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数量</w:t>
            </w:r>
          </w:p>
        </w:tc>
        <w:tc>
          <w:tcPr>
            <w:tcW w:w="565" w:type="dxa"/>
            <w:tcMar>
              <w:top w:w="15" w:type="dxa"/>
              <w:left w:w="15" w:type="dxa"/>
              <w:bottom w:w="0" w:type="dxa"/>
              <w:right w:w="15" w:type="dxa"/>
            </w:tcMar>
            <w:vAlign w:val="center"/>
          </w:tcPr>
          <w:p w14:paraId="6AF60B7E">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单位</w:t>
            </w:r>
          </w:p>
        </w:tc>
        <w:tc>
          <w:tcPr>
            <w:tcW w:w="991" w:type="dxa"/>
            <w:vAlign w:val="center"/>
          </w:tcPr>
          <w:p w14:paraId="2F942EB8">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预算（元）</w:t>
            </w:r>
          </w:p>
        </w:tc>
        <w:tc>
          <w:tcPr>
            <w:tcW w:w="2993" w:type="dxa"/>
            <w:vAlign w:val="center"/>
          </w:tcPr>
          <w:p w14:paraId="3C84F818">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简要规格描述或基本情况介绍</w:t>
            </w:r>
          </w:p>
        </w:tc>
        <w:tc>
          <w:tcPr>
            <w:tcW w:w="1996" w:type="dxa"/>
            <w:vAlign w:val="center"/>
          </w:tcPr>
          <w:p w14:paraId="1F5ADEE0">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最高限价（元）</w:t>
            </w:r>
          </w:p>
        </w:tc>
      </w:tr>
      <w:tr w14:paraId="7BFE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shd w:val="clear" w:color="auto" w:fill="auto"/>
            <w:tcMar>
              <w:top w:w="15" w:type="dxa"/>
              <w:left w:w="15" w:type="dxa"/>
              <w:bottom w:w="0" w:type="dxa"/>
              <w:right w:w="15" w:type="dxa"/>
            </w:tcMar>
            <w:vAlign w:val="center"/>
          </w:tcPr>
          <w:p w14:paraId="6DA7951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w:t>
            </w:r>
          </w:p>
        </w:tc>
        <w:tc>
          <w:tcPr>
            <w:tcW w:w="1103" w:type="dxa"/>
            <w:tcMar>
              <w:top w:w="15" w:type="dxa"/>
              <w:left w:w="15" w:type="dxa"/>
              <w:bottom w:w="0" w:type="dxa"/>
              <w:right w:w="15" w:type="dxa"/>
            </w:tcMar>
            <w:vAlign w:val="center"/>
          </w:tcPr>
          <w:p w14:paraId="0756C3EE">
            <w:pPr>
              <w:keepNext w:val="0"/>
              <w:keepLines w:val="0"/>
              <w:widowControl/>
              <w:suppressLineNumbers w:val="0"/>
              <w:jc w:val="center"/>
              <w:textAlignment w:val="center"/>
              <w:rPr>
                <w:rFonts w:hint="default" w:ascii="仿宋" w:hAnsi="仿宋" w:eastAsia="仿宋" w:cs="仿宋"/>
                <w:lang w:val="en-US" w:eastAsia="zh-CN"/>
              </w:rPr>
            </w:pPr>
            <w:r>
              <w:rPr>
                <w:rFonts w:hint="eastAsia" w:ascii="宋体" w:hAnsi="宋体" w:cs="宋体"/>
                <w:b/>
                <w:bCs/>
                <w:i w:val="0"/>
                <w:iCs w:val="0"/>
                <w:color w:val="000000"/>
                <w:kern w:val="0"/>
                <w:sz w:val="22"/>
                <w:szCs w:val="22"/>
                <w:u w:val="none"/>
                <w:lang w:val="en-US" w:eastAsia="zh-CN" w:bidi="ar"/>
              </w:rPr>
              <w:t>萧山区市心实验中学餐桌椅采购项目</w:t>
            </w:r>
          </w:p>
        </w:tc>
        <w:tc>
          <w:tcPr>
            <w:tcW w:w="508" w:type="dxa"/>
            <w:shd w:val="clear" w:color="auto" w:fill="FFFFFF"/>
            <w:tcMar>
              <w:top w:w="15" w:type="dxa"/>
              <w:left w:w="15" w:type="dxa"/>
              <w:bottom w:w="0" w:type="dxa"/>
              <w:right w:w="15" w:type="dxa"/>
            </w:tcMar>
            <w:vAlign w:val="center"/>
          </w:tcPr>
          <w:p w14:paraId="2437B4C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kern w:val="0"/>
                <w:sz w:val="22"/>
                <w:szCs w:val="22"/>
                <w:u w:val="none"/>
                <w:lang w:val="en-US" w:eastAsia="zh-CN" w:bidi="ar"/>
              </w:rPr>
              <w:t>1</w:t>
            </w:r>
          </w:p>
        </w:tc>
        <w:tc>
          <w:tcPr>
            <w:tcW w:w="565" w:type="dxa"/>
            <w:shd w:val="clear" w:color="auto" w:fill="FFFFFF"/>
            <w:tcMar>
              <w:top w:w="15" w:type="dxa"/>
              <w:left w:w="15" w:type="dxa"/>
              <w:bottom w:w="0" w:type="dxa"/>
              <w:right w:w="15" w:type="dxa"/>
            </w:tcMar>
            <w:vAlign w:val="center"/>
          </w:tcPr>
          <w:p w14:paraId="487037A4">
            <w:pPr>
              <w:keepNext w:val="0"/>
              <w:keepLines w:val="0"/>
              <w:widowControl/>
              <w:suppressLineNumbers w:val="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项</w:t>
            </w:r>
          </w:p>
        </w:tc>
        <w:tc>
          <w:tcPr>
            <w:tcW w:w="991" w:type="dxa"/>
            <w:shd w:val="clear" w:color="auto" w:fill="auto"/>
            <w:vAlign w:val="center"/>
          </w:tcPr>
          <w:p w14:paraId="246C220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422300</w:t>
            </w:r>
            <w:r>
              <w:rPr>
                <w:rFonts w:hint="eastAsia" w:ascii="宋体" w:hAnsi="宋体" w:eastAsia="宋体" w:cs="宋体"/>
                <w:i w:val="0"/>
                <w:iCs w:val="0"/>
                <w:color w:val="000000"/>
                <w:kern w:val="0"/>
                <w:sz w:val="22"/>
                <w:szCs w:val="22"/>
                <w:u w:val="none"/>
                <w:lang w:val="en-US" w:eastAsia="zh-CN" w:bidi="ar"/>
              </w:rPr>
              <w:t xml:space="preserve"> </w:t>
            </w:r>
          </w:p>
        </w:tc>
        <w:tc>
          <w:tcPr>
            <w:tcW w:w="2993" w:type="dxa"/>
            <w:vAlign w:val="center"/>
          </w:tcPr>
          <w:p w14:paraId="1A6D60BD">
            <w:pPr>
              <w:tabs>
                <w:tab w:val="left" w:pos="0"/>
              </w:tabs>
              <w:jc w:val="center"/>
              <w:rPr>
                <w:rFonts w:hint="eastAsia" w:ascii="仿宋" w:hAnsi="仿宋" w:eastAsia="仿宋" w:cs="仿宋"/>
                <w:lang w:eastAsia="zh-CN"/>
              </w:rPr>
            </w:pPr>
            <w:r>
              <w:rPr>
                <w:rFonts w:hint="eastAsia" w:asciiTheme="minorEastAsia" w:hAnsiTheme="minorEastAsia" w:eastAsiaTheme="minorEastAsia" w:cstheme="minorEastAsia"/>
                <w:sz w:val="24"/>
                <w:lang w:eastAsia="zh-Hans"/>
              </w:rPr>
              <w:t>二、</w:t>
            </w:r>
            <w:r>
              <w:rPr>
                <w:rFonts w:hint="eastAsia" w:asciiTheme="minorEastAsia" w:hAnsiTheme="minorEastAsia" w:eastAsiaTheme="minorEastAsia" w:cstheme="minorEastAsia"/>
                <w:sz w:val="24"/>
              </w:rPr>
              <w:t>交易需求-1、技术需求</w:t>
            </w:r>
          </w:p>
        </w:tc>
        <w:tc>
          <w:tcPr>
            <w:tcW w:w="1996" w:type="dxa"/>
            <w:shd w:val="clear" w:color="auto" w:fill="auto"/>
            <w:vAlign w:val="center"/>
          </w:tcPr>
          <w:p w14:paraId="7B88E5E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422300</w:t>
            </w:r>
          </w:p>
        </w:tc>
      </w:tr>
    </w:tbl>
    <w:p w14:paraId="63AFEFD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b/>
          <w:sz w:val="32"/>
          <w:szCs w:val="32"/>
          <w:lang w:val="en-US" w:eastAsia="zh-CN"/>
        </w:rPr>
      </w:pPr>
    </w:p>
    <w:p w14:paraId="5B3D46B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lang w:val="en-US" w:eastAsia="zh-CN"/>
        </w:rPr>
        <w:t>二、交易需求</w:t>
      </w:r>
    </w:p>
    <w:p w14:paraId="398975B9">
      <w:pPr>
        <w:rPr>
          <w:rFonts w:hint="default" w:eastAsia="宋体"/>
          <w:lang w:val="en-US" w:eastAsia="zh-CN"/>
        </w:rPr>
      </w:pPr>
      <w:r>
        <w:rPr>
          <w:rFonts w:hint="eastAsia"/>
          <w:lang w:val="en-US" w:eastAsia="zh-CN"/>
        </w:rPr>
        <w:t>1、技术需求</w:t>
      </w:r>
    </w:p>
    <w:p w14:paraId="7D51443F">
      <w:pPr>
        <w:sectPr>
          <w:pgSz w:w="11906" w:h="16838"/>
          <w:pgMar w:top="1474" w:right="1814" w:bottom="1474" w:left="1814" w:header="851" w:footer="851" w:gutter="0"/>
          <w:cols w:space="720" w:num="1"/>
        </w:sectPr>
      </w:pPr>
    </w:p>
    <w:tbl>
      <w:tblPr>
        <w:tblStyle w:val="17"/>
        <w:tblW w:w="142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4"/>
        <w:gridCol w:w="2269"/>
        <w:gridCol w:w="6113"/>
        <w:gridCol w:w="1162"/>
        <w:gridCol w:w="844"/>
        <w:gridCol w:w="994"/>
        <w:gridCol w:w="1656"/>
      </w:tblGrid>
      <w:tr w14:paraId="7BBE7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6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D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参考图片</w:t>
            </w:r>
          </w:p>
        </w:tc>
        <w:tc>
          <w:tcPr>
            <w:tcW w:w="6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F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1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B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4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单价（含普票含运费）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3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w:t>
            </w:r>
          </w:p>
        </w:tc>
      </w:tr>
      <w:tr w14:paraId="4AF9D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6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学生餐桌椅（4人位连体）</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7E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60960</wp:posOffset>
                  </wp:positionH>
                  <wp:positionV relativeFrom="paragraph">
                    <wp:posOffset>152400</wp:posOffset>
                  </wp:positionV>
                  <wp:extent cx="1180465" cy="805180"/>
                  <wp:effectExtent l="0" t="0" r="635" b="13970"/>
                  <wp:wrapNone/>
                  <wp:docPr id="11" name="图片_1"/>
                  <wp:cNvGraphicFramePr/>
                  <a:graphic xmlns:a="http://schemas.openxmlformats.org/drawingml/2006/main">
                    <a:graphicData uri="http://schemas.openxmlformats.org/drawingml/2006/picture">
                      <pic:pic xmlns:pic="http://schemas.openxmlformats.org/drawingml/2006/picture">
                        <pic:nvPicPr>
                          <pic:cNvPr id="11" name="图片_1"/>
                          <pic:cNvPicPr/>
                        </pic:nvPicPr>
                        <pic:blipFill>
                          <a:blip r:embed="rId26"/>
                          <a:stretch>
                            <a:fillRect/>
                          </a:stretch>
                        </pic:blipFill>
                        <pic:spPr>
                          <a:xfrm>
                            <a:off x="0" y="0"/>
                            <a:ext cx="1180465" cy="805180"/>
                          </a:xfrm>
                          <a:prstGeom prst="rect">
                            <a:avLst/>
                          </a:prstGeom>
                          <a:noFill/>
                          <a:ln>
                            <a:noFill/>
                          </a:ln>
                        </pic:spPr>
                      </pic:pic>
                    </a:graphicData>
                  </a:graphic>
                </wp:anchor>
              </w:drawing>
            </w:r>
          </w:p>
        </w:tc>
        <w:tc>
          <w:tcPr>
            <w:tcW w:w="6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D6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规格：1750*1200*820mm（±5mm）1.桌面：桌面规格为1200*600*25mm，采用12mmE1级实木多层板基材，2.桌架：钢架选用国家标准大厂钢材，高频焊接冷轧封口钢材，成形前经过特殊防腐处理，3：坐板：坐板规格为430*409mm（±5mm），坐板选用多层天然木皮横竖叠加，经高温热压一次成型；4：背板：背板规格为420*275mm（±5mm）背板选用多层天然木皮横竖叠加，经高温热压一次成型；5：支撑件：支撑件选用优质PP全新材料+玻纤制作而成，环保、强度高、无污染，严格选用可重复使用PP全新材料</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9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8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B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21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316000</w:t>
            </w:r>
          </w:p>
        </w:tc>
      </w:tr>
      <w:tr w14:paraId="28E6A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A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教工餐桌椅（4人位分体）</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0E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wp:posOffset>
                  </wp:positionH>
                  <wp:positionV relativeFrom="paragraph">
                    <wp:posOffset>137160</wp:posOffset>
                  </wp:positionV>
                  <wp:extent cx="1299210" cy="929640"/>
                  <wp:effectExtent l="0" t="0" r="15240" b="3810"/>
                  <wp:wrapNone/>
                  <wp:docPr id="10" name="图片_3"/>
                  <wp:cNvGraphicFramePr/>
                  <a:graphic xmlns:a="http://schemas.openxmlformats.org/drawingml/2006/main">
                    <a:graphicData uri="http://schemas.openxmlformats.org/drawingml/2006/picture">
                      <pic:pic xmlns:pic="http://schemas.openxmlformats.org/drawingml/2006/picture">
                        <pic:nvPicPr>
                          <pic:cNvPr id="10" name="图片_3"/>
                          <pic:cNvPicPr/>
                        </pic:nvPicPr>
                        <pic:blipFill>
                          <a:blip r:embed="rId27"/>
                          <a:stretch>
                            <a:fillRect/>
                          </a:stretch>
                        </pic:blipFill>
                        <pic:spPr>
                          <a:xfrm>
                            <a:off x="0" y="0"/>
                            <a:ext cx="1299210" cy="929640"/>
                          </a:xfrm>
                          <a:prstGeom prst="rect">
                            <a:avLst/>
                          </a:prstGeom>
                          <a:noFill/>
                          <a:ln>
                            <a:noFill/>
                          </a:ln>
                        </pic:spPr>
                      </pic:pic>
                    </a:graphicData>
                  </a:graphic>
                </wp:anchor>
              </w:drawing>
            </w:r>
          </w:p>
        </w:tc>
        <w:tc>
          <w:tcPr>
            <w:tcW w:w="6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1E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规格：1200*800*750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材质：台面为E1级多层板基材，表面贴防火防水装饰板，四周经多次打磨油漆防水封边；台架选用优质钢管焊接而成，表面为热转印工艺，经酸洗、凝化、高温静电喷涂。</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8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8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B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2680</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F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107200</w:t>
            </w:r>
          </w:p>
        </w:tc>
      </w:tr>
      <w:tr w14:paraId="4C405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8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04F0">
            <w:pPr>
              <w:rPr>
                <w:rFonts w:hint="eastAsia" w:ascii="宋体" w:hAnsi="宋体" w:eastAsia="宋体" w:cs="宋体"/>
                <w:i w:val="0"/>
                <w:iCs w:val="0"/>
                <w:color w:val="000000"/>
                <w:sz w:val="22"/>
                <w:szCs w:val="22"/>
                <w:u w:val="none"/>
              </w:rPr>
            </w:pPr>
          </w:p>
        </w:tc>
        <w:tc>
          <w:tcPr>
            <w:tcW w:w="6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A874">
            <w:pPr>
              <w:rPr>
                <w:rFonts w:hint="eastAsia" w:ascii="宋体" w:hAnsi="宋体" w:eastAsia="宋体" w:cs="宋体"/>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5BBB">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6896">
            <w:pPr>
              <w:jc w:val="center"/>
              <w:rPr>
                <w:rFonts w:hint="eastAsia" w:ascii="宋体" w:hAnsi="宋体" w:eastAsia="宋体" w:cs="宋体"/>
                <w:i w:val="0"/>
                <w:iCs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F2B0">
            <w:pPr>
              <w:jc w:val="center"/>
              <w:rPr>
                <w:rFonts w:hint="eastAsia" w:ascii="宋体" w:hAnsi="宋体" w:eastAsia="宋体" w:cs="宋体"/>
                <w:i w:val="0"/>
                <w:iCs w:val="0"/>
                <w:color w:val="000000"/>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4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422300</w:t>
            </w:r>
          </w:p>
        </w:tc>
      </w:tr>
    </w:tbl>
    <w:p w14:paraId="6950324E">
      <w:pPr>
        <w:spacing w:line="288" w:lineRule="auto"/>
        <w:ind w:firstLine="120" w:firstLineChars="5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注：</w:t>
      </w:r>
    </w:p>
    <w:p w14:paraId="3B76A4C0">
      <w:pPr>
        <w:spacing w:line="288"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请</w:t>
      </w:r>
      <w:r>
        <w:rPr>
          <w:rFonts w:hint="eastAsia" w:asciiTheme="minorEastAsia" w:hAnsiTheme="minorEastAsia" w:eastAsiaTheme="minorEastAsia" w:cstheme="minorEastAsia"/>
          <w:b/>
          <w:sz w:val="24"/>
          <w:lang w:val="en-US" w:eastAsia="zh-CN"/>
        </w:rPr>
        <w:t>供应商</w:t>
      </w:r>
      <w:r>
        <w:rPr>
          <w:rFonts w:hint="eastAsia" w:asciiTheme="minorEastAsia" w:hAnsiTheme="minorEastAsia" w:eastAsiaTheme="minorEastAsia" w:cstheme="minorEastAsia"/>
          <w:b/>
          <w:sz w:val="24"/>
        </w:rPr>
        <w:t>在报价前仔细踏勘现场、了解工程现状。本项目为一次性报价，包含包括</w:t>
      </w:r>
      <w:r>
        <w:rPr>
          <w:rFonts w:hint="eastAsia" w:asciiTheme="minorEastAsia" w:hAnsiTheme="minorEastAsia" w:eastAsiaTheme="minorEastAsia" w:cstheme="minorEastAsia"/>
          <w:b/>
          <w:sz w:val="24"/>
          <w:lang w:eastAsia="zh-CN"/>
        </w:rPr>
        <w:t>供应商</w:t>
      </w:r>
      <w:r>
        <w:rPr>
          <w:rFonts w:hint="eastAsia" w:asciiTheme="minorEastAsia" w:hAnsiTheme="minorEastAsia" w:eastAsiaTheme="minorEastAsia" w:cstheme="minorEastAsia"/>
          <w:b/>
          <w:sz w:val="24"/>
        </w:rPr>
        <w:t>完成本项目所需的一切费用。具体包括货物报价和标准附件、备品备件、专用工具、运输、装卸、保险、安装调试、检测、培训、验收合格、技术支持、售后服务、质保期维护所需的各种费用以及必要的保险费用和各项税金等所有费用的总和，今后不作调整。</w:t>
      </w:r>
    </w:p>
    <w:p w14:paraId="53A255BE">
      <w:pPr>
        <w:rPr>
          <w:rFonts w:hint="eastAsia" w:ascii="仿宋" w:hAnsi="仿宋" w:eastAsia="仿宋" w:cs="仿宋"/>
          <w:color w:val="000000" w:themeColor="text1"/>
          <w:sz w:val="28"/>
          <w:szCs w:val="28"/>
          <w:highlight w:val="none"/>
          <w14:textFill>
            <w14:solidFill>
              <w14:schemeClr w14:val="tx1"/>
            </w14:solidFill>
          </w14:textFill>
        </w:rPr>
        <w:sectPr>
          <w:pgSz w:w="16838" w:h="11906" w:orient="landscape"/>
          <w:pgMar w:top="1814" w:right="1474" w:bottom="1814" w:left="1474" w:header="851" w:footer="851" w:gutter="0"/>
          <w:cols w:space="720" w:num="1"/>
        </w:sectPr>
      </w:pPr>
    </w:p>
    <w:p w14:paraId="041643BE">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2、商务需求：</w:t>
      </w:r>
    </w:p>
    <w:p w14:paraId="59E6CCA7">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2.1交货时间及地点：</w:t>
      </w:r>
    </w:p>
    <w:p w14:paraId="2C30B2A3">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▲2.1.1中标人应在合同签订后</w:t>
      </w:r>
      <w:r>
        <w:rPr>
          <w:rFonts w:hint="eastAsia" w:ascii="仿宋" w:hAnsi="仿宋" w:eastAsia="仿宋" w:cs="仿宋"/>
          <w:b/>
          <w:bCs/>
          <w:color w:val="000000" w:themeColor="text1"/>
          <w:sz w:val="24"/>
          <w:szCs w:val="24"/>
          <w:highlight w:val="none"/>
          <w:u w:val="single"/>
          <w14:textFill>
            <w14:solidFill>
              <w14:schemeClr w14:val="tx1"/>
            </w14:solidFill>
          </w14:textFill>
        </w:rPr>
        <w:t>30</w:t>
      </w:r>
      <w:r>
        <w:rPr>
          <w:rFonts w:hint="eastAsia" w:ascii="仿宋" w:hAnsi="仿宋" w:eastAsia="仿宋" w:cs="仿宋"/>
          <w:b/>
          <w:bCs/>
          <w:color w:val="000000" w:themeColor="text1"/>
          <w:sz w:val="24"/>
          <w:szCs w:val="24"/>
          <w:highlight w:val="none"/>
          <w14:textFill>
            <w14:solidFill>
              <w14:schemeClr w14:val="tx1"/>
            </w14:solidFill>
          </w14:textFill>
        </w:rPr>
        <w:t>日历天完成供货、安装、调试工作。</w:t>
      </w:r>
    </w:p>
    <w:p w14:paraId="0E7B442E">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交货地点：采购人指定地点。</w:t>
      </w:r>
    </w:p>
    <w:p w14:paraId="2F4BF7BA">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2.1.2中标人提供的中标物品，必须符合本</w:t>
      </w:r>
      <w:r>
        <w:rPr>
          <w:rFonts w:hint="eastAsia" w:ascii="仿宋" w:hAnsi="仿宋" w:eastAsia="仿宋" w:cs="仿宋"/>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color w:val="000000" w:themeColor="text1"/>
          <w:sz w:val="24"/>
          <w:szCs w:val="24"/>
          <w:highlight w:val="none"/>
          <w14:textFill>
            <w14:solidFill>
              <w14:schemeClr w14:val="tx1"/>
            </w14:solidFill>
          </w14:textFill>
        </w:rPr>
        <w:t>要求、原包装送达采购单位；如有不符，采购人可以无条件退货，所造成的损失由中标人承担。更换后的零部件质保期按更换日起顺延。</w:t>
      </w:r>
    </w:p>
    <w:p w14:paraId="48698513">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2.2质保期及售后技术服务要求：</w:t>
      </w:r>
    </w:p>
    <w:p w14:paraId="5E811789">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▲2.2.1质保期：不少于5年。</w:t>
      </w:r>
    </w:p>
    <w:p w14:paraId="73256901">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质量保证期内提供免费上门维护、升级服务，如设备出现故障，供货单位在接到电话后，立即响应，2小时以内到现场处理，12小时内修复，现场不能修复的，必须采取无偿提供采购物品的备用件或整机等措施，以保证用户单位的正常使用。</w:t>
      </w:r>
    </w:p>
    <w:p w14:paraId="4F37D1ED">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2.2.3</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应提供技术支持方案，内容由</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根据实际选择以下要点：服务机构（维保点）的地址、人员状况、维修能力、联系方式、营业执照、公司资质材料、相关案例等。</w:t>
      </w:r>
    </w:p>
    <w:p w14:paraId="34BD2478">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2.2.4完整准确地表述原厂家的标准售后服务承诺（范围、标准及期限等）、</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可能增加的服务承诺等。</w:t>
      </w:r>
    </w:p>
    <w:p w14:paraId="45307D09">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2.2.5明示服务承诺可能涉及的前提设定和费用，否则将被认为是无条件和免费的。</w:t>
      </w:r>
    </w:p>
    <w:p w14:paraId="32182043">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2.3付款方式：</w:t>
      </w:r>
    </w:p>
    <w:p w14:paraId="6307165F">
      <w:pPr>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合同签订后，采购人支付合同总价的40%作为预付款，所有采购品目安装到位经验收合格后，采购人向中标人支付剩余货款</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BF8D04F">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2.4产品质量：</w:t>
      </w:r>
    </w:p>
    <w:p w14:paraId="66B0F45C">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中标后生产过程中需配合需求方生产现场查验生产情况（材料/工艺/设备）；</w:t>
      </w:r>
    </w:p>
    <w:p w14:paraId="06FDE1CC">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2.5所有</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需保证资料真实有效，如提供虚假资料经举报或发现，一经查实，取消资格并进行对应的处罚。</w:t>
      </w:r>
    </w:p>
    <w:p w14:paraId="04906F78">
      <w:pPr>
        <w:rPr>
          <w:rFonts w:ascii="仿宋" w:hAnsi="仿宋" w:eastAsia="仿宋" w:cs="仿宋"/>
          <w:color w:val="000000" w:themeColor="text1"/>
          <w:sz w:val="24"/>
          <w:szCs w:val="32"/>
          <w:highlight w:val="none"/>
          <w14:textFill>
            <w14:solidFill>
              <w14:schemeClr w14:val="tx1"/>
            </w14:solidFill>
          </w14:textFill>
        </w:rPr>
      </w:pPr>
    </w:p>
    <w:p w14:paraId="16A6982D">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注：</w:t>
      </w:r>
    </w:p>
    <w:p w14:paraId="452840B9">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1、如有附图，仅作参考。</w:t>
      </w:r>
    </w:p>
    <w:p w14:paraId="67131866">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2、打▲内容为实质性要求，不允许有负偏离，否则将以涉及无效投标条款作无效投标。</w:t>
      </w:r>
    </w:p>
    <w:p w14:paraId="18B4B813">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3、中标人所提供的货物、服务须与投标承诺一致，不得以次充好、偷工减料，若在项目验收中发现有上述情况，将向有关部门举报，根据相关规定进行处理。</w:t>
      </w:r>
    </w:p>
    <w:p w14:paraId="311C75E6">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27" w:name="_Toc184312103"/>
      <w:bookmarkEnd w:id="27"/>
      <w:bookmarkStart w:id="28" w:name="_Toc184310296"/>
      <w:bookmarkEnd w:id="28"/>
      <w:bookmarkStart w:id="29" w:name="_Toc184313277"/>
      <w:bookmarkEnd w:id="29"/>
      <w:bookmarkStart w:id="30" w:name="_Toc184313244"/>
      <w:bookmarkEnd w:id="30"/>
      <w:bookmarkStart w:id="31" w:name="_Toc184312074"/>
      <w:bookmarkEnd w:id="31"/>
      <w:bookmarkStart w:id="32" w:name="_Toc184308094"/>
      <w:bookmarkEnd w:id="32"/>
      <w:bookmarkStart w:id="33" w:name="_Toc184310303"/>
      <w:bookmarkEnd w:id="33"/>
      <w:bookmarkStart w:id="34" w:name="_Toc184314420"/>
      <w:bookmarkEnd w:id="34"/>
      <w:bookmarkStart w:id="35" w:name="_Toc184310281"/>
      <w:bookmarkEnd w:id="35"/>
      <w:bookmarkStart w:id="36" w:name="_Toc184312138"/>
      <w:bookmarkEnd w:id="36"/>
      <w:bookmarkStart w:id="37" w:name="_Toc184313254"/>
      <w:bookmarkEnd w:id="37"/>
      <w:bookmarkStart w:id="38" w:name="_Toc184310285"/>
      <w:bookmarkEnd w:id="38"/>
      <w:bookmarkStart w:id="39" w:name="_Toc184312078"/>
      <w:bookmarkEnd w:id="39"/>
      <w:bookmarkStart w:id="40" w:name="_Toc184308039"/>
      <w:bookmarkEnd w:id="40"/>
      <w:bookmarkStart w:id="41" w:name="_Toc184313295"/>
      <w:bookmarkEnd w:id="41"/>
      <w:bookmarkStart w:id="42" w:name="_Toc184314449"/>
      <w:bookmarkEnd w:id="42"/>
      <w:bookmarkStart w:id="43" w:name="_Toc184312086"/>
      <w:bookmarkEnd w:id="43"/>
      <w:bookmarkStart w:id="44" w:name="_Toc184314433"/>
      <w:bookmarkEnd w:id="44"/>
      <w:bookmarkStart w:id="45" w:name="_Toc184314445"/>
      <w:bookmarkEnd w:id="45"/>
      <w:bookmarkStart w:id="46" w:name="_Toc184313269"/>
      <w:bookmarkEnd w:id="46"/>
      <w:bookmarkStart w:id="47" w:name="_Toc184313294"/>
      <w:bookmarkEnd w:id="47"/>
      <w:bookmarkStart w:id="48" w:name="_Toc184310336"/>
      <w:bookmarkEnd w:id="48"/>
      <w:bookmarkStart w:id="49" w:name="_Toc184310333"/>
      <w:bookmarkEnd w:id="49"/>
      <w:bookmarkStart w:id="50" w:name="_Toc184308052"/>
      <w:bookmarkEnd w:id="50"/>
      <w:bookmarkStart w:id="51" w:name="_Toc184310286"/>
      <w:bookmarkEnd w:id="51"/>
      <w:bookmarkStart w:id="52" w:name="_Toc184314478"/>
      <w:bookmarkEnd w:id="52"/>
      <w:bookmarkStart w:id="53" w:name="_Toc184314460"/>
      <w:bookmarkEnd w:id="53"/>
      <w:bookmarkStart w:id="54" w:name="_Toc184313288"/>
      <w:bookmarkEnd w:id="54"/>
      <w:bookmarkStart w:id="55" w:name="_Toc184314434"/>
      <w:bookmarkEnd w:id="55"/>
      <w:bookmarkStart w:id="56" w:name="_Toc184310344"/>
      <w:bookmarkEnd w:id="56"/>
      <w:bookmarkStart w:id="57" w:name="_Toc184314457"/>
      <w:bookmarkEnd w:id="57"/>
      <w:bookmarkStart w:id="58" w:name="_Toc184314436"/>
      <w:bookmarkEnd w:id="58"/>
      <w:bookmarkStart w:id="59" w:name="_Toc184314411"/>
      <w:bookmarkEnd w:id="59"/>
      <w:bookmarkStart w:id="60" w:name="_Toc184312070"/>
      <w:bookmarkEnd w:id="60"/>
      <w:bookmarkStart w:id="61" w:name="_Toc184312128"/>
      <w:bookmarkEnd w:id="61"/>
      <w:bookmarkStart w:id="62" w:name="_Toc184308061"/>
      <w:bookmarkEnd w:id="62"/>
      <w:bookmarkStart w:id="63" w:name="_Toc184314461"/>
      <w:bookmarkEnd w:id="63"/>
      <w:bookmarkStart w:id="64" w:name="_Toc184313255"/>
      <w:bookmarkEnd w:id="64"/>
      <w:bookmarkStart w:id="65" w:name="_Toc184308105"/>
      <w:bookmarkEnd w:id="65"/>
      <w:bookmarkStart w:id="66" w:name="_Toc184308059"/>
      <w:bookmarkEnd w:id="66"/>
      <w:bookmarkStart w:id="67" w:name="_Toc184313266"/>
      <w:bookmarkEnd w:id="67"/>
      <w:bookmarkStart w:id="68" w:name="_Toc184313256"/>
      <w:bookmarkEnd w:id="68"/>
      <w:bookmarkStart w:id="69" w:name="_Toc184314447"/>
      <w:bookmarkEnd w:id="69"/>
      <w:bookmarkStart w:id="70" w:name="_Toc184313280"/>
      <w:bookmarkEnd w:id="70"/>
      <w:bookmarkStart w:id="71" w:name="_Toc184310297"/>
      <w:bookmarkEnd w:id="71"/>
      <w:bookmarkStart w:id="72" w:name="_Toc184312101"/>
      <w:bookmarkEnd w:id="72"/>
      <w:bookmarkStart w:id="73" w:name="_Toc184312109"/>
      <w:bookmarkEnd w:id="73"/>
      <w:bookmarkStart w:id="74" w:name="_Toc184313300"/>
      <w:bookmarkEnd w:id="74"/>
      <w:bookmarkStart w:id="75" w:name="_Toc184314462"/>
      <w:bookmarkEnd w:id="75"/>
      <w:bookmarkStart w:id="76" w:name="_Toc184310301"/>
      <w:bookmarkEnd w:id="76"/>
      <w:bookmarkStart w:id="77" w:name="_Toc184314471"/>
      <w:bookmarkEnd w:id="77"/>
      <w:bookmarkStart w:id="78" w:name="_Toc184313246"/>
      <w:bookmarkEnd w:id="78"/>
      <w:bookmarkStart w:id="79" w:name="_Toc184314431"/>
      <w:bookmarkEnd w:id="79"/>
      <w:bookmarkStart w:id="80" w:name="_Toc184308041"/>
      <w:bookmarkEnd w:id="80"/>
      <w:bookmarkStart w:id="81" w:name="_Toc184310318"/>
      <w:bookmarkEnd w:id="81"/>
      <w:bookmarkStart w:id="82" w:name="_Toc184314426"/>
      <w:bookmarkEnd w:id="82"/>
      <w:bookmarkStart w:id="83" w:name="_Toc184310324"/>
      <w:bookmarkEnd w:id="83"/>
      <w:bookmarkStart w:id="84" w:name="_Toc184310319"/>
      <w:bookmarkEnd w:id="84"/>
      <w:bookmarkStart w:id="85" w:name="_Toc184310304"/>
      <w:bookmarkEnd w:id="85"/>
      <w:bookmarkStart w:id="86" w:name="_Toc184308060"/>
      <w:bookmarkEnd w:id="86"/>
      <w:bookmarkStart w:id="87" w:name="_Toc184312100"/>
      <w:bookmarkEnd w:id="87"/>
      <w:bookmarkStart w:id="88" w:name="_Toc184310295"/>
      <w:bookmarkEnd w:id="88"/>
      <w:bookmarkStart w:id="89" w:name="_Toc184312088"/>
      <w:bookmarkEnd w:id="89"/>
      <w:bookmarkStart w:id="90" w:name="_Toc184314453"/>
      <w:bookmarkEnd w:id="90"/>
      <w:bookmarkStart w:id="91" w:name="_Toc184314429"/>
      <w:bookmarkEnd w:id="91"/>
      <w:bookmarkStart w:id="92" w:name="_Toc184308084"/>
      <w:bookmarkEnd w:id="92"/>
      <w:bookmarkStart w:id="93" w:name="_Toc184310310"/>
      <w:bookmarkEnd w:id="93"/>
      <w:bookmarkStart w:id="94" w:name="_Toc184314422"/>
      <w:bookmarkEnd w:id="94"/>
      <w:bookmarkStart w:id="95" w:name="_Toc184313309"/>
      <w:bookmarkEnd w:id="95"/>
      <w:bookmarkStart w:id="96" w:name="_Toc184314454"/>
      <w:bookmarkEnd w:id="96"/>
      <w:bookmarkStart w:id="97" w:name="_Toc184313242"/>
      <w:bookmarkEnd w:id="97"/>
      <w:bookmarkStart w:id="98" w:name="_Toc184314410"/>
      <w:bookmarkEnd w:id="98"/>
      <w:bookmarkStart w:id="99" w:name="_Toc184314442"/>
      <w:bookmarkEnd w:id="99"/>
      <w:bookmarkStart w:id="100" w:name="_Toc184314469"/>
      <w:bookmarkEnd w:id="100"/>
      <w:bookmarkStart w:id="101" w:name="_Toc184312093"/>
      <w:bookmarkEnd w:id="101"/>
      <w:bookmarkStart w:id="102" w:name="_Toc184314417"/>
      <w:bookmarkEnd w:id="102"/>
      <w:bookmarkStart w:id="103" w:name="_Toc184312097"/>
      <w:bookmarkEnd w:id="103"/>
      <w:bookmarkStart w:id="104" w:name="_Toc184310325"/>
      <w:bookmarkEnd w:id="104"/>
      <w:bookmarkStart w:id="105" w:name="_Toc184308067"/>
      <w:bookmarkEnd w:id="105"/>
      <w:bookmarkStart w:id="106" w:name="_Toc184312067"/>
      <w:bookmarkEnd w:id="106"/>
      <w:bookmarkStart w:id="107" w:name="_Toc184312092"/>
      <w:bookmarkEnd w:id="107"/>
      <w:bookmarkStart w:id="108" w:name="_Toc184313238"/>
      <w:bookmarkEnd w:id="108"/>
      <w:bookmarkStart w:id="109" w:name="_Toc184314474"/>
      <w:bookmarkEnd w:id="109"/>
      <w:bookmarkStart w:id="110" w:name="_Toc184310283"/>
      <w:bookmarkEnd w:id="110"/>
      <w:bookmarkStart w:id="111" w:name="_Toc184310279"/>
      <w:bookmarkEnd w:id="111"/>
      <w:bookmarkStart w:id="112" w:name="_Toc184313249"/>
      <w:bookmarkEnd w:id="112"/>
      <w:bookmarkStart w:id="113" w:name="_Toc184310306"/>
      <w:bookmarkEnd w:id="113"/>
      <w:bookmarkStart w:id="114" w:name="_Toc184313265"/>
      <w:bookmarkEnd w:id="114"/>
      <w:bookmarkStart w:id="115" w:name="_Toc184313247"/>
      <w:bookmarkEnd w:id="115"/>
      <w:bookmarkStart w:id="116" w:name="_Toc184313297"/>
      <w:bookmarkEnd w:id="116"/>
      <w:bookmarkStart w:id="117" w:name="_Toc184313282"/>
      <w:bookmarkEnd w:id="117"/>
      <w:bookmarkStart w:id="118" w:name="_Toc184313252"/>
      <w:bookmarkEnd w:id="118"/>
      <w:bookmarkStart w:id="119" w:name="_Toc184313284"/>
      <w:bookmarkEnd w:id="119"/>
      <w:bookmarkStart w:id="120" w:name="_Toc184314421"/>
      <w:bookmarkEnd w:id="120"/>
      <w:bookmarkStart w:id="121" w:name="_Toc184312104"/>
      <w:bookmarkEnd w:id="121"/>
      <w:bookmarkStart w:id="122" w:name="_Toc184310322"/>
      <w:bookmarkEnd w:id="122"/>
      <w:bookmarkStart w:id="123" w:name="_Toc184312133"/>
      <w:bookmarkEnd w:id="123"/>
      <w:bookmarkStart w:id="124" w:name="_Toc184310329"/>
      <w:bookmarkEnd w:id="124"/>
      <w:bookmarkStart w:id="125" w:name="_Toc184314415"/>
      <w:bookmarkEnd w:id="125"/>
      <w:bookmarkStart w:id="126" w:name="_Toc184314424"/>
      <w:bookmarkEnd w:id="126"/>
      <w:bookmarkStart w:id="127" w:name="_Toc184313276"/>
      <w:bookmarkEnd w:id="127"/>
      <w:bookmarkStart w:id="128" w:name="_Toc184313240"/>
      <w:bookmarkEnd w:id="128"/>
      <w:bookmarkStart w:id="129" w:name="_Toc184312095"/>
      <w:bookmarkEnd w:id="129"/>
      <w:bookmarkStart w:id="130" w:name="_Toc184314482"/>
      <w:bookmarkEnd w:id="130"/>
      <w:bookmarkStart w:id="131" w:name="_Toc184313253"/>
      <w:bookmarkEnd w:id="131"/>
      <w:bookmarkStart w:id="132" w:name="_Toc184312077"/>
      <w:bookmarkEnd w:id="132"/>
      <w:bookmarkStart w:id="133" w:name="_Toc184310339"/>
      <w:bookmarkEnd w:id="133"/>
      <w:bookmarkStart w:id="134" w:name="_Toc184312075"/>
      <w:bookmarkEnd w:id="134"/>
      <w:bookmarkStart w:id="135" w:name="_Toc184313239"/>
      <w:bookmarkEnd w:id="135"/>
      <w:bookmarkStart w:id="136" w:name="_Toc184313273"/>
      <w:bookmarkEnd w:id="136"/>
      <w:bookmarkStart w:id="137" w:name="_Toc184308062"/>
      <w:bookmarkEnd w:id="137"/>
      <w:bookmarkStart w:id="138" w:name="_Toc184312098"/>
      <w:bookmarkEnd w:id="138"/>
      <w:bookmarkStart w:id="139" w:name="_Toc184312114"/>
      <w:bookmarkEnd w:id="139"/>
      <w:bookmarkStart w:id="140" w:name="_Toc184312071"/>
      <w:bookmarkEnd w:id="140"/>
      <w:bookmarkStart w:id="141" w:name="_Toc184308050"/>
      <w:bookmarkEnd w:id="141"/>
      <w:bookmarkStart w:id="142" w:name="_Toc184313301"/>
      <w:bookmarkEnd w:id="142"/>
      <w:bookmarkStart w:id="143" w:name="_Toc184308053"/>
      <w:bookmarkEnd w:id="143"/>
      <w:bookmarkStart w:id="144" w:name="_Toc184313285"/>
      <w:bookmarkEnd w:id="144"/>
      <w:bookmarkStart w:id="145" w:name="_Toc184308070"/>
      <w:bookmarkEnd w:id="145"/>
      <w:bookmarkStart w:id="146" w:name="_Toc184308045"/>
      <w:bookmarkEnd w:id="146"/>
      <w:bookmarkStart w:id="147" w:name="_Toc184310289"/>
      <w:bookmarkEnd w:id="147"/>
      <w:bookmarkStart w:id="148" w:name="_Toc184314425"/>
      <w:bookmarkEnd w:id="148"/>
      <w:bookmarkStart w:id="149" w:name="_Toc184313251"/>
      <w:bookmarkEnd w:id="149"/>
      <w:bookmarkStart w:id="150" w:name="_Toc184310294"/>
      <w:bookmarkEnd w:id="150"/>
      <w:bookmarkStart w:id="151" w:name="_Toc184310292"/>
      <w:bookmarkEnd w:id="151"/>
      <w:bookmarkStart w:id="152" w:name="_Toc184308097"/>
      <w:bookmarkEnd w:id="152"/>
      <w:bookmarkStart w:id="153" w:name="_Toc184313275"/>
      <w:bookmarkEnd w:id="153"/>
      <w:bookmarkStart w:id="154" w:name="_Toc184312084"/>
      <w:bookmarkEnd w:id="154"/>
      <w:bookmarkStart w:id="155" w:name="_Toc184310272"/>
      <w:bookmarkEnd w:id="155"/>
      <w:bookmarkStart w:id="156" w:name="_Toc184308081"/>
      <w:bookmarkEnd w:id="156"/>
      <w:bookmarkStart w:id="157" w:name="_Toc184313272"/>
      <w:bookmarkEnd w:id="157"/>
      <w:bookmarkStart w:id="158" w:name="_Toc184308047"/>
      <w:bookmarkEnd w:id="158"/>
      <w:bookmarkStart w:id="159" w:name="_Toc184308079"/>
      <w:bookmarkEnd w:id="159"/>
      <w:bookmarkStart w:id="160" w:name="_Toc184310332"/>
      <w:bookmarkEnd w:id="160"/>
      <w:bookmarkStart w:id="161" w:name="_Toc184314475"/>
      <w:bookmarkEnd w:id="161"/>
      <w:bookmarkStart w:id="162" w:name="_Toc184310311"/>
      <w:bookmarkEnd w:id="162"/>
      <w:bookmarkStart w:id="163" w:name="_Toc184308096"/>
      <w:bookmarkEnd w:id="163"/>
      <w:bookmarkStart w:id="164" w:name="_Toc184308069"/>
      <w:bookmarkEnd w:id="164"/>
      <w:bookmarkStart w:id="165" w:name="_Toc184312130"/>
      <w:bookmarkEnd w:id="165"/>
      <w:bookmarkStart w:id="166" w:name="_Toc184313274"/>
      <w:bookmarkEnd w:id="166"/>
      <w:bookmarkStart w:id="167" w:name="_Toc184313267"/>
      <w:bookmarkEnd w:id="167"/>
      <w:bookmarkStart w:id="168" w:name="_Toc184313262"/>
      <w:bookmarkEnd w:id="168"/>
      <w:bookmarkStart w:id="169" w:name="_Toc184313286"/>
      <w:bookmarkEnd w:id="169"/>
      <w:bookmarkStart w:id="170" w:name="_Toc184314480"/>
      <w:bookmarkEnd w:id="170"/>
      <w:bookmarkStart w:id="171" w:name="_Toc184310312"/>
      <w:bookmarkEnd w:id="171"/>
      <w:bookmarkStart w:id="172" w:name="_Toc184314423"/>
      <w:bookmarkEnd w:id="172"/>
      <w:bookmarkStart w:id="173" w:name="_Toc184313283"/>
      <w:bookmarkEnd w:id="173"/>
      <w:bookmarkStart w:id="174" w:name="_Toc184310331"/>
      <w:bookmarkEnd w:id="174"/>
      <w:bookmarkStart w:id="175" w:name="_Toc184312076"/>
      <w:bookmarkEnd w:id="175"/>
      <w:bookmarkStart w:id="176" w:name="_Toc184310300"/>
      <w:bookmarkEnd w:id="176"/>
      <w:bookmarkStart w:id="177" w:name="_Toc184314427"/>
      <w:bookmarkEnd w:id="177"/>
      <w:bookmarkStart w:id="178" w:name="_Toc184310288"/>
      <w:bookmarkEnd w:id="178"/>
      <w:bookmarkStart w:id="179" w:name="_Toc184313257"/>
      <w:bookmarkEnd w:id="179"/>
      <w:bookmarkStart w:id="180" w:name="_Toc184308036"/>
      <w:bookmarkEnd w:id="180"/>
      <w:bookmarkStart w:id="181" w:name="_Toc184314458"/>
      <w:bookmarkEnd w:id="181"/>
      <w:bookmarkStart w:id="182" w:name="_Toc184310341"/>
      <w:bookmarkEnd w:id="182"/>
      <w:bookmarkStart w:id="183" w:name="_Toc184308104"/>
      <w:bookmarkEnd w:id="183"/>
      <w:bookmarkStart w:id="184" w:name="_Toc184314468"/>
      <w:bookmarkEnd w:id="184"/>
      <w:bookmarkStart w:id="185" w:name="_Toc184310330"/>
      <w:bookmarkEnd w:id="185"/>
      <w:bookmarkStart w:id="186" w:name="_Toc184312106"/>
      <w:bookmarkEnd w:id="186"/>
      <w:bookmarkStart w:id="187" w:name="_Toc184312087"/>
      <w:bookmarkEnd w:id="187"/>
      <w:bookmarkStart w:id="188" w:name="_Toc184310302"/>
      <w:bookmarkEnd w:id="188"/>
      <w:bookmarkStart w:id="189" w:name="_Toc184314464"/>
      <w:bookmarkEnd w:id="189"/>
      <w:bookmarkStart w:id="190" w:name="_Toc184310327"/>
      <w:bookmarkEnd w:id="190"/>
      <w:bookmarkStart w:id="191" w:name="_Toc184312120"/>
      <w:bookmarkEnd w:id="191"/>
      <w:bookmarkStart w:id="192" w:name="_Toc184312134"/>
      <w:bookmarkEnd w:id="192"/>
      <w:bookmarkStart w:id="193" w:name="_Toc184313298"/>
      <w:bookmarkEnd w:id="193"/>
      <w:bookmarkStart w:id="194" w:name="_Toc184312096"/>
      <w:bookmarkEnd w:id="194"/>
      <w:bookmarkStart w:id="195" w:name="_Toc184312136"/>
      <w:bookmarkEnd w:id="195"/>
      <w:bookmarkStart w:id="196" w:name="_Toc184314452"/>
      <w:bookmarkEnd w:id="196"/>
      <w:bookmarkStart w:id="197" w:name="_Toc184314430"/>
      <w:bookmarkEnd w:id="197"/>
      <w:bookmarkStart w:id="198" w:name="_Toc184314443"/>
      <w:bookmarkEnd w:id="198"/>
      <w:bookmarkStart w:id="199" w:name="_Toc184310291"/>
      <w:bookmarkEnd w:id="199"/>
      <w:bookmarkStart w:id="200" w:name="_Toc184312068"/>
      <w:bookmarkEnd w:id="200"/>
      <w:bookmarkStart w:id="201" w:name="_Toc184310337"/>
      <w:bookmarkEnd w:id="201"/>
      <w:bookmarkStart w:id="202" w:name="_Toc184314470"/>
      <w:bookmarkEnd w:id="202"/>
      <w:bookmarkStart w:id="203" w:name="_Toc184312073"/>
      <w:bookmarkEnd w:id="203"/>
      <w:bookmarkStart w:id="204" w:name="_Toc184314418"/>
      <w:bookmarkEnd w:id="204"/>
      <w:bookmarkStart w:id="205" w:name="_Toc184313289"/>
      <w:bookmarkEnd w:id="205"/>
      <w:bookmarkStart w:id="206" w:name="_Toc184313241"/>
      <w:bookmarkEnd w:id="206"/>
      <w:bookmarkStart w:id="207" w:name="_Toc184313296"/>
      <w:bookmarkEnd w:id="207"/>
      <w:bookmarkStart w:id="208" w:name="_Toc184312099"/>
      <w:bookmarkEnd w:id="208"/>
      <w:bookmarkStart w:id="209" w:name="_Toc184308075"/>
      <w:bookmarkEnd w:id="209"/>
      <w:bookmarkStart w:id="210" w:name="_Toc184308106"/>
      <w:bookmarkEnd w:id="210"/>
      <w:bookmarkStart w:id="211" w:name="_Toc184312121"/>
      <w:bookmarkEnd w:id="211"/>
      <w:bookmarkStart w:id="212" w:name="_Toc184312091"/>
      <w:bookmarkEnd w:id="212"/>
      <w:bookmarkStart w:id="213" w:name="_Toc184314413"/>
      <w:bookmarkEnd w:id="213"/>
      <w:bookmarkStart w:id="214" w:name="_Toc184314439"/>
      <w:bookmarkEnd w:id="214"/>
      <w:bookmarkStart w:id="215" w:name="_Toc184310335"/>
      <w:bookmarkEnd w:id="215"/>
      <w:bookmarkStart w:id="216" w:name="_Toc184313264"/>
      <w:bookmarkEnd w:id="216"/>
      <w:bookmarkStart w:id="217" w:name="_Toc184310314"/>
      <w:bookmarkEnd w:id="217"/>
      <w:bookmarkStart w:id="218" w:name="_Toc184314459"/>
      <w:bookmarkEnd w:id="218"/>
      <w:bookmarkStart w:id="219" w:name="_Toc184308072"/>
      <w:bookmarkEnd w:id="219"/>
      <w:bookmarkStart w:id="220" w:name="_Toc184310326"/>
      <w:bookmarkEnd w:id="220"/>
      <w:bookmarkStart w:id="221" w:name="_Toc184308046"/>
      <w:bookmarkEnd w:id="221"/>
      <w:bookmarkStart w:id="222" w:name="_Toc184313268"/>
      <w:bookmarkEnd w:id="222"/>
      <w:bookmarkStart w:id="223" w:name="_Toc184313258"/>
      <w:bookmarkEnd w:id="223"/>
      <w:bookmarkStart w:id="224" w:name="_Toc184308042"/>
      <w:bookmarkEnd w:id="224"/>
      <w:bookmarkStart w:id="225" w:name="_Toc184312115"/>
      <w:bookmarkEnd w:id="225"/>
      <w:bookmarkStart w:id="226" w:name="_Toc184310278"/>
      <w:bookmarkEnd w:id="226"/>
      <w:bookmarkStart w:id="227" w:name="_Toc184312082"/>
      <w:bookmarkEnd w:id="227"/>
      <w:bookmarkStart w:id="228" w:name="_Toc184314448"/>
      <w:bookmarkEnd w:id="228"/>
      <w:bookmarkStart w:id="229" w:name="_Toc184308063"/>
      <w:bookmarkEnd w:id="229"/>
      <w:bookmarkStart w:id="230" w:name="_Toc184308040"/>
      <w:bookmarkEnd w:id="230"/>
      <w:bookmarkStart w:id="231" w:name="_Toc184310323"/>
      <w:bookmarkEnd w:id="231"/>
      <w:bookmarkStart w:id="232" w:name="_Toc184313291"/>
      <w:bookmarkEnd w:id="232"/>
      <w:bookmarkStart w:id="233" w:name="_Toc184313305"/>
      <w:bookmarkEnd w:id="233"/>
      <w:bookmarkStart w:id="234" w:name="_Toc184308090"/>
      <w:bookmarkEnd w:id="234"/>
      <w:bookmarkStart w:id="235" w:name="_Toc184312112"/>
      <w:bookmarkEnd w:id="235"/>
      <w:bookmarkStart w:id="236" w:name="_Toc184314440"/>
      <w:bookmarkEnd w:id="236"/>
      <w:bookmarkStart w:id="237" w:name="_Toc184314428"/>
      <w:bookmarkEnd w:id="237"/>
      <w:bookmarkStart w:id="238" w:name="_Toc184310274"/>
      <w:bookmarkEnd w:id="238"/>
      <w:bookmarkStart w:id="239" w:name="_Toc184312081"/>
      <w:bookmarkEnd w:id="239"/>
      <w:bookmarkStart w:id="240" w:name="_Toc184314456"/>
      <w:bookmarkEnd w:id="240"/>
      <w:bookmarkStart w:id="241" w:name="_Toc184308086"/>
      <w:bookmarkEnd w:id="241"/>
      <w:bookmarkStart w:id="242" w:name="_Toc184310307"/>
      <w:bookmarkEnd w:id="242"/>
      <w:bookmarkStart w:id="243" w:name="_Toc184308064"/>
      <w:bookmarkEnd w:id="243"/>
      <w:bookmarkStart w:id="244" w:name="_Toc184313250"/>
      <w:bookmarkEnd w:id="244"/>
      <w:bookmarkStart w:id="245" w:name="_Toc184308080"/>
      <w:bookmarkEnd w:id="245"/>
      <w:bookmarkStart w:id="246" w:name="_Toc184308057"/>
      <w:bookmarkEnd w:id="246"/>
      <w:bookmarkStart w:id="247" w:name="_Toc184314477"/>
      <w:bookmarkEnd w:id="247"/>
      <w:bookmarkStart w:id="248" w:name="_Toc184314473"/>
      <w:bookmarkEnd w:id="248"/>
      <w:bookmarkStart w:id="249" w:name="_Toc184313248"/>
      <w:bookmarkEnd w:id="249"/>
      <w:bookmarkStart w:id="250" w:name="_Toc184308044"/>
      <w:bookmarkEnd w:id="250"/>
      <w:bookmarkStart w:id="251" w:name="_Toc184308078"/>
      <w:bookmarkEnd w:id="251"/>
      <w:bookmarkStart w:id="252" w:name="_Toc184310277"/>
      <w:bookmarkEnd w:id="252"/>
      <w:bookmarkStart w:id="253" w:name="_Toc184310309"/>
      <w:bookmarkEnd w:id="253"/>
      <w:bookmarkStart w:id="254" w:name="_Toc184312122"/>
      <w:bookmarkEnd w:id="254"/>
      <w:bookmarkStart w:id="255" w:name="_Toc184313299"/>
      <w:bookmarkEnd w:id="255"/>
      <w:bookmarkStart w:id="256" w:name="_Toc184308056"/>
      <w:bookmarkEnd w:id="256"/>
      <w:bookmarkStart w:id="257" w:name="_Toc184312083"/>
      <w:bookmarkEnd w:id="257"/>
      <w:bookmarkStart w:id="258" w:name="_Toc184308048"/>
      <w:bookmarkEnd w:id="258"/>
      <w:bookmarkStart w:id="259" w:name="_Toc184313306"/>
      <w:bookmarkEnd w:id="259"/>
      <w:bookmarkStart w:id="260" w:name="_Toc184314435"/>
      <w:bookmarkEnd w:id="260"/>
      <w:bookmarkStart w:id="261" w:name="_Toc184308099"/>
      <w:bookmarkEnd w:id="261"/>
      <w:bookmarkStart w:id="262" w:name="_Toc184312090"/>
      <w:bookmarkEnd w:id="262"/>
      <w:bookmarkStart w:id="263" w:name="_Toc184314419"/>
      <w:bookmarkEnd w:id="263"/>
      <w:bookmarkStart w:id="264" w:name="_Toc184310276"/>
      <w:bookmarkEnd w:id="264"/>
      <w:bookmarkStart w:id="265" w:name="_Toc184312117"/>
      <w:bookmarkEnd w:id="265"/>
      <w:bookmarkStart w:id="266" w:name="_Toc184312069"/>
      <w:bookmarkEnd w:id="266"/>
      <w:bookmarkStart w:id="267" w:name="_Toc184310282"/>
      <w:bookmarkEnd w:id="267"/>
      <w:bookmarkStart w:id="268" w:name="_Toc184310343"/>
      <w:bookmarkEnd w:id="268"/>
      <w:bookmarkStart w:id="269" w:name="_Toc184310316"/>
      <w:bookmarkEnd w:id="269"/>
      <w:bookmarkStart w:id="270" w:name="_Toc184314476"/>
      <w:bookmarkEnd w:id="270"/>
      <w:bookmarkStart w:id="271" w:name="_Toc184312107"/>
      <w:bookmarkEnd w:id="271"/>
      <w:bookmarkStart w:id="272" w:name="_Toc184310338"/>
      <w:bookmarkEnd w:id="272"/>
      <w:bookmarkStart w:id="273" w:name="_Toc184308103"/>
      <w:bookmarkEnd w:id="273"/>
      <w:bookmarkStart w:id="274" w:name="_Toc184310321"/>
      <w:bookmarkEnd w:id="274"/>
      <w:bookmarkStart w:id="275" w:name="_Toc184310328"/>
      <w:bookmarkEnd w:id="275"/>
      <w:bookmarkStart w:id="276" w:name="_Toc184308037"/>
      <w:bookmarkEnd w:id="276"/>
      <w:bookmarkStart w:id="277" w:name="_Toc184312125"/>
      <w:bookmarkEnd w:id="277"/>
      <w:bookmarkStart w:id="278" w:name="_Toc184312129"/>
      <w:bookmarkEnd w:id="278"/>
      <w:bookmarkStart w:id="279" w:name="_Toc184313304"/>
      <w:bookmarkEnd w:id="279"/>
      <w:bookmarkStart w:id="280" w:name="_Toc184313287"/>
      <w:bookmarkEnd w:id="280"/>
      <w:bookmarkStart w:id="281" w:name="_Toc184310308"/>
      <w:bookmarkEnd w:id="281"/>
      <w:bookmarkStart w:id="282" w:name="_Toc184310340"/>
      <w:bookmarkEnd w:id="282"/>
      <w:bookmarkStart w:id="283" w:name="_Toc184308054"/>
      <w:bookmarkEnd w:id="283"/>
      <w:bookmarkStart w:id="284" w:name="_Toc184314481"/>
      <w:bookmarkEnd w:id="284"/>
      <w:bookmarkStart w:id="285" w:name="_Toc184308085"/>
      <w:bookmarkEnd w:id="285"/>
      <w:bookmarkStart w:id="286" w:name="_Toc184310320"/>
      <w:bookmarkEnd w:id="286"/>
      <w:bookmarkStart w:id="287" w:name="_Toc184312124"/>
      <w:bookmarkEnd w:id="287"/>
      <w:bookmarkStart w:id="288" w:name="_Toc184310317"/>
      <w:bookmarkEnd w:id="288"/>
      <w:bookmarkStart w:id="289" w:name="_Toc184308066"/>
      <w:bookmarkEnd w:id="289"/>
      <w:bookmarkStart w:id="290" w:name="_Toc184310342"/>
      <w:bookmarkEnd w:id="290"/>
      <w:bookmarkStart w:id="291" w:name="_Toc184310280"/>
      <w:bookmarkEnd w:id="291"/>
      <w:bookmarkStart w:id="292" w:name="_Toc184312119"/>
      <w:bookmarkEnd w:id="292"/>
      <w:bookmarkStart w:id="293" w:name="_Toc184314446"/>
      <w:bookmarkEnd w:id="293"/>
      <w:bookmarkStart w:id="294" w:name="_Toc184313270"/>
      <w:bookmarkEnd w:id="294"/>
      <w:bookmarkStart w:id="295" w:name="_Toc184313278"/>
      <w:bookmarkEnd w:id="295"/>
      <w:bookmarkStart w:id="296" w:name="_Toc184312137"/>
      <w:bookmarkEnd w:id="296"/>
      <w:bookmarkStart w:id="297" w:name="_Toc184313263"/>
      <w:bookmarkEnd w:id="297"/>
      <w:bookmarkStart w:id="298" w:name="_Toc184308102"/>
      <w:bookmarkEnd w:id="298"/>
      <w:bookmarkStart w:id="299" w:name="_Toc184312116"/>
      <w:bookmarkEnd w:id="299"/>
      <w:bookmarkStart w:id="300" w:name="_Toc184313292"/>
      <w:bookmarkEnd w:id="300"/>
      <w:bookmarkStart w:id="301" w:name="_Toc184308077"/>
      <w:bookmarkEnd w:id="301"/>
      <w:bookmarkStart w:id="302" w:name="_Toc184308083"/>
      <w:bookmarkEnd w:id="302"/>
      <w:bookmarkStart w:id="303" w:name="_Toc184314437"/>
      <w:bookmarkEnd w:id="303"/>
      <w:bookmarkStart w:id="304" w:name="_Toc184314441"/>
      <w:bookmarkEnd w:id="304"/>
      <w:bookmarkStart w:id="305" w:name="_Toc184314479"/>
      <w:bookmarkEnd w:id="305"/>
      <w:bookmarkStart w:id="306" w:name="_Toc184310290"/>
      <w:bookmarkEnd w:id="306"/>
      <w:bookmarkStart w:id="307" w:name="_Toc184312072"/>
      <w:bookmarkEnd w:id="307"/>
      <w:bookmarkStart w:id="308" w:name="_Toc184310313"/>
      <w:bookmarkEnd w:id="308"/>
      <w:bookmarkStart w:id="309" w:name="_Toc184308038"/>
      <w:bookmarkEnd w:id="309"/>
      <w:bookmarkStart w:id="310" w:name="_Toc184308092"/>
      <w:bookmarkEnd w:id="310"/>
      <w:bookmarkStart w:id="311" w:name="_Toc184310275"/>
      <w:bookmarkEnd w:id="311"/>
      <w:bookmarkStart w:id="312" w:name="_Toc184308051"/>
      <w:bookmarkEnd w:id="312"/>
      <w:bookmarkStart w:id="313" w:name="_Toc184313281"/>
      <w:bookmarkEnd w:id="313"/>
      <w:bookmarkStart w:id="314" w:name="_Toc184312094"/>
      <w:bookmarkEnd w:id="314"/>
      <w:bookmarkStart w:id="315" w:name="_Toc184308108"/>
      <w:bookmarkEnd w:id="315"/>
      <w:bookmarkStart w:id="316" w:name="_Toc184312102"/>
      <w:bookmarkEnd w:id="316"/>
      <w:bookmarkStart w:id="317" w:name="_Toc184313302"/>
      <w:bookmarkEnd w:id="317"/>
      <w:bookmarkStart w:id="318" w:name="_Toc184308068"/>
      <w:bookmarkEnd w:id="318"/>
      <w:bookmarkStart w:id="319" w:name="_Toc184314463"/>
      <w:bookmarkEnd w:id="319"/>
      <w:bookmarkStart w:id="320" w:name="_Toc184308076"/>
      <w:bookmarkEnd w:id="320"/>
      <w:bookmarkStart w:id="321" w:name="_Toc184312113"/>
      <w:bookmarkEnd w:id="321"/>
      <w:bookmarkStart w:id="322" w:name="_Toc184308058"/>
      <w:bookmarkEnd w:id="322"/>
      <w:bookmarkStart w:id="323" w:name="_Toc184308043"/>
      <w:bookmarkEnd w:id="323"/>
      <w:bookmarkStart w:id="324" w:name="_Toc184308091"/>
      <w:bookmarkEnd w:id="324"/>
      <w:bookmarkStart w:id="325" w:name="_Toc184308065"/>
      <w:bookmarkEnd w:id="325"/>
      <w:bookmarkStart w:id="326" w:name="_Toc184314438"/>
      <w:bookmarkEnd w:id="326"/>
      <w:bookmarkStart w:id="327" w:name="_Toc184313293"/>
      <w:bookmarkEnd w:id="327"/>
      <w:bookmarkStart w:id="328" w:name="_Toc184314444"/>
      <w:bookmarkEnd w:id="328"/>
      <w:bookmarkStart w:id="329" w:name="_Toc184308049"/>
      <w:bookmarkEnd w:id="329"/>
      <w:bookmarkStart w:id="330" w:name="_Toc184308088"/>
      <w:bookmarkEnd w:id="330"/>
      <w:bookmarkStart w:id="331" w:name="_Toc184313310"/>
      <w:bookmarkEnd w:id="331"/>
      <w:bookmarkStart w:id="332" w:name="_Toc184313303"/>
      <w:bookmarkEnd w:id="332"/>
      <w:bookmarkStart w:id="333" w:name="_Toc184308055"/>
      <w:bookmarkEnd w:id="333"/>
      <w:bookmarkStart w:id="334" w:name="_Toc184310298"/>
      <w:bookmarkEnd w:id="334"/>
      <w:bookmarkStart w:id="335" w:name="_Toc184314412"/>
      <w:bookmarkEnd w:id="335"/>
      <w:bookmarkStart w:id="336" w:name="_Toc184312132"/>
      <w:bookmarkEnd w:id="336"/>
      <w:bookmarkStart w:id="337" w:name="_Toc184314472"/>
      <w:bookmarkEnd w:id="337"/>
      <w:bookmarkStart w:id="338" w:name="_Toc184314467"/>
      <w:bookmarkEnd w:id="338"/>
      <w:bookmarkStart w:id="339" w:name="_Toc184310273"/>
      <w:bookmarkEnd w:id="339"/>
      <w:bookmarkStart w:id="340" w:name="_Toc184313271"/>
      <w:bookmarkEnd w:id="340"/>
      <w:bookmarkStart w:id="341" w:name="_Toc184312126"/>
      <w:bookmarkEnd w:id="341"/>
      <w:bookmarkStart w:id="342" w:name="_Toc184308089"/>
      <w:bookmarkEnd w:id="342"/>
      <w:bookmarkStart w:id="343" w:name="_Toc184313245"/>
      <w:bookmarkEnd w:id="343"/>
      <w:bookmarkStart w:id="344" w:name="_Toc184312079"/>
      <w:bookmarkEnd w:id="344"/>
      <w:bookmarkStart w:id="345" w:name="_Toc184308074"/>
      <w:bookmarkEnd w:id="345"/>
      <w:bookmarkStart w:id="346" w:name="_Toc184312108"/>
      <w:bookmarkEnd w:id="346"/>
      <w:bookmarkStart w:id="347" w:name="_Toc184314465"/>
      <w:bookmarkEnd w:id="347"/>
      <w:bookmarkStart w:id="348" w:name="_Toc184314451"/>
      <w:bookmarkEnd w:id="348"/>
      <w:bookmarkStart w:id="349" w:name="_Toc184308101"/>
      <w:bookmarkEnd w:id="349"/>
      <w:bookmarkStart w:id="350" w:name="_Toc184313290"/>
      <w:bookmarkEnd w:id="350"/>
      <w:bookmarkStart w:id="351" w:name="_Toc184310334"/>
      <w:bookmarkEnd w:id="351"/>
      <w:bookmarkStart w:id="352" w:name="_Toc184314414"/>
      <w:bookmarkEnd w:id="352"/>
      <w:bookmarkStart w:id="353" w:name="_Toc184310293"/>
      <w:bookmarkEnd w:id="353"/>
      <w:bookmarkStart w:id="354" w:name="_Toc184308095"/>
      <w:bookmarkEnd w:id="354"/>
      <w:bookmarkStart w:id="355" w:name="_Toc184308100"/>
      <w:bookmarkEnd w:id="355"/>
      <w:bookmarkStart w:id="356" w:name="_Toc184312123"/>
      <w:bookmarkEnd w:id="356"/>
      <w:bookmarkStart w:id="357" w:name="_Toc184308073"/>
      <w:bookmarkEnd w:id="357"/>
      <w:bookmarkStart w:id="358" w:name="_Toc184313307"/>
      <w:bookmarkEnd w:id="358"/>
      <w:bookmarkStart w:id="359" w:name="_Toc184312139"/>
      <w:bookmarkEnd w:id="359"/>
      <w:bookmarkStart w:id="360" w:name="_Toc184314432"/>
      <w:bookmarkEnd w:id="360"/>
      <w:bookmarkStart w:id="361" w:name="_Toc184312110"/>
      <w:bookmarkEnd w:id="361"/>
      <w:bookmarkStart w:id="362" w:name="_Toc184314455"/>
      <w:bookmarkEnd w:id="362"/>
      <w:bookmarkStart w:id="363" w:name="_Toc184312135"/>
      <w:bookmarkEnd w:id="363"/>
      <w:bookmarkStart w:id="364" w:name="_Toc184313243"/>
      <w:bookmarkEnd w:id="364"/>
      <w:bookmarkStart w:id="365" w:name="_Toc184308082"/>
      <w:bookmarkEnd w:id="365"/>
      <w:bookmarkStart w:id="366" w:name="_Toc184312131"/>
      <w:bookmarkEnd w:id="366"/>
      <w:bookmarkStart w:id="367" w:name="_Toc184312105"/>
      <w:bookmarkEnd w:id="367"/>
      <w:bookmarkStart w:id="368" w:name="_Toc184312127"/>
      <w:bookmarkEnd w:id="368"/>
      <w:bookmarkStart w:id="369" w:name="_Toc184312111"/>
      <w:bookmarkEnd w:id="369"/>
      <w:bookmarkStart w:id="370" w:name="_Toc184310305"/>
      <w:bookmarkEnd w:id="370"/>
      <w:bookmarkStart w:id="371" w:name="_Toc184314466"/>
      <w:bookmarkEnd w:id="371"/>
      <w:bookmarkStart w:id="372" w:name="_Toc184313261"/>
      <w:bookmarkEnd w:id="372"/>
      <w:bookmarkStart w:id="373" w:name="_Toc184313279"/>
      <w:bookmarkEnd w:id="373"/>
      <w:bookmarkStart w:id="374" w:name="_Toc184310315"/>
      <w:bookmarkEnd w:id="374"/>
      <w:bookmarkStart w:id="375" w:name="_Toc184312118"/>
      <w:bookmarkEnd w:id="375"/>
      <w:bookmarkStart w:id="376" w:name="_Toc184314450"/>
      <w:bookmarkEnd w:id="376"/>
      <w:bookmarkStart w:id="377" w:name="_Toc184308093"/>
      <w:bookmarkEnd w:id="377"/>
      <w:bookmarkStart w:id="378" w:name="_Toc184308071"/>
      <w:bookmarkEnd w:id="378"/>
      <w:bookmarkStart w:id="379" w:name="_Toc184310287"/>
      <w:bookmarkEnd w:id="379"/>
      <w:bookmarkStart w:id="380" w:name="_Toc184310284"/>
      <w:bookmarkEnd w:id="380"/>
      <w:bookmarkStart w:id="381" w:name="_Toc184313260"/>
      <w:bookmarkEnd w:id="381"/>
      <w:bookmarkStart w:id="382" w:name="_Toc184308107"/>
      <w:bookmarkEnd w:id="382"/>
      <w:bookmarkStart w:id="383" w:name="_Toc184313259"/>
      <w:bookmarkEnd w:id="383"/>
      <w:bookmarkStart w:id="384" w:name="_Toc184312085"/>
      <w:bookmarkEnd w:id="384"/>
      <w:bookmarkStart w:id="385" w:name="_Toc184308098"/>
      <w:bookmarkEnd w:id="385"/>
      <w:bookmarkStart w:id="386" w:name="_Toc184310299"/>
      <w:bookmarkEnd w:id="386"/>
      <w:bookmarkStart w:id="387" w:name="_Toc184312089"/>
      <w:bookmarkEnd w:id="387"/>
      <w:bookmarkStart w:id="388" w:name="_Toc184313308"/>
      <w:bookmarkEnd w:id="388"/>
      <w:bookmarkStart w:id="389" w:name="_Toc184314416"/>
      <w:bookmarkEnd w:id="389"/>
      <w:bookmarkStart w:id="390" w:name="_Toc184308087"/>
      <w:bookmarkEnd w:id="390"/>
      <w:bookmarkStart w:id="391" w:name="_Toc184312080"/>
      <w:bookmarkEnd w:id="391"/>
      <w:r>
        <w:rPr>
          <w:rFonts w:hint="eastAsia" w:ascii="宋体" w:hAnsi="宋体" w:cs="宋体"/>
          <w:b/>
          <w:color w:val="000000" w:themeColor="text1"/>
          <w:sz w:val="36"/>
          <w:szCs w:val="36"/>
          <w:highlight w:val="none"/>
          <w14:textFill>
            <w14:solidFill>
              <w14:schemeClr w14:val="tx1"/>
            </w14:solidFill>
          </w14:textFill>
        </w:rPr>
        <w:t>评标办法</w:t>
      </w:r>
    </w:p>
    <w:p w14:paraId="0B8C9E79">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18"/>
        <w:tblpPr w:leftFromText="180" w:rightFromText="180" w:vertAnchor="text" w:tblpXSpec="center" w:tblpY="1"/>
        <w:tblOverlap w:val="never"/>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7978"/>
        <w:gridCol w:w="688"/>
        <w:gridCol w:w="896"/>
      </w:tblGrid>
      <w:tr w14:paraId="4BC3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36" w:type="dxa"/>
            <w:vAlign w:val="center"/>
          </w:tcPr>
          <w:p w14:paraId="5A78B97C">
            <w:pPr>
              <w:spacing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序号</w:t>
            </w:r>
          </w:p>
        </w:tc>
        <w:tc>
          <w:tcPr>
            <w:tcW w:w="7978" w:type="dxa"/>
            <w:vAlign w:val="center"/>
          </w:tcPr>
          <w:p w14:paraId="39C46536">
            <w:pPr>
              <w:spacing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评分内容和标准</w:t>
            </w:r>
          </w:p>
        </w:tc>
        <w:tc>
          <w:tcPr>
            <w:tcW w:w="688" w:type="dxa"/>
            <w:vAlign w:val="center"/>
          </w:tcPr>
          <w:p w14:paraId="6316C176">
            <w:pPr>
              <w:spacing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分值区间</w:t>
            </w:r>
          </w:p>
        </w:tc>
        <w:tc>
          <w:tcPr>
            <w:tcW w:w="896" w:type="dxa"/>
            <w:vAlign w:val="center"/>
          </w:tcPr>
          <w:p w14:paraId="725858F9">
            <w:pPr>
              <w:spacing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主客观分</w:t>
            </w:r>
          </w:p>
        </w:tc>
      </w:tr>
      <w:tr w14:paraId="36A9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036" w:type="dxa"/>
            <w:vAlign w:val="center"/>
          </w:tcPr>
          <w:p w14:paraId="3B11A544">
            <w:pPr>
              <w:bidi w:val="0"/>
              <w:spacing w:line="360" w:lineRule="auto"/>
              <w:jc w:val="center"/>
              <w:rPr>
                <w:sz w:val="24"/>
                <w:szCs w:val="24"/>
              </w:rPr>
            </w:pPr>
          </w:p>
          <w:p w14:paraId="0898BF57">
            <w:pPr>
              <w:bidi w:val="0"/>
              <w:spacing w:line="360" w:lineRule="auto"/>
              <w:jc w:val="center"/>
              <w:rPr>
                <w:rFonts w:hint="eastAsia" w:eastAsia="宋体"/>
                <w:sz w:val="24"/>
                <w:szCs w:val="24"/>
                <w:lang w:val="en-US" w:eastAsia="zh-CN"/>
              </w:rPr>
            </w:pPr>
            <w:r>
              <w:rPr>
                <w:rFonts w:hint="eastAsia"/>
                <w:sz w:val="24"/>
                <w:szCs w:val="24"/>
                <w:lang w:val="en-US" w:eastAsia="zh-CN"/>
              </w:rPr>
              <w:t>1</w:t>
            </w:r>
          </w:p>
        </w:tc>
        <w:tc>
          <w:tcPr>
            <w:tcW w:w="7978" w:type="dxa"/>
            <w:vAlign w:val="center"/>
          </w:tcPr>
          <w:p w14:paraId="63C64591">
            <w:pPr>
              <w:spacing w:after="0" w:line="360" w:lineRule="auto"/>
              <w:jc w:val="both"/>
              <w:rPr>
                <w:rFonts w:hint="eastAsia" w:eastAsia="宋体"/>
                <w:color w:val="000000" w:themeColor="text1"/>
                <w:sz w:val="24"/>
                <w:szCs w:val="24"/>
                <w:highlight w:val="none"/>
                <w:lang w:val="en-US" w:eastAsia="zh-CN"/>
                <w14:textFill>
                  <w14:solidFill>
                    <w14:schemeClr w14:val="tx1"/>
                  </w14:solidFill>
                </w14:textFill>
              </w:rPr>
            </w:pPr>
            <w:r>
              <w:rPr>
                <w:rFonts w:hint="eastAsia" w:eastAsia="宋体"/>
                <w:color w:val="000000" w:themeColor="text1"/>
                <w:sz w:val="24"/>
                <w:szCs w:val="24"/>
                <w:highlight w:val="none"/>
                <w:lang w:val="en-US" w:eastAsia="zh-CN"/>
                <w14:textFill>
                  <w14:solidFill>
                    <w14:schemeClr w14:val="tx1"/>
                  </w14:solidFill>
                </w14:textFill>
              </w:rPr>
              <w:t>自2022年1月1日起至交易截止之日止（以合同签订时间为准），</w:t>
            </w:r>
            <w:r>
              <w:rPr>
                <w:rFonts w:hint="eastAsia"/>
                <w:color w:val="000000" w:themeColor="text1"/>
                <w:sz w:val="24"/>
                <w:szCs w:val="24"/>
                <w:highlight w:val="none"/>
                <w:lang w:val="en-US" w:eastAsia="zh-CN"/>
                <w14:textFill>
                  <w14:solidFill>
                    <w14:schemeClr w14:val="tx1"/>
                  </w14:solidFill>
                </w14:textFill>
              </w:rPr>
              <w:t>供应商</w:t>
            </w:r>
            <w:r>
              <w:rPr>
                <w:rFonts w:hint="eastAsia" w:eastAsia="宋体"/>
                <w:color w:val="000000" w:themeColor="text1"/>
                <w:sz w:val="24"/>
                <w:szCs w:val="24"/>
                <w:highlight w:val="none"/>
                <w:lang w:val="en-US" w:eastAsia="zh-CN"/>
                <w14:textFill>
                  <w14:solidFill>
                    <w14:schemeClr w14:val="tx1"/>
                  </w14:solidFill>
                </w14:textFill>
              </w:rPr>
              <w:t>具有</w:t>
            </w:r>
            <w:r>
              <w:rPr>
                <w:rFonts w:hint="eastAsia" w:ascii="宋体" w:hAnsi="宋体" w:eastAsia="宋体" w:cs="宋体"/>
                <w:b w:val="0"/>
                <w:bCs w:val="0"/>
                <w:color w:val="auto"/>
                <w:sz w:val="24"/>
                <w:szCs w:val="24"/>
                <w:highlight w:val="none"/>
              </w:rPr>
              <w:t>椅凳类</w:t>
            </w:r>
            <w:r>
              <w:rPr>
                <w:rFonts w:hint="eastAsia" w:eastAsia="宋体"/>
                <w:color w:val="000000" w:themeColor="text1"/>
                <w:sz w:val="24"/>
                <w:szCs w:val="24"/>
                <w:highlight w:val="none"/>
                <w:lang w:val="en-US" w:eastAsia="zh-CN"/>
                <w14:textFill>
                  <w14:solidFill>
                    <w14:schemeClr w14:val="tx1"/>
                  </w14:solidFill>
                </w14:textFill>
              </w:rPr>
              <w:t>项目业绩的，每提供一个得1分，本项最高得3分。</w:t>
            </w:r>
          </w:p>
          <w:p w14:paraId="70464DB1">
            <w:pPr>
              <w:spacing w:after="0" w:line="360" w:lineRule="auto"/>
              <w:jc w:val="both"/>
              <w:rPr>
                <w:rFonts w:hint="eastAsia" w:eastAsia="宋体"/>
                <w:color w:val="000000" w:themeColor="text1"/>
                <w:sz w:val="24"/>
                <w:szCs w:val="24"/>
                <w:highlight w:val="none"/>
                <w:lang w:val="en-US" w:eastAsia="zh-CN"/>
                <w14:textFill>
                  <w14:solidFill>
                    <w14:schemeClr w14:val="tx1"/>
                  </w14:solidFill>
                </w14:textFill>
              </w:rPr>
            </w:pPr>
            <w:r>
              <w:rPr>
                <w:rFonts w:hint="eastAsia" w:eastAsia="宋体"/>
                <w:color w:val="000000" w:themeColor="text1"/>
                <w:sz w:val="24"/>
                <w:szCs w:val="24"/>
                <w:highlight w:val="none"/>
                <w:lang w:val="en-US" w:eastAsia="zh-CN"/>
                <w14:textFill>
                  <w14:solidFill>
                    <w14:schemeClr w14:val="tx1"/>
                  </w14:solidFill>
                </w14:textFill>
              </w:rPr>
              <w:t>注：响应文件中提供中标通知书（或业绩合同）和验收证明扫描件，未提供或提供不符合要求的不得分。</w:t>
            </w:r>
          </w:p>
        </w:tc>
        <w:tc>
          <w:tcPr>
            <w:tcW w:w="688" w:type="dxa"/>
            <w:vAlign w:val="center"/>
          </w:tcPr>
          <w:p w14:paraId="6F268D78">
            <w:pPr>
              <w:spacing w:after="0" w:line="360" w:lineRule="auto"/>
              <w:ind w:left="194" w:hanging="194" w:hangingChars="81"/>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0-</w:t>
            </w:r>
            <w:r>
              <w:rPr>
                <w:rFonts w:hint="eastAsia"/>
                <w:color w:val="000000" w:themeColor="text1"/>
                <w:sz w:val="24"/>
                <w:szCs w:val="24"/>
                <w:highlight w:val="none"/>
                <w:lang w:val="en-US" w:eastAsia="zh-CN"/>
                <w14:textFill>
                  <w14:solidFill>
                    <w14:schemeClr w14:val="tx1"/>
                  </w14:solidFill>
                </w14:textFill>
              </w:rPr>
              <w:t>3</w:t>
            </w:r>
          </w:p>
        </w:tc>
        <w:tc>
          <w:tcPr>
            <w:tcW w:w="896" w:type="dxa"/>
            <w:vAlign w:val="center"/>
          </w:tcPr>
          <w:p w14:paraId="226D37A4">
            <w:pPr>
              <w:spacing w:after="0" w:line="360" w:lineRule="auto"/>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客观分</w:t>
            </w:r>
          </w:p>
        </w:tc>
      </w:tr>
      <w:tr w14:paraId="64E5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6" w:type="dxa"/>
            <w:vAlign w:val="center"/>
          </w:tcPr>
          <w:p w14:paraId="7B2E7E5A">
            <w:pPr>
              <w:bidi w:val="0"/>
              <w:spacing w:line="360" w:lineRule="auto"/>
              <w:jc w:val="center"/>
              <w:rPr>
                <w:rFonts w:hint="eastAsia" w:eastAsia="宋体"/>
                <w:sz w:val="24"/>
                <w:szCs w:val="24"/>
                <w:lang w:val="en-US" w:eastAsia="zh-CN"/>
              </w:rPr>
            </w:pPr>
            <w:r>
              <w:rPr>
                <w:rFonts w:hint="eastAsia"/>
                <w:sz w:val="24"/>
                <w:szCs w:val="24"/>
                <w:lang w:val="en-US" w:eastAsia="zh-CN"/>
              </w:rPr>
              <w:t>2</w:t>
            </w:r>
          </w:p>
        </w:tc>
        <w:tc>
          <w:tcPr>
            <w:tcW w:w="7978" w:type="dxa"/>
            <w:vAlign w:val="center"/>
          </w:tcPr>
          <w:p w14:paraId="2FB285C7">
            <w:pPr>
              <w:spacing w:after="0" w:line="360" w:lineRule="auto"/>
              <w:jc w:val="both"/>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供应商</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提供有效期内的质量管理体系（ISO9001或GB/T19001）、环境管理体系（ISO14001或GB/T24001）、职业健康安全管理体系（ISO45001或GB/T 45001）认证证书。每项符合得1分，最高得3分。（以有效证书复印件为准）</w:t>
            </w:r>
          </w:p>
          <w:p w14:paraId="50CC7755">
            <w:pPr>
              <w:spacing w:after="0" w:line="360" w:lineRule="auto"/>
              <w:jc w:val="both"/>
              <w:rPr>
                <w:rFonts w:hint="default" w:eastAsia="宋体"/>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注：提供证书复印件。</w:t>
            </w:r>
          </w:p>
        </w:tc>
        <w:tc>
          <w:tcPr>
            <w:tcW w:w="688" w:type="dxa"/>
            <w:vAlign w:val="center"/>
          </w:tcPr>
          <w:p w14:paraId="7BFD9108">
            <w:pPr>
              <w:spacing w:after="0" w:line="360" w:lineRule="auto"/>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0-</w:t>
            </w:r>
            <w:r>
              <w:rPr>
                <w:rFonts w:hint="eastAsia"/>
                <w:color w:val="000000" w:themeColor="text1"/>
                <w:sz w:val="24"/>
                <w:szCs w:val="24"/>
                <w:highlight w:val="none"/>
                <w:lang w:val="en-US" w:eastAsia="zh-CN"/>
                <w14:textFill>
                  <w14:solidFill>
                    <w14:schemeClr w14:val="tx1"/>
                  </w14:solidFill>
                </w14:textFill>
              </w:rPr>
              <w:t>3</w:t>
            </w:r>
          </w:p>
        </w:tc>
        <w:tc>
          <w:tcPr>
            <w:tcW w:w="896" w:type="dxa"/>
            <w:vAlign w:val="center"/>
          </w:tcPr>
          <w:p w14:paraId="208A526B">
            <w:pPr>
              <w:spacing w:after="0" w:line="360" w:lineRule="auto"/>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客观分</w:t>
            </w:r>
          </w:p>
        </w:tc>
      </w:tr>
      <w:tr w14:paraId="2E5F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6" w:type="dxa"/>
            <w:vAlign w:val="center"/>
          </w:tcPr>
          <w:p w14:paraId="51757FE5">
            <w:pPr>
              <w:pStyle w:val="36"/>
              <w:numPr>
                <w:ilvl w:val="0"/>
                <w:numId w:val="0"/>
              </w:numPr>
              <w:spacing w:after="0" w:line="360" w:lineRule="auto"/>
              <w:ind w:left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p>
        </w:tc>
        <w:tc>
          <w:tcPr>
            <w:tcW w:w="7978" w:type="dxa"/>
            <w:vAlign w:val="center"/>
          </w:tcPr>
          <w:p w14:paraId="46A69924">
            <w:pPr>
              <w:spacing w:after="0" w:line="360" w:lineRule="auto"/>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多层实木板检测项目：①甲醛释放限量(气候箱法)E1≦0.124mg/m3；②24h吸水厚度膨胀率≦6％；③握螺钉力：≧板面1700N，≧板边1080N；④品质属性：（挥发性有机化合物(72h)-苯、挥发性有机化合物(72h)-甲苯、挥发性有机化合物(72h)-二甲苯）未检出；⑤总挥发性有机化合物(TVOC)的释放率(72h)未检出。</w:t>
            </w:r>
          </w:p>
          <w:p w14:paraId="283B38DB">
            <w:pPr>
              <w:spacing w:after="0" w:line="360" w:lineRule="auto"/>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PP塑料检测项目：①邻苯二甲酸酯(DIBP、DBP、BBP、DEHP、DNOP、DINP、DIDP)全部为未检出；②人工气候老化(18h)：外观评价无明显变色、无粉化、无气泡、无开裂、无剥落等现象；③有害物质-多溴联苯(PBB)≤1000mg/kg；④多环芳烃未检出；⑤产品表面涂层可迁移元素的限量锑(Sb)、砷(As)、钡(Ba)、镉(Cd)、铬(Cr)、铅(Pb)、汞(Hg)、硒(Se)检测结果为未检出；⑥盐雾试验(24h)质量变化≤3％；⑦弯曲强度≥9Mpa；⑧维卡软化温度≥150℃。</w:t>
            </w:r>
          </w:p>
          <w:p w14:paraId="0B7311B7">
            <w:pPr>
              <w:spacing w:after="0" w:line="360" w:lineRule="auto"/>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钢管检测项目：①中性盐雾试验18h耐腐蚀等级达到10级；②乙酸盐雾试验18h耐腐蚀等级达到10级；③耐霉菌性等级-大毛霉达到0级；④压扁试验后：试样上不应出现裂缝或裂口，检测结果为符合；⑤铜加速乙酸盐雾试验18h耐腐蚀等级达到10级；⑥抑菌率-金黄色葡萄球菌≥99％；⑦洛氏硬度，HRB≥63；⑧I型1类热固性粉末涂料的要求：铅笔硬度(内聚破坏中擦伤)≥6H；⑨急性皮肤刺激性试验结果为无刺激性；⑨抗拉强度≥356MPa。</w:t>
            </w:r>
          </w:p>
          <w:p w14:paraId="69F9A263">
            <w:pPr>
              <w:spacing w:after="0" w:line="360" w:lineRule="auto"/>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供应商</w:t>
            </w:r>
            <w:r>
              <w:rPr>
                <w:rFonts w:hint="eastAsia"/>
                <w:color w:val="000000" w:themeColor="text1"/>
                <w:sz w:val="24"/>
                <w:szCs w:val="24"/>
                <w:highlight w:val="none"/>
                <w:lang w:val="en-US" w:eastAsia="zh-CN"/>
                <w14:textFill>
                  <w14:solidFill>
                    <w14:schemeClr w14:val="tx1"/>
                  </w14:solidFill>
                </w14:textFill>
              </w:rPr>
              <w:t>或所投产品</w:t>
            </w:r>
            <w:r>
              <w:rPr>
                <w:rFonts w:hint="eastAsia" w:ascii="宋体" w:hAnsi="宋体" w:eastAsia="宋体" w:cs="宋体"/>
                <w:color w:val="auto"/>
                <w:sz w:val="24"/>
                <w:szCs w:val="24"/>
                <w:highlight w:val="none"/>
                <w:lang w:bidi="ar"/>
              </w:rPr>
              <w:t>生产厂家</w:t>
            </w:r>
            <w:r>
              <w:rPr>
                <w:rFonts w:hint="eastAsia"/>
                <w:color w:val="000000" w:themeColor="text1"/>
                <w:sz w:val="24"/>
                <w:szCs w:val="24"/>
                <w:highlight w:val="none"/>
                <w14:textFill>
                  <w14:solidFill>
                    <w14:schemeClr w14:val="tx1"/>
                  </w14:solidFill>
                </w14:textFill>
              </w:rPr>
              <w:t>提供具备CMA资质的质量检测机构出具的检测报告扫描件</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每提供一个符合以上要求的检测报告得</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t>分。</w:t>
            </w:r>
          </w:p>
        </w:tc>
        <w:tc>
          <w:tcPr>
            <w:tcW w:w="688" w:type="dxa"/>
            <w:vAlign w:val="center"/>
          </w:tcPr>
          <w:p w14:paraId="4D2952EE">
            <w:pPr>
              <w:spacing w:after="0" w:line="360" w:lineRule="auto"/>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0-</w:t>
            </w:r>
            <w:r>
              <w:rPr>
                <w:rFonts w:hint="eastAsia"/>
                <w:color w:val="000000" w:themeColor="text1"/>
                <w:sz w:val="24"/>
                <w:szCs w:val="24"/>
                <w:highlight w:val="none"/>
                <w:lang w:val="en-US" w:eastAsia="zh-CN"/>
                <w14:textFill>
                  <w14:solidFill>
                    <w14:schemeClr w14:val="tx1"/>
                  </w14:solidFill>
                </w14:textFill>
              </w:rPr>
              <w:t>6</w:t>
            </w:r>
          </w:p>
        </w:tc>
        <w:tc>
          <w:tcPr>
            <w:tcW w:w="896" w:type="dxa"/>
            <w:vAlign w:val="center"/>
          </w:tcPr>
          <w:p w14:paraId="6F79A3B1">
            <w:pPr>
              <w:spacing w:after="0" w:line="360" w:lineRule="auto"/>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客观分</w:t>
            </w:r>
          </w:p>
        </w:tc>
      </w:tr>
      <w:tr w14:paraId="7554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6" w:type="dxa"/>
            <w:vAlign w:val="center"/>
          </w:tcPr>
          <w:p w14:paraId="26B3F303">
            <w:pPr>
              <w:pStyle w:val="36"/>
              <w:numPr>
                <w:ilvl w:val="0"/>
                <w:numId w:val="0"/>
              </w:numPr>
              <w:spacing w:after="0" w:line="360" w:lineRule="auto"/>
              <w:jc w:val="center"/>
              <w:rPr>
                <w:rFonts w:hint="eastAsia" w:eastAsia="楷体_GB2312"/>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w:t>
            </w:r>
          </w:p>
        </w:tc>
        <w:tc>
          <w:tcPr>
            <w:tcW w:w="7978" w:type="dxa"/>
            <w:vAlign w:val="center"/>
          </w:tcPr>
          <w:p w14:paraId="69FBEC30">
            <w:pPr>
              <w:autoSpaceDE w:val="0"/>
              <w:spacing w:line="360" w:lineRule="auto"/>
              <w:rPr>
                <w:rFonts w:hint="eastAsia" w:ascii="宋体" w:hAnsi="宋体" w:eastAsia="宋体" w:cs="宋体"/>
                <w:color w:val="auto"/>
                <w:sz w:val="24"/>
                <w:szCs w:val="24"/>
                <w:highlight w:val="none"/>
              </w:rPr>
            </w:pPr>
            <w:r>
              <w:rPr>
                <w:rFonts w:hint="eastAsia"/>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auto"/>
                <w:sz w:val="24"/>
                <w:szCs w:val="24"/>
                <w:highlight w:val="none"/>
                <w:lang w:bidi="ar"/>
              </w:rPr>
              <w:t>或所投产品生产厂家具有以下设备的，每个得1分，本项最高得</w:t>
            </w:r>
            <w:r>
              <w:rPr>
                <w:rFonts w:hint="eastAsia" w:ascii="宋体" w:hAnsi="宋体" w:eastAsia="宋体" w:cs="宋体"/>
                <w:color w:val="auto"/>
                <w:sz w:val="24"/>
                <w:szCs w:val="24"/>
                <w:highlight w:val="none"/>
                <w:lang w:val="en-US" w:eastAsia="zh-CN" w:bidi="ar"/>
              </w:rPr>
              <w:t>9</w:t>
            </w:r>
            <w:r>
              <w:rPr>
                <w:rFonts w:hint="eastAsia" w:ascii="宋体" w:hAnsi="宋体" w:eastAsia="宋体" w:cs="宋体"/>
                <w:color w:val="auto"/>
                <w:sz w:val="24"/>
                <w:szCs w:val="24"/>
                <w:highlight w:val="none"/>
                <w:lang w:bidi="ar"/>
              </w:rPr>
              <w:t>分:全自动激光切管机、焊机、喷涂设备、雕刻机、封边机、六面钻、弯管机、中空成型机、注塑机、中央除尘系统。</w:t>
            </w:r>
          </w:p>
          <w:p w14:paraId="73C83FEF">
            <w:pPr>
              <w:spacing w:after="0" w:line="360" w:lineRule="auto"/>
              <w:jc w:val="both"/>
              <w:rPr>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lang w:bidi="ar"/>
              </w:rPr>
              <w:t>注:</w:t>
            </w:r>
            <w:r>
              <w:rPr>
                <w:rFonts w:hint="eastAsia" w:eastAsia="宋体"/>
                <w:color w:val="000000" w:themeColor="text1"/>
                <w:sz w:val="24"/>
                <w:szCs w:val="24"/>
                <w:highlight w:val="none"/>
                <w:lang w:val="en-US" w:eastAsia="zh-CN"/>
                <w14:textFill>
                  <w14:solidFill>
                    <w14:schemeClr w14:val="tx1"/>
                  </w14:solidFill>
                </w14:textFill>
              </w:rPr>
              <w:t>响应单位</w:t>
            </w:r>
            <w:r>
              <w:rPr>
                <w:rFonts w:hint="eastAsia" w:ascii="宋体" w:hAnsi="宋体" w:eastAsia="宋体" w:cs="宋体"/>
                <w:color w:val="auto"/>
                <w:sz w:val="24"/>
                <w:szCs w:val="24"/>
                <w:highlight w:val="none"/>
                <w:lang w:bidi="ar"/>
              </w:rPr>
              <w:t>须提供相应设备的实景照片以及发票复印件（或设备租赁合同）</w:t>
            </w:r>
          </w:p>
        </w:tc>
        <w:tc>
          <w:tcPr>
            <w:tcW w:w="688" w:type="dxa"/>
            <w:vAlign w:val="center"/>
          </w:tcPr>
          <w:p w14:paraId="39AF7FE0">
            <w:pPr>
              <w:spacing w:after="0" w:line="360" w:lineRule="auto"/>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0</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9</w:t>
            </w:r>
          </w:p>
        </w:tc>
        <w:tc>
          <w:tcPr>
            <w:tcW w:w="896" w:type="dxa"/>
            <w:vAlign w:val="center"/>
          </w:tcPr>
          <w:p w14:paraId="2F75DD5F">
            <w:pPr>
              <w:spacing w:after="0" w:line="360" w:lineRule="auto"/>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客观分</w:t>
            </w:r>
          </w:p>
        </w:tc>
      </w:tr>
      <w:tr w14:paraId="5DA8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1036" w:type="dxa"/>
            <w:shd w:val="clear"/>
            <w:vAlign w:val="center"/>
          </w:tcPr>
          <w:p w14:paraId="13BCD545">
            <w:pPr>
              <w:pStyle w:val="36"/>
              <w:numPr>
                <w:ilvl w:val="0"/>
                <w:numId w:val="0"/>
              </w:numPr>
              <w:spacing w:after="0" w:line="360" w:lineRule="auto"/>
              <w:ind w:left="0" w:leftChars="0" w:firstLine="0" w:firstLineChars="0"/>
              <w:jc w:val="center"/>
              <w:rPr>
                <w:rFonts w:hint="eastAsia" w:ascii="Times New Roman" w:hAnsi="Times New Roman" w:eastAsia="楷体_GB2312" w:cs="Lucida Sans"/>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5</w:t>
            </w:r>
          </w:p>
        </w:tc>
        <w:tc>
          <w:tcPr>
            <w:tcW w:w="7978" w:type="dxa"/>
            <w:vAlign w:val="center"/>
          </w:tcPr>
          <w:p w14:paraId="4433891F">
            <w:pPr>
              <w:widowControl/>
              <w:autoSpaceDE w:val="0"/>
              <w:spacing w:line="360" w:lineRule="auto"/>
              <w:jc w:val="left"/>
              <w:rPr>
                <w:rFonts w:hint="eastAsia" w:ascii="宋体" w:hAnsi="宋体" w:eastAsia="宋体" w:cs="宋体"/>
                <w:color w:val="auto"/>
                <w:sz w:val="24"/>
                <w:szCs w:val="24"/>
                <w:highlight w:val="none"/>
                <w:lang w:bidi="ar"/>
              </w:rPr>
            </w:pPr>
            <w:r>
              <w:rPr>
                <w:rFonts w:hint="eastAsia" w:ascii="宋体" w:hAnsi="宋体" w:cs="宋体"/>
                <w:color w:val="auto"/>
                <w:sz w:val="24"/>
                <w:szCs w:val="24"/>
                <w:highlight w:val="none"/>
                <w:lang w:val="en-US" w:eastAsia="zh-CN" w:bidi="ar"/>
              </w:rPr>
              <w:t>供应商</w:t>
            </w:r>
            <w:r>
              <w:rPr>
                <w:rFonts w:hint="eastAsia" w:ascii="宋体" w:hAnsi="宋体" w:eastAsia="宋体" w:cs="宋体"/>
                <w:color w:val="auto"/>
                <w:sz w:val="24"/>
                <w:szCs w:val="24"/>
                <w:highlight w:val="none"/>
                <w:lang w:val="en-US" w:eastAsia="zh-CN" w:bidi="ar"/>
              </w:rPr>
              <w:t>提供项目实施规划方案，从①项目理解与需求分析；②可跟踪实施方案角度；③项目实施计划与进度安排角度由评审小组综合评定</w:t>
            </w:r>
            <w:r>
              <w:rPr>
                <w:rFonts w:hint="eastAsia" w:ascii="宋体" w:hAnsi="宋体" w:eastAsia="宋体" w:cs="宋体"/>
                <w:color w:val="auto"/>
                <w:sz w:val="24"/>
                <w:szCs w:val="24"/>
                <w:highlight w:val="none"/>
                <w:lang w:bidi="ar"/>
              </w:rPr>
              <w:t>。</w:t>
            </w:r>
          </w:p>
          <w:p w14:paraId="3960DDEA">
            <w:pPr>
              <w:widowControl/>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1.方案合理，可行性强，符合项目实际情况得5分；</w:t>
            </w:r>
          </w:p>
          <w:p w14:paraId="0721CC7C">
            <w:pPr>
              <w:widowControl/>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2.方案内容及范围尚需完善、可行性欠缺的得3分；</w:t>
            </w:r>
          </w:p>
          <w:p w14:paraId="39EBBFFB">
            <w:pPr>
              <w:widowControl/>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3.方案表述基本合理，针对性有待提高得1分；</w:t>
            </w:r>
          </w:p>
          <w:p w14:paraId="04474931">
            <w:pPr>
              <w:spacing w:after="0" w:line="360" w:lineRule="auto"/>
              <w:jc w:val="both"/>
              <w:rPr>
                <w:color w:val="000000" w:themeColor="text1"/>
                <w:sz w:val="24"/>
                <w:szCs w:val="24"/>
                <w:highlight w:val="none"/>
                <w14:textFill>
                  <w14:solidFill>
                    <w14:schemeClr w14:val="tx1"/>
                  </w14:solidFill>
                </w14:textFill>
              </w:rPr>
            </w:pPr>
            <w:r>
              <w:rPr>
                <w:rFonts w:hint="eastAsia" w:ascii="宋体" w:hAnsi="宋体" w:eastAsia="宋体" w:cs="宋体"/>
                <w:snapToGrid w:val="0"/>
                <w:color w:val="auto"/>
                <w:kern w:val="0"/>
                <w:sz w:val="24"/>
                <w:szCs w:val="24"/>
                <w:highlight w:val="none"/>
              </w:rPr>
              <w:t>4.未提供的得0分。</w:t>
            </w:r>
          </w:p>
        </w:tc>
        <w:tc>
          <w:tcPr>
            <w:tcW w:w="688" w:type="dxa"/>
            <w:vAlign w:val="center"/>
          </w:tcPr>
          <w:p w14:paraId="20E7CFA9">
            <w:pPr>
              <w:spacing w:after="0" w:line="360" w:lineRule="auto"/>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0</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5</w:t>
            </w:r>
          </w:p>
        </w:tc>
        <w:tc>
          <w:tcPr>
            <w:tcW w:w="896" w:type="dxa"/>
            <w:vAlign w:val="center"/>
          </w:tcPr>
          <w:p w14:paraId="6114F524">
            <w:pPr>
              <w:spacing w:after="0" w:line="360" w:lineRule="auto"/>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主观分</w:t>
            </w:r>
          </w:p>
        </w:tc>
      </w:tr>
      <w:tr w14:paraId="75F5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trPr>
        <w:tc>
          <w:tcPr>
            <w:tcW w:w="1036" w:type="dxa"/>
            <w:shd w:val="clear"/>
            <w:vAlign w:val="center"/>
          </w:tcPr>
          <w:p w14:paraId="15261F4B">
            <w:pPr>
              <w:pStyle w:val="36"/>
              <w:numPr>
                <w:ilvl w:val="0"/>
                <w:numId w:val="0"/>
              </w:numPr>
              <w:spacing w:after="0" w:line="360" w:lineRule="auto"/>
              <w:ind w:left="420" w:leftChars="0" w:hanging="420" w:firstLineChars="0"/>
              <w:jc w:val="center"/>
              <w:rPr>
                <w:rFonts w:hint="default" w:ascii="Times New Roman" w:hAnsi="Times New Roman" w:eastAsia="楷体_GB2312" w:cs="Lucida Sans"/>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6</w:t>
            </w:r>
          </w:p>
        </w:tc>
        <w:tc>
          <w:tcPr>
            <w:tcW w:w="7978" w:type="dxa"/>
            <w:vAlign w:val="center"/>
          </w:tcPr>
          <w:p w14:paraId="3B9D0EC9">
            <w:pPr>
              <w:widowControl/>
              <w:autoSpaceDE w:val="0"/>
              <w:spacing w:line="360" w:lineRule="auto"/>
              <w:jc w:val="left"/>
              <w:rPr>
                <w:rFonts w:hint="eastAsia" w:ascii="宋体" w:hAnsi="宋体" w:eastAsia="宋体" w:cs="宋体"/>
                <w:color w:val="auto"/>
                <w:sz w:val="24"/>
                <w:szCs w:val="24"/>
                <w:highlight w:val="none"/>
              </w:rPr>
            </w:pPr>
            <w:r>
              <w:rPr>
                <w:rFonts w:hint="eastAsia" w:cs="Times New Roman"/>
                <w:color w:val="auto"/>
                <w:highlight w:val="none"/>
                <w:lang w:val="en-US" w:eastAsia="zh-CN"/>
              </w:rPr>
              <w:t>供应商</w:t>
            </w:r>
            <w:r>
              <w:rPr>
                <w:rFonts w:hint="eastAsia" w:ascii="Times New Roman" w:hAnsi="Times New Roman" w:cs="Times New Roman"/>
                <w:color w:val="auto"/>
                <w:highlight w:val="none"/>
                <w:lang w:val="en-US" w:eastAsia="zh-CN"/>
              </w:rPr>
              <w:t>提供生产实施方案，从①生产进度计划；②原材料采购方案；③生产投入设备方案</w:t>
            </w:r>
            <w:r>
              <w:rPr>
                <w:rFonts w:hint="eastAsia" w:cs="Times New Roman"/>
                <w:color w:val="auto"/>
                <w:highlight w:val="none"/>
                <w:lang w:val="en-US" w:eastAsia="zh-CN"/>
              </w:rPr>
              <w:t>角度</w:t>
            </w:r>
            <w:r>
              <w:rPr>
                <w:rFonts w:hint="eastAsia" w:ascii="Times New Roman" w:hAnsi="Times New Roman" w:cs="Times New Roman"/>
                <w:color w:val="auto"/>
                <w:highlight w:val="none"/>
                <w:lang w:val="en-US" w:eastAsia="zh-CN"/>
              </w:rPr>
              <w:t>由评审小组综合评定</w:t>
            </w:r>
            <w:r>
              <w:rPr>
                <w:rFonts w:hint="eastAsia" w:ascii="宋体" w:hAnsi="宋体" w:eastAsia="宋体" w:cs="宋体"/>
                <w:color w:val="auto"/>
                <w:sz w:val="24"/>
                <w:szCs w:val="24"/>
                <w:highlight w:val="none"/>
                <w:lang w:bidi="ar"/>
              </w:rPr>
              <w:t>。</w:t>
            </w:r>
          </w:p>
          <w:p w14:paraId="64DCCB00">
            <w:pPr>
              <w:widowControl/>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1.方案合理，可行性强，符合项目实际情况得5分；</w:t>
            </w:r>
          </w:p>
          <w:p w14:paraId="5DFDD3A7">
            <w:pPr>
              <w:widowControl/>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2.方案内容及范围尚需完善、可行性欠缺的得3分；</w:t>
            </w:r>
          </w:p>
          <w:p w14:paraId="7EFE7D6E">
            <w:pPr>
              <w:widowControl/>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3.方案表述基本合理，针对性有待提高得1分；</w:t>
            </w:r>
          </w:p>
          <w:p w14:paraId="37BD4AA9">
            <w:pPr>
              <w:spacing w:after="0" w:line="360" w:lineRule="auto"/>
              <w:jc w:val="both"/>
              <w:rPr>
                <w:color w:val="000000" w:themeColor="text1"/>
                <w:sz w:val="24"/>
                <w:szCs w:val="24"/>
                <w:highlight w:val="none"/>
                <w14:textFill>
                  <w14:solidFill>
                    <w14:schemeClr w14:val="tx1"/>
                  </w14:solidFill>
                </w14:textFill>
              </w:rPr>
            </w:pPr>
            <w:r>
              <w:rPr>
                <w:rFonts w:hint="eastAsia" w:ascii="宋体" w:hAnsi="宋体" w:eastAsia="宋体" w:cs="宋体"/>
                <w:snapToGrid w:val="0"/>
                <w:color w:val="auto"/>
                <w:kern w:val="0"/>
                <w:sz w:val="24"/>
                <w:szCs w:val="24"/>
                <w:highlight w:val="none"/>
              </w:rPr>
              <w:t>4.未提供的得0分</w:t>
            </w:r>
            <w:r>
              <w:rPr>
                <w:rFonts w:hint="eastAsia" w:ascii="宋体" w:hAnsi="宋体" w:eastAsia="宋体" w:cs="宋体"/>
                <w:color w:val="auto"/>
                <w:sz w:val="24"/>
                <w:szCs w:val="24"/>
                <w:highlight w:val="none"/>
                <w:lang w:bidi="ar"/>
              </w:rPr>
              <w:t>。</w:t>
            </w:r>
          </w:p>
        </w:tc>
        <w:tc>
          <w:tcPr>
            <w:tcW w:w="688" w:type="dxa"/>
            <w:vAlign w:val="center"/>
          </w:tcPr>
          <w:p w14:paraId="2D670640">
            <w:pPr>
              <w:spacing w:after="0" w:line="360" w:lineRule="auto"/>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0</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5</w:t>
            </w:r>
          </w:p>
        </w:tc>
        <w:tc>
          <w:tcPr>
            <w:tcW w:w="896" w:type="dxa"/>
            <w:vAlign w:val="center"/>
          </w:tcPr>
          <w:p w14:paraId="74C3857B">
            <w:pPr>
              <w:spacing w:after="0" w:line="360" w:lineRule="auto"/>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主观分</w:t>
            </w:r>
          </w:p>
        </w:tc>
      </w:tr>
      <w:tr w14:paraId="29D98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1036" w:type="dxa"/>
            <w:shd w:val="clear"/>
            <w:vAlign w:val="center"/>
          </w:tcPr>
          <w:p w14:paraId="09C74B3E">
            <w:pPr>
              <w:pStyle w:val="36"/>
              <w:numPr>
                <w:ilvl w:val="0"/>
                <w:numId w:val="0"/>
              </w:numPr>
              <w:spacing w:after="0" w:line="360" w:lineRule="auto"/>
              <w:ind w:left="420" w:leftChars="0" w:hanging="420" w:firstLineChars="0"/>
              <w:jc w:val="center"/>
              <w:rPr>
                <w:rFonts w:hint="default" w:ascii="Times New Roman" w:hAnsi="Times New Roman" w:eastAsia="楷体_GB2312" w:cs="Lucida Sans"/>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7</w:t>
            </w:r>
          </w:p>
        </w:tc>
        <w:tc>
          <w:tcPr>
            <w:tcW w:w="7978" w:type="dxa"/>
            <w:vAlign w:val="center"/>
          </w:tcPr>
          <w:p w14:paraId="61551990">
            <w:pPr>
              <w:widowControl/>
              <w:autoSpaceDE w:val="0"/>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本项目所投产品生产工艺流程；出厂检验程序等质量保证体系的合理性、全面性、可执行性，进行评审</w:t>
            </w:r>
            <w:r>
              <w:rPr>
                <w:rFonts w:hint="eastAsia" w:ascii="宋体" w:hAnsi="宋体" w:eastAsia="宋体" w:cs="宋体"/>
                <w:color w:val="auto"/>
                <w:sz w:val="24"/>
                <w:szCs w:val="24"/>
                <w:highlight w:val="none"/>
                <w:lang w:bidi="ar"/>
              </w:rPr>
              <w:t>。</w:t>
            </w:r>
          </w:p>
          <w:p w14:paraId="040E4142">
            <w:pPr>
              <w:widowControl/>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1.方案合理，可行性强，符合项目实际情况得5分；</w:t>
            </w:r>
          </w:p>
          <w:p w14:paraId="7A9A5B3B">
            <w:pPr>
              <w:widowControl/>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2.方案内容及范围尚需完善、可行性欠缺的得3分；</w:t>
            </w:r>
          </w:p>
          <w:p w14:paraId="6E3B957C">
            <w:pPr>
              <w:widowControl/>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3.方案表述基本合理，针对性有待提高得1分；</w:t>
            </w:r>
          </w:p>
          <w:p w14:paraId="0BC3FA94">
            <w:pPr>
              <w:spacing w:after="0" w:line="360" w:lineRule="auto"/>
              <w:jc w:val="both"/>
              <w:rPr>
                <w:rFonts w:hint="eastAsia" w:eastAsia="仿宋"/>
                <w:color w:val="000000" w:themeColor="text1"/>
                <w:sz w:val="24"/>
                <w:szCs w:val="24"/>
                <w:highlight w:val="none"/>
                <w:lang w:eastAsia="zh-CN"/>
                <w14:textFill>
                  <w14:solidFill>
                    <w14:schemeClr w14:val="tx1"/>
                  </w14:solidFill>
                </w14:textFill>
              </w:rPr>
            </w:pPr>
            <w:r>
              <w:rPr>
                <w:rFonts w:hint="eastAsia" w:ascii="宋体" w:hAnsi="宋体" w:eastAsia="宋体" w:cs="宋体"/>
                <w:snapToGrid w:val="0"/>
                <w:color w:val="auto"/>
                <w:sz w:val="24"/>
                <w:szCs w:val="24"/>
                <w:highlight w:val="none"/>
              </w:rPr>
              <w:t>4.未提供的得0分</w:t>
            </w:r>
            <w:r>
              <w:rPr>
                <w:rFonts w:hint="eastAsia" w:ascii="宋体" w:hAnsi="宋体" w:eastAsia="宋体" w:cs="宋体"/>
                <w:color w:val="auto"/>
                <w:sz w:val="24"/>
                <w:szCs w:val="24"/>
                <w:highlight w:val="none"/>
                <w:lang w:bidi="ar"/>
              </w:rPr>
              <w:t>。</w:t>
            </w:r>
          </w:p>
        </w:tc>
        <w:tc>
          <w:tcPr>
            <w:tcW w:w="688" w:type="dxa"/>
            <w:vAlign w:val="center"/>
          </w:tcPr>
          <w:p w14:paraId="42C6F422">
            <w:pPr>
              <w:spacing w:after="0" w:line="360" w:lineRule="auto"/>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0</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5</w:t>
            </w:r>
          </w:p>
        </w:tc>
        <w:tc>
          <w:tcPr>
            <w:tcW w:w="896" w:type="dxa"/>
            <w:vAlign w:val="center"/>
          </w:tcPr>
          <w:p w14:paraId="5900F701">
            <w:pPr>
              <w:spacing w:after="0" w:line="360" w:lineRule="auto"/>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主观分</w:t>
            </w:r>
          </w:p>
        </w:tc>
      </w:tr>
      <w:tr w14:paraId="58D9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1036" w:type="dxa"/>
            <w:shd w:val="clear"/>
            <w:vAlign w:val="center"/>
          </w:tcPr>
          <w:p w14:paraId="47B3D1F1">
            <w:pPr>
              <w:pStyle w:val="36"/>
              <w:numPr>
                <w:ilvl w:val="0"/>
                <w:numId w:val="0"/>
              </w:numPr>
              <w:spacing w:after="0" w:line="360" w:lineRule="auto"/>
              <w:ind w:left="420" w:leftChars="0" w:hanging="420" w:firstLineChars="0"/>
              <w:jc w:val="center"/>
              <w:rPr>
                <w:rFonts w:hint="eastAsia" w:ascii="Times New Roman" w:hAnsi="Times New Roman" w:eastAsia="楷体_GB2312" w:cs="Lucida Sans"/>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8</w:t>
            </w:r>
          </w:p>
        </w:tc>
        <w:tc>
          <w:tcPr>
            <w:tcW w:w="7978" w:type="dxa"/>
            <w:vAlign w:val="center"/>
          </w:tcPr>
          <w:p w14:paraId="12B3BE50">
            <w:pPr>
              <w:widowControl/>
              <w:autoSpaceDE w:val="0"/>
              <w:spacing w:line="360" w:lineRule="auto"/>
              <w:jc w:val="left"/>
              <w:rPr>
                <w:rFonts w:hint="eastAsia"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供应商</w:t>
            </w:r>
            <w:r>
              <w:rPr>
                <w:rFonts w:hint="eastAsia" w:ascii="宋体" w:hAnsi="宋体" w:eastAsia="宋体" w:cs="宋体"/>
                <w:color w:val="auto"/>
                <w:sz w:val="24"/>
                <w:szCs w:val="24"/>
                <w:highlight w:val="none"/>
                <w:lang w:val="en-US" w:eastAsia="zh-CN" w:bidi="ar"/>
              </w:rPr>
              <w:t>提供品质管理管控方案，从①品管部门和品管专员配备方案；②原材料及生产环节品控方案；③成品产品品控、产品包装、运输与仓储管理角度由评审小组综合评定。</w:t>
            </w:r>
          </w:p>
          <w:p w14:paraId="60B7C959">
            <w:pPr>
              <w:widowControl/>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1.方案合理，可行性强，符合项目实际情况得5分；</w:t>
            </w:r>
          </w:p>
          <w:p w14:paraId="589E1A12">
            <w:pPr>
              <w:widowControl/>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2.方案内容及范围尚需完善、可行性欠缺的得3分；</w:t>
            </w:r>
          </w:p>
          <w:p w14:paraId="2C7F0426">
            <w:pPr>
              <w:widowControl/>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3.方案表述基本合理，针对性有待提高得1分；</w:t>
            </w:r>
          </w:p>
          <w:p w14:paraId="12A7B78A">
            <w:pPr>
              <w:spacing w:after="0" w:line="360" w:lineRule="auto"/>
              <w:jc w:val="both"/>
              <w:rPr>
                <w:rFonts w:hint="eastAsia" w:ascii="Times New Roman" w:hAnsi="Times New Roman" w:cs="Times New Roman"/>
                <w:color w:val="auto"/>
                <w:highlight w:val="none"/>
                <w:lang w:val="en-US" w:eastAsia="zh-CN"/>
              </w:rPr>
            </w:pPr>
            <w:r>
              <w:rPr>
                <w:rFonts w:hint="eastAsia" w:ascii="宋体" w:hAnsi="宋体" w:eastAsia="宋体" w:cs="宋体"/>
                <w:snapToGrid w:val="0"/>
                <w:color w:val="auto"/>
                <w:sz w:val="24"/>
                <w:szCs w:val="24"/>
                <w:highlight w:val="none"/>
              </w:rPr>
              <w:t>4.未提供的得0分</w:t>
            </w:r>
            <w:r>
              <w:rPr>
                <w:rFonts w:hint="eastAsia" w:ascii="宋体" w:hAnsi="宋体" w:eastAsia="宋体" w:cs="宋体"/>
                <w:color w:val="auto"/>
                <w:sz w:val="24"/>
                <w:szCs w:val="24"/>
                <w:highlight w:val="none"/>
                <w:lang w:bidi="ar"/>
              </w:rPr>
              <w:t>。</w:t>
            </w:r>
          </w:p>
        </w:tc>
        <w:tc>
          <w:tcPr>
            <w:tcW w:w="688" w:type="dxa"/>
            <w:shd w:val="clear" w:color="auto" w:fill="auto"/>
            <w:vAlign w:val="center"/>
          </w:tcPr>
          <w:p w14:paraId="1A2AB7A2">
            <w:pPr>
              <w:spacing w:after="0" w:line="360" w:lineRule="auto"/>
              <w:jc w:val="cente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0</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5</w:t>
            </w:r>
          </w:p>
        </w:tc>
        <w:tc>
          <w:tcPr>
            <w:tcW w:w="896" w:type="dxa"/>
            <w:shd w:val="clear" w:color="auto" w:fill="auto"/>
            <w:vAlign w:val="center"/>
          </w:tcPr>
          <w:p w14:paraId="5892C15F">
            <w:pPr>
              <w:spacing w:after="0" w:line="360" w:lineRule="auto"/>
              <w:jc w:val="center"/>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color w:val="000000" w:themeColor="text1"/>
                <w:sz w:val="24"/>
                <w:szCs w:val="24"/>
                <w:highlight w:val="none"/>
                <w14:textFill>
                  <w14:solidFill>
                    <w14:schemeClr w14:val="tx1"/>
                  </w14:solidFill>
                </w14:textFill>
              </w:rPr>
              <w:t>主观分</w:t>
            </w:r>
          </w:p>
        </w:tc>
      </w:tr>
      <w:tr w14:paraId="16E3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1036" w:type="dxa"/>
            <w:shd w:val="clear" w:color="auto" w:fill="auto"/>
            <w:vAlign w:val="center"/>
          </w:tcPr>
          <w:p w14:paraId="71CF4EAE">
            <w:pPr>
              <w:pStyle w:val="36"/>
              <w:numPr>
                <w:ilvl w:val="0"/>
                <w:numId w:val="0"/>
              </w:numPr>
              <w:spacing w:after="0" w:line="360" w:lineRule="auto"/>
              <w:ind w:left="420" w:leftChars="0" w:hanging="420" w:firstLineChars="0"/>
              <w:jc w:val="center"/>
              <w:rPr>
                <w:rFonts w:hint="eastAsia" w:ascii="Times New Roman" w:hAnsi="Times New Roman" w:eastAsia="楷体_GB2312" w:cs="Lucida Sans"/>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9</w:t>
            </w:r>
          </w:p>
        </w:tc>
        <w:tc>
          <w:tcPr>
            <w:tcW w:w="7978" w:type="dxa"/>
            <w:vAlign w:val="center"/>
          </w:tcPr>
          <w:p w14:paraId="2D15F98E">
            <w:pPr>
              <w:widowControl/>
              <w:autoSpaceDE w:val="0"/>
              <w:spacing w:line="360" w:lineRule="auto"/>
              <w:jc w:val="left"/>
              <w:rPr>
                <w:rFonts w:hint="eastAsia"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供应商</w:t>
            </w:r>
            <w:r>
              <w:rPr>
                <w:rFonts w:hint="eastAsia" w:ascii="宋体" w:hAnsi="宋体" w:eastAsia="宋体" w:cs="宋体"/>
                <w:color w:val="auto"/>
                <w:sz w:val="24"/>
                <w:szCs w:val="24"/>
                <w:highlight w:val="none"/>
                <w:lang w:val="en-US" w:eastAsia="zh-CN" w:bidi="ar"/>
              </w:rPr>
              <w:t>提供的成品运输方案情况说明包括①运货方式及人员配备；②现场分货效率性、便捷性；③运输装卸过程中安全保障措施角度由评审小组综合评定。</w:t>
            </w:r>
          </w:p>
          <w:p w14:paraId="31CCD049">
            <w:pPr>
              <w:widowControl/>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1.方案合理，可行性强，符合项目实际情况得5分；</w:t>
            </w:r>
          </w:p>
          <w:p w14:paraId="51328D7C">
            <w:pPr>
              <w:widowControl/>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2.方案内容及范围尚需完善、可行性欠缺的得3分；</w:t>
            </w:r>
          </w:p>
          <w:p w14:paraId="1CD9C080">
            <w:pPr>
              <w:widowControl/>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3.方案表述基本合理，针对性有待提高得1分；</w:t>
            </w:r>
          </w:p>
          <w:p w14:paraId="768AA8AD">
            <w:pPr>
              <w:spacing w:after="0" w:line="360" w:lineRule="auto"/>
              <w:jc w:val="both"/>
              <w:rPr>
                <w:rFonts w:hint="eastAsia" w:ascii="Times New Roman" w:hAnsi="Times New Roman" w:cs="Times New Roman"/>
                <w:color w:val="auto"/>
                <w:highlight w:val="none"/>
                <w:lang w:val="en-US" w:eastAsia="zh-CN"/>
              </w:rPr>
            </w:pPr>
            <w:r>
              <w:rPr>
                <w:rFonts w:hint="eastAsia" w:ascii="宋体" w:hAnsi="宋体" w:eastAsia="宋体" w:cs="宋体"/>
                <w:snapToGrid w:val="0"/>
                <w:color w:val="auto"/>
                <w:sz w:val="24"/>
                <w:szCs w:val="24"/>
                <w:highlight w:val="none"/>
              </w:rPr>
              <w:t>4.未提供的得0分</w:t>
            </w:r>
            <w:r>
              <w:rPr>
                <w:rFonts w:hint="eastAsia" w:ascii="宋体" w:hAnsi="宋体" w:eastAsia="宋体" w:cs="宋体"/>
                <w:color w:val="auto"/>
                <w:sz w:val="24"/>
                <w:szCs w:val="24"/>
                <w:highlight w:val="none"/>
                <w:lang w:bidi="ar"/>
              </w:rPr>
              <w:t>。</w:t>
            </w:r>
          </w:p>
        </w:tc>
        <w:tc>
          <w:tcPr>
            <w:tcW w:w="688" w:type="dxa"/>
            <w:shd w:val="clear" w:color="auto" w:fill="auto"/>
            <w:vAlign w:val="center"/>
          </w:tcPr>
          <w:p w14:paraId="0952E046">
            <w:pPr>
              <w:spacing w:after="0" w:line="360" w:lineRule="auto"/>
              <w:jc w:val="cente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0</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5</w:t>
            </w:r>
          </w:p>
        </w:tc>
        <w:tc>
          <w:tcPr>
            <w:tcW w:w="896" w:type="dxa"/>
            <w:shd w:val="clear" w:color="auto" w:fill="auto"/>
            <w:vAlign w:val="center"/>
          </w:tcPr>
          <w:p w14:paraId="037DD294">
            <w:pPr>
              <w:spacing w:after="0" w:line="360" w:lineRule="auto"/>
              <w:jc w:val="center"/>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color w:val="000000" w:themeColor="text1"/>
                <w:sz w:val="24"/>
                <w:szCs w:val="24"/>
                <w:highlight w:val="none"/>
                <w14:textFill>
                  <w14:solidFill>
                    <w14:schemeClr w14:val="tx1"/>
                  </w14:solidFill>
                </w14:textFill>
              </w:rPr>
              <w:t>主观分</w:t>
            </w:r>
          </w:p>
        </w:tc>
      </w:tr>
      <w:tr w14:paraId="2FA6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1036" w:type="dxa"/>
            <w:shd w:val="clear" w:color="auto" w:fill="auto"/>
            <w:vAlign w:val="center"/>
          </w:tcPr>
          <w:p w14:paraId="7E5E0FD4">
            <w:pPr>
              <w:pStyle w:val="36"/>
              <w:numPr>
                <w:ilvl w:val="0"/>
                <w:numId w:val="0"/>
              </w:numPr>
              <w:spacing w:after="0" w:line="360" w:lineRule="auto"/>
              <w:ind w:left="420" w:leftChars="0" w:hanging="420" w:firstLineChars="0"/>
              <w:jc w:val="center"/>
              <w:rPr>
                <w:rFonts w:hint="default" w:ascii="Times New Roman" w:hAnsi="Times New Roman" w:eastAsia="楷体_GB2312" w:cs="Lucida Sans"/>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10</w:t>
            </w:r>
          </w:p>
        </w:tc>
        <w:tc>
          <w:tcPr>
            <w:tcW w:w="7978" w:type="dxa"/>
            <w:vAlign w:val="center"/>
          </w:tcPr>
          <w:p w14:paraId="7D3E728A">
            <w:pPr>
              <w:widowControl/>
              <w:autoSpaceDE w:val="0"/>
              <w:spacing w:line="360" w:lineRule="auto"/>
              <w:jc w:val="left"/>
              <w:rPr>
                <w:rFonts w:hint="eastAsia"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供应商</w:t>
            </w:r>
            <w:r>
              <w:rPr>
                <w:rFonts w:hint="eastAsia" w:ascii="宋体" w:hAnsi="宋体" w:eastAsia="宋体" w:cs="宋体"/>
                <w:color w:val="auto"/>
                <w:sz w:val="24"/>
                <w:szCs w:val="24"/>
                <w:highlight w:val="none"/>
                <w:lang w:val="en-US" w:eastAsia="zh-CN" w:bidi="ar"/>
              </w:rPr>
              <w:t>提供安装服务实施方案，从①安装方案（落实交货及安装具体时间节点和人员安排）；②成品保护措施；③文明施措施工、安装过程管理措施角度评审小组综合评定。</w:t>
            </w:r>
          </w:p>
          <w:p w14:paraId="299395DE">
            <w:pPr>
              <w:widowControl/>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1.方案合理，可行性强，符合项目实际情况得5分；</w:t>
            </w:r>
          </w:p>
          <w:p w14:paraId="354E5F57">
            <w:pPr>
              <w:widowControl/>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2.方案内容及范围尚需完善、可行性欠缺的得3分；</w:t>
            </w:r>
          </w:p>
          <w:p w14:paraId="38872E6D">
            <w:pPr>
              <w:widowControl/>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3.方案表述基本合理，针对性有待提高得1分；</w:t>
            </w:r>
          </w:p>
          <w:p w14:paraId="12547729">
            <w:pPr>
              <w:spacing w:after="0" w:line="360" w:lineRule="auto"/>
              <w:jc w:val="both"/>
              <w:rPr>
                <w:rFonts w:hint="eastAsia" w:ascii="Times New Roman" w:hAnsi="Times New Roman" w:cs="Times New Roman"/>
                <w:color w:val="auto"/>
                <w:highlight w:val="none"/>
                <w:lang w:val="en-US" w:eastAsia="zh-CN"/>
              </w:rPr>
            </w:pPr>
            <w:r>
              <w:rPr>
                <w:rFonts w:hint="eastAsia" w:ascii="宋体" w:hAnsi="宋体" w:eastAsia="宋体" w:cs="宋体"/>
                <w:snapToGrid w:val="0"/>
                <w:color w:val="auto"/>
                <w:sz w:val="24"/>
                <w:szCs w:val="24"/>
                <w:highlight w:val="none"/>
              </w:rPr>
              <w:t>4.未提供的得0分</w:t>
            </w:r>
            <w:r>
              <w:rPr>
                <w:rFonts w:hint="eastAsia" w:ascii="宋体" w:hAnsi="宋体" w:eastAsia="宋体" w:cs="宋体"/>
                <w:color w:val="auto"/>
                <w:sz w:val="24"/>
                <w:szCs w:val="24"/>
                <w:highlight w:val="none"/>
                <w:lang w:bidi="ar"/>
              </w:rPr>
              <w:t>。</w:t>
            </w:r>
          </w:p>
        </w:tc>
        <w:tc>
          <w:tcPr>
            <w:tcW w:w="688" w:type="dxa"/>
            <w:shd w:val="clear" w:color="auto" w:fill="auto"/>
            <w:vAlign w:val="center"/>
          </w:tcPr>
          <w:p w14:paraId="0F7785A0">
            <w:pPr>
              <w:spacing w:after="0" w:line="360" w:lineRule="auto"/>
              <w:jc w:val="cente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0</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5</w:t>
            </w:r>
          </w:p>
        </w:tc>
        <w:tc>
          <w:tcPr>
            <w:tcW w:w="896" w:type="dxa"/>
            <w:shd w:val="clear" w:color="auto" w:fill="auto"/>
            <w:vAlign w:val="center"/>
          </w:tcPr>
          <w:p w14:paraId="07E11B21">
            <w:pPr>
              <w:spacing w:after="0" w:line="360" w:lineRule="auto"/>
              <w:jc w:val="center"/>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color w:val="000000" w:themeColor="text1"/>
                <w:sz w:val="24"/>
                <w:szCs w:val="24"/>
                <w:highlight w:val="none"/>
                <w14:textFill>
                  <w14:solidFill>
                    <w14:schemeClr w14:val="tx1"/>
                  </w14:solidFill>
                </w14:textFill>
              </w:rPr>
              <w:t>主观分</w:t>
            </w:r>
          </w:p>
        </w:tc>
      </w:tr>
      <w:tr w14:paraId="0E04B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36" w:type="dxa"/>
            <w:shd w:val="clear"/>
            <w:vAlign w:val="center"/>
          </w:tcPr>
          <w:p w14:paraId="52CA0A4F">
            <w:pPr>
              <w:pStyle w:val="36"/>
              <w:numPr>
                <w:ilvl w:val="0"/>
                <w:numId w:val="0"/>
              </w:numPr>
              <w:spacing w:after="0" w:line="360" w:lineRule="auto"/>
              <w:ind w:left="420" w:leftChars="0" w:hanging="420" w:firstLineChars="0"/>
              <w:jc w:val="center"/>
              <w:rPr>
                <w:rFonts w:hint="default" w:ascii="Times New Roman" w:hAnsi="Times New Roman" w:eastAsia="楷体_GB2312" w:cs="Lucida Sans"/>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11</w:t>
            </w:r>
          </w:p>
        </w:tc>
        <w:tc>
          <w:tcPr>
            <w:tcW w:w="7978" w:type="dxa"/>
            <w:vAlign w:val="center"/>
          </w:tcPr>
          <w:p w14:paraId="4062FC9F">
            <w:pPr>
              <w:widowControl/>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bidi="ar"/>
              </w:rPr>
              <w:t>供应商</w:t>
            </w:r>
            <w:r>
              <w:rPr>
                <w:rFonts w:hint="eastAsia" w:ascii="宋体" w:hAnsi="宋体" w:eastAsia="宋体" w:cs="宋体"/>
                <w:color w:val="auto"/>
                <w:sz w:val="24"/>
                <w:szCs w:val="24"/>
                <w:highlight w:val="none"/>
                <w:lang w:bidi="ar"/>
              </w:rPr>
              <w:t>在</w:t>
            </w:r>
            <w:r>
              <w:rPr>
                <w:rFonts w:hint="eastAsia" w:ascii="宋体" w:hAnsi="宋体" w:cs="宋体"/>
                <w:color w:val="auto"/>
                <w:sz w:val="24"/>
                <w:szCs w:val="24"/>
                <w:highlight w:val="none"/>
                <w:lang w:val="en-US" w:eastAsia="zh-CN" w:bidi="ar"/>
              </w:rPr>
              <w:t>响应</w:t>
            </w:r>
            <w:r>
              <w:rPr>
                <w:rFonts w:hint="eastAsia" w:ascii="宋体" w:hAnsi="宋体" w:eastAsia="宋体" w:cs="宋体"/>
                <w:color w:val="auto"/>
                <w:sz w:val="24"/>
                <w:szCs w:val="24"/>
                <w:highlight w:val="none"/>
                <w:lang w:bidi="ar"/>
              </w:rPr>
              <w:t>文件中提供售后服务方案，方案包括但不限于①售后响应时间、②售后服务方案。</w:t>
            </w:r>
            <w:r>
              <w:rPr>
                <w:rFonts w:hint="eastAsia" w:ascii="宋体" w:hAnsi="宋体" w:eastAsia="宋体" w:cs="宋体"/>
                <w:color w:val="auto"/>
                <w:sz w:val="24"/>
                <w:szCs w:val="24"/>
                <w:highlight w:val="none"/>
                <w:lang w:eastAsia="zh-CN" w:bidi="ar"/>
              </w:rPr>
              <w:t>③</w:t>
            </w:r>
            <w:r>
              <w:rPr>
                <w:rFonts w:hint="eastAsia" w:ascii="宋体" w:hAnsi="宋体" w:eastAsia="宋体" w:cs="宋体"/>
                <w:color w:val="auto"/>
                <w:sz w:val="24"/>
                <w:szCs w:val="24"/>
                <w:highlight w:val="none"/>
                <w:lang w:bidi="ar"/>
              </w:rPr>
              <w:t>专业技术人员保障</w:t>
            </w:r>
          </w:p>
          <w:p w14:paraId="4DE06E75">
            <w:pPr>
              <w:widowControl/>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1.涵盖上述所有内容且有针对本项目的详细具体的售后服务计划，服务理念和体系具体详细，售后服务水平及承诺描述等具体、切实、可行，针对性强，优于项目采购需求的，得5分。</w:t>
            </w:r>
          </w:p>
          <w:p w14:paraId="7E885772">
            <w:pPr>
              <w:widowControl/>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2.涵盖上述所有内容，但售后服务计划不够详细具体，服务理念和体系具体详细不够详细可行，售后服务水平及承诺描述等具体、切实、可行，有针对性，适合项目采购需求的，得3分；</w:t>
            </w:r>
          </w:p>
          <w:p w14:paraId="163EFC71">
            <w:pPr>
              <w:widowControl/>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3.涵盖上述所有内容，但售后服务计划不详细具体，服务理念和体系不详细，售后服务水平及承诺描述等有待改善，不能满足本项目售后服务要求，得1分。</w:t>
            </w:r>
          </w:p>
          <w:p w14:paraId="267CFC49">
            <w:pPr>
              <w:spacing w:after="0" w:line="360" w:lineRule="auto"/>
              <w:jc w:val="both"/>
              <w:rPr>
                <w:rFonts w:hint="eastAsia" w:eastAsia="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auto"/>
                <w:sz w:val="24"/>
                <w:szCs w:val="24"/>
                <w:highlight w:val="none"/>
              </w:rPr>
              <w:t>4.未提供的得0分。</w:t>
            </w:r>
          </w:p>
        </w:tc>
        <w:tc>
          <w:tcPr>
            <w:tcW w:w="688" w:type="dxa"/>
            <w:vAlign w:val="center"/>
          </w:tcPr>
          <w:p w14:paraId="3464E9B9">
            <w:pPr>
              <w:spacing w:after="0" w:line="360" w:lineRule="auto"/>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0-</w:t>
            </w:r>
            <w:r>
              <w:rPr>
                <w:rFonts w:hint="eastAsia"/>
                <w:color w:val="000000" w:themeColor="text1"/>
                <w:sz w:val="24"/>
                <w:szCs w:val="24"/>
                <w:highlight w:val="none"/>
                <w:lang w:val="en-US" w:eastAsia="zh-CN"/>
                <w14:textFill>
                  <w14:solidFill>
                    <w14:schemeClr w14:val="tx1"/>
                  </w14:solidFill>
                </w14:textFill>
              </w:rPr>
              <w:t>5</w:t>
            </w:r>
          </w:p>
        </w:tc>
        <w:tc>
          <w:tcPr>
            <w:tcW w:w="896" w:type="dxa"/>
            <w:vAlign w:val="center"/>
          </w:tcPr>
          <w:p w14:paraId="50362500">
            <w:pPr>
              <w:spacing w:after="0" w:line="360" w:lineRule="auto"/>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客观分</w:t>
            </w:r>
          </w:p>
        </w:tc>
      </w:tr>
      <w:tr w14:paraId="2CDC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6" w:type="dxa"/>
            <w:shd w:val="clear"/>
            <w:vAlign w:val="center"/>
          </w:tcPr>
          <w:p w14:paraId="0F9E8B22">
            <w:pPr>
              <w:pStyle w:val="36"/>
              <w:numPr>
                <w:ilvl w:val="0"/>
                <w:numId w:val="0"/>
              </w:numPr>
              <w:spacing w:after="0" w:line="360" w:lineRule="auto"/>
              <w:ind w:left="420" w:leftChars="0" w:hanging="420" w:firstLineChars="0"/>
              <w:jc w:val="center"/>
              <w:rPr>
                <w:rFonts w:hint="default" w:ascii="Times New Roman" w:hAnsi="Times New Roman" w:eastAsia="楷体_GB2312" w:cs="Lucida Sans"/>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12</w:t>
            </w:r>
          </w:p>
        </w:tc>
        <w:tc>
          <w:tcPr>
            <w:tcW w:w="7978" w:type="dxa"/>
            <w:vAlign w:val="center"/>
          </w:tcPr>
          <w:p w14:paraId="777526A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根据供应商所提供样品学生</w:t>
            </w:r>
            <w:r>
              <w:rPr>
                <w:rFonts w:hint="eastAsia"/>
                <w:color w:val="auto"/>
                <w:sz w:val="24"/>
                <w:szCs w:val="24"/>
                <w:highlight w:val="none"/>
              </w:rPr>
              <w:t>连体餐桌</w:t>
            </w:r>
            <w:r>
              <w:rPr>
                <w:rFonts w:hint="default"/>
                <w:color w:val="auto"/>
                <w:sz w:val="24"/>
                <w:szCs w:val="24"/>
                <w:highlight w:val="none"/>
                <w:lang w:val="en-US" w:eastAsia="zh-CN"/>
              </w:rPr>
              <w:t>1套</w:t>
            </w:r>
            <w:r>
              <w:rPr>
                <w:rFonts w:hint="eastAsia"/>
                <w:color w:val="auto"/>
                <w:sz w:val="24"/>
                <w:szCs w:val="24"/>
                <w:highlight w:val="none"/>
                <w:lang w:val="en-US" w:eastAsia="zh-CN"/>
              </w:rPr>
              <w:t>的功能性、外观、制作工艺</w:t>
            </w:r>
            <w:r>
              <w:rPr>
                <w:rFonts w:hint="default"/>
                <w:color w:val="auto"/>
                <w:sz w:val="24"/>
                <w:szCs w:val="24"/>
                <w:highlight w:val="none"/>
                <w:lang w:val="en-US" w:eastAsia="zh-CN"/>
              </w:rPr>
              <w:t>、</w:t>
            </w:r>
            <w:r>
              <w:rPr>
                <w:rFonts w:hint="eastAsia"/>
                <w:color w:val="auto"/>
                <w:sz w:val="24"/>
                <w:szCs w:val="24"/>
                <w:highlight w:val="none"/>
                <w:lang w:val="en-US" w:eastAsia="zh-CN"/>
              </w:rPr>
              <w:t>结构及安全</w:t>
            </w:r>
            <w:r>
              <w:rPr>
                <w:rFonts w:hint="default"/>
                <w:color w:val="auto"/>
                <w:sz w:val="24"/>
                <w:szCs w:val="24"/>
                <w:highlight w:val="none"/>
                <w:lang w:val="en-US" w:eastAsia="zh-CN"/>
              </w:rPr>
              <w:t>、</w:t>
            </w:r>
            <w:r>
              <w:rPr>
                <w:rFonts w:hint="eastAsia"/>
                <w:color w:val="auto"/>
                <w:sz w:val="24"/>
                <w:szCs w:val="24"/>
                <w:highlight w:val="none"/>
                <w:lang w:val="en-US" w:eastAsia="zh-CN"/>
              </w:rPr>
              <w:t>耐污性等进行评分。</w:t>
            </w:r>
          </w:p>
          <w:p w14:paraId="2C7E4CA5">
            <w:pPr>
              <w:widowControl/>
              <w:autoSpaceDE w:val="0"/>
              <w:spacing w:line="360" w:lineRule="auto"/>
              <w:jc w:val="left"/>
              <w:rPr>
                <w:rFonts w:hint="eastAsia"/>
                <w:color w:val="auto"/>
                <w:sz w:val="24"/>
                <w:szCs w:val="24"/>
                <w:highlight w:val="none"/>
                <w:lang w:val="en-US" w:eastAsia="zh-CN"/>
              </w:rPr>
            </w:pPr>
            <w:r>
              <w:rPr>
                <w:rFonts w:hint="eastAsia"/>
                <w:color w:val="auto"/>
                <w:sz w:val="24"/>
                <w:szCs w:val="24"/>
                <w:highlight w:val="none"/>
                <w:lang w:val="en-US" w:eastAsia="zh-CN"/>
              </w:rPr>
              <w:t>样品评分标准细则如下:</w:t>
            </w:r>
          </w:p>
          <w:p w14:paraId="7BB39563">
            <w:pPr>
              <w:widowControl/>
              <w:autoSpaceDE w:val="0"/>
              <w:spacing w:line="360" w:lineRule="auto"/>
              <w:jc w:val="left"/>
              <w:rPr>
                <w:rFonts w:hint="eastAsia"/>
                <w:color w:val="auto"/>
                <w:sz w:val="24"/>
                <w:szCs w:val="24"/>
                <w:highlight w:val="none"/>
                <w:lang w:val="en-US" w:eastAsia="zh-CN"/>
              </w:rPr>
            </w:pPr>
            <w:r>
              <w:rPr>
                <w:rFonts w:hint="eastAsia"/>
                <w:color w:val="auto"/>
                <w:sz w:val="24"/>
                <w:szCs w:val="24"/>
                <w:highlight w:val="none"/>
                <w:lang w:val="en-US" w:eastAsia="zh-CN"/>
              </w:rPr>
              <w:t>样品外观(5分):</w:t>
            </w:r>
          </w:p>
          <w:p w14:paraId="76AD721B">
            <w:pPr>
              <w:widowControl/>
              <w:autoSpaceDE w:val="0"/>
              <w:spacing w:line="360" w:lineRule="auto"/>
              <w:jc w:val="left"/>
              <w:rPr>
                <w:rFonts w:hint="eastAsia"/>
                <w:color w:val="auto"/>
                <w:sz w:val="24"/>
                <w:szCs w:val="24"/>
                <w:highlight w:val="none"/>
                <w:lang w:val="en-US" w:eastAsia="zh-CN"/>
              </w:rPr>
            </w:pPr>
            <w:r>
              <w:rPr>
                <w:rFonts w:hint="eastAsia"/>
                <w:color w:val="auto"/>
                <w:sz w:val="24"/>
                <w:szCs w:val="24"/>
                <w:highlight w:val="none"/>
                <w:lang w:val="en-US" w:eastAsia="zh-CN"/>
              </w:rPr>
              <w:t>1.金属件：</w:t>
            </w:r>
          </w:p>
          <w:p w14:paraId="5C59F1DF">
            <w:pPr>
              <w:widowControl/>
              <w:autoSpaceDE w:val="0"/>
              <w:spacing w:line="360" w:lineRule="auto"/>
              <w:jc w:val="left"/>
              <w:rPr>
                <w:rFonts w:hint="eastAsia"/>
                <w:color w:val="auto"/>
                <w:sz w:val="24"/>
                <w:szCs w:val="24"/>
                <w:highlight w:val="none"/>
                <w:lang w:val="en-US" w:eastAsia="zh-CN"/>
              </w:rPr>
            </w:pPr>
            <w:r>
              <w:rPr>
                <w:rFonts w:hint="eastAsia"/>
                <w:color w:val="auto"/>
                <w:sz w:val="24"/>
                <w:szCs w:val="24"/>
                <w:highlight w:val="none"/>
                <w:lang w:val="en-US" w:eastAsia="zh-CN"/>
              </w:rPr>
              <w:t>管材、焊接件、金属合金件、喷涂层应有裂缝、脱焊、锈蚀、脱色等缺陷，有缺陷的不得分，无缺陷的得1分。</w:t>
            </w:r>
          </w:p>
          <w:p w14:paraId="38C37D6C">
            <w:pPr>
              <w:widowControl/>
              <w:autoSpaceDE w:val="0"/>
              <w:spacing w:line="360" w:lineRule="auto"/>
              <w:jc w:val="left"/>
              <w:rPr>
                <w:rFonts w:hint="eastAsia"/>
                <w:color w:val="auto"/>
                <w:sz w:val="24"/>
                <w:szCs w:val="24"/>
                <w:highlight w:val="none"/>
                <w:lang w:val="en-US" w:eastAsia="zh-CN"/>
              </w:rPr>
            </w:pPr>
            <w:r>
              <w:rPr>
                <w:rFonts w:hint="eastAsia"/>
                <w:color w:val="auto"/>
                <w:sz w:val="24"/>
                <w:szCs w:val="24"/>
                <w:highlight w:val="none"/>
                <w:lang w:val="en-US" w:eastAsia="zh-CN"/>
              </w:rPr>
              <w:t>2.木制件：</w:t>
            </w:r>
          </w:p>
          <w:p w14:paraId="58010B5E">
            <w:pPr>
              <w:widowControl/>
              <w:autoSpaceDE w:val="0"/>
              <w:spacing w:line="360" w:lineRule="auto"/>
              <w:jc w:val="left"/>
              <w:rPr>
                <w:rFonts w:hint="eastAsia"/>
                <w:color w:val="auto"/>
                <w:sz w:val="24"/>
                <w:szCs w:val="24"/>
                <w:highlight w:val="none"/>
                <w:lang w:val="en-US" w:eastAsia="zh-CN"/>
              </w:rPr>
            </w:pPr>
            <w:r>
              <w:rPr>
                <w:rFonts w:hint="eastAsia"/>
                <w:color w:val="auto"/>
                <w:sz w:val="24"/>
                <w:szCs w:val="24"/>
                <w:highlight w:val="none"/>
                <w:lang w:val="en-US" w:eastAsia="zh-CN"/>
              </w:rPr>
              <w:t>有蛀虫、贯通裂缝、结合处有崩茬、薄木、塑料等材料贴面有明显透胶、脱胶、凹陷、压痕、鼓泡、胶迹等缺陷。有缺陷的不得分，无缺陷的得1分。</w:t>
            </w:r>
          </w:p>
          <w:p w14:paraId="4D5612C9">
            <w:pPr>
              <w:widowControl/>
              <w:autoSpaceDE w:val="0"/>
              <w:spacing w:line="360" w:lineRule="auto"/>
              <w:jc w:val="left"/>
              <w:rPr>
                <w:rFonts w:hint="eastAsia"/>
                <w:color w:val="auto"/>
                <w:sz w:val="24"/>
                <w:szCs w:val="24"/>
                <w:highlight w:val="none"/>
                <w:lang w:val="en-US" w:eastAsia="zh-CN"/>
              </w:rPr>
            </w:pPr>
            <w:r>
              <w:rPr>
                <w:rFonts w:hint="eastAsia"/>
                <w:color w:val="auto"/>
                <w:sz w:val="24"/>
                <w:szCs w:val="24"/>
                <w:highlight w:val="none"/>
                <w:lang w:val="en-US" w:eastAsia="zh-CN"/>
              </w:rPr>
              <w:t>3.板件外观:</w:t>
            </w:r>
          </w:p>
          <w:p w14:paraId="6EECF6BC">
            <w:pPr>
              <w:widowControl/>
              <w:autoSpaceDE w:val="0"/>
              <w:spacing w:line="360" w:lineRule="auto"/>
              <w:jc w:val="left"/>
              <w:rPr>
                <w:rFonts w:hint="eastAsia"/>
                <w:color w:val="auto"/>
                <w:sz w:val="24"/>
                <w:szCs w:val="24"/>
                <w:highlight w:val="none"/>
                <w:lang w:val="en-US" w:eastAsia="zh-CN"/>
              </w:rPr>
            </w:pPr>
            <w:r>
              <w:rPr>
                <w:rFonts w:hint="eastAsia"/>
                <w:color w:val="auto"/>
                <w:sz w:val="24"/>
                <w:szCs w:val="24"/>
                <w:highlight w:val="none"/>
                <w:lang w:val="en-US" w:eastAsia="zh-CN"/>
              </w:rPr>
              <w:t>外表有明显划痕、压痕、明显色差、鼓泡、龟裂、分层等缺陷。有缺陷的不得分，无缺陷的得1分。</w:t>
            </w:r>
          </w:p>
          <w:p w14:paraId="6AFC892C">
            <w:pPr>
              <w:widowControl/>
              <w:autoSpaceDE w:val="0"/>
              <w:spacing w:line="360" w:lineRule="auto"/>
              <w:jc w:val="left"/>
              <w:rPr>
                <w:rFonts w:hint="eastAsia"/>
                <w:color w:val="auto"/>
                <w:sz w:val="24"/>
                <w:szCs w:val="24"/>
                <w:highlight w:val="none"/>
                <w:lang w:val="en-US" w:eastAsia="zh-CN"/>
              </w:rPr>
            </w:pPr>
            <w:r>
              <w:rPr>
                <w:rFonts w:hint="eastAsia"/>
                <w:color w:val="auto"/>
                <w:sz w:val="24"/>
                <w:szCs w:val="24"/>
                <w:highlight w:val="none"/>
                <w:lang w:val="en-US" w:eastAsia="zh-CN"/>
              </w:rPr>
              <w:t>4.漆膜外观要求：</w:t>
            </w:r>
          </w:p>
          <w:p w14:paraId="62DA9CCB">
            <w:pPr>
              <w:widowControl/>
              <w:autoSpaceDE w:val="0"/>
              <w:spacing w:line="360" w:lineRule="auto"/>
              <w:jc w:val="left"/>
              <w:rPr>
                <w:rFonts w:hint="eastAsia"/>
                <w:color w:val="auto"/>
                <w:sz w:val="24"/>
                <w:szCs w:val="24"/>
                <w:highlight w:val="none"/>
                <w:lang w:val="en-US" w:eastAsia="zh-CN"/>
              </w:rPr>
            </w:pPr>
            <w:r>
              <w:rPr>
                <w:rFonts w:hint="eastAsia"/>
                <w:color w:val="auto"/>
                <w:sz w:val="24"/>
                <w:szCs w:val="24"/>
                <w:highlight w:val="none"/>
                <w:lang w:val="en-US" w:eastAsia="zh-CN"/>
              </w:rPr>
              <w:t>漆膜有褪色、掉色现象、有皱皮、发粘或漏漆现象、有粒子、涨边现象等缺陷。，有缺陷的不得分，无缺陷的得1分。</w:t>
            </w:r>
          </w:p>
          <w:p w14:paraId="0A6935F2">
            <w:pPr>
              <w:widowControl/>
              <w:autoSpaceDE w:val="0"/>
              <w:spacing w:line="360" w:lineRule="auto"/>
              <w:jc w:val="left"/>
              <w:rPr>
                <w:rFonts w:hint="eastAsia"/>
                <w:color w:val="auto"/>
                <w:sz w:val="24"/>
                <w:szCs w:val="24"/>
                <w:highlight w:val="none"/>
                <w:lang w:val="en-US" w:eastAsia="zh-CN"/>
              </w:rPr>
            </w:pPr>
            <w:r>
              <w:rPr>
                <w:rFonts w:hint="eastAsia"/>
                <w:color w:val="auto"/>
                <w:sz w:val="24"/>
                <w:szCs w:val="24"/>
                <w:highlight w:val="none"/>
                <w:lang w:val="en-US" w:eastAsia="zh-CN"/>
              </w:rPr>
              <w:t>5.塑料件:有裂纹，有明显变形，有明显缩孔、气泡、杂质、伤痕，有划痕、污渍、明显色差等缺陷。有缺陷的不得分，无缺陷的得1分。</w:t>
            </w:r>
          </w:p>
          <w:p w14:paraId="1FEB9519">
            <w:pPr>
              <w:widowControl/>
              <w:autoSpaceDE w:val="0"/>
              <w:spacing w:line="360" w:lineRule="auto"/>
              <w:jc w:val="left"/>
              <w:rPr>
                <w:rFonts w:hint="eastAsia"/>
                <w:color w:val="auto"/>
                <w:sz w:val="24"/>
                <w:szCs w:val="24"/>
                <w:highlight w:val="none"/>
                <w:lang w:val="en-US" w:eastAsia="zh-CN"/>
              </w:rPr>
            </w:pPr>
            <w:r>
              <w:rPr>
                <w:rFonts w:hint="eastAsia"/>
                <w:color w:val="auto"/>
                <w:sz w:val="24"/>
                <w:szCs w:val="24"/>
                <w:highlight w:val="none"/>
                <w:lang w:val="en-US" w:eastAsia="zh-CN"/>
              </w:rPr>
              <w:t>制作工艺(6分):</w:t>
            </w:r>
          </w:p>
          <w:p w14:paraId="3F2B960C">
            <w:pPr>
              <w:widowControl/>
              <w:autoSpaceDE w:val="0"/>
              <w:spacing w:line="360" w:lineRule="auto"/>
              <w:jc w:val="left"/>
              <w:rPr>
                <w:rFonts w:hint="eastAsia"/>
                <w:color w:val="auto"/>
                <w:sz w:val="24"/>
                <w:szCs w:val="24"/>
                <w:highlight w:val="none"/>
                <w:lang w:val="en-US" w:eastAsia="zh-CN"/>
              </w:rPr>
            </w:pPr>
            <w:r>
              <w:rPr>
                <w:rFonts w:hint="eastAsia"/>
                <w:color w:val="auto"/>
                <w:sz w:val="24"/>
                <w:szCs w:val="24"/>
                <w:highlight w:val="none"/>
                <w:lang w:val="en-US" w:eastAsia="zh-CN"/>
              </w:rPr>
              <w:t>1.人造板部件的非交接面应进行封边或涂饰处理，满足的得1分，不满足不得分。</w:t>
            </w:r>
          </w:p>
          <w:p w14:paraId="0691C73A">
            <w:pPr>
              <w:widowControl/>
              <w:autoSpaceDE w:val="0"/>
              <w:spacing w:line="360" w:lineRule="auto"/>
              <w:jc w:val="left"/>
              <w:rPr>
                <w:rFonts w:hint="eastAsia"/>
                <w:color w:val="auto"/>
                <w:sz w:val="24"/>
                <w:szCs w:val="24"/>
                <w:highlight w:val="none"/>
                <w:lang w:val="en-US" w:eastAsia="zh-CN"/>
              </w:rPr>
            </w:pPr>
            <w:r>
              <w:rPr>
                <w:rFonts w:hint="eastAsia"/>
                <w:color w:val="auto"/>
                <w:sz w:val="24"/>
                <w:szCs w:val="24"/>
                <w:highlight w:val="none"/>
                <w:lang w:val="en-US" w:eastAsia="zh-CN"/>
              </w:rPr>
              <w:t>2.板件或部件在接触人体或贮物部位不应有毛刺、刃口或棱角，满足的得1分，不满足不得分。</w:t>
            </w:r>
          </w:p>
          <w:p w14:paraId="4794A7B0">
            <w:pPr>
              <w:widowControl/>
              <w:autoSpaceDE w:val="0"/>
              <w:spacing w:line="360" w:lineRule="auto"/>
              <w:jc w:val="left"/>
              <w:rPr>
                <w:rFonts w:hint="eastAsia"/>
                <w:color w:val="auto"/>
                <w:sz w:val="24"/>
                <w:szCs w:val="24"/>
                <w:highlight w:val="none"/>
                <w:lang w:val="en-US" w:eastAsia="zh-CN"/>
              </w:rPr>
            </w:pPr>
            <w:r>
              <w:rPr>
                <w:rFonts w:hint="eastAsia"/>
                <w:color w:val="auto"/>
                <w:sz w:val="24"/>
                <w:szCs w:val="24"/>
                <w:highlight w:val="none"/>
                <w:lang w:val="en-US" w:eastAsia="zh-CN"/>
              </w:rPr>
              <w:t>3.板件或部件的外表应光滑，倒棱、圆角、圆线应均匀一致，满足的得1分，不满足不得分。</w:t>
            </w:r>
          </w:p>
          <w:p w14:paraId="46B6FB44">
            <w:pPr>
              <w:widowControl/>
              <w:autoSpaceDE w:val="0"/>
              <w:spacing w:line="360" w:lineRule="auto"/>
              <w:jc w:val="left"/>
              <w:rPr>
                <w:rFonts w:hint="eastAsia"/>
                <w:color w:val="auto"/>
                <w:sz w:val="24"/>
                <w:szCs w:val="24"/>
                <w:highlight w:val="none"/>
                <w:lang w:val="en-US" w:eastAsia="zh-CN"/>
              </w:rPr>
            </w:pPr>
            <w:r>
              <w:rPr>
                <w:rFonts w:hint="eastAsia"/>
                <w:color w:val="auto"/>
                <w:sz w:val="24"/>
                <w:szCs w:val="24"/>
                <w:highlight w:val="none"/>
                <w:lang w:val="en-US" w:eastAsia="zh-CN"/>
              </w:rPr>
              <w:t>4.零部件的结合应严密、牢固，满足的得1分，不满足不得分。</w:t>
            </w:r>
          </w:p>
          <w:p w14:paraId="43EB5592">
            <w:pPr>
              <w:widowControl/>
              <w:autoSpaceDE w:val="0"/>
              <w:spacing w:line="360" w:lineRule="auto"/>
              <w:jc w:val="left"/>
              <w:rPr>
                <w:rFonts w:hint="eastAsia"/>
                <w:color w:val="auto"/>
                <w:sz w:val="24"/>
                <w:szCs w:val="24"/>
                <w:highlight w:val="none"/>
                <w:lang w:val="en-US" w:eastAsia="zh-CN"/>
              </w:rPr>
            </w:pPr>
            <w:r>
              <w:rPr>
                <w:rFonts w:hint="eastAsia"/>
                <w:color w:val="auto"/>
                <w:sz w:val="24"/>
                <w:szCs w:val="24"/>
                <w:highlight w:val="none"/>
                <w:lang w:val="en-US" w:eastAsia="zh-CN"/>
              </w:rPr>
              <w:t>5.各种配件、连接件安装不应有少件、漏钉、透钉(预留孔、选择孔除外)，满足的得1分，不满足不得分。</w:t>
            </w:r>
          </w:p>
          <w:p w14:paraId="59BA8FD5">
            <w:pPr>
              <w:widowControl/>
              <w:autoSpaceDE w:val="0"/>
              <w:spacing w:line="360" w:lineRule="auto"/>
              <w:jc w:val="left"/>
              <w:rPr>
                <w:rFonts w:hint="eastAsia"/>
                <w:color w:val="auto"/>
                <w:sz w:val="24"/>
                <w:szCs w:val="24"/>
                <w:highlight w:val="none"/>
                <w:lang w:val="en-US" w:eastAsia="zh-CN"/>
              </w:rPr>
            </w:pPr>
            <w:r>
              <w:rPr>
                <w:rFonts w:hint="eastAsia"/>
                <w:color w:val="auto"/>
                <w:sz w:val="24"/>
                <w:szCs w:val="24"/>
                <w:highlight w:val="none"/>
                <w:lang w:val="en-US" w:eastAsia="zh-CN"/>
              </w:rPr>
              <w:t>6.各种配件安装应严密、平整、端正、牢固，结合处应无开裂或松动，满足的得1分，不满足不得分。</w:t>
            </w:r>
          </w:p>
          <w:p w14:paraId="098F75A0">
            <w:pPr>
              <w:widowControl/>
              <w:autoSpaceDE w:val="0"/>
              <w:spacing w:line="360" w:lineRule="auto"/>
              <w:jc w:val="left"/>
              <w:rPr>
                <w:rFonts w:hint="eastAsia"/>
                <w:color w:val="auto"/>
                <w:sz w:val="24"/>
                <w:szCs w:val="24"/>
                <w:highlight w:val="none"/>
                <w:lang w:val="en-US" w:eastAsia="zh-CN"/>
              </w:rPr>
            </w:pPr>
            <w:r>
              <w:rPr>
                <w:rFonts w:hint="eastAsia"/>
                <w:color w:val="auto"/>
                <w:sz w:val="24"/>
                <w:szCs w:val="24"/>
                <w:highlight w:val="none"/>
                <w:lang w:val="en-US" w:eastAsia="zh-CN"/>
              </w:rPr>
              <w:t>结构及安全(3分):</w:t>
            </w:r>
          </w:p>
          <w:p w14:paraId="577AF6EF">
            <w:pPr>
              <w:widowControl/>
              <w:autoSpaceDE w:val="0"/>
              <w:spacing w:line="360" w:lineRule="auto"/>
              <w:jc w:val="left"/>
              <w:rPr>
                <w:rFonts w:hint="eastAsia"/>
                <w:color w:val="auto"/>
                <w:sz w:val="24"/>
                <w:szCs w:val="24"/>
                <w:highlight w:val="none"/>
                <w:lang w:val="en-US" w:eastAsia="zh-CN"/>
              </w:rPr>
            </w:pPr>
            <w:r>
              <w:rPr>
                <w:rFonts w:hint="eastAsia"/>
                <w:color w:val="auto"/>
                <w:sz w:val="24"/>
                <w:szCs w:val="24"/>
                <w:highlight w:val="none"/>
                <w:lang w:val="en-US" w:eastAsia="zh-CN"/>
              </w:rPr>
              <w:t>1.所有零部件应无破损，满足的得0.5分，不满足不得分。</w:t>
            </w:r>
          </w:p>
          <w:p w14:paraId="24F2191E">
            <w:pPr>
              <w:widowControl/>
              <w:autoSpaceDE w:val="0"/>
              <w:spacing w:line="360" w:lineRule="auto"/>
              <w:jc w:val="left"/>
              <w:rPr>
                <w:rFonts w:hint="eastAsia"/>
                <w:color w:val="auto"/>
                <w:sz w:val="24"/>
                <w:szCs w:val="24"/>
                <w:highlight w:val="none"/>
                <w:lang w:val="en-US" w:eastAsia="zh-CN"/>
              </w:rPr>
            </w:pPr>
            <w:r>
              <w:rPr>
                <w:rFonts w:hint="eastAsia"/>
                <w:color w:val="auto"/>
                <w:sz w:val="24"/>
                <w:szCs w:val="24"/>
                <w:highlight w:val="none"/>
                <w:lang w:val="en-US" w:eastAsia="zh-CN"/>
              </w:rPr>
              <w:t>2.金属件应无端部未封口的管件，闷盖应不易脱落，满足的得0.5分，不满足不得分。</w:t>
            </w:r>
          </w:p>
          <w:p w14:paraId="08031899">
            <w:pPr>
              <w:widowControl/>
              <w:autoSpaceDE w:val="0"/>
              <w:spacing w:line="360" w:lineRule="auto"/>
              <w:jc w:val="left"/>
              <w:rPr>
                <w:rFonts w:hint="eastAsia"/>
                <w:color w:val="auto"/>
                <w:sz w:val="24"/>
                <w:szCs w:val="24"/>
                <w:highlight w:val="none"/>
                <w:lang w:val="en-US" w:eastAsia="zh-CN"/>
              </w:rPr>
            </w:pPr>
            <w:r>
              <w:rPr>
                <w:rFonts w:hint="eastAsia"/>
                <w:color w:val="auto"/>
                <w:sz w:val="24"/>
                <w:szCs w:val="24"/>
                <w:highlight w:val="none"/>
                <w:lang w:val="en-US" w:eastAsia="zh-CN"/>
              </w:rPr>
              <w:t>3.与人体接触的部位、存放物品的部位不应有毛刺、刃角、锐棱、透钉及其他尖锐物，满足的得0.5分，不满足不得分。</w:t>
            </w:r>
          </w:p>
          <w:p w14:paraId="1A76C5DA">
            <w:pPr>
              <w:widowControl/>
              <w:autoSpaceDE w:val="0"/>
              <w:spacing w:line="360" w:lineRule="auto"/>
              <w:jc w:val="left"/>
              <w:rPr>
                <w:rFonts w:hint="eastAsia"/>
                <w:color w:val="auto"/>
                <w:sz w:val="24"/>
                <w:szCs w:val="24"/>
                <w:highlight w:val="none"/>
                <w:lang w:val="en-US" w:eastAsia="zh-CN"/>
              </w:rPr>
            </w:pPr>
            <w:r>
              <w:rPr>
                <w:rFonts w:hint="eastAsia"/>
                <w:color w:val="auto"/>
                <w:sz w:val="24"/>
                <w:szCs w:val="24"/>
                <w:highlight w:val="none"/>
                <w:lang w:val="en-US" w:eastAsia="zh-CN"/>
              </w:rPr>
              <w:t>4.翻板装置应设有缓冲或阻尼装置，，满足的得0.5分，不满足不得分。</w:t>
            </w:r>
          </w:p>
          <w:p w14:paraId="7A97A30C">
            <w:pPr>
              <w:widowControl/>
              <w:autoSpaceDE w:val="0"/>
              <w:spacing w:line="360" w:lineRule="auto"/>
              <w:jc w:val="left"/>
              <w:rPr>
                <w:rFonts w:hint="eastAsia"/>
                <w:color w:val="auto"/>
                <w:sz w:val="24"/>
                <w:szCs w:val="24"/>
                <w:highlight w:val="none"/>
                <w:lang w:val="en-US" w:eastAsia="zh-CN"/>
              </w:rPr>
            </w:pPr>
            <w:r>
              <w:rPr>
                <w:rFonts w:hint="eastAsia"/>
                <w:color w:val="auto"/>
                <w:sz w:val="24"/>
                <w:szCs w:val="24"/>
                <w:highlight w:val="none"/>
                <w:lang w:val="en-US" w:eastAsia="zh-CN"/>
              </w:rPr>
              <w:t>5.某些可能造成伤害的部件，应不可能被接触到，除非使用专门的拆卸工具。课桌椅应不可能被随意拆卸，除非使用专门的拆卸工具；满足的得0.5分，不满足不得分。</w:t>
            </w:r>
          </w:p>
          <w:p w14:paraId="1FD0DC99">
            <w:pPr>
              <w:spacing w:after="0" w:line="360" w:lineRule="auto"/>
              <w:jc w:val="both"/>
              <w:rPr>
                <w:color w:val="000000" w:themeColor="text1"/>
                <w:sz w:val="24"/>
                <w:szCs w:val="24"/>
                <w:highlight w:val="none"/>
                <w14:textFill>
                  <w14:solidFill>
                    <w14:schemeClr w14:val="tx1"/>
                  </w14:solidFill>
                </w14:textFill>
              </w:rPr>
            </w:pPr>
            <w:r>
              <w:rPr>
                <w:rFonts w:hint="eastAsia"/>
                <w:color w:val="auto"/>
                <w:sz w:val="24"/>
                <w:szCs w:val="24"/>
                <w:highlight w:val="none"/>
                <w:lang w:val="en-US" w:eastAsia="zh-CN"/>
              </w:rPr>
              <w:t>6.使用润滑油的部件应适当遮盖，所有无覆盖的孔洞直径应≤5mm或≥25mm。，满足的得0.5分，不满足不得分。</w:t>
            </w:r>
          </w:p>
        </w:tc>
        <w:tc>
          <w:tcPr>
            <w:tcW w:w="688" w:type="dxa"/>
            <w:vAlign w:val="center"/>
          </w:tcPr>
          <w:p w14:paraId="68E587B3">
            <w:pPr>
              <w:spacing w:after="0" w:line="360" w:lineRule="auto"/>
              <w:jc w:val="center"/>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0</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14</w:t>
            </w:r>
          </w:p>
        </w:tc>
        <w:tc>
          <w:tcPr>
            <w:tcW w:w="896" w:type="dxa"/>
            <w:vAlign w:val="center"/>
          </w:tcPr>
          <w:p w14:paraId="68264FC0">
            <w:pPr>
              <w:spacing w:after="0" w:line="360" w:lineRule="auto"/>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主观分</w:t>
            </w:r>
          </w:p>
        </w:tc>
      </w:tr>
    </w:tbl>
    <w:p w14:paraId="2226334B">
      <w:pPr>
        <w:spacing w:line="360" w:lineRule="auto"/>
        <w:rPr>
          <w:rFonts w:hint="eastAsia" w:cs="仿宋_GB2312"/>
          <w:b/>
          <w:color w:val="000000" w:themeColor="text1"/>
          <w:highlight w:val="none"/>
          <w14:textFill>
            <w14:solidFill>
              <w14:schemeClr w14:val="tx1"/>
            </w14:solidFill>
          </w14:textFill>
        </w:rPr>
      </w:pPr>
    </w:p>
    <w:p w14:paraId="2563CBB2">
      <w:pPr>
        <w:spacing w:line="360" w:lineRule="auto"/>
        <w:rPr>
          <w:rFonts w:cs="仿宋_GB2312"/>
          <w:b/>
          <w:color w:val="000000" w:themeColor="text1"/>
          <w:sz w:val="24"/>
          <w:szCs w:val="24"/>
          <w:highlight w:val="none"/>
          <w14:textFill>
            <w14:solidFill>
              <w14:schemeClr w14:val="tx1"/>
            </w14:solidFill>
          </w14:textFill>
        </w:rPr>
      </w:pPr>
      <w:r>
        <w:rPr>
          <w:rFonts w:hint="eastAsia" w:cs="仿宋_GB2312"/>
          <w:b/>
          <w:color w:val="000000" w:themeColor="text1"/>
          <w:sz w:val="24"/>
          <w:szCs w:val="24"/>
          <w:highlight w:val="none"/>
          <w14:textFill>
            <w14:solidFill>
              <w14:schemeClr w14:val="tx1"/>
            </w14:solidFill>
          </w14:textFill>
        </w:rPr>
        <w:t>价格分（3</w:t>
      </w:r>
      <w:r>
        <w:rPr>
          <w:rFonts w:hint="eastAsia" w:cs="仿宋_GB2312"/>
          <w:b/>
          <w:color w:val="000000" w:themeColor="text1"/>
          <w:sz w:val="24"/>
          <w:szCs w:val="24"/>
          <w:highlight w:val="none"/>
          <w:lang w:val="en-US" w:eastAsia="zh-CN"/>
          <w14:textFill>
            <w14:solidFill>
              <w14:schemeClr w14:val="tx1"/>
            </w14:solidFill>
          </w14:textFill>
        </w:rPr>
        <w:t>0</w:t>
      </w:r>
      <w:r>
        <w:rPr>
          <w:rFonts w:hint="eastAsia" w:cs="仿宋_GB2312"/>
          <w:b/>
          <w:color w:val="000000" w:themeColor="text1"/>
          <w:sz w:val="24"/>
          <w:szCs w:val="24"/>
          <w:highlight w:val="none"/>
          <w14:textFill>
            <w14:solidFill>
              <w14:schemeClr w14:val="tx1"/>
            </w14:solidFill>
          </w14:textFill>
        </w:rPr>
        <w:t>分）</w:t>
      </w:r>
    </w:p>
    <w:tbl>
      <w:tblPr>
        <w:tblStyle w:val="18"/>
        <w:tblW w:w="10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540"/>
        <w:gridCol w:w="5253"/>
        <w:gridCol w:w="846"/>
        <w:gridCol w:w="1013"/>
      </w:tblGrid>
      <w:tr w14:paraId="0824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46" w:type="dxa"/>
            <w:vAlign w:val="center"/>
          </w:tcPr>
          <w:p w14:paraId="0EABB74D">
            <w:pPr>
              <w:spacing w:after="0"/>
              <w:jc w:val="center"/>
              <w:rPr>
                <w:color w:val="000000" w:themeColor="text1"/>
                <w:sz w:val="24"/>
                <w:szCs w:val="24"/>
                <w:highlight w:val="none"/>
                <w14:textFill>
                  <w14:solidFill>
                    <w14:schemeClr w14:val="tx1"/>
                  </w14:solidFill>
                </w14:textFill>
              </w:rPr>
            </w:pPr>
            <w:r>
              <w:rPr>
                <w:rFonts w:hint="eastAsia" w:cs="仿宋_GB2312"/>
                <w:color w:val="000000" w:themeColor="text1"/>
                <w:sz w:val="24"/>
                <w:szCs w:val="24"/>
                <w:highlight w:val="none"/>
                <w14:textFill>
                  <w14:solidFill>
                    <w14:schemeClr w14:val="tx1"/>
                  </w14:solidFill>
                </w14:textFill>
              </w:rPr>
              <w:t>价格分</w:t>
            </w:r>
          </w:p>
        </w:tc>
        <w:tc>
          <w:tcPr>
            <w:tcW w:w="2540" w:type="dxa"/>
            <w:vAlign w:val="center"/>
          </w:tcPr>
          <w:p w14:paraId="75744FCA">
            <w:pPr>
              <w:spacing w:after="0"/>
              <w:jc w:val="center"/>
              <w:rPr>
                <w:color w:val="000000" w:themeColor="text1"/>
                <w:sz w:val="24"/>
                <w:szCs w:val="24"/>
                <w:highlight w:val="none"/>
                <w14:textFill>
                  <w14:solidFill>
                    <w14:schemeClr w14:val="tx1"/>
                  </w14:solidFill>
                </w14:textFill>
              </w:rPr>
            </w:pPr>
            <w:r>
              <w:rPr>
                <w:rFonts w:hint="eastAsia" w:cs="仿宋_GB2312"/>
                <w:color w:val="000000" w:themeColor="text1"/>
                <w:sz w:val="24"/>
                <w:szCs w:val="24"/>
                <w:highlight w:val="none"/>
                <w14:textFill>
                  <w14:solidFill>
                    <w14:schemeClr w14:val="tx1"/>
                  </w14:solidFill>
                </w14:textFill>
              </w:rPr>
              <w:t>价格权值</w:t>
            </w:r>
          </w:p>
        </w:tc>
        <w:tc>
          <w:tcPr>
            <w:tcW w:w="5253" w:type="dxa"/>
            <w:vAlign w:val="center"/>
          </w:tcPr>
          <w:p w14:paraId="64D9519E">
            <w:pPr>
              <w:bidi w:val="0"/>
              <w:jc w:val="left"/>
              <w:rPr>
                <w:sz w:val="24"/>
                <w:szCs w:val="24"/>
              </w:rPr>
            </w:pPr>
            <w:r>
              <w:rPr>
                <w:rFonts w:hint="eastAsia"/>
                <w:sz w:val="24"/>
                <w:szCs w:val="24"/>
              </w:rPr>
              <w:t>价格分采用低价优先法计算，即满足</w:t>
            </w:r>
            <w:r>
              <w:rPr>
                <w:rFonts w:hint="eastAsia"/>
                <w:sz w:val="24"/>
                <w:szCs w:val="24"/>
                <w:lang w:eastAsia="zh-CN"/>
              </w:rPr>
              <w:t>交易文件</w:t>
            </w:r>
            <w:r>
              <w:rPr>
                <w:rFonts w:hint="eastAsia"/>
                <w:sz w:val="24"/>
                <w:szCs w:val="24"/>
              </w:rPr>
              <w:t>要求且投标价格最低的投标报价为评标基准价，其价格分为满分。</w:t>
            </w:r>
          </w:p>
          <w:p w14:paraId="576F9262">
            <w:pPr>
              <w:bidi w:val="0"/>
              <w:jc w:val="left"/>
              <w:rPr>
                <w:color w:val="000000" w:themeColor="text1"/>
                <w:sz w:val="24"/>
                <w:szCs w:val="24"/>
                <w:highlight w:val="none"/>
                <w14:textFill>
                  <w14:solidFill>
                    <w14:schemeClr w14:val="tx1"/>
                  </w14:solidFill>
                </w14:textFill>
              </w:rPr>
            </w:pPr>
            <w:r>
              <w:rPr>
                <w:rFonts w:hint="eastAsia"/>
                <w:sz w:val="24"/>
                <w:szCs w:val="24"/>
              </w:rPr>
              <w:t>其他</w:t>
            </w:r>
            <w:r>
              <w:rPr>
                <w:rFonts w:hint="eastAsia"/>
                <w:sz w:val="24"/>
                <w:szCs w:val="24"/>
                <w:lang w:eastAsia="zh-CN"/>
              </w:rPr>
              <w:t>供应商</w:t>
            </w:r>
            <w:r>
              <w:rPr>
                <w:rFonts w:hint="eastAsia"/>
                <w:sz w:val="24"/>
                <w:szCs w:val="24"/>
              </w:rPr>
              <w:t>的价格分统一按下列公式计算：投标报价得分=（评标基准价/投标报价）×30%×100；计算结果保留至小数点后两位。</w:t>
            </w:r>
          </w:p>
        </w:tc>
        <w:tc>
          <w:tcPr>
            <w:tcW w:w="846" w:type="dxa"/>
            <w:vAlign w:val="center"/>
          </w:tcPr>
          <w:p w14:paraId="5103549E">
            <w:pPr>
              <w:spacing w:after="0"/>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3</w:t>
            </w:r>
            <w:r>
              <w:rPr>
                <w:rFonts w:hint="eastAsia"/>
                <w:color w:val="000000" w:themeColor="text1"/>
                <w:sz w:val="24"/>
                <w:szCs w:val="24"/>
                <w:highlight w:val="none"/>
                <w:lang w:val="en-US" w:eastAsia="zh-CN"/>
                <w14:textFill>
                  <w14:solidFill>
                    <w14:schemeClr w14:val="tx1"/>
                  </w14:solidFill>
                </w14:textFill>
              </w:rPr>
              <w:t>0</w:t>
            </w:r>
          </w:p>
        </w:tc>
        <w:tc>
          <w:tcPr>
            <w:tcW w:w="1013" w:type="dxa"/>
            <w:vAlign w:val="center"/>
          </w:tcPr>
          <w:p w14:paraId="3B25AF6D">
            <w:pPr>
              <w:spacing w:after="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价格分</w:t>
            </w:r>
          </w:p>
        </w:tc>
      </w:tr>
    </w:tbl>
    <w:p w14:paraId="6483F004">
      <w:pPr>
        <w:pStyle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备注：</w:t>
      </w:r>
    </w:p>
    <w:p w14:paraId="5924C689">
      <w:pPr>
        <w:pStyle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1、</w:t>
      </w:r>
      <w:bookmarkStart w:id="392" w:name="OLE_LINK12"/>
      <w:bookmarkStart w:id="393" w:name="OLE_LINK11"/>
      <w:r>
        <w:rPr>
          <w:rFonts w:hint="eastAsia" w:asciiTheme="minorEastAsia" w:hAnsiTheme="minorEastAsia" w:eastAsiaTheme="minorEastAsia" w:cstheme="minorEastAsia"/>
          <w:color w:val="auto"/>
          <w:sz w:val="24"/>
        </w:rPr>
        <w:t>评分条款中涉及的业绩、荣誉、人员、社保等均应提供本公司的，母公司</w:t>
      </w:r>
      <w:bookmarkEnd w:id="392"/>
      <w:bookmarkEnd w:id="393"/>
      <w:r>
        <w:rPr>
          <w:rFonts w:hint="eastAsia" w:asciiTheme="minorEastAsia" w:hAnsiTheme="minorEastAsia" w:eastAsiaTheme="minorEastAsia" w:cstheme="minorEastAsia"/>
          <w:color w:val="auto"/>
          <w:sz w:val="24"/>
        </w:rPr>
        <w:t>、分公司等均无效。</w:t>
      </w:r>
    </w:p>
    <w:p w14:paraId="296A6313">
      <w:pPr>
        <w:widowControl/>
        <w:numPr>
          <w:ilvl w:val="0"/>
          <w:numId w:val="0"/>
        </w:num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响应文件中如附有外文资料，必须逐一对应翻译成中文并加盖供应商公章后</w:t>
      </w:r>
      <w:r>
        <w:rPr>
          <w:rFonts w:hint="eastAsia" w:asciiTheme="minorEastAsia" w:hAnsiTheme="minorEastAsia" w:eastAsiaTheme="minorEastAsia" w:cstheme="minorEastAsia"/>
          <w:sz w:val="24"/>
        </w:rPr>
        <w:t>附在相关外文资料后面，否则外文资料不予认可。翻译的中文资料与外文资料不符的，均不予认可。翻译严重错误的，将视同提供虚假资料。</w:t>
      </w:r>
    </w:p>
    <w:p w14:paraId="3BF4F62F">
      <w:pPr>
        <w:pStyle w:val="3"/>
        <w:rPr>
          <w:color w:val="000000" w:themeColor="text1"/>
          <w:highlight w:val="none"/>
          <w:shd w:val="clear" w:color="auto" w:fill="FFFFFF"/>
          <w14:textFill>
            <w14:solidFill>
              <w14:schemeClr w14:val="tx1"/>
            </w14:solidFill>
          </w14:textFill>
        </w:rPr>
      </w:pPr>
      <w:r>
        <w:rPr>
          <w:color w:val="000000" w:themeColor="text1"/>
          <w:highlight w:val="none"/>
          <w:shd w:val="clear" w:color="auto" w:fill="FFFFFF"/>
          <w14:textFill>
            <w14:solidFill>
              <w14:schemeClr w14:val="tx1"/>
            </w14:solidFill>
          </w14:textFill>
        </w:rPr>
        <w:br w:type="page"/>
      </w:r>
    </w:p>
    <w:bookmarkEnd w:id="26"/>
    <w:p w14:paraId="4322334E">
      <w:pPr>
        <w:rPr>
          <w:rFonts w:hint="eastAsia" w:asciiTheme="minorEastAsia" w:hAnsiTheme="minorEastAsia" w:eastAsiaTheme="minorEastAsia" w:cstheme="minorEastAsia"/>
          <w:b/>
          <w:sz w:val="28"/>
          <w:szCs w:val="28"/>
        </w:rPr>
      </w:pPr>
      <w:bookmarkStart w:id="394" w:name="第五部分"/>
      <w:bookmarkStart w:id="395" w:name="_Toc86217003"/>
      <w:r>
        <w:rPr>
          <w:rFonts w:hint="eastAsia" w:asciiTheme="minorEastAsia" w:hAnsiTheme="minorEastAsia" w:eastAsiaTheme="minorEastAsia" w:cstheme="minorEastAsia"/>
          <w:b/>
          <w:sz w:val="32"/>
        </w:rPr>
        <w:t>一、评标方法</w:t>
      </w:r>
    </w:p>
    <w:p w14:paraId="0C0204D2">
      <w:pPr>
        <w:adjustRightInd/>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1.本项目采用综合评分法。</w:t>
      </w:r>
      <w:r>
        <w:rPr>
          <w:rFonts w:hint="eastAsia" w:asciiTheme="minorEastAsia" w:hAnsiTheme="minorEastAsia" w:eastAsiaTheme="minorEastAsia" w:cstheme="minorEastAsia"/>
          <w:kern w:val="0"/>
          <w:sz w:val="24"/>
        </w:rPr>
        <w:t>综合评分法，是指响应文件满足交易文件全部实质性要求，且按照评审因素的量化指标评审得分最高的供应商为成交候选人的评标方法。</w:t>
      </w:r>
    </w:p>
    <w:p w14:paraId="08258459">
      <w:pPr>
        <w:adjustRightInd/>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sz w:val="32"/>
        </w:rPr>
        <w:t>二、评标标准</w:t>
      </w:r>
    </w:p>
    <w:p w14:paraId="015EC362">
      <w:pPr>
        <w:spacing w:line="360" w:lineRule="auto"/>
        <w:ind w:firstLine="472" w:firstLineChars="196"/>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sz w:val="24"/>
        </w:rPr>
        <w:t>评标标准：</w:t>
      </w:r>
      <w:r>
        <w:rPr>
          <w:rFonts w:hint="eastAsia" w:asciiTheme="minorEastAsia" w:hAnsiTheme="minorEastAsia" w:eastAsiaTheme="minorEastAsia" w:cstheme="minorEastAsia"/>
          <w:kern w:val="0"/>
          <w:sz w:val="24"/>
        </w:rPr>
        <w:t>见评标办法前附表。</w:t>
      </w:r>
    </w:p>
    <w:p w14:paraId="5B644D9A">
      <w:pPr>
        <w:spacing w:line="360" w:lineRule="auto"/>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三、评标程序</w:t>
      </w:r>
    </w:p>
    <w:p w14:paraId="24329E93">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3.1符合性审查。</w:t>
      </w:r>
      <w:r>
        <w:rPr>
          <w:rFonts w:hint="eastAsia" w:asciiTheme="minorEastAsia" w:hAnsiTheme="minorEastAsia" w:eastAsiaTheme="minorEastAsia" w:cstheme="minorEastAsia"/>
          <w:kern w:val="0"/>
          <w:sz w:val="24"/>
        </w:rPr>
        <w:t>评标委员会应当对符合资格的供应商的响应文件进行符合性审查，以确定其是否满足交易文件的实质性要求。不满足交易文件的实质性要求的，交易无效。</w:t>
      </w:r>
    </w:p>
    <w:p w14:paraId="570E2254">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3.2 比较与评价。</w:t>
      </w:r>
      <w:r>
        <w:rPr>
          <w:rFonts w:hint="eastAsia" w:asciiTheme="minorEastAsia" w:hAnsiTheme="minorEastAsia" w:eastAsiaTheme="minorEastAsia" w:cstheme="minorEastAsia"/>
          <w:kern w:val="0"/>
          <w:sz w:val="24"/>
        </w:rPr>
        <w:t>评标委员会应当按照交易文件中规定的评标方法和标准，对符合性审查合格的响应文件进行商务和技术评估，综合比较与评价。</w:t>
      </w:r>
    </w:p>
    <w:p w14:paraId="111EB940">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3.3汇总商务技术得分。</w:t>
      </w:r>
      <w:r>
        <w:rPr>
          <w:rFonts w:hint="eastAsia" w:asciiTheme="minorEastAsia" w:hAnsiTheme="minorEastAsia" w:eastAsiaTheme="minorEastAsia" w:cstheme="minorEastAsia"/>
          <w:kern w:val="0"/>
          <w:sz w:val="24"/>
        </w:rPr>
        <w:t>评标委员会各成员应当独立对每个供应商的商务和技术文件进行评价，并汇总商务技术得分情况。</w:t>
      </w:r>
    </w:p>
    <w:p w14:paraId="24A271BA">
      <w:pPr>
        <w:spacing w:line="360" w:lineRule="auto"/>
        <w:ind w:firstLine="472" w:firstLineChars="196"/>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3.4报价评审。</w:t>
      </w:r>
    </w:p>
    <w:p w14:paraId="5CFE1195">
      <w:pPr>
        <w:pStyle w:val="22"/>
        <w:spacing w:before="0"/>
        <w:ind w:firstLine="508" w:firstLineChars="21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3.4.1响应文件报价出现前后不一致的，按照下列规定修正：</w:t>
      </w:r>
    </w:p>
    <w:p w14:paraId="1443064B">
      <w:pPr>
        <w:pStyle w:val="22"/>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3.4.1.1响应文件中交易一览表(报价表)内容与响应文件中相应内容不一致的，以交易一览表(报价表)为准;</w:t>
      </w:r>
    </w:p>
    <w:p w14:paraId="7EE563F9">
      <w:pPr>
        <w:pStyle w:val="22"/>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3.4.1.2大写金额和小写金额不一致的，以大写金额为准;</w:t>
      </w:r>
    </w:p>
    <w:p w14:paraId="50F8BE46">
      <w:pPr>
        <w:pStyle w:val="22"/>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3.4.1.3单价金额小数点或者百分比有明显错位的，以交易一览表的总价为准，并修改单价;</w:t>
      </w:r>
    </w:p>
    <w:p w14:paraId="59CF2FB2">
      <w:pPr>
        <w:pStyle w:val="22"/>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3.4.1.4总价金额与按单价汇总金额不一致的，以单价金额计算结果为准。</w:t>
      </w:r>
    </w:p>
    <w:p w14:paraId="47645522">
      <w:pPr>
        <w:pStyle w:val="22"/>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3.4.1.5同时出现两种以上不一致的，按照3.4.1规定的顺序修正。修正后的报价按照财政部第87号令 《政府采购货物和服务招标投标管理办法》第五十一条第二款的规定经供应商确认后产生约束力。</w:t>
      </w:r>
    </w:p>
    <w:p w14:paraId="3AB2B284">
      <w:pPr>
        <w:snapToGrid w:val="0"/>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3.4.2响应文件出现不是唯一的、有选择性相应报价的，交易无效。</w:t>
      </w:r>
    </w:p>
    <w:p w14:paraId="147A9412">
      <w:pPr>
        <w:snapToGrid w:val="0"/>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3.4.3响应报价超过交易文件中规定的预算金额或者最高限价的，交易无效。</w:t>
      </w:r>
    </w:p>
    <w:p w14:paraId="465ED50C">
      <w:pPr>
        <w:pStyle w:val="22"/>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响应处理。</w:t>
      </w:r>
    </w:p>
    <w:p w14:paraId="7FAACA21">
      <w:pPr>
        <w:spacing w:line="360" w:lineRule="auto"/>
        <w:ind w:firstLine="482"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3.5排序与推荐。</w:t>
      </w:r>
      <w:r>
        <w:rPr>
          <w:rFonts w:hint="eastAsia" w:asciiTheme="minorEastAsia" w:hAnsiTheme="minorEastAsia" w:eastAsiaTheme="minorEastAsia" w:cstheme="minorEastAsia"/>
          <w:kern w:val="0"/>
          <w:sz w:val="24"/>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2398C78F">
      <w:pPr>
        <w:spacing w:line="360" w:lineRule="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1BE8ACFF">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3.6编写评标报告。</w:t>
      </w:r>
      <w:r>
        <w:rPr>
          <w:rFonts w:hint="eastAsia" w:asciiTheme="minorEastAsia" w:hAnsiTheme="minorEastAsia" w:eastAsiaTheme="minorEastAsia" w:cs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AF86A57">
      <w:pPr>
        <w:widowControl/>
        <w:shd w:val="clear" w:color="auto" w:fill="FFFFFF"/>
        <w:adjustRightInd/>
        <w:spacing w:after="225" w:line="315" w:lineRule="atLeast"/>
        <w:jc w:val="left"/>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四、评标中的其他事项</w:t>
      </w:r>
    </w:p>
    <w:p w14:paraId="041E6550">
      <w:pPr>
        <w:pStyle w:val="22"/>
        <w:spacing w:before="0"/>
        <w:ind w:firstLine="472" w:firstLineChars="196"/>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b/>
          <w:kern w:val="0"/>
          <w:szCs w:val="24"/>
        </w:rPr>
        <w:t>4.1供应商澄清、说明或者补正。</w:t>
      </w:r>
      <w:r>
        <w:rPr>
          <w:rFonts w:hint="eastAsia" w:asciiTheme="minorEastAsia" w:hAnsiTheme="minorEastAsia" w:eastAsiaTheme="minorEastAsia" w:cstheme="minorEastAsia"/>
          <w:kern w:val="0"/>
          <w:szCs w:val="24"/>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4812C02">
      <w:pPr>
        <w:pStyle w:val="9"/>
        <w:spacing w:line="360" w:lineRule="auto"/>
        <w:ind w:left="954" w:leftChars="226" w:hanging="479"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kern w:val="0"/>
        </w:rPr>
        <w:t>4.2交易无效。</w:t>
      </w:r>
      <w:r>
        <w:rPr>
          <w:rFonts w:hint="eastAsia" w:asciiTheme="minorEastAsia" w:hAnsiTheme="minorEastAsia" w:eastAsiaTheme="minorEastAsia" w:cstheme="minorEastAsia"/>
          <w:szCs w:val="21"/>
        </w:rPr>
        <w:t>有下列情形之一的，交易无效：</w:t>
      </w:r>
    </w:p>
    <w:p w14:paraId="54356399">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4.2.1供应商不具备交易文件中规定的资格要求的（供应商未提供有效的资格文件的，视为供应商不具备交易文件中规定的资格要求）；</w:t>
      </w:r>
    </w:p>
    <w:p w14:paraId="746C0E69">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4.2.2响应文件未按照交易文件要求签署、盖章的；</w:t>
      </w:r>
    </w:p>
    <w:p w14:paraId="68957065">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4.2.3响应文件含有采购人不能接受的附加条件的；</w:t>
      </w:r>
    </w:p>
    <w:p w14:paraId="731245DE">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4.2.4响应文件中承诺的交易有效期少于交易文件中载明的交易有效期的；</w:t>
      </w:r>
    </w:p>
    <w:p w14:paraId="42D99C27">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4.2.5响应文件出现不是唯一的、有选择性响应报价的;</w:t>
      </w:r>
    </w:p>
    <w:p w14:paraId="396417E5">
      <w:pPr>
        <w:snapToGrid w:val="0"/>
        <w:spacing w:line="360" w:lineRule="auto"/>
        <w:ind w:firstLine="120" w:firstLineChars="5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4.2.6响应报价超过交易文件中规定的预算金额或者最高限价的;</w:t>
      </w:r>
    </w:p>
    <w:p w14:paraId="5CC6A23C">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4.2.7报价明显低于其他通过符合性审查供应商的报价，有可能影响产品质量或者不能诚信履约的，未能按要求提供书面说明或者提交相关证明材料，不能证明其报价合理性的;</w:t>
      </w:r>
    </w:p>
    <w:p w14:paraId="7716A241">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4.2.8供应商对根据修正原则修正后的报价不确认的；</w:t>
      </w:r>
    </w:p>
    <w:p w14:paraId="5EEA2AE0">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4.2.9供应商提供虚假材料响应的；</w:t>
      </w:r>
    </w:p>
    <w:p w14:paraId="7DD6DF38">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4.2.10供应商有恶意串通、妨碍其他供应商的竞争行为、损害采购人或者其他供应商的合法权益情形的；</w:t>
      </w:r>
    </w:p>
    <w:p w14:paraId="79E1E78E">
      <w:pPr>
        <w:spacing w:line="360" w:lineRule="auto"/>
        <w:ind w:firstLine="240" w:firstLineChars="1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4.2.11供应商仅提交备份响应文件，未在电子交易平台传输递交响应文件的，交易无效；</w:t>
      </w:r>
    </w:p>
    <w:p w14:paraId="785646D8">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4.2.12响应文件不满足交易文件的其它实质性要求的；</w:t>
      </w:r>
    </w:p>
    <w:p w14:paraId="5784888A">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4.2.13 法律、法规、规章（适用本市的）及省级以上规范性文件（适用本市的）规定的其他无效情形。</w:t>
      </w:r>
    </w:p>
    <w:p w14:paraId="6063E586">
      <w:pPr>
        <w:pStyle w:val="9"/>
        <w:snapToGrid w:val="0"/>
        <w:spacing w:line="360" w:lineRule="auto"/>
        <w:ind w:firstLine="472" w:firstLineChars="196"/>
        <w:rPr>
          <w:rFonts w:hint="eastAsia" w:asciiTheme="minorEastAsia" w:hAnsiTheme="minorEastAsia" w:eastAsiaTheme="minorEastAsia" w:cstheme="minorEastAsia"/>
        </w:rPr>
      </w:pPr>
      <w:r>
        <w:rPr>
          <w:rFonts w:hint="eastAsia" w:asciiTheme="minorEastAsia" w:hAnsiTheme="minorEastAsia" w:eastAsiaTheme="minorEastAsia" w:cstheme="minorEastAsia"/>
          <w:b/>
        </w:rPr>
        <w:t>5.废标。</w:t>
      </w:r>
      <w:r>
        <w:rPr>
          <w:rFonts w:hint="eastAsia" w:asciiTheme="minorEastAsia" w:hAnsiTheme="minorEastAsia" w:eastAsiaTheme="minorEastAsia" w:cstheme="minorEastAsia"/>
        </w:rPr>
        <w:t>在采购中，出现下列情形之一的，应予废标：</w:t>
      </w:r>
    </w:p>
    <w:p w14:paraId="3871FDAC">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5.1符合专业条件的供应商或者对交易文件作实质响应的供应商不足3家的；</w:t>
      </w:r>
    </w:p>
    <w:p w14:paraId="54F59D57">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5.2出现影响采购公正的违法、违规行为的；</w:t>
      </w:r>
    </w:p>
    <w:p w14:paraId="42E22879">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5.3供应商的报价均超过了采购预算，采购人不能支付的；</w:t>
      </w:r>
    </w:p>
    <w:p w14:paraId="6C514FE1">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5.4因重大变故，采购任务取消的。</w:t>
      </w:r>
    </w:p>
    <w:p w14:paraId="7818ED3E">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废标后，采购机构应当将废标理由通知所有供应商。</w:t>
      </w:r>
    </w:p>
    <w:p w14:paraId="35D46F26">
      <w:pPr>
        <w:pStyle w:val="9"/>
        <w:snapToGrid w:val="0"/>
        <w:spacing w:line="360" w:lineRule="auto"/>
        <w:ind w:firstLine="590" w:firstLineChars="245"/>
        <w:rPr>
          <w:rFonts w:hint="eastAsia" w:asciiTheme="minorEastAsia" w:hAnsiTheme="minorEastAsia" w:eastAsiaTheme="minorEastAsia" w:cstheme="minorEastAsia"/>
        </w:rPr>
      </w:pPr>
      <w:r>
        <w:rPr>
          <w:rFonts w:hint="eastAsia" w:asciiTheme="minorEastAsia" w:hAnsiTheme="minorEastAsia" w:eastAsiaTheme="minorEastAsia" w:cstheme="minorEastAsia"/>
          <w:b/>
        </w:rPr>
        <w:t>6.修改交易文件，重新组织采购活动。</w:t>
      </w:r>
      <w:r>
        <w:rPr>
          <w:rFonts w:hint="eastAsia" w:asciiTheme="minorEastAsia" w:hAnsiTheme="minorEastAsia" w:eastAsiaTheme="minorEastAsia" w:cstheme="minorEastAsia"/>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38A56200">
      <w:pPr>
        <w:pStyle w:val="9"/>
        <w:snapToGrid w:val="0"/>
        <w:spacing w:line="360" w:lineRule="auto"/>
        <w:ind w:firstLine="590" w:firstLineChars="245"/>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rPr>
        <w:t>7.重新开展采购。</w:t>
      </w:r>
      <w:r>
        <w:rPr>
          <w:rFonts w:hint="eastAsia" w:asciiTheme="minorEastAsia" w:hAnsiTheme="minorEastAsia" w:eastAsiaTheme="minorEastAsia" w:cstheme="minorEastAsia"/>
        </w:rPr>
        <w:t>有影响或者可能影响成交、成交结果的，依照下列规定处理：</w:t>
      </w:r>
    </w:p>
    <w:p w14:paraId="0DF56872">
      <w:pPr>
        <w:pStyle w:val="9"/>
        <w:snapToGrid w:val="0"/>
        <w:spacing w:line="360" w:lineRule="auto"/>
        <w:ind w:firstLine="600"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rPr>
        <w:t>7.1未确定成交或者成交人的，终止本次采购活动，重新开展采购活动。</w:t>
      </w:r>
    </w:p>
    <w:p w14:paraId="568F105B">
      <w:pPr>
        <w:pStyle w:val="9"/>
        <w:snapToGrid w:val="0"/>
        <w:spacing w:line="360" w:lineRule="auto"/>
        <w:ind w:firstLine="600"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rPr>
        <w:t>7.2已确定成交或者成交人但尚未签订采购合同的，成交或者成交结果无效，从合格的成交或者成交候选人中另行确定成交或者成交人；没有合格的成交或者成交候选人的，重新开展采购活动。</w:t>
      </w:r>
    </w:p>
    <w:p w14:paraId="2EF24F7A">
      <w:pPr>
        <w:pStyle w:val="9"/>
        <w:snapToGrid w:val="0"/>
        <w:spacing w:line="360" w:lineRule="auto"/>
        <w:ind w:firstLine="600"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rPr>
        <w:t>7.3采购合同已签订但尚未履行的，撤销合同，从合格的成交或者成交候选人中另行确定成交或者成交人；没有合格的成交或者成交候选人的，重新开展采购活动。</w:t>
      </w:r>
    </w:p>
    <w:p w14:paraId="1271C054">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7.4采购合同已经履行，给采购人、供应商造成损失的，由责任人承担赔偿责任。</w:t>
      </w:r>
    </w:p>
    <w:p w14:paraId="42584A79">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7.5采购当事人有其他违反相关</w:t>
      </w:r>
      <w:r>
        <w:rPr>
          <w:rFonts w:hint="eastAsia" w:asciiTheme="minorEastAsia" w:hAnsiTheme="minorEastAsia" w:eastAsiaTheme="minorEastAsia" w:cstheme="minorEastAsia"/>
          <w:kern w:val="0"/>
        </w:rPr>
        <w:t>法律法规规定</w:t>
      </w:r>
      <w:r>
        <w:rPr>
          <w:rFonts w:hint="eastAsia" w:asciiTheme="minorEastAsia" w:hAnsiTheme="minorEastAsia" w:eastAsiaTheme="minorEastAsia" w:cstheme="minorEastAsia"/>
        </w:rPr>
        <w:t>的行为，经改正后仍然影响或者可能影响成交、成交结果或者依法被认定为成交、成交无效的，依照7.1-7.4规定处理。</w:t>
      </w:r>
    </w:p>
    <w:p w14:paraId="06A9ADB4">
      <w:pP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0E49E5C4">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6F2C6AFA">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14:paraId="26DC14EA">
      <w:pPr>
        <w:spacing w:line="480" w:lineRule="auto"/>
        <w:jc w:val="center"/>
        <w:rPr>
          <w:rFonts w:ascii="宋体" w:hAnsi="宋体" w:cs="宋体"/>
          <w:b/>
          <w:color w:val="000000" w:themeColor="text1"/>
          <w:sz w:val="28"/>
          <w:szCs w:val="28"/>
          <w:highlight w:val="none"/>
          <w14:textFill>
            <w14:solidFill>
              <w14:schemeClr w14:val="tx1"/>
            </w14:solidFill>
          </w14:textFill>
        </w:rPr>
      </w:pPr>
    </w:p>
    <w:p w14:paraId="4CD0ED3E">
      <w:pPr>
        <w:spacing w:line="480" w:lineRule="auto"/>
        <w:jc w:val="center"/>
        <w:rPr>
          <w:rFonts w:ascii="宋体" w:hAnsi="宋体" w:cs="宋体"/>
          <w:b/>
          <w:color w:val="000000" w:themeColor="text1"/>
          <w:sz w:val="24"/>
          <w:highlight w:val="none"/>
          <w14:textFill>
            <w14:solidFill>
              <w14:schemeClr w14:val="tx1"/>
            </w14:solidFill>
          </w14:textFill>
        </w:rPr>
      </w:pPr>
    </w:p>
    <w:p w14:paraId="0561320D">
      <w:pPr>
        <w:spacing w:line="480" w:lineRule="auto"/>
        <w:jc w:val="center"/>
        <w:rPr>
          <w:rFonts w:ascii="宋体" w:hAnsi="宋体" w:cs="宋体"/>
          <w:b/>
          <w:color w:val="000000" w:themeColor="text1"/>
          <w:sz w:val="24"/>
          <w:highlight w:val="none"/>
          <w14:textFill>
            <w14:solidFill>
              <w14:schemeClr w14:val="tx1"/>
            </w14:solidFill>
          </w14:textFill>
        </w:rPr>
      </w:pPr>
    </w:p>
    <w:p w14:paraId="19D113EC">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3FAB8948">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（货物类）</w:t>
      </w:r>
    </w:p>
    <w:p w14:paraId="343468B6">
      <w:pPr>
        <w:pStyle w:val="29"/>
        <w:rPr>
          <w:rFonts w:ascii="宋体" w:hAnsi="宋体" w:cs="宋体"/>
          <w:color w:val="000000" w:themeColor="text1"/>
          <w:szCs w:val="24"/>
          <w:highlight w:val="none"/>
          <w14:textFill>
            <w14:solidFill>
              <w14:schemeClr w14:val="tx1"/>
            </w14:solidFill>
          </w14:textFill>
        </w:rPr>
      </w:pPr>
    </w:p>
    <w:p w14:paraId="4AE75FC5">
      <w:pPr>
        <w:pStyle w:val="29"/>
        <w:rPr>
          <w:rFonts w:ascii="宋体" w:hAnsi="宋体" w:cs="宋体"/>
          <w:color w:val="000000" w:themeColor="text1"/>
          <w:szCs w:val="24"/>
          <w:highlight w:val="none"/>
          <w14:textFill>
            <w14:solidFill>
              <w14:schemeClr w14:val="tx1"/>
            </w14:solidFill>
          </w14:textFill>
        </w:rPr>
      </w:pPr>
    </w:p>
    <w:p w14:paraId="66C201E6">
      <w:pPr>
        <w:pStyle w:val="29"/>
        <w:jc w:val="center"/>
        <w:rPr>
          <w:rFonts w:ascii="宋体" w:hAnsi="宋体" w:cs="宋体"/>
          <w:color w:val="000000" w:themeColor="text1"/>
          <w:szCs w:val="24"/>
          <w:highlight w:val="none"/>
          <w14:textFill>
            <w14:solidFill>
              <w14:schemeClr w14:val="tx1"/>
            </w14:solidFill>
          </w14:textFill>
        </w:rPr>
      </w:pPr>
    </w:p>
    <w:p w14:paraId="55D101C2">
      <w:pPr>
        <w:pStyle w:val="29"/>
        <w:ind w:firstLine="2843" w:firstLineChars="118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14:paraId="6AF8A720">
      <w:pPr>
        <w:pStyle w:val="29"/>
        <w:rPr>
          <w:rFonts w:ascii="宋体" w:hAnsi="宋体" w:cs="宋体"/>
          <w:color w:val="000000" w:themeColor="text1"/>
          <w:szCs w:val="24"/>
          <w:highlight w:val="none"/>
          <w14:textFill>
            <w14:solidFill>
              <w14:schemeClr w14:val="tx1"/>
            </w14:solidFill>
          </w14:textFill>
        </w:rPr>
      </w:pPr>
    </w:p>
    <w:p w14:paraId="007AB780">
      <w:pPr>
        <w:pStyle w:val="29"/>
        <w:rPr>
          <w:rFonts w:ascii="宋体" w:hAnsi="宋体" w:cs="宋体"/>
          <w:color w:val="000000" w:themeColor="text1"/>
          <w:szCs w:val="24"/>
          <w:highlight w:val="none"/>
          <w14:textFill>
            <w14:solidFill>
              <w14:schemeClr w14:val="tx1"/>
            </w14:solidFill>
          </w14:textFill>
        </w:rPr>
      </w:pPr>
    </w:p>
    <w:p w14:paraId="10E609D4">
      <w:pPr>
        <w:spacing w:before="120" w:line="22" w:lineRule="atLeast"/>
        <w:rPr>
          <w:rFonts w:ascii="宋体" w:hAnsi="宋体" w:cs="宋体"/>
          <w:color w:val="000000" w:themeColor="text1"/>
          <w:sz w:val="24"/>
          <w:highlight w:val="none"/>
          <w14:textFill>
            <w14:solidFill>
              <w14:schemeClr w14:val="tx1"/>
            </w14:solidFill>
          </w14:textFill>
        </w:rPr>
      </w:pPr>
    </w:p>
    <w:p w14:paraId="387DF764">
      <w:pPr>
        <w:spacing w:before="120" w:line="22" w:lineRule="atLeast"/>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p>
    <w:p w14:paraId="57A6E39F">
      <w:pPr>
        <w:pStyle w:val="30"/>
        <w:spacing w:before="120" w:line="22" w:lineRule="atLeast"/>
        <w:rPr>
          <w:rFonts w:ascii="宋体" w:hAnsi="宋体" w:eastAsia="宋体" w:cs="宋体"/>
          <w:color w:val="000000" w:themeColor="text1"/>
          <w:szCs w:val="24"/>
          <w:highlight w:val="none"/>
          <w14:textFill>
            <w14:solidFill>
              <w14:schemeClr w14:val="tx1"/>
            </w14:solidFill>
          </w14:textFill>
        </w:rPr>
      </w:pPr>
    </w:p>
    <w:p w14:paraId="4DD8350B">
      <w:pPr>
        <w:pStyle w:val="30"/>
        <w:spacing w:before="120" w:line="22" w:lineRule="atLeast"/>
        <w:rPr>
          <w:rFonts w:ascii="宋体" w:hAnsi="宋体" w:eastAsia="宋体" w:cs="宋体"/>
          <w:color w:val="000000" w:themeColor="text1"/>
          <w:szCs w:val="24"/>
          <w:highlight w:val="none"/>
          <w14:textFill>
            <w14:solidFill>
              <w14:schemeClr w14:val="tx1"/>
            </w14:solidFill>
          </w14:textFill>
        </w:rPr>
      </w:pPr>
    </w:p>
    <w:p w14:paraId="5CC2609F">
      <w:pPr>
        <w:rPr>
          <w:rFonts w:ascii="宋体" w:hAnsi="宋体" w:cs="宋体"/>
          <w:color w:val="000000" w:themeColor="text1"/>
          <w:sz w:val="24"/>
          <w:highlight w:val="none"/>
          <w14:textFill>
            <w14:solidFill>
              <w14:schemeClr w14:val="tx1"/>
            </w14:solidFill>
          </w14:textFill>
        </w:rPr>
      </w:pPr>
    </w:p>
    <w:p w14:paraId="5BA265A4">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w:t>
      </w:r>
    </w:p>
    <w:p w14:paraId="28CC4359">
      <w:pPr>
        <w:spacing w:before="120" w:line="22" w:lineRule="atLeast"/>
        <w:rPr>
          <w:rFonts w:ascii="宋体" w:hAnsi="宋体" w:cs="宋体"/>
          <w:color w:val="000000" w:themeColor="text1"/>
          <w:sz w:val="24"/>
          <w:highlight w:val="none"/>
          <w14:textFill>
            <w14:solidFill>
              <w14:schemeClr w14:val="tx1"/>
            </w14:solidFill>
          </w14:textFill>
        </w:rPr>
      </w:pPr>
    </w:p>
    <w:p w14:paraId="69EDF191">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14:paraId="6589B53B">
      <w:pPr>
        <w:spacing w:before="120" w:line="22" w:lineRule="atLeast"/>
        <w:rPr>
          <w:rFonts w:ascii="宋体" w:hAnsi="宋体" w:cs="宋体"/>
          <w:color w:val="000000" w:themeColor="text1"/>
          <w:sz w:val="24"/>
          <w:highlight w:val="none"/>
          <w14:textFill>
            <w14:solidFill>
              <w14:schemeClr w14:val="tx1"/>
            </w14:solidFill>
          </w14:textFill>
        </w:rPr>
      </w:pPr>
    </w:p>
    <w:p w14:paraId="4D42F784">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14:paraId="3DBD10B6">
      <w:pPr>
        <w:spacing w:before="120" w:line="22" w:lineRule="atLeast"/>
        <w:rPr>
          <w:rFonts w:ascii="宋体" w:hAnsi="宋体" w:cs="宋体"/>
          <w:color w:val="000000" w:themeColor="text1"/>
          <w:sz w:val="24"/>
          <w:highlight w:val="none"/>
          <w14:textFill>
            <w14:solidFill>
              <w14:schemeClr w14:val="tx1"/>
            </w14:solidFill>
          </w14:textFill>
        </w:rPr>
      </w:pPr>
    </w:p>
    <w:p w14:paraId="031DBF94">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0991ECCE">
      <w:pPr>
        <w:widowControl/>
        <w:jc w:val="left"/>
        <w:rPr>
          <w:rFonts w:ascii="宋体" w:hAnsi="宋体" w:cs="宋体"/>
          <w:color w:val="000000" w:themeColor="text1"/>
          <w:kern w:val="0"/>
          <w:sz w:val="24"/>
          <w:highlight w:val="none"/>
          <w14:textFill>
            <w14:solidFill>
              <w14:schemeClr w14:val="tx1"/>
            </w14:solidFill>
          </w14:textFill>
        </w:rPr>
        <w:sectPr>
          <w:pgSz w:w="11906" w:h="16838"/>
          <w:pgMar w:top="680" w:right="1417" w:bottom="680" w:left="1417" w:header="851" w:footer="851" w:gutter="0"/>
          <w:cols w:space="720" w:num="1"/>
        </w:sectPr>
      </w:pPr>
    </w:p>
    <w:p w14:paraId="7925A6D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（采购人）   </w:t>
      </w:r>
      <w:r>
        <w:rPr>
          <w:rFonts w:hint="eastAsia" w:ascii="宋体" w:hAnsi="宋体" w:cs="宋体"/>
          <w:color w:val="000000" w:themeColor="text1"/>
          <w:sz w:val="24"/>
          <w:highlight w:val="none"/>
          <w14:textFill>
            <w14:solidFill>
              <w14:schemeClr w14:val="tx1"/>
            </w14:solidFill>
          </w14:textFill>
        </w:rPr>
        <w:t>以</w:t>
      </w:r>
      <w:r>
        <w:rPr>
          <w:rFonts w:hint="eastAsia" w:ascii="宋体" w:hAnsi="宋体" w:cs="宋体"/>
          <w:color w:val="000000" w:themeColor="text1"/>
          <w:sz w:val="24"/>
          <w:highlight w:val="none"/>
          <w:u w:val="single"/>
          <w14:textFill>
            <w14:solidFill>
              <w14:schemeClr w14:val="tx1"/>
            </w14:solidFill>
          </w14:textFill>
        </w:rPr>
        <w:t xml:space="preserve">   （政府采购方式）  </w:t>
      </w:r>
      <w:r>
        <w:rPr>
          <w:rFonts w:hint="eastAsia" w:ascii="宋体" w:hAnsi="宋体" w:cs="宋体"/>
          <w:color w:val="000000" w:themeColor="text1"/>
          <w:sz w:val="24"/>
          <w:highlight w:val="none"/>
          <w14:textFill>
            <w14:solidFill>
              <w14:schemeClr w14:val="tx1"/>
            </w14:solidFill>
          </w14:textFill>
        </w:rPr>
        <w:t>对</w:t>
      </w:r>
      <w:r>
        <w:rPr>
          <w:rFonts w:hint="eastAsia" w:ascii="宋体" w:hAnsi="宋体" w:cs="宋体"/>
          <w:color w:val="000000" w:themeColor="text1"/>
          <w:sz w:val="24"/>
          <w:highlight w:val="none"/>
          <w:u w:val="single"/>
          <w14:textFill>
            <w14:solidFill>
              <w14:schemeClr w14:val="tx1"/>
            </w14:solidFill>
          </w14:textFill>
        </w:rPr>
        <w:t xml:space="preserve">   （项目名称、编号）   </w:t>
      </w:r>
      <w:r>
        <w:rPr>
          <w:rFonts w:hint="eastAsia" w:ascii="宋体" w:hAnsi="宋体" w:cs="宋体"/>
          <w:color w:val="000000" w:themeColor="text1"/>
          <w:sz w:val="24"/>
          <w:highlight w:val="none"/>
          <w14:textFill>
            <w14:solidFill>
              <w14:schemeClr w14:val="tx1"/>
            </w14:solidFill>
          </w14:textFill>
        </w:rPr>
        <w:t>项目进行了采购。经</w:t>
      </w:r>
      <w:r>
        <w:rPr>
          <w:rFonts w:hint="eastAsia" w:ascii="宋体" w:hAnsi="宋体" w:cs="宋体"/>
          <w:color w:val="000000" w:themeColor="text1"/>
          <w:sz w:val="24"/>
          <w:highlight w:val="none"/>
          <w:u w:val="single"/>
          <w14:textFill>
            <w14:solidFill>
              <w14:schemeClr w14:val="tx1"/>
            </w14:solidFill>
          </w14:textFill>
        </w:rPr>
        <w:t xml:space="preserve">   （相关评定主体名称）   </w:t>
      </w:r>
      <w:r>
        <w:rPr>
          <w:rFonts w:hint="eastAsia" w:ascii="宋体" w:hAnsi="宋体" w:cs="宋体"/>
          <w:color w:val="000000" w:themeColor="text1"/>
          <w:sz w:val="24"/>
          <w:highlight w:val="none"/>
          <w14:textFill>
            <w14:solidFill>
              <w14:schemeClr w14:val="tx1"/>
            </w14:solidFill>
          </w14:textFill>
        </w:rPr>
        <w:t>评定，</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w:t>
      </w:r>
      <w:r>
        <w:rPr>
          <w:rFonts w:hint="eastAsia" w:ascii="宋体" w:hAnsi="宋体" w:cs="宋体"/>
          <w:color w:val="000000" w:themeColor="text1"/>
          <w:sz w:val="24"/>
          <w:highlight w:val="none"/>
          <w14:textFill>
            <w14:solidFill>
              <w14:schemeClr w14:val="tx1"/>
            </w14:solidFill>
          </w14:textFill>
        </w:rPr>
        <w:t>为该项目中标或者成交供应商。现于中标或者成交通知书发出之日起10个工作日内，按照采购文件等确定的事项签订本合同。</w:t>
      </w:r>
    </w:p>
    <w:p w14:paraId="4BFDE86F">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cs="宋体"/>
          <w:color w:val="000000" w:themeColor="text1"/>
          <w:sz w:val="24"/>
          <w:highlight w:val="none"/>
          <w:u w:val="single"/>
          <w14:textFill>
            <w14:solidFill>
              <w14:schemeClr w14:val="tx1"/>
            </w14:solidFill>
          </w14:textFill>
        </w:rPr>
        <w:t xml:space="preserve">   （采购人）   </w:t>
      </w:r>
      <w:r>
        <w:rPr>
          <w:rFonts w:hint="eastAsia" w:ascii="宋体" w:hAnsi="宋体" w:cs="宋体"/>
          <w:color w:val="000000" w:themeColor="text1"/>
          <w:sz w:val="24"/>
          <w:highlight w:val="none"/>
          <w:lang w:val="zh-CN"/>
          <w14:textFill>
            <w14:solidFill>
              <w14:schemeClr w14:val="tx1"/>
            </w14:solidFill>
          </w14:textFill>
        </w:rPr>
        <w:t>(以下简称：甲方)和</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   </w:t>
      </w:r>
      <w:r>
        <w:rPr>
          <w:rFonts w:hint="eastAsia" w:ascii="宋体" w:hAnsi="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s="宋体"/>
          <w:color w:val="000000" w:themeColor="text1"/>
          <w:sz w:val="24"/>
          <w:highlight w:val="none"/>
          <w14:textFill>
            <w14:solidFill>
              <w14:schemeClr w14:val="tx1"/>
            </w14:solidFill>
          </w14:textFill>
        </w:rPr>
        <w:t>条款，以兹共同遵守、全面履行。</w:t>
      </w:r>
    </w:p>
    <w:p w14:paraId="4F19E16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396" w:name="_Toc2232"/>
      <w:bookmarkStart w:id="397" w:name="_Toc3029"/>
      <w:bookmarkStart w:id="398" w:name="_Toc24059"/>
      <w:r>
        <w:rPr>
          <w:rFonts w:hint="eastAsia" w:ascii="宋体" w:hAnsi="宋体" w:cs="宋体"/>
          <w:b/>
          <w:color w:val="000000" w:themeColor="text1"/>
          <w:sz w:val="24"/>
          <w:highlight w:val="none"/>
          <w14:textFill>
            <w14:solidFill>
              <w14:schemeClr w14:val="tx1"/>
            </w14:solidFill>
          </w14:textFill>
        </w:rPr>
        <w:t>1.1 合同组成部分</w:t>
      </w:r>
      <w:bookmarkEnd w:id="396"/>
      <w:bookmarkEnd w:id="397"/>
      <w:bookmarkEnd w:id="398"/>
    </w:p>
    <w:p w14:paraId="44743F3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7AD5CE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本合同及其补充合同、变更协议；</w:t>
      </w:r>
    </w:p>
    <w:p w14:paraId="7C080CE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中标或者成交通知书；</w:t>
      </w:r>
    </w:p>
    <w:p w14:paraId="11F4E38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投标或者响应文件（含澄清或者说明文件）；</w:t>
      </w:r>
    </w:p>
    <w:p w14:paraId="6B318C0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 采购文件（含澄清或者修改文件）；</w:t>
      </w:r>
    </w:p>
    <w:p w14:paraId="1FF9124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 其他相关采购文件。</w:t>
      </w:r>
    </w:p>
    <w:p w14:paraId="17DDD808">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399" w:name="_Toc21295"/>
      <w:bookmarkStart w:id="400" w:name="_Toc27126"/>
      <w:bookmarkStart w:id="401" w:name="_Toc24300"/>
      <w:r>
        <w:rPr>
          <w:rFonts w:hint="eastAsia" w:ascii="宋体" w:hAnsi="宋体" w:cs="宋体"/>
          <w:b/>
          <w:color w:val="000000" w:themeColor="text1"/>
          <w:sz w:val="24"/>
          <w:highlight w:val="none"/>
          <w14:textFill>
            <w14:solidFill>
              <w14:schemeClr w14:val="tx1"/>
            </w14:solidFill>
          </w14:textFill>
        </w:rPr>
        <w:t>1.2 货物</w:t>
      </w:r>
      <w:bookmarkEnd w:id="399"/>
      <w:bookmarkEnd w:id="400"/>
      <w:bookmarkEnd w:id="401"/>
    </w:p>
    <w:p w14:paraId="137C357D">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货物名称、品牌、规格型号、花色：</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B923622">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货物数量：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9437485">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 货物质量：</w:t>
      </w:r>
      <w:r>
        <w:rPr>
          <w:rFonts w:hint="eastAsia" w:ascii="宋体" w:hAnsi="宋体" w:cs="宋体"/>
          <w:color w:val="000000" w:themeColor="text1"/>
          <w:sz w:val="24"/>
          <w:highlight w:val="none"/>
          <w:u w:val="single"/>
          <w14:textFill>
            <w14:solidFill>
              <w14:schemeClr w14:val="tx1"/>
            </w14:solidFill>
          </w14:textFill>
        </w:rPr>
        <w:t>　　　　　　　　　                      　      ；</w:t>
      </w:r>
    </w:p>
    <w:p w14:paraId="42D0F2DA">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2" w:name="_Toc21631"/>
      <w:bookmarkStart w:id="403" w:name="_Toc23292"/>
      <w:bookmarkStart w:id="404" w:name="_Toc21551"/>
      <w:r>
        <w:rPr>
          <w:rFonts w:hint="eastAsia" w:ascii="宋体" w:hAnsi="宋体" w:cs="宋体"/>
          <w:b/>
          <w:color w:val="000000" w:themeColor="text1"/>
          <w:sz w:val="24"/>
          <w:highlight w:val="none"/>
          <w14:textFill>
            <w14:solidFill>
              <w14:schemeClr w14:val="tx1"/>
            </w14:solidFill>
          </w14:textFill>
        </w:rPr>
        <w:t>1.3 价款</w:t>
      </w:r>
      <w:bookmarkEnd w:id="402"/>
      <w:bookmarkEnd w:id="403"/>
      <w:bookmarkEnd w:id="404"/>
    </w:p>
    <w:p w14:paraId="74A64F7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本合同总价（含税）为：￥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元人民币）。</w:t>
      </w:r>
    </w:p>
    <w:p w14:paraId="5CECC6EE">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分项价格：</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BF2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FFA6AF7">
            <w:pPr>
              <w:pStyle w:val="31"/>
              <w:spacing w:line="5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C547F47">
            <w:pPr>
              <w:pStyle w:val="31"/>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5721FA6">
            <w:pPr>
              <w:pStyle w:val="31"/>
              <w:spacing w:line="5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分项价格</w:t>
            </w:r>
          </w:p>
        </w:tc>
      </w:tr>
      <w:tr w14:paraId="6D8F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50E4EA9">
            <w:pPr>
              <w:pStyle w:val="31"/>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52AF3B58">
            <w:pPr>
              <w:pStyle w:val="31"/>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12D451D">
            <w:pPr>
              <w:pStyle w:val="31"/>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0B90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D98153B">
            <w:pPr>
              <w:pStyle w:val="31"/>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4BE241E5">
            <w:pPr>
              <w:pStyle w:val="31"/>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A593890">
            <w:pPr>
              <w:pStyle w:val="31"/>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1DDA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2F1F07">
            <w:pPr>
              <w:pStyle w:val="31"/>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104147E4">
            <w:pPr>
              <w:pStyle w:val="31"/>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6B295141">
            <w:pPr>
              <w:pStyle w:val="31"/>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6090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780B80B">
            <w:pPr>
              <w:pStyle w:val="31"/>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221C5FA9">
            <w:pPr>
              <w:pStyle w:val="31"/>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D6F0FC1">
            <w:pPr>
              <w:pStyle w:val="31"/>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644F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EA84B67">
            <w:pPr>
              <w:pStyle w:val="31"/>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5868E2A">
            <w:pPr>
              <w:pStyle w:val="31"/>
              <w:spacing w:line="560" w:lineRule="exact"/>
              <w:ind w:firstLine="200"/>
              <w:jc w:val="center"/>
              <w:rPr>
                <w:rFonts w:hAnsi="宋体" w:cs="宋体"/>
                <w:color w:val="000000" w:themeColor="text1"/>
                <w:sz w:val="24"/>
                <w:szCs w:val="24"/>
                <w:highlight w:val="none"/>
                <w14:textFill>
                  <w14:solidFill>
                    <w14:schemeClr w14:val="tx1"/>
                  </w14:solidFill>
                </w14:textFill>
              </w:rPr>
            </w:pPr>
          </w:p>
        </w:tc>
      </w:tr>
    </w:tbl>
    <w:p w14:paraId="2616E780">
      <w:pPr>
        <w:pStyle w:val="32"/>
        <w:spacing w:before="0" w:beforeAutospacing="0" w:after="0" w:afterAutospacing="0" w:line="360" w:lineRule="auto"/>
        <w:ind w:firstLine="480"/>
        <w:rPr>
          <w:b/>
          <w:color w:val="000000" w:themeColor="text1"/>
          <w:highlight w:val="none"/>
          <w14:textFill>
            <w14:solidFill>
              <w14:schemeClr w14:val="tx1"/>
            </w14:solidFill>
          </w14:textFill>
        </w:rPr>
      </w:pPr>
      <w:bookmarkStart w:id="405" w:name="_Toc22618"/>
      <w:bookmarkStart w:id="406" w:name="_Toc1814"/>
      <w:bookmarkStart w:id="407" w:name="_Toc10340"/>
      <w:r>
        <w:rPr>
          <w:rFonts w:hint="eastAsia"/>
          <w:b/>
          <w:color w:val="000000" w:themeColor="text1"/>
          <w:highlight w:val="none"/>
          <w14:textFill>
            <w14:solidFill>
              <w14:schemeClr w14:val="tx1"/>
            </w14:solidFill>
          </w14:textFill>
        </w:rPr>
        <w:t>1.4履约保证金</w:t>
      </w:r>
    </w:p>
    <w:p w14:paraId="2839E69B">
      <w:pPr>
        <w:pStyle w:val="32"/>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否）需要支付履约保证金。若需要支付履约保证金的，则：</w:t>
      </w:r>
    </w:p>
    <w:p w14:paraId="09859900">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CDC5869">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57C8E51B">
      <w:pPr>
        <w:pStyle w:val="3"/>
        <w:tabs>
          <w:tab w:val="left" w:pos="0"/>
          <w:tab w:val="clear" w:pos="432"/>
        </w:tabs>
        <w:spacing w:line="560" w:lineRule="exact"/>
        <w:ind w:left="0" w:firstLine="480" w:firstLineChars="200"/>
        <w:rPr>
          <w:rFonts w:eastAsia="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D090373">
      <w:pPr>
        <w:spacing w:line="560" w:lineRule="exact"/>
        <w:ind w:firstLine="480" w:firstLineChars="200"/>
        <w:outlineLvl w:val="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 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14:paraId="35D12BC7">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405"/>
      <w:bookmarkEnd w:id="406"/>
      <w:bookmarkEnd w:id="407"/>
      <w:r>
        <w:rPr>
          <w:rFonts w:hint="eastAsia" w:ascii="宋体" w:hAnsi="宋体" w:cs="宋体"/>
          <w:b/>
          <w:color w:val="000000" w:themeColor="text1"/>
          <w:sz w:val="24"/>
          <w:highlight w:val="none"/>
          <w14:textFill>
            <w14:solidFill>
              <w14:schemeClr w14:val="tx1"/>
            </w14:solidFill>
          </w14:textFill>
        </w:rPr>
        <w:t>预付款</w:t>
      </w:r>
    </w:p>
    <w:p w14:paraId="1C28F358">
      <w:pPr>
        <w:pStyle w:val="32"/>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否）需要支付预付款。若需要支付预付款的，则：</w:t>
      </w:r>
    </w:p>
    <w:p w14:paraId="7A306315">
      <w:pPr>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97BCFA5">
      <w:pPr>
        <w:pStyle w:val="32"/>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3090DB1C">
      <w:pPr>
        <w:pStyle w:val="32"/>
        <w:spacing w:before="0" w:beforeAutospacing="0" w:after="0" w:afterAutospacing="0" w:line="360" w:lineRule="auto"/>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60BBCD75">
      <w:pPr>
        <w:pStyle w:val="32"/>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063ADBDB">
      <w:pPr>
        <w:pStyle w:val="32"/>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13BA36C">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4B356B1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8" w:name="_Toc2846"/>
      <w:bookmarkStart w:id="409" w:name="_Toc19304"/>
      <w:bookmarkStart w:id="410" w:name="_Toc32071"/>
      <w:r>
        <w:rPr>
          <w:rFonts w:hint="eastAsia" w:ascii="宋体" w:hAnsi="宋体" w:cs="宋体"/>
          <w:b/>
          <w:color w:val="000000" w:themeColor="text1"/>
          <w:sz w:val="24"/>
          <w:highlight w:val="none"/>
          <w14:textFill>
            <w14:solidFill>
              <w14:schemeClr w14:val="tx1"/>
            </w14:solidFill>
          </w14:textFill>
        </w:rPr>
        <w:t>1.7货物交付期限、地点和方式</w:t>
      </w:r>
      <w:bookmarkEnd w:id="408"/>
      <w:bookmarkEnd w:id="409"/>
      <w:bookmarkEnd w:id="410"/>
    </w:p>
    <w:p w14:paraId="31B26AE6">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6A6D458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F880A0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2DFA9D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1" w:name="_Toc19554"/>
      <w:bookmarkStart w:id="412" w:name="_Toc27250"/>
      <w:bookmarkStart w:id="413" w:name="_Toc21423"/>
      <w:r>
        <w:rPr>
          <w:rFonts w:hint="eastAsia" w:ascii="宋体" w:hAnsi="宋体" w:cs="宋体"/>
          <w:b/>
          <w:color w:val="000000" w:themeColor="text1"/>
          <w:sz w:val="24"/>
          <w:highlight w:val="none"/>
          <w14:textFill>
            <w14:solidFill>
              <w14:schemeClr w14:val="tx1"/>
            </w14:solidFill>
          </w14:textFill>
        </w:rPr>
        <w:t>1.8违约责任</w:t>
      </w:r>
      <w:bookmarkEnd w:id="411"/>
      <w:bookmarkEnd w:id="412"/>
      <w:bookmarkEnd w:id="413"/>
    </w:p>
    <w:p w14:paraId="54FC46D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000000" w:themeColor="text1"/>
          <w:sz w:val="24"/>
          <w:highlight w:val="none"/>
          <w:u w:val="single"/>
          <w14:textFill>
            <w14:solidFill>
              <w14:schemeClr w14:val="tx1"/>
            </w14:solidFill>
          </w14:textFill>
        </w:rPr>
        <w:t xml:space="preserve">  0.05</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1F0A4FF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 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7A61002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150807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5DEC1D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1.8.5如果出现政府采购监督管理部门在处理投诉事项期间，书面通知甲方暂停采购活动的情形，或者询问或质疑事项可能影响中标或者成交结果的，导致甲方中止履行合同的情形，均不视为甲方违约。</w:t>
      </w:r>
    </w:p>
    <w:p w14:paraId="00CF2CCB">
      <w:pPr>
        <w:spacing w:line="560" w:lineRule="exact"/>
        <w:ind w:left="-420" w:leftChars="-200" w:right="-420" w:rightChars="-200" w:firstLine="960" w:firstLine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p w14:paraId="15E7636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4" w:name="_Toc15583"/>
      <w:bookmarkStart w:id="415" w:name="_Toc16021"/>
      <w:bookmarkStart w:id="416" w:name="_Toc28375"/>
      <w:r>
        <w:rPr>
          <w:rFonts w:hint="eastAsia" w:ascii="宋体" w:hAnsi="宋体" w:cs="宋体"/>
          <w:b/>
          <w:color w:val="000000" w:themeColor="text1"/>
          <w:sz w:val="24"/>
          <w:highlight w:val="none"/>
          <w14:textFill>
            <w14:solidFill>
              <w14:schemeClr w14:val="tx1"/>
            </w14:solidFill>
          </w14:textFill>
        </w:rPr>
        <w:t>1.9合同争议的解决</w:t>
      </w:r>
      <w:bookmarkEnd w:id="414"/>
      <w:bookmarkEnd w:id="415"/>
      <w:bookmarkEnd w:id="416"/>
    </w:p>
    <w:p w14:paraId="6BDAE5BA">
      <w:pPr>
        <w:spacing w:line="560" w:lineRule="exact"/>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条款规定的方式解决：</w:t>
      </w:r>
    </w:p>
    <w:p w14:paraId="226A42C6">
      <w:pPr>
        <w:spacing w:line="560" w:lineRule="exact"/>
        <w:ind w:left="-420" w:leftChars="-200" w:right="-420" w:rightChars="-200" w:firstLine="840" w:firstLine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14:paraId="6BA3659D">
      <w:pPr>
        <w:spacing w:line="560" w:lineRule="exact"/>
        <w:ind w:left="-420" w:leftChars="-200" w:right="-420" w:rightChars="-200" w:firstLine="840" w:firstLine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14:paraId="3A0330D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7" w:name="_Toc15322"/>
      <w:bookmarkStart w:id="418" w:name="_Toc7245"/>
      <w:bookmarkStart w:id="419" w:name="_Toc11173"/>
      <w:r>
        <w:rPr>
          <w:rFonts w:hint="eastAsia" w:ascii="宋体" w:hAnsi="宋体" w:cs="宋体"/>
          <w:b/>
          <w:color w:val="000000" w:themeColor="text1"/>
          <w:sz w:val="24"/>
          <w:highlight w:val="none"/>
          <w14:textFill>
            <w14:solidFill>
              <w14:schemeClr w14:val="tx1"/>
            </w14:solidFill>
          </w14:textFill>
        </w:rPr>
        <w:t>2.0 合同生效</w:t>
      </w:r>
      <w:bookmarkEnd w:id="417"/>
      <w:bookmarkEnd w:id="418"/>
      <w:bookmarkEnd w:id="419"/>
    </w:p>
    <w:p w14:paraId="3EDA2AD2">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5BC1D82C">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p>
    <w:p w14:paraId="458596D6">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甲方</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b/>
          <w:color w:val="000000" w:themeColor="text1"/>
          <w:sz w:val="24"/>
          <w:highlight w:val="none"/>
          <w:lang w:val="zh-CN"/>
          <w14:textFill>
            <w14:solidFill>
              <w14:schemeClr w14:val="tx1"/>
            </w14:solidFill>
          </w14:textFill>
        </w:rPr>
        <w:t xml:space="preserve">      乙方</w:t>
      </w:r>
      <w:r>
        <w:rPr>
          <w:rFonts w:hint="eastAsia" w:ascii="宋体" w:hAnsi="宋体" w:cs="宋体"/>
          <w:color w:val="000000" w:themeColor="text1"/>
          <w:sz w:val="24"/>
          <w:highlight w:val="none"/>
          <w:lang w:val="zh-CN"/>
          <w14:textFill>
            <w14:solidFill>
              <w14:schemeClr w14:val="tx1"/>
            </w14:solidFill>
          </w14:textFill>
        </w:rPr>
        <w:t>：</w:t>
      </w:r>
    </w:p>
    <w:p w14:paraId="4A04906D">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统一社会信用代码：                        统一社会信用代码或身份证号码：</w:t>
      </w:r>
    </w:p>
    <w:p w14:paraId="679C2ABE">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p>
    <w:p w14:paraId="1D893766">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住所：                                   住所：</w:t>
      </w:r>
    </w:p>
    <w:p w14:paraId="761A9363">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法定代表人或                             法定代表人</w:t>
      </w:r>
    </w:p>
    <w:p w14:paraId="6F3B6343">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授权代表（签字）：                        或授权代表（签字）: </w:t>
      </w:r>
    </w:p>
    <w:p w14:paraId="00A1DB3A">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联系人：                                 联系人：</w:t>
      </w:r>
    </w:p>
    <w:p w14:paraId="53EE2BE4">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约定送达地址：                           约定送达地址：</w:t>
      </w:r>
    </w:p>
    <w:p w14:paraId="2D73B9A7">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邮政编码：                               邮政编码：</w:t>
      </w:r>
    </w:p>
    <w:p w14:paraId="3E3F43BA">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电话:                                    电话: </w:t>
      </w:r>
    </w:p>
    <w:p w14:paraId="69611E31">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传真:                                    传真:</w:t>
      </w:r>
    </w:p>
    <w:p w14:paraId="3E81F746">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电子邮箱：                               电子邮箱：</w:t>
      </w:r>
    </w:p>
    <w:p w14:paraId="198B802B">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开户银行： </w:t>
      </w:r>
    </w:p>
    <w:p w14:paraId="6A30A9B3">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开户名称： </w:t>
      </w:r>
    </w:p>
    <w:p w14:paraId="591F19DE">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开户账号：</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开户账号：</w:t>
      </w:r>
    </w:p>
    <w:p w14:paraId="3CB0AACA">
      <w:pPr>
        <w:pStyle w:val="3"/>
        <w:rPr>
          <w:rFonts w:ascii="宋体" w:hAnsi="宋体" w:cs="宋体"/>
          <w:color w:val="000000" w:themeColor="text1"/>
          <w:sz w:val="24"/>
          <w:highlight w:val="none"/>
          <w14:textFill>
            <w14:solidFill>
              <w14:schemeClr w14:val="tx1"/>
            </w14:solidFill>
          </w14:textFill>
        </w:rPr>
      </w:pPr>
    </w:p>
    <w:p w14:paraId="4CA2EE9D">
      <w:pPr>
        <w:rPr>
          <w:rFonts w:ascii="宋体" w:hAnsi="宋体" w:cs="宋体"/>
          <w:color w:val="000000" w:themeColor="text1"/>
          <w:sz w:val="24"/>
          <w:highlight w:val="none"/>
          <w14:textFill>
            <w14:solidFill>
              <w14:schemeClr w14:val="tx1"/>
            </w14:solidFill>
          </w14:textFill>
        </w:rPr>
      </w:pPr>
    </w:p>
    <w:p w14:paraId="5C65983B">
      <w:pPr>
        <w:pStyle w:val="3"/>
        <w:rPr>
          <w:rFonts w:ascii="宋体" w:hAnsi="宋体" w:cs="宋体"/>
          <w:color w:val="000000" w:themeColor="text1"/>
          <w:sz w:val="24"/>
          <w:highlight w:val="none"/>
          <w14:textFill>
            <w14:solidFill>
              <w14:schemeClr w14:val="tx1"/>
            </w14:solidFill>
          </w14:textFill>
        </w:rPr>
      </w:pPr>
    </w:p>
    <w:p w14:paraId="3374FC02">
      <w:pPr>
        <w:rPr>
          <w:rFonts w:ascii="宋体" w:hAnsi="宋体" w:cs="宋体"/>
          <w:color w:val="000000" w:themeColor="text1"/>
          <w:sz w:val="24"/>
          <w:highlight w:val="none"/>
          <w14:textFill>
            <w14:solidFill>
              <w14:schemeClr w14:val="tx1"/>
            </w14:solidFill>
          </w14:textFill>
        </w:rPr>
      </w:pPr>
    </w:p>
    <w:p w14:paraId="3D70F55E">
      <w:pPr>
        <w:pStyle w:val="3"/>
        <w:rPr>
          <w:rFonts w:ascii="宋体" w:hAnsi="宋体" w:cs="宋体"/>
          <w:color w:val="000000" w:themeColor="text1"/>
          <w:sz w:val="24"/>
          <w:highlight w:val="none"/>
          <w14:textFill>
            <w14:solidFill>
              <w14:schemeClr w14:val="tx1"/>
            </w14:solidFill>
          </w14:textFill>
        </w:rPr>
      </w:pPr>
    </w:p>
    <w:p w14:paraId="071B52D0">
      <w:pPr>
        <w:rPr>
          <w:rFonts w:ascii="宋体" w:hAnsi="宋体" w:cs="宋体"/>
          <w:color w:val="000000" w:themeColor="text1"/>
          <w:sz w:val="24"/>
          <w:highlight w:val="none"/>
          <w14:textFill>
            <w14:solidFill>
              <w14:schemeClr w14:val="tx1"/>
            </w14:solidFill>
          </w14:textFill>
        </w:rPr>
      </w:pPr>
    </w:p>
    <w:p w14:paraId="4FF3FB62">
      <w:pPr>
        <w:pStyle w:val="29"/>
        <w:spacing w:line="560" w:lineRule="exact"/>
        <w:ind w:firstLine="482"/>
        <w:jc w:val="center"/>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第二部分 合同一般条款</w:t>
      </w:r>
    </w:p>
    <w:p w14:paraId="4A14F0F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20" w:name="_Ref467378404"/>
      <w:bookmarkStart w:id="421" w:name="_Toc28763"/>
      <w:bookmarkStart w:id="422" w:name="_Ref467379101"/>
      <w:bookmarkStart w:id="423" w:name="_Ref467379225"/>
      <w:bookmarkStart w:id="424" w:name="_Toc19614"/>
      <w:bookmarkStart w:id="425" w:name="_Ref467378463"/>
      <w:bookmarkStart w:id="426" w:name="_Ref467378499"/>
      <w:bookmarkStart w:id="427" w:name="_Ref467379109"/>
      <w:bookmarkStart w:id="428" w:name="_Ref467379094"/>
      <w:bookmarkStart w:id="429" w:name="_Ref467379205"/>
      <w:bookmarkStart w:id="430" w:name="_Toc16917"/>
      <w:bookmarkStart w:id="431" w:name="_Ref467379214"/>
      <w:bookmarkStart w:id="432" w:name="_Toc487900349"/>
      <w:bookmarkStart w:id="433" w:name="_Toc259093669"/>
      <w:bookmarkStart w:id="434" w:name="_Toc279701240"/>
      <w:bookmarkStart w:id="435" w:name="_Ref467379195"/>
      <w:r>
        <w:rPr>
          <w:rFonts w:hint="eastAsia" w:ascii="宋体" w:hAnsi="宋体" w:cs="宋体"/>
          <w:b/>
          <w:color w:val="000000" w:themeColor="text1"/>
          <w:sz w:val="24"/>
          <w:highlight w:val="none"/>
          <w14:textFill>
            <w14:solidFill>
              <w14:schemeClr w14:val="tx1"/>
            </w14:solidFill>
          </w14:textFill>
        </w:rPr>
        <w:t>2.1 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27918E8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本合同中的下列词语应按以下内容进行解释：</w:t>
      </w:r>
    </w:p>
    <w:p w14:paraId="77F3A3A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14:paraId="4780437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14:paraId="44BE2D0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“货物”系指中标或成交供应商根据合同约定应向采购人交付的一切各种形态和种类的物品，包括原材料、燃料、设备、机械、仪表、备件、计算机软件、产品等，并包括工具、手册等其他相关资料。</w:t>
      </w:r>
    </w:p>
    <w:p w14:paraId="533A3CBE">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36" w:name="_Ref467378840"/>
      <w:r>
        <w:rPr>
          <w:rFonts w:hint="eastAsia" w:ascii="宋体" w:hAnsi="宋体" w:cs="宋体"/>
          <w:color w:val="000000" w:themeColor="text1"/>
          <w:sz w:val="24"/>
          <w:highlight w:val="none"/>
          <w14:textFill>
            <w14:solidFill>
              <w14:schemeClr w14:val="tx1"/>
            </w14:solidFill>
          </w14:textFill>
        </w:rPr>
        <w:t>2.1.4 “甲方”系指与中标或成交供应商签署合同的采购人</w:t>
      </w:r>
      <w:bookmarkEnd w:id="436"/>
      <w:r>
        <w:rPr>
          <w:rFonts w:hint="eastAsia" w:ascii="宋体" w:hAnsi="宋体" w:cs="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7B57C7E0">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37" w:name="_Ref467379400"/>
      <w:r>
        <w:rPr>
          <w:rFonts w:hint="eastAsia" w:ascii="宋体" w:hAnsi="宋体" w:cs="宋体"/>
          <w:color w:val="000000" w:themeColor="text1"/>
          <w:sz w:val="24"/>
          <w:highlight w:val="none"/>
          <w14:textFill>
            <w14:solidFill>
              <w14:schemeClr w14:val="tx1"/>
            </w14:solidFill>
          </w14:textFill>
        </w:rPr>
        <w:t>2.1.5 “乙方”系指根据合同约定交付货物的中标或成交供应商</w:t>
      </w:r>
      <w:bookmarkEnd w:id="437"/>
      <w:r>
        <w:rPr>
          <w:rFonts w:hint="eastAsia" w:ascii="宋体" w:hAnsi="宋体" w:cs="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F4E643B">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38" w:name="_Ref467379436"/>
      <w:r>
        <w:rPr>
          <w:rFonts w:hint="eastAsia" w:ascii="宋体" w:hAnsi="宋体" w:cs="宋体"/>
          <w:color w:val="000000" w:themeColor="text1"/>
          <w:sz w:val="24"/>
          <w:highlight w:val="none"/>
          <w14:textFill>
            <w14:solidFill>
              <w14:schemeClr w14:val="tx1"/>
            </w14:solidFill>
          </w14:textFill>
        </w:rPr>
        <w:t>2.1.6 “现场”系指合同约定货物将要运至或者安装的地点。</w:t>
      </w:r>
      <w:bookmarkEnd w:id="438"/>
    </w:p>
    <w:p w14:paraId="39F146E8">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39" w:name="_Toc279701241"/>
      <w:bookmarkStart w:id="440" w:name="_Toc487900350"/>
      <w:bookmarkStart w:id="441" w:name="_Toc13336"/>
      <w:bookmarkStart w:id="442" w:name="_Toc259093670"/>
      <w:bookmarkStart w:id="443" w:name="_Toc32504"/>
      <w:bookmarkStart w:id="444" w:name="_Toc27635"/>
      <w:r>
        <w:rPr>
          <w:rFonts w:hint="eastAsia" w:ascii="宋体" w:hAnsi="宋体" w:cs="宋体"/>
          <w:b/>
          <w:color w:val="000000" w:themeColor="text1"/>
          <w:sz w:val="24"/>
          <w:highlight w:val="none"/>
          <w14:textFill>
            <w14:solidFill>
              <w14:schemeClr w14:val="tx1"/>
            </w14:solidFill>
          </w14:textFill>
        </w:rPr>
        <w:t>2.2 技术规范</w:t>
      </w:r>
      <w:bookmarkEnd w:id="439"/>
      <w:bookmarkEnd w:id="440"/>
      <w:bookmarkEnd w:id="441"/>
      <w:bookmarkEnd w:id="442"/>
      <w:bookmarkEnd w:id="443"/>
      <w:bookmarkEnd w:id="444"/>
    </w:p>
    <w:p w14:paraId="6F7F912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C93C66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45" w:name="_Toc487900351"/>
      <w:bookmarkStart w:id="446" w:name="_Toc279701242"/>
      <w:bookmarkStart w:id="447" w:name="_Toc259093671"/>
      <w:bookmarkStart w:id="448" w:name="_Toc9829"/>
      <w:bookmarkStart w:id="449" w:name="_Toc27853"/>
      <w:bookmarkStart w:id="450" w:name="_Toc31634"/>
      <w:r>
        <w:rPr>
          <w:rFonts w:hint="eastAsia" w:ascii="宋体" w:hAnsi="宋体" w:cs="宋体"/>
          <w:b/>
          <w:color w:val="000000" w:themeColor="text1"/>
          <w:sz w:val="24"/>
          <w:highlight w:val="none"/>
          <w14:textFill>
            <w14:solidFill>
              <w14:schemeClr w14:val="tx1"/>
            </w14:solidFill>
          </w14:textFill>
        </w:rPr>
        <w:t>2.3 知识产权</w:t>
      </w:r>
      <w:bookmarkEnd w:id="445"/>
      <w:bookmarkEnd w:id="446"/>
      <w:bookmarkEnd w:id="447"/>
      <w:bookmarkEnd w:id="448"/>
      <w:bookmarkEnd w:id="449"/>
      <w:bookmarkEnd w:id="450"/>
    </w:p>
    <w:p w14:paraId="36F6AEE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5631B44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2.3.2具有知识产权的计算机软件等货物的知识产权归属，详见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5BED68B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51" w:name="_Toc29149"/>
      <w:bookmarkStart w:id="452" w:name="_Toc11932"/>
      <w:bookmarkStart w:id="453" w:name="_Toc4194"/>
      <w:r>
        <w:rPr>
          <w:rFonts w:hint="eastAsia" w:ascii="宋体" w:hAnsi="宋体" w:cs="宋体"/>
          <w:b/>
          <w:color w:val="000000" w:themeColor="text1"/>
          <w:sz w:val="24"/>
          <w:highlight w:val="none"/>
          <w14:textFill>
            <w14:solidFill>
              <w14:schemeClr w14:val="tx1"/>
            </w14:solidFill>
          </w14:textFill>
        </w:rPr>
        <w:t>2.4 包装和装运</w:t>
      </w:r>
      <w:bookmarkEnd w:id="451"/>
      <w:bookmarkEnd w:id="452"/>
      <w:bookmarkEnd w:id="453"/>
    </w:p>
    <w:p w14:paraId="2F6ABB7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BAA901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194005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 装运货物的要求和通知，详见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7EDCBB1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54" w:name="_Toc279701245"/>
      <w:bookmarkStart w:id="455" w:name="_Ref467378591"/>
      <w:bookmarkStart w:id="456" w:name="_Ref467378541"/>
      <w:bookmarkStart w:id="457" w:name="_Ref467379527"/>
      <w:bookmarkStart w:id="458" w:name="_Ref467379536"/>
      <w:bookmarkStart w:id="459" w:name="_Toc259093674"/>
      <w:bookmarkStart w:id="460" w:name="_Toc487900354"/>
      <w:bookmarkStart w:id="461" w:name="_Ref467379542"/>
      <w:bookmarkStart w:id="462" w:name="_Toc19074"/>
      <w:bookmarkStart w:id="463" w:name="_Toc26182"/>
      <w:bookmarkStart w:id="464" w:name="_Toc30272"/>
      <w:r>
        <w:rPr>
          <w:rFonts w:hint="eastAsia" w:ascii="宋体" w:hAnsi="宋体" w:cs="宋体"/>
          <w:b/>
          <w:color w:val="000000" w:themeColor="text1"/>
          <w:sz w:val="24"/>
          <w:highlight w:val="none"/>
          <w14:textFill>
            <w14:solidFill>
              <w14:schemeClr w14:val="tx1"/>
            </w14:solidFill>
          </w14:textFill>
        </w:rPr>
        <w:t>2.</w:t>
      </w:r>
      <w:bookmarkEnd w:id="454"/>
      <w:bookmarkEnd w:id="455"/>
      <w:bookmarkEnd w:id="456"/>
      <w:bookmarkEnd w:id="457"/>
      <w:bookmarkEnd w:id="458"/>
      <w:bookmarkEnd w:id="459"/>
      <w:bookmarkEnd w:id="460"/>
      <w:bookmarkEnd w:id="461"/>
      <w:r>
        <w:rPr>
          <w:rFonts w:hint="eastAsia" w:ascii="宋体" w:hAnsi="宋体" w:cs="宋体"/>
          <w:b/>
          <w:color w:val="000000" w:themeColor="text1"/>
          <w:sz w:val="24"/>
          <w:highlight w:val="none"/>
          <w14:textFill>
            <w14:solidFill>
              <w14:schemeClr w14:val="tx1"/>
            </w14:solidFill>
          </w14:textFill>
        </w:rPr>
        <w:t>5 履约检查和问题反馈</w:t>
      </w:r>
      <w:bookmarkEnd w:id="462"/>
      <w:bookmarkEnd w:id="463"/>
      <w:bookmarkEnd w:id="464"/>
    </w:p>
    <w:p w14:paraId="180E5961">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65" w:name="_Ref467379657"/>
      <w:r>
        <w:rPr>
          <w:rFonts w:hint="eastAsia" w:ascii="宋体" w:hAnsi="宋体" w:cs="宋体"/>
          <w:color w:val="000000" w:themeColor="text1"/>
          <w:sz w:val="24"/>
          <w:highlight w:val="none"/>
          <w14:textFill>
            <w14:solidFill>
              <w14:schemeClr w14:val="tx1"/>
            </w14:solidFill>
          </w14:textFill>
        </w:rPr>
        <w:t>2.5.1</w:t>
      </w:r>
      <w:bookmarkEnd w:id="465"/>
      <w:bookmarkStart w:id="466" w:name="_Toc186431854"/>
      <w:bookmarkStart w:id="467" w:name="_Toc487900357"/>
      <w:bookmarkStart w:id="468" w:name="_Toc259093676"/>
      <w:bookmarkStart w:id="469" w:name="_Toc279701247"/>
      <w:bookmarkStart w:id="470" w:name="_Ref467379807"/>
      <w:bookmarkStart w:id="471" w:name="_Ref467379793"/>
      <w:r>
        <w:rPr>
          <w:rFonts w:hint="eastAsia" w:ascii="宋体" w:hAnsi="宋体" w:cs="宋体"/>
          <w:color w:val="000000" w:themeColor="text1"/>
          <w:sz w:val="24"/>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2E80258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2.5.2 合同履行期间，甲方有权将履行过程中出现的问题反馈给乙方，双方当事人应以书面形式约定需要完善和改进的内容</w:t>
      </w:r>
      <w:bookmarkEnd w:id="466"/>
      <w:bookmarkStart w:id="472" w:name="_Toc186431855"/>
      <w:r>
        <w:rPr>
          <w:rFonts w:hint="eastAsia" w:ascii="宋体" w:hAnsi="宋体" w:cs="宋体"/>
          <w:color w:val="000000" w:themeColor="text1"/>
          <w:sz w:val="24"/>
          <w:highlight w:val="none"/>
          <w14:textFill>
            <w14:solidFill>
              <w14:schemeClr w14:val="tx1"/>
            </w14:solidFill>
          </w14:textFill>
        </w:rPr>
        <w:t>。</w:t>
      </w:r>
    </w:p>
    <w:bookmarkEnd w:id="467"/>
    <w:bookmarkEnd w:id="468"/>
    <w:bookmarkEnd w:id="469"/>
    <w:bookmarkEnd w:id="470"/>
    <w:bookmarkEnd w:id="471"/>
    <w:bookmarkEnd w:id="472"/>
    <w:p w14:paraId="5314C8B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73" w:name="_Toc279701248"/>
      <w:bookmarkStart w:id="474" w:name="_Toc487900358"/>
      <w:bookmarkStart w:id="475" w:name="_Toc259093677"/>
      <w:bookmarkStart w:id="476" w:name="_Ref467379863"/>
      <w:bookmarkStart w:id="477" w:name="_Ref467379852"/>
      <w:bookmarkStart w:id="478" w:name="_Ref467379923"/>
      <w:bookmarkStart w:id="479" w:name="_Toc16110"/>
      <w:bookmarkStart w:id="480" w:name="_Toc3225"/>
      <w:bookmarkStart w:id="481" w:name="_Toc774"/>
      <w:r>
        <w:rPr>
          <w:rFonts w:hint="eastAsia" w:ascii="宋体" w:hAnsi="宋体" w:cs="宋体"/>
          <w:b/>
          <w:color w:val="000000" w:themeColor="text1"/>
          <w:sz w:val="24"/>
          <w:highlight w:val="none"/>
          <w14:textFill>
            <w14:solidFill>
              <w14:schemeClr w14:val="tx1"/>
            </w14:solidFill>
          </w14:textFill>
        </w:rPr>
        <w:t>2.6 技术资料</w:t>
      </w:r>
      <w:bookmarkEnd w:id="473"/>
      <w:bookmarkEnd w:id="474"/>
      <w:bookmarkEnd w:id="475"/>
      <w:bookmarkEnd w:id="476"/>
      <w:bookmarkEnd w:id="477"/>
      <w:bookmarkEnd w:id="478"/>
      <w:r>
        <w:rPr>
          <w:rFonts w:hint="eastAsia" w:ascii="宋体" w:hAnsi="宋体" w:cs="宋体"/>
          <w:b/>
          <w:color w:val="000000" w:themeColor="text1"/>
          <w:sz w:val="24"/>
          <w:highlight w:val="none"/>
          <w14:textFill>
            <w14:solidFill>
              <w14:schemeClr w14:val="tx1"/>
            </w14:solidFill>
          </w14:textFill>
        </w:rPr>
        <w:t>和保密义务</w:t>
      </w:r>
      <w:bookmarkEnd w:id="479"/>
      <w:bookmarkEnd w:id="480"/>
      <w:bookmarkEnd w:id="481"/>
    </w:p>
    <w:p w14:paraId="240C486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5953D47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2.6.2 乙方有义务妥善保管和保护由甲方提供的前款信息和资料等；</w:t>
      </w:r>
    </w:p>
    <w:p w14:paraId="52E32B8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0403DD4">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2" w:name="_Toc7860"/>
      <w:r>
        <w:rPr>
          <w:rFonts w:hint="eastAsia" w:ascii="宋体" w:hAnsi="宋体" w:cs="宋体"/>
          <w:b/>
          <w:color w:val="000000" w:themeColor="text1"/>
          <w:sz w:val="24"/>
          <w:highlight w:val="none"/>
          <w14:textFill>
            <w14:solidFill>
              <w14:schemeClr w14:val="tx1"/>
            </w14:solidFill>
          </w14:textFill>
        </w:rPr>
        <w:t>2.7 质量保证</w:t>
      </w:r>
      <w:bookmarkEnd w:id="482"/>
    </w:p>
    <w:p w14:paraId="17FEAE9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7FF3133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65DC30A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3" w:name="_Toc17244"/>
      <w:bookmarkStart w:id="484" w:name="_Toc279701252"/>
      <w:bookmarkStart w:id="485" w:name="_Toc487900362"/>
      <w:bookmarkStart w:id="486" w:name="_Toc259093681"/>
      <w:r>
        <w:rPr>
          <w:rFonts w:hint="eastAsia" w:ascii="宋体" w:hAnsi="宋体" w:cs="宋体"/>
          <w:b/>
          <w:color w:val="000000" w:themeColor="text1"/>
          <w:sz w:val="24"/>
          <w:highlight w:val="none"/>
          <w14:textFill>
            <w14:solidFill>
              <w14:schemeClr w14:val="tx1"/>
            </w14:solidFill>
          </w14:textFill>
        </w:rPr>
        <w:t>2.8 货物的风险负担</w:t>
      </w:r>
      <w:bookmarkEnd w:id="483"/>
    </w:p>
    <w:p w14:paraId="685115F8">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0413C6D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7" w:name="_Toc14055"/>
      <w:r>
        <w:rPr>
          <w:rFonts w:hint="eastAsia" w:ascii="宋体" w:hAnsi="宋体" w:cs="宋体"/>
          <w:b/>
          <w:color w:val="000000" w:themeColor="text1"/>
          <w:sz w:val="24"/>
          <w:highlight w:val="none"/>
          <w14:textFill>
            <w14:solidFill>
              <w14:schemeClr w14:val="tx1"/>
            </w14:solidFill>
          </w14:textFill>
        </w:rPr>
        <w:t>2.9 延迟交货</w:t>
      </w:r>
      <w:bookmarkEnd w:id="484"/>
      <w:bookmarkEnd w:id="485"/>
      <w:bookmarkEnd w:id="486"/>
      <w:bookmarkEnd w:id="487"/>
    </w:p>
    <w:p w14:paraId="0D18CF5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甲乙双方签订合同后，乙方应按照合同约定履行合同义务，除不可抗力外，乙方不得延迟交货。</w:t>
      </w:r>
      <w:r>
        <w:rPr>
          <w:rFonts w:hint="eastAsia" w:ascii="宋体" w:hAnsi="宋体" w:cs="宋体"/>
          <w:color w:val="000000" w:themeColor="text1"/>
          <w:sz w:val="24"/>
          <w:highlight w:val="none"/>
          <w14:textFill>
            <w14:solidFill>
              <w14:schemeClr w14:val="tx1"/>
            </w14:solidFill>
          </w14:textFill>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7EBE61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8" w:name="_Toc7502"/>
      <w:bookmarkStart w:id="489" w:name="_Toc487900364"/>
      <w:bookmarkStart w:id="490" w:name="_Ref467378121"/>
      <w:bookmarkStart w:id="491" w:name="_Toc279701254"/>
      <w:bookmarkStart w:id="492" w:name="_Toc259093683"/>
      <w:r>
        <w:rPr>
          <w:rFonts w:hint="eastAsia" w:ascii="宋体" w:hAnsi="宋体" w:cs="宋体"/>
          <w:b/>
          <w:color w:val="000000" w:themeColor="text1"/>
          <w:sz w:val="24"/>
          <w:highlight w:val="none"/>
          <w14:textFill>
            <w14:solidFill>
              <w14:schemeClr w14:val="tx1"/>
            </w14:solidFill>
          </w14:textFill>
        </w:rPr>
        <w:t>2.10 合同变更</w:t>
      </w:r>
      <w:bookmarkEnd w:id="488"/>
    </w:p>
    <w:p w14:paraId="1F96CC7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93" w:name="_Toc259093688"/>
      <w:bookmarkStart w:id="494" w:name="_Toc279701259"/>
      <w:bookmarkStart w:id="495" w:name="_Toc487900369"/>
    </w:p>
    <w:p w14:paraId="03A3A25F">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6" w:name="_Toc15237"/>
      <w:bookmarkStart w:id="497" w:name="_Toc22955"/>
      <w:bookmarkStart w:id="498" w:name="_Toc10366"/>
      <w:r>
        <w:rPr>
          <w:rFonts w:hint="eastAsia" w:ascii="宋体" w:hAnsi="宋体" w:cs="宋体"/>
          <w:b/>
          <w:color w:val="000000" w:themeColor="text1"/>
          <w:sz w:val="24"/>
          <w:highlight w:val="none"/>
          <w14:textFill>
            <w14:solidFill>
              <w14:schemeClr w14:val="tx1"/>
            </w14:solidFill>
          </w14:textFill>
        </w:rPr>
        <w:t>2.11 合同转让</w:t>
      </w:r>
      <w:bookmarkEnd w:id="493"/>
      <w:bookmarkEnd w:id="494"/>
      <w:bookmarkEnd w:id="495"/>
      <w:r>
        <w:rPr>
          <w:rFonts w:hint="eastAsia" w:ascii="宋体" w:hAnsi="宋体" w:cs="宋体"/>
          <w:b/>
          <w:color w:val="000000" w:themeColor="text1"/>
          <w:sz w:val="24"/>
          <w:highlight w:val="none"/>
          <w14:textFill>
            <w14:solidFill>
              <w14:schemeClr w14:val="tx1"/>
            </w14:solidFill>
          </w14:textFill>
        </w:rPr>
        <w:t>和分包</w:t>
      </w:r>
      <w:bookmarkEnd w:id="496"/>
      <w:bookmarkEnd w:id="497"/>
      <w:bookmarkEnd w:id="498"/>
    </w:p>
    <w:p w14:paraId="358AC98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740AC9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2.11.2乙方采取分包方式履行合同的，甲方可直接向分包供应商支付款项。</w:t>
      </w:r>
    </w:p>
    <w:p w14:paraId="6ACF1B3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9" w:name="_Toc13566"/>
      <w:bookmarkStart w:id="500" w:name="_Toc14066"/>
      <w:bookmarkStart w:id="501" w:name="_Toc16508"/>
      <w:r>
        <w:rPr>
          <w:rFonts w:hint="eastAsia" w:ascii="宋体" w:hAnsi="宋体" w:cs="宋体"/>
          <w:b/>
          <w:color w:val="000000" w:themeColor="text1"/>
          <w:sz w:val="24"/>
          <w:highlight w:val="none"/>
          <w14:textFill>
            <w14:solidFill>
              <w14:schemeClr w14:val="tx1"/>
            </w14:solidFill>
          </w14:textFill>
        </w:rPr>
        <w:t>2.12 不可抗力</w:t>
      </w:r>
      <w:bookmarkEnd w:id="499"/>
      <w:bookmarkEnd w:id="500"/>
      <w:bookmarkEnd w:id="501"/>
    </w:p>
    <w:p w14:paraId="2B00792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14:paraId="73F8662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2.12.2 因不可抗力致使不能实现合同目的的，当事人可以解除合同；</w:t>
      </w:r>
    </w:p>
    <w:p w14:paraId="12FA48E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 因不可抗力致使合同有变更必要的，双方当事人应在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约定时间内以书面形式变更合同；</w:t>
      </w:r>
    </w:p>
    <w:p w14:paraId="663F756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2.12.4受不可抗力影响的一方在不可抗力发生后，应在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约定时间内以书面形式通知对方当事人，并在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约定时间内，将有关部门出具的证明文件送达对方当事人。</w:t>
      </w:r>
    </w:p>
    <w:p w14:paraId="16940194">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2" w:name="_Toc487900365"/>
      <w:bookmarkStart w:id="503" w:name="_Toc30676"/>
      <w:bookmarkStart w:id="504" w:name="_Toc279701255"/>
      <w:bookmarkStart w:id="505" w:name="_Toc689"/>
      <w:bookmarkStart w:id="506" w:name="_Toc259093684"/>
      <w:bookmarkStart w:id="507" w:name="_Toc6969"/>
      <w:r>
        <w:rPr>
          <w:rFonts w:hint="eastAsia" w:ascii="宋体" w:hAnsi="宋体" w:cs="宋体"/>
          <w:b/>
          <w:color w:val="000000" w:themeColor="text1"/>
          <w:sz w:val="24"/>
          <w:highlight w:val="none"/>
          <w14:textFill>
            <w14:solidFill>
              <w14:schemeClr w14:val="tx1"/>
            </w14:solidFill>
          </w14:textFill>
        </w:rPr>
        <w:t>2.13 税费</w:t>
      </w:r>
      <w:bookmarkEnd w:id="502"/>
      <w:bookmarkEnd w:id="503"/>
      <w:bookmarkEnd w:id="504"/>
      <w:bookmarkEnd w:id="505"/>
      <w:bookmarkEnd w:id="506"/>
      <w:bookmarkEnd w:id="507"/>
    </w:p>
    <w:p w14:paraId="129B2F5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与合同有关的一切税费，均按照中华人民共和国法律的相关规定。</w:t>
      </w:r>
    </w:p>
    <w:p w14:paraId="551A7B43">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8" w:name="_Toc16959"/>
      <w:bookmarkStart w:id="509" w:name="_Toc279701258"/>
      <w:bookmarkStart w:id="510" w:name="_Toc7102"/>
      <w:bookmarkStart w:id="511" w:name="_Toc8298"/>
      <w:bookmarkStart w:id="512" w:name="_Toc487900368"/>
      <w:bookmarkStart w:id="513" w:name="_Toc259093687"/>
      <w:r>
        <w:rPr>
          <w:rFonts w:hint="eastAsia" w:ascii="宋体" w:hAnsi="宋体" w:cs="宋体"/>
          <w:b/>
          <w:color w:val="000000" w:themeColor="text1"/>
          <w:sz w:val="24"/>
          <w:highlight w:val="none"/>
          <w14:textFill>
            <w14:solidFill>
              <w14:schemeClr w14:val="tx1"/>
            </w14:solidFill>
          </w14:textFill>
        </w:rPr>
        <w:t>2.14乙方破产</w:t>
      </w:r>
      <w:bookmarkEnd w:id="508"/>
      <w:bookmarkEnd w:id="509"/>
      <w:bookmarkEnd w:id="510"/>
      <w:bookmarkEnd w:id="511"/>
      <w:bookmarkEnd w:id="512"/>
      <w:bookmarkEnd w:id="513"/>
    </w:p>
    <w:p w14:paraId="0DFEFB1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380BC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14" w:name="_Toc29333"/>
      <w:bookmarkStart w:id="515" w:name="_Toc6134"/>
      <w:bookmarkStart w:id="516" w:name="_Toc15387"/>
      <w:r>
        <w:rPr>
          <w:rFonts w:hint="eastAsia" w:ascii="宋体" w:hAnsi="宋体" w:cs="宋体"/>
          <w:b/>
          <w:color w:val="000000" w:themeColor="text1"/>
          <w:sz w:val="24"/>
          <w:highlight w:val="none"/>
          <w14:textFill>
            <w14:solidFill>
              <w14:schemeClr w14:val="tx1"/>
            </w14:solidFill>
          </w14:textFill>
        </w:rPr>
        <w:t>2.15 合同中止、终止</w:t>
      </w:r>
      <w:bookmarkEnd w:id="514"/>
      <w:bookmarkEnd w:id="515"/>
      <w:bookmarkEnd w:id="516"/>
    </w:p>
    <w:p w14:paraId="1ED9512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2.15.1 双方当事人不得擅自中止或者终止合同；</w:t>
      </w:r>
    </w:p>
    <w:p w14:paraId="1E75CA66">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2F3ED2BA">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17" w:name="_Toc1125"/>
      <w:bookmarkStart w:id="518" w:name="_Toc14563"/>
      <w:bookmarkStart w:id="519" w:name="_Toc6596"/>
      <w:r>
        <w:rPr>
          <w:rFonts w:hint="eastAsia" w:ascii="宋体" w:hAnsi="宋体" w:cs="宋体"/>
          <w:b/>
          <w:color w:val="000000" w:themeColor="text1"/>
          <w:sz w:val="24"/>
          <w:highlight w:val="none"/>
          <w14:textFill>
            <w14:solidFill>
              <w14:schemeClr w14:val="tx1"/>
            </w14:solidFill>
          </w14:textFill>
        </w:rPr>
        <w:t>2.16检验和验收</w:t>
      </w:r>
      <w:bookmarkEnd w:id="517"/>
      <w:bookmarkEnd w:id="518"/>
      <w:bookmarkEnd w:id="519"/>
    </w:p>
    <w:p w14:paraId="1A4D79FB">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2.16.1货物交付前，乙方应对货物的质量、数量等方面进行详细、全面的检验，并向甲方出具证明货物符合合同约定的文件；货物交付时，甲方在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约定时间内组织验收，并可依法邀请相关方参加，验收应出具验收书。</w:t>
      </w:r>
    </w:p>
    <w:p w14:paraId="6531B954">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69740AB">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 检验和验收标准、程序等具体内容以及前述验收书的效力详见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i/>
          <w:color w:val="000000" w:themeColor="text1"/>
          <w:sz w:val="24"/>
          <w:highlight w:val="none"/>
          <w14:textFill>
            <w14:solidFill>
              <w14:schemeClr w14:val="tx1"/>
            </w14:solidFill>
          </w14:textFill>
        </w:rPr>
        <w:t>。</w:t>
      </w:r>
    </w:p>
    <w:bookmarkEnd w:id="489"/>
    <w:bookmarkEnd w:id="490"/>
    <w:bookmarkEnd w:id="491"/>
    <w:bookmarkEnd w:id="492"/>
    <w:p w14:paraId="65FCC56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20" w:name="_Toc487900371"/>
      <w:bookmarkStart w:id="521" w:name="_Toc279701261"/>
      <w:bookmarkStart w:id="522" w:name="_Toc259093690"/>
      <w:bookmarkStart w:id="523" w:name="_Toc11284"/>
      <w:bookmarkStart w:id="524" w:name="_Toc19604"/>
      <w:bookmarkStart w:id="525" w:name="_Toc25182"/>
      <w:r>
        <w:rPr>
          <w:rFonts w:hint="eastAsia" w:ascii="宋体" w:hAnsi="宋体" w:cs="宋体"/>
          <w:b/>
          <w:color w:val="000000" w:themeColor="text1"/>
          <w:sz w:val="24"/>
          <w:highlight w:val="none"/>
          <w14:textFill>
            <w14:solidFill>
              <w14:schemeClr w14:val="tx1"/>
            </w14:solidFill>
          </w14:textFill>
        </w:rPr>
        <w:t>2.17 通知</w:t>
      </w:r>
      <w:bookmarkEnd w:id="520"/>
      <w:bookmarkEnd w:id="521"/>
      <w:bookmarkEnd w:id="522"/>
      <w:r>
        <w:rPr>
          <w:rFonts w:hint="eastAsia" w:ascii="宋体" w:hAnsi="宋体" w:cs="宋体"/>
          <w:b/>
          <w:color w:val="000000" w:themeColor="text1"/>
          <w:sz w:val="24"/>
          <w:highlight w:val="none"/>
          <w14:textFill>
            <w14:solidFill>
              <w14:schemeClr w14:val="tx1"/>
            </w14:solidFill>
          </w14:textFill>
        </w:rPr>
        <w:t>和送达</w:t>
      </w:r>
      <w:bookmarkEnd w:id="523"/>
      <w:bookmarkEnd w:id="524"/>
      <w:bookmarkEnd w:id="525"/>
    </w:p>
    <w:p w14:paraId="728F807B">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526" w:name="_Toc6698"/>
      <w:bookmarkStart w:id="527" w:name="_Toc3135"/>
      <w:bookmarkStart w:id="528" w:name="_Toc487900372"/>
      <w:bookmarkStart w:id="529" w:name="_Toc279701262"/>
      <w:bookmarkStart w:id="530" w:name="_Toc259093691"/>
      <w:r>
        <w:rPr>
          <w:rFonts w:hint="eastAsia" w:ascii="宋体" w:hAnsi="宋体" w:cs="宋体"/>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宋体" w:hAnsi="宋体" w:cs="宋体"/>
          <w:color w:val="000000" w:themeColor="text1"/>
          <w:sz w:val="24"/>
          <w:highlight w:val="none"/>
          <w:u w:val="singl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bookmarkEnd w:id="526"/>
      <w:bookmarkEnd w:id="527"/>
    </w:p>
    <w:p w14:paraId="280CE810">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531" w:name="_Toc23294"/>
      <w:bookmarkStart w:id="532" w:name="_Toc23128"/>
      <w:r>
        <w:rPr>
          <w:rFonts w:hint="eastAsia" w:ascii="宋体" w:hAnsi="宋体" w:cs="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p w14:paraId="0E06527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33" w:name="_Toc18540"/>
      <w:bookmarkStart w:id="534" w:name="_Toc30599"/>
      <w:bookmarkStart w:id="535" w:name="_Toc4355"/>
      <w:r>
        <w:rPr>
          <w:rFonts w:hint="eastAsia" w:ascii="宋体" w:hAnsi="宋体" w:cs="宋体"/>
          <w:b/>
          <w:color w:val="000000" w:themeColor="text1"/>
          <w:sz w:val="24"/>
          <w:highlight w:val="none"/>
          <w14:textFill>
            <w14:solidFill>
              <w14:schemeClr w14:val="tx1"/>
            </w14:solidFill>
          </w14:textFill>
        </w:rPr>
        <w:t>2.18 计量单位</w:t>
      </w:r>
      <w:bookmarkEnd w:id="528"/>
      <w:bookmarkEnd w:id="529"/>
      <w:bookmarkEnd w:id="530"/>
      <w:bookmarkEnd w:id="533"/>
      <w:bookmarkEnd w:id="534"/>
      <w:bookmarkEnd w:id="535"/>
    </w:p>
    <w:p w14:paraId="5D604C0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573BE9A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36" w:name="_Toc10330"/>
      <w:bookmarkStart w:id="537" w:name="_Toc259093692"/>
      <w:bookmarkStart w:id="538" w:name="_Toc18567"/>
      <w:bookmarkStart w:id="539" w:name="_Toc12773"/>
      <w:bookmarkStart w:id="540" w:name="_Toc487900373"/>
      <w:bookmarkStart w:id="541" w:name="_Toc279701263"/>
      <w:r>
        <w:rPr>
          <w:rFonts w:hint="eastAsia" w:ascii="宋体" w:hAnsi="宋体" w:cs="宋体"/>
          <w:b/>
          <w:color w:val="000000" w:themeColor="text1"/>
          <w:sz w:val="24"/>
          <w:highlight w:val="none"/>
          <w14:textFill>
            <w14:solidFill>
              <w14:schemeClr w14:val="tx1"/>
            </w14:solidFill>
          </w14:textFill>
        </w:rPr>
        <w:t>2.19 合同使用的文字和适用的法律</w:t>
      </w:r>
      <w:bookmarkEnd w:id="536"/>
      <w:bookmarkEnd w:id="537"/>
      <w:bookmarkEnd w:id="538"/>
      <w:bookmarkEnd w:id="539"/>
      <w:bookmarkEnd w:id="540"/>
      <w:bookmarkEnd w:id="541"/>
    </w:p>
    <w:p w14:paraId="449B7F3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2.19.1 合同使用汉语书就、变更和解释；</w:t>
      </w:r>
    </w:p>
    <w:p w14:paraId="1622DBF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2.19.2 合同适用中华人民共和国法律。</w:t>
      </w:r>
    </w:p>
    <w:p w14:paraId="3285B8B7">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42" w:name="_Toc19890"/>
      <w:bookmarkStart w:id="543" w:name="_Toc6885"/>
      <w:bookmarkStart w:id="544" w:name="_Toc14001"/>
      <w:r>
        <w:rPr>
          <w:rFonts w:hint="eastAsia" w:ascii="宋体" w:hAnsi="宋体" w:cs="宋体"/>
          <w:b/>
          <w:color w:val="000000" w:themeColor="text1"/>
          <w:sz w:val="24"/>
          <w:highlight w:val="none"/>
          <w14:textFill>
            <w14:solidFill>
              <w14:schemeClr w14:val="tx1"/>
            </w14:solidFill>
          </w14:textFill>
        </w:rPr>
        <w:t>2.20 合同份数</w:t>
      </w:r>
      <w:bookmarkEnd w:id="542"/>
      <w:bookmarkEnd w:id="543"/>
      <w:bookmarkEnd w:id="544"/>
    </w:p>
    <w:p w14:paraId="5B412E7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合同份数按</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规定，每份均具有同等法律效力。</w:t>
      </w:r>
    </w:p>
    <w:p w14:paraId="58E68B23">
      <w:pPr>
        <w:adjustRightInd/>
        <w:spacing w:line="360" w:lineRule="auto"/>
        <w:ind w:firstLine="2513" w:firstLineChars="1197"/>
        <w:outlineLvl w:val="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r>
        <w:rPr>
          <w:rFonts w:hint="eastAsia" w:ascii="宋体" w:hAnsi="宋体" w:cs="宋体"/>
          <w:b/>
          <w:color w:val="000000" w:themeColor="text1"/>
          <w:sz w:val="32"/>
          <w:szCs w:val="20"/>
          <w:highlight w:val="none"/>
          <w14:textFill>
            <w14:solidFill>
              <w14:schemeClr w14:val="tx1"/>
            </w14:solidFill>
          </w14:textFill>
        </w:rPr>
        <w:t xml:space="preserve"> 第三部分  合同专用条款</w:t>
      </w:r>
    </w:p>
    <w:p w14:paraId="2B563197">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373A7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17A4A49D">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534" w:type="pct"/>
            <w:vAlign w:val="center"/>
          </w:tcPr>
          <w:p w14:paraId="07CAC08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004FB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C8CC7A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4534" w:type="pct"/>
            <w:vAlign w:val="center"/>
          </w:tcPr>
          <w:p w14:paraId="72A5AD9C">
            <w:pPr>
              <w:spacing w:line="360" w:lineRule="auto"/>
              <w:rPr>
                <w:rFonts w:ascii="宋体" w:hAnsi="宋体" w:cs="宋体"/>
                <w:color w:val="000000" w:themeColor="text1"/>
                <w:sz w:val="24"/>
                <w:highlight w:val="none"/>
                <w14:textFill>
                  <w14:solidFill>
                    <w14:schemeClr w14:val="tx1"/>
                  </w14:solidFill>
                </w14:textFill>
              </w:rPr>
            </w:pPr>
          </w:p>
        </w:tc>
      </w:tr>
      <w:tr w14:paraId="2B643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E0496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w:t>
            </w:r>
          </w:p>
        </w:tc>
        <w:tc>
          <w:tcPr>
            <w:tcW w:w="4534" w:type="pct"/>
            <w:vAlign w:val="center"/>
          </w:tcPr>
          <w:p w14:paraId="4A0CAF3D">
            <w:pPr>
              <w:spacing w:line="360" w:lineRule="auto"/>
              <w:rPr>
                <w:rFonts w:ascii="宋体" w:hAnsi="宋体" w:cs="宋体"/>
                <w:color w:val="000000" w:themeColor="text1"/>
                <w:sz w:val="24"/>
                <w:highlight w:val="none"/>
                <w14:textFill>
                  <w14:solidFill>
                    <w14:schemeClr w14:val="tx1"/>
                  </w14:solidFill>
                </w14:textFill>
              </w:rPr>
            </w:pPr>
          </w:p>
        </w:tc>
      </w:tr>
      <w:tr w14:paraId="0B363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A203E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1.5.2 </w:t>
            </w:r>
          </w:p>
        </w:tc>
        <w:tc>
          <w:tcPr>
            <w:tcW w:w="4534" w:type="pct"/>
            <w:vAlign w:val="center"/>
          </w:tcPr>
          <w:p w14:paraId="5DDF6ED1">
            <w:pPr>
              <w:spacing w:line="360" w:lineRule="auto"/>
              <w:rPr>
                <w:rFonts w:ascii="宋体" w:hAnsi="宋体" w:cs="宋体"/>
                <w:color w:val="000000" w:themeColor="text1"/>
                <w:sz w:val="24"/>
                <w:highlight w:val="none"/>
                <w14:textFill>
                  <w14:solidFill>
                    <w14:schemeClr w14:val="tx1"/>
                  </w14:solidFill>
                </w14:textFill>
              </w:rPr>
            </w:pPr>
          </w:p>
        </w:tc>
      </w:tr>
      <w:tr w14:paraId="4A251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72159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w:t>
            </w:r>
          </w:p>
        </w:tc>
        <w:tc>
          <w:tcPr>
            <w:tcW w:w="4534" w:type="pct"/>
            <w:vAlign w:val="center"/>
          </w:tcPr>
          <w:p w14:paraId="578BDF8D">
            <w:pPr>
              <w:spacing w:line="360" w:lineRule="auto"/>
              <w:rPr>
                <w:rFonts w:ascii="宋体" w:hAnsi="宋体" w:cs="宋体"/>
                <w:color w:val="000000" w:themeColor="text1"/>
                <w:sz w:val="24"/>
                <w:highlight w:val="none"/>
                <w14:textFill>
                  <w14:solidFill>
                    <w14:schemeClr w14:val="tx1"/>
                  </w14:solidFill>
                </w14:textFill>
              </w:rPr>
            </w:pPr>
          </w:p>
        </w:tc>
      </w:tr>
      <w:tr w14:paraId="6CF0C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99878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534" w:type="pct"/>
            <w:vAlign w:val="center"/>
          </w:tcPr>
          <w:p w14:paraId="74384AEB">
            <w:pPr>
              <w:spacing w:line="360" w:lineRule="auto"/>
              <w:rPr>
                <w:rFonts w:ascii="宋体" w:hAnsi="宋体" w:cs="宋体"/>
                <w:color w:val="000000" w:themeColor="text1"/>
                <w:sz w:val="24"/>
                <w:highlight w:val="none"/>
                <w14:textFill>
                  <w14:solidFill>
                    <w14:schemeClr w14:val="tx1"/>
                  </w14:solidFill>
                </w14:textFill>
              </w:rPr>
            </w:pPr>
          </w:p>
        </w:tc>
      </w:tr>
      <w:tr w14:paraId="66E23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580F9C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534" w:type="pct"/>
            <w:vAlign w:val="center"/>
          </w:tcPr>
          <w:p w14:paraId="11701F7E">
            <w:pPr>
              <w:spacing w:line="360" w:lineRule="auto"/>
              <w:rPr>
                <w:rFonts w:ascii="宋体" w:hAnsi="宋体" w:cs="宋体"/>
                <w:color w:val="000000" w:themeColor="text1"/>
                <w:sz w:val="24"/>
                <w:highlight w:val="none"/>
                <w14:textFill>
                  <w14:solidFill>
                    <w14:schemeClr w14:val="tx1"/>
                  </w14:solidFill>
                </w14:textFill>
              </w:rPr>
            </w:pPr>
          </w:p>
        </w:tc>
      </w:tr>
      <w:tr w14:paraId="5192E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18D3D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534" w:type="pct"/>
            <w:vAlign w:val="center"/>
          </w:tcPr>
          <w:p w14:paraId="41C2628B">
            <w:pPr>
              <w:spacing w:line="360" w:lineRule="auto"/>
              <w:rPr>
                <w:rFonts w:ascii="宋体" w:hAnsi="宋体" w:cs="宋体"/>
                <w:color w:val="000000" w:themeColor="text1"/>
                <w:sz w:val="24"/>
                <w:highlight w:val="none"/>
                <w14:textFill>
                  <w14:solidFill>
                    <w14:schemeClr w14:val="tx1"/>
                  </w14:solidFill>
                </w14:textFill>
              </w:rPr>
            </w:pPr>
          </w:p>
        </w:tc>
      </w:tr>
      <w:tr w14:paraId="6594A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B358B5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534" w:type="pct"/>
            <w:vAlign w:val="center"/>
          </w:tcPr>
          <w:p w14:paraId="06147950">
            <w:pPr>
              <w:spacing w:line="360" w:lineRule="auto"/>
              <w:rPr>
                <w:rFonts w:ascii="宋体" w:hAnsi="宋体" w:cs="宋体"/>
                <w:color w:val="000000" w:themeColor="text1"/>
                <w:sz w:val="24"/>
                <w:highlight w:val="none"/>
                <w14:textFill>
                  <w14:solidFill>
                    <w14:schemeClr w14:val="tx1"/>
                  </w14:solidFill>
                </w14:textFill>
              </w:rPr>
            </w:pPr>
          </w:p>
        </w:tc>
      </w:tr>
      <w:tr w14:paraId="3BAA8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91030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w:t>
            </w:r>
          </w:p>
        </w:tc>
        <w:tc>
          <w:tcPr>
            <w:tcW w:w="4534" w:type="pct"/>
            <w:vAlign w:val="center"/>
          </w:tcPr>
          <w:p w14:paraId="10687A4E">
            <w:pPr>
              <w:spacing w:line="360" w:lineRule="auto"/>
              <w:rPr>
                <w:rFonts w:ascii="宋体" w:hAnsi="宋体" w:cs="宋体"/>
                <w:color w:val="000000" w:themeColor="text1"/>
                <w:sz w:val="24"/>
                <w:highlight w:val="none"/>
                <w14:textFill>
                  <w14:solidFill>
                    <w14:schemeClr w14:val="tx1"/>
                  </w14:solidFill>
                </w14:textFill>
              </w:rPr>
            </w:pPr>
          </w:p>
        </w:tc>
      </w:tr>
      <w:tr w14:paraId="1FE68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A5E88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4534" w:type="pct"/>
            <w:vAlign w:val="center"/>
          </w:tcPr>
          <w:p w14:paraId="5485A239">
            <w:pPr>
              <w:spacing w:line="360" w:lineRule="auto"/>
              <w:rPr>
                <w:rFonts w:ascii="宋体" w:hAnsi="宋体" w:cs="宋体"/>
                <w:color w:val="000000" w:themeColor="text1"/>
                <w:sz w:val="24"/>
                <w:highlight w:val="none"/>
                <w14:textFill>
                  <w14:solidFill>
                    <w14:schemeClr w14:val="tx1"/>
                  </w14:solidFill>
                </w14:textFill>
              </w:rPr>
            </w:pPr>
          </w:p>
        </w:tc>
      </w:tr>
      <w:tr w14:paraId="722E8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FB6792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534" w:type="pct"/>
            <w:vAlign w:val="center"/>
          </w:tcPr>
          <w:p w14:paraId="6BE58E37">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6208C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CA556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w:t>
            </w:r>
          </w:p>
        </w:tc>
        <w:tc>
          <w:tcPr>
            <w:tcW w:w="4534" w:type="pct"/>
            <w:vAlign w:val="center"/>
          </w:tcPr>
          <w:p w14:paraId="2230FFF6">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278DB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C9E34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w:t>
            </w:r>
          </w:p>
        </w:tc>
        <w:tc>
          <w:tcPr>
            <w:tcW w:w="4534" w:type="pct"/>
            <w:vAlign w:val="center"/>
          </w:tcPr>
          <w:p w14:paraId="1563D1E8">
            <w:pPr>
              <w:spacing w:line="360" w:lineRule="auto"/>
              <w:rPr>
                <w:rFonts w:ascii="宋体" w:hAnsi="宋体" w:cs="宋体"/>
                <w:color w:val="000000" w:themeColor="text1"/>
                <w:sz w:val="24"/>
                <w:highlight w:val="none"/>
                <w14:textFill>
                  <w14:solidFill>
                    <w14:schemeClr w14:val="tx1"/>
                  </w14:solidFill>
                </w14:textFill>
              </w:rPr>
            </w:pPr>
          </w:p>
        </w:tc>
      </w:tr>
      <w:tr w14:paraId="3F29F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16613C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2.8 </w:t>
            </w:r>
          </w:p>
        </w:tc>
        <w:tc>
          <w:tcPr>
            <w:tcW w:w="4534" w:type="pct"/>
          </w:tcPr>
          <w:p w14:paraId="6ABBAFFB">
            <w:pPr>
              <w:spacing w:line="360" w:lineRule="auto"/>
              <w:rPr>
                <w:rFonts w:ascii="宋体" w:hAnsi="宋体" w:cs="宋体"/>
                <w:color w:val="000000" w:themeColor="text1"/>
                <w:sz w:val="24"/>
                <w:highlight w:val="none"/>
                <w14:textFill>
                  <w14:solidFill>
                    <w14:schemeClr w14:val="tx1"/>
                  </w14:solidFill>
                </w14:textFill>
              </w:rPr>
            </w:pPr>
          </w:p>
        </w:tc>
      </w:tr>
      <w:tr w14:paraId="793D5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494B4C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w:t>
            </w:r>
          </w:p>
        </w:tc>
        <w:tc>
          <w:tcPr>
            <w:tcW w:w="4534" w:type="pct"/>
            <w:vAlign w:val="center"/>
          </w:tcPr>
          <w:p w14:paraId="1F4FA410">
            <w:pPr>
              <w:spacing w:line="360" w:lineRule="auto"/>
              <w:rPr>
                <w:rFonts w:ascii="宋体" w:hAnsi="宋体" w:cs="宋体"/>
                <w:color w:val="000000" w:themeColor="text1"/>
                <w:sz w:val="24"/>
                <w:highlight w:val="none"/>
                <w14:textFill>
                  <w14:solidFill>
                    <w14:schemeClr w14:val="tx1"/>
                  </w14:solidFill>
                </w14:textFill>
              </w:rPr>
            </w:pPr>
          </w:p>
        </w:tc>
      </w:tr>
      <w:tr w14:paraId="39BD4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F4FCBA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w:t>
            </w:r>
          </w:p>
        </w:tc>
        <w:tc>
          <w:tcPr>
            <w:tcW w:w="4534" w:type="pct"/>
            <w:vAlign w:val="center"/>
          </w:tcPr>
          <w:p w14:paraId="5457B7A5">
            <w:pPr>
              <w:spacing w:line="360" w:lineRule="auto"/>
              <w:rPr>
                <w:rFonts w:ascii="宋体" w:hAnsi="宋体" w:cs="宋体"/>
                <w:color w:val="000000" w:themeColor="text1"/>
                <w:sz w:val="24"/>
                <w:highlight w:val="none"/>
                <w14:textFill>
                  <w14:solidFill>
                    <w14:schemeClr w14:val="tx1"/>
                  </w14:solidFill>
                </w14:textFill>
              </w:rPr>
            </w:pPr>
          </w:p>
        </w:tc>
      </w:tr>
      <w:tr w14:paraId="220CF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775428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w:t>
            </w:r>
          </w:p>
        </w:tc>
        <w:tc>
          <w:tcPr>
            <w:tcW w:w="4534" w:type="pct"/>
            <w:vAlign w:val="center"/>
          </w:tcPr>
          <w:p w14:paraId="258B0125">
            <w:pPr>
              <w:spacing w:line="360" w:lineRule="auto"/>
              <w:rPr>
                <w:rFonts w:ascii="宋体" w:hAnsi="宋体" w:cs="宋体"/>
                <w:color w:val="000000" w:themeColor="text1"/>
                <w:sz w:val="24"/>
                <w:highlight w:val="none"/>
                <w14:textFill>
                  <w14:solidFill>
                    <w14:schemeClr w14:val="tx1"/>
                  </w14:solidFill>
                </w14:textFill>
              </w:rPr>
            </w:pPr>
          </w:p>
        </w:tc>
      </w:tr>
      <w:tr w14:paraId="03FC9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6B1F92F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w:t>
            </w:r>
          </w:p>
        </w:tc>
        <w:tc>
          <w:tcPr>
            <w:tcW w:w="4534" w:type="pct"/>
            <w:vAlign w:val="center"/>
          </w:tcPr>
          <w:p w14:paraId="78C01347">
            <w:pPr>
              <w:spacing w:line="360" w:lineRule="auto"/>
              <w:rPr>
                <w:rFonts w:ascii="宋体" w:hAnsi="宋体" w:cs="宋体"/>
                <w:color w:val="000000" w:themeColor="text1"/>
                <w:sz w:val="24"/>
                <w:highlight w:val="none"/>
                <w14:textFill>
                  <w14:solidFill>
                    <w14:schemeClr w14:val="tx1"/>
                  </w14:solidFill>
                </w14:textFill>
              </w:rPr>
            </w:pPr>
          </w:p>
        </w:tc>
      </w:tr>
      <w:tr w14:paraId="3C122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6C6034A3">
            <w:pPr>
              <w:spacing w:line="360" w:lineRule="auto"/>
              <w:ind w:left="-420" w:leftChars="-200" w:right="-420" w:rightChars="-200"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2.20 </w:t>
            </w:r>
          </w:p>
        </w:tc>
        <w:tc>
          <w:tcPr>
            <w:tcW w:w="4534" w:type="pct"/>
            <w:vAlign w:val="center"/>
          </w:tcPr>
          <w:p w14:paraId="4BB1926E">
            <w:pPr>
              <w:spacing w:line="360" w:lineRule="auto"/>
              <w:rPr>
                <w:rFonts w:ascii="宋体" w:hAnsi="宋体" w:cs="宋体"/>
                <w:color w:val="000000" w:themeColor="text1"/>
                <w:sz w:val="24"/>
                <w:highlight w:val="none"/>
                <w14:textFill>
                  <w14:solidFill>
                    <w14:schemeClr w14:val="tx1"/>
                  </w14:solidFill>
                </w14:textFill>
              </w:rPr>
            </w:pPr>
          </w:p>
        </w:tc>
      </w:tr>
    </w:tbl>
    <w:p w14:paraId="536603E5">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p w14:paraId="47CB6CC2">
      <w:pPr>
        <w:spacing w:line="360" w:lineRule="auto"/>
        <w:ind w:left="-420" w:leftChars="-200" w:right="-420" w:rightChars="-200"/>
        <w:rPr>
          <w:rFonts w:ascii="宋体" w:hAnsi="宋体" w:cs="宋体"/>
          <w:color w:val="000000" w:themeColor="text1"/>
          <w:sz w:val="24"/>
          <w:highlight w:val="none"/>
          <w14:textFill>
            <w14:solidFill>
              <w14:schemeClr w14:val="tx1"/>
            </w14:solidFill>
          </w14:textFill>
        </w:rPr>
      </w:pPr>
    </w:p>
    <w:p w14:paraId="6EF0A169">
      <w:pPr>
        <w:pStyle w:val="3"/>
        <w:rPr>
          <w:color w:val="000000" w:themeColor="text1"/>
          <w:highlight w:val="none"/>
          <w14:textFill>
            <w14:solidFill>
              <w14:schemeClr w14:val="tx1"/>
            </w14:solidFill>
          </w14:textFill>
        </w:rPr>
      </w:pPr>
    </w:p>
    <w:p w14:paraId="6D966936">
      <w:pPr>
        <w:rPr>
          <w:color w:val="000000" w:themeColor="text1"/>
          <w:highlight w:val="none"/>
          <w14:textFill>
            <w14:solidFill>
              <w14:schemeClr w14:val="tx1"/>
            </w14:solidFill>
          </w14:textFill>
        </w:rPr>
      </w:pPr>
    </w:p>
    <w:bookmarkEnd w:id="394"/>
    <w:bookmarkEnd w:id="395"/>
    <w:p w14:paraId="7BE0451B">
      <w:pPr>
        <w:spacing w:line="360" w:lineRule="auto"/>
        <w:ind w:left="-420" w:leftChars="-200" w:right="-420" w:rightChars="-200" w:firstLine="723" w:firstLineChars="200"/>
        <w:jc w:val="center"/>
        <w:outlineLvl w:val="0"/>
        <w:rPr>
          <w:rFonts w:hint="eastAsia"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36"/>
        </w:rPr>
        <w:t xml:space="preserve">第六部分 </w:t>
      </w:r>
      <w:r>
        <w:rPr>
          <w:rFonts w:hint="eastAsia" w:asciiTheme="minorEastAsia" w:hAnsiTheme="minorEastAsia" w:eastAsiaTheme="minorEastAsia" w:cstheme="minorEastAsia"/>
          <w:b/>
          <w:sz w:val="36"/>
          <w:szCs w:val="20"/>
        </w:rPr>
        <w:t xml:space="preserve"> 应提交的有关格式范例</w:t>
      </w:r>
    </w:p>
    <w:p w14:paraId="252F4C83">
      <w:pPr>
        <w:spacing w:line="360" w:lineRule="auto"/>
        <w:jc w:val="center"/>
        <w:outlineLvl w:val="0"/>
        <w:rPr>
          <w:rFonts w:hint="eastAsia" w:asciiTheme="minorEastAsia" w:hAnsiTheme="minorEastAsia" w:eastAsiaTheme="minorEastAsia" w:cstheme="minorEastAsia"/>
          <w:b/>
          <w:kern w:val="0"/>
          <w:sz w:val="36"/>
          <w:szCs w:val="36"/>
        </w:rPr>
      </w:pPr>
    </w:p>
    <w:p w14:paraId="2D412E76">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资格文件部分</w:t>
      </w:r>
    </w:p>
    <w:p w14:paraId="3BA0801A">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目录</w:t>
      </w:r>
    </w:p>
    <w:p w14:paraId="2A0AA293">
      <w:pPr>
        <w:spacing w:line="360" w:lineRule="auto"/>
        <w:jc w:val="center"/>
        <w:outlineLvl w:val="0"/>
        <w:rPr>
          <w:rFonts w:hint="eastAsia" w:asciiTheme="minorEastAsia" w:hAnsiTheme="minorEastAsia" w:eastAsiaTheme="minorEastAsia" w:cstheme="minorEastAsia"/>
          <w:b/>
          <w:kern w:val="0"/>
          <w:sz w:val="36"/>
          <w:szCs w:val="36"/>
        </w:rPr>
      </w:pPr>
    </w:p>
    <w:p w14:paraId="6B69E912">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（1）符合参加采购活动应当具备的一般条件的承诺函……………（页码）</w:t>
      </w:r>
    </w:p>
    <w:p w14:paraId="4BFAC319">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（2）落实采购政策需满足的资格要求………………………………（页码）</w:t>
      </w:r>
    </w:p>
    <w:p w14:paraId="5F2D8956">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（3）本项目的特定资格要求…………………………………………（页码）</w:t>
      </w:r>
    </w:p>
    <w:p w14:paraId="0E7508E8">
      <w:pPr>
        <w:pStyle w:val="5"/>
        <w:rPr>
          <w:rFonts w:hint="eastAsia" w:asciiTheme="minorEastAsia" w:hAnsiTheme="minorEastAsia" w:eastAsiaTheme="minorEastAsia" w:cstheme="minorEastAsia"/>
        </w:rPr>
      </w:pPr>
    </w:p>
    <w:p w14:paraId="76731DF3">
      <w:pPr>
        <w:snapToGrid w:val="0"/>
        <w:spacing w:line="360" w:lineRule="auto"/>
        <w:ind w:right="480"/>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kern w:val="0"/>
          <w:sz w:val="24"/>
        </w:rPr>
        <w:br w:type="page"/>
      </w:r>
      <w:r>
        <w:rPr>
          <w:rFonts w:hint="eastAsia" w:asciiTheme="minorEastAsia" w:hAnsiTheme="minorEastAsia" w:eastAsiaTheme="minorEastAsia" w:cstheme="minorEastAsia"/>
          <w:b/>
          <w:kern w:val="0"/>
          <w:sz w:val="32"/>
          <w:szCs w:val="32"/>
        </w:rPr>
        <w:t xml:space="preserve">  一、 符合参加采购活动应当具备的一般条件的承诺函</w:t>
      </w:r>
    </w:p>
    <w:p w14:paraId="07760C64">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（采购人）、（采购代理机构）：</w:t>
      </w:r>
    </w:p>
    <w:p w14:paraId="4ACF61C2">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我方参与（项目名称）【交易编号：       】采购活动，郑重承诺：</w:t>
      </w:r>
    </w:p>
    <w:p w14:paraId="2BD44DCB">
      <w:pPr>
        <w:snapToGrid w:val="0"/>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（一）具备以下条件：</w:t>
      </w:r>
    </w:p>
    <w:p w14:paraId="065831A4">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1、具有独立承担民事责任的能力；</w:t>
      </w:r>
    </w:p>
    <w:p w14:paraId="691D7360">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2、具有良好的商业信誉和健全的财务会计制度； </w:t>
      </w:r>
    </w:p>
    <w:p w14:paraId="223263BF">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3、具有履行合同所必需的设备和专业技术能力；</w:t>
      </w:r>
    </w:p>
    <w:p w14:paraId="0C9EA7BE">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4、有依法缴纳税收和社会保障资金的良好记录；</w:t>
      </w:r>
    </w:p>
    <w:p w14:paraId="55F63E57">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5、参加采购活动前三年内，在经营活动中没有重大违法记录；</w:t>
      </w:r>
    </w:p>
    <w:p w14:paraId="781F8700">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6、具有法律、行政法规规定的其他条件。</w:t>
      </w:r>
    </w:p>
    <w:p w14:paraId="3BE11879">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（二）不存在以下情况：</w:t>
      </w:r>
    </w:p>
    <w:p w14:paraId="50245758">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1、单位负责人为同一人或者存在直接控股、管理关系的不同供应商参加同一合同项下的采购活动的；</w:t>
      </w:r>
    </w:p>
    <w:p w14:paraId="18A59DA1">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2、为采购项目提供整体设计、规范编制或者项目管理、监理、检测等服务后再参加该采购项目的其他采购活动的。</w:t>
      </w:r>
    </w:p>
    <w:p w14:paraId="35BB04A6">
      <w:pPr>
        <w:pStyle w:val="3"/>
        <w:rPr>
          <w:rFonts w:hint="eastAsia" w:asciiTheme="minorEastAsia" w:hAnsiTheme="minorEastAsia" w:eastAsiaTheme="minorEastAsia" w:cstheme="minorEastAsia"/>
          <w:sz w:val="24"/>
        </w:rPr>
      </w:pPr>
    </w:p>
    <w:p w14:paraId="61891156">
      <w:pPr>
        <w:spacing w:line="360" w:lineRule="auto"/>
        <w:rPr>
          <w:rFonts w:hint="eastAsia" w:asciiTheme="minorEastAsia" w:hAnsiTheme="minorEastAsia" w:eastAsiaTheme="minorEastAsia" w:cstheme="minorEastAsia"/>
        </w:rPr>
      </w:pPr>
    </w:p>
    <w:p w14:paraId="09CF3723">
      <w:pPr>
        <w:snapToGrid w:val="0"/>
        <w:spacing w:line="360" w:lineRule="auto"/>
        <w:ind w:firstLine="5520" w:firstLineChars="23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供应商名称(电子签名)：</w:t>
      </w:r>
    </w:p>
    <w:p w14:paraId="247746DE">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 xml:space="preserve">                        </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日期</w:t>
      </w:r>
      <w:r>
        <w:rPr>
          <w:rFonts w:hint="eastAsia" w:asciiTheme="minorEastAsia" w:hAnsiTheme="minorEastAsia" w:eastAsiaTheme="minorEastAsia" w:cstheme="minorEastAsia"/>
          <w:kern w:val="0"/>
          <w:sz w:val="24"/>
        </w:rPr>
        <w:t xml:space="preserve">：  年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w:t>
      </w:r>
    </w:p>
    <w:p w14:paraId="08C11D3E">
      <w:pPr>
        <w:snapToGrid w:val="0"/>
        <w:spacing w:line="360" w:lineRule="auto"/>
        <w:ind w:right="480"/>
        <w:jc w:val="center"/>
        <w:rPr>
          <w:rFonts w:hint="eastAsia" w:asciiTheme="minorEastAsia" w:hAnsiTheme="minorEastAsia" w:eastAsiaTheme="minorEastAsia" w:cstheme="minorEastAsia"/>
          <w:b/>
          <w:kern w:val="0"/>
          <w:sz w:val="32"/>
          <w:szCs w:val="32"/>
        </w:rPr>
      </w:pPr>
    </w:p>
    <w:p w14:paraId="1F061A26">
      <w:pPr>
        <w:snapToGrid w:val="0"/>
        <w:spacing w:line="360" w:lineRule="auto"/>
        <w:ind w:right="480"/>
        <w:jc w:val="center"/>
        <w:rPr>
          <w:rFonts w:hint="eastAsia" w:asciiTheme="minorEastAsia" w:hAnsiTheme="minorEastAsia" w:eastAsiaTheme="minorEastAsia" w:cstheme="minorEastAsia"/>
          <w:b/>
          <w:kern w:val="0"/>
          <w:sz w:val="32"/>
          <w:szCs w:val="32"/>
        </w:rPr>
      </w:pPr>
    </w:p>
    <w:p w14:paraId="17C1BD2C">
      <w:pPr>
        <w:rPr>
          <w:rFonts w:hint="eastAsia" w:asciiTheme="minorEastAsia" w:hAnsiTheme="minorEastAsia" w:eastAsiaTheme="minorEastAsia" w:cstheme="minorEastAsia"/>
        </w:rPr>
      </w:pPr>
    </w:p>
    <w:p w14:paraId="28480B6E">
      <w:pPr>
        <w:snapToGrid w:val="0"/>
        <w:spacing w:line="360" w:lineRule="auto"/>
        <w:ind w:right="480"/>
        <w:jc w:val="center"/>
        <w:rPr>
          <w:rFonts w:hint="eastAsia" w:asciiTheme="minorEastAsia" w:hAnsiTheme="minorEastAsia" w:eastAsiaTheme="minorEastAsia" w:cstheme="minorEastAsia"/>
          <w:b/>
          <w:kern w:val="0"/>
          <w:sz w:val="32"/>
          <w:szCs w:val="32"/>
        </w:rPr>
      </w:pPr>
    </w:p>
    <w:p w14:paraId="6422C494">
      <w:pPr>
        <w:snapToGrid w:val="0"/>
        <w:spacing w:line="360" w:lineRule="auto"/>
        <w:ind w:right="480"/>
        <w:jc w:val="center"/>
        <w:rPr>
          <w:rFonts w:hint="eastAsia" w:asciiTheme="minorEastAsia" w:hAnsiTheme="minorEastAsia" w:eastAsiaTheme="minorEastAsia" w:cstheme="minorEastAsia"/>
          <w:b/>
          <w:kern w:val="0"/>
          <w:sz w:val="32"/>
          <w:szCs w:val="32"/>
        </w:rPr>
      </w:pPr>
    </w:p>
    <w:p w14:paraId="554B0640">
      <w:pPr>
        <w:snapToGrid w:val="0"/>
        <w:spacing w:line="360" w:lineRule="auto"/>
        <w:ind w:right="480"/>
        <w:jc w:val="center"/>
        <w:rPr>
          <w:rFonts w:hint="eastAsia" w:asciiTheme="minorEastAsia" w:hAnsiTheme="minorEastAsia" w:eastAsiaTheme="minorEastAsia" w:cstheme="minorEastAsia"/>
          <w:b/>
          <w:kern w:val="0"/>
          <w:sz w:val="32"/>
          <w:szCs w:val="32"/>
        </w:rPr>
      </w:pPr>
    </w:p>
    <w:p w14:paraId="607A5A87">
      <w:pP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br w:type="page"/>
      </w:r>
    </w:p>
    <w:p w14:paraId="6C01A249">
      <w:pPr>
        <w:spacing w:line="360" w:lineRule="auto"/>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二、落实采购政策需满足的资格要求</w:t>
      </w:r>
    </w:p>
    <w:p w14:paraId="30389396">
      <w:pPr>
        <w:spacing w:line="360" w:lineRule="auto"/>
        <w:jc w:val="center"/>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（根据交易公告落实采购政策需满足的资格要求选择提供相应的材料；未要求的，无需提供）</w:t>
      </w:r>
    </w:p>
    <w:p w14:paraId="5995B968">
      <w:pPr>
        <w:spacing w:line="360" w:lineRule="auto"/>
        <w:rPr>
          <w:rFonts w:hint="eastAsia" w:asciiTheme="minorEastAsia" w:hAnsiTheme="minorEastAsia" w:eastAsiaTheme="minorEastAsia" w:cstheme="minorEastAsia"/>
          <w:b/>
          <w:sz w:val="32"/>
          <w:szCs w:val="32"/>
        </w:rPr>
      </w:pPr>
    </w:p>
    <w:p w14:paraId="50F22BA3">
      <w:pPr>
        <w:widowControl/>
        <w:spacing w:line="360" w:lineRule="auto"/>
        <w:ind w:firstLine="2249" w:firstLineChars="700"/>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三、本项目的特定资格要求</w:t>
      </w:r>
    </w:p>
    <w:p w14:paraId="4C2F9FB4">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（根据交易公告本项目的特定资格要求提供相应的材料；未要求的，无需提供）</w:t>
      </w:r>
    </w:p>
    <w:p w14:paraId="76EDF134">
      <w:pPr>
        <w:pStyle w:val="16"/>
        <w:rPr>
          <w:rFonts w:hint="eastAsia" w:asciiTheme="minorEastAsia" w:hAnsiTheme="minorEastAsia" w:eastAsiaTheme="minorEastAsia" w:cstheme="minorEastAsia"/>
        </w:rPr>
      </w:pPr>
    </w:p>
    <w:p w14:paraId="75379633">
      <w:pPr>
        <w:rPr>
          <w:rFonts w:hint="eastAsia" w:asciiTheme="minorEastAsia" w:hAnsiTheme="minorEastAsia" w:eastAsiaTheme="minorEastAsia" w:cstheme="minorEastAsia"/>
        </w:rPr>
      </w:pPr>
    </w:p>
    <w:p w14:paraId="02F7D54C">
      <w:pPr>
        <w:snapToGrid w:val="0"/>
        <w:spacing w:line="360" w:lineRule="auto"/>
        <w:ind w:right="480"/>
        <w:jc w:val="center"/>
        <w:rPr>
          <w:rFonts w:hint="eastAsia" w:asciiTheme="minorEastAsia" w:hAnsiTheme="minorEastAsia" w:eastAsiaTheme="minorEastAsia" w:cstheme="minorEastAsia"/>
          <w:b/>
          <w:kern w:val="0"/>
          <w:sz w:val="32"/>
          <w:szCs w:val="32"/>
        </w:rPr>
      </w:pPr>
    </w:p>
    <w:p w14:paraId="39E6EFBA">
      <w:pPr>
        <w:rPr>
          <w:rFonts w:hint="eastAsia" w:asciiTheme="minorEastAsia" w:hAnsiTheme="minorEastAsia" w:eastAsiaTheme="minorEastAsia" w:cstheme="minorEastAsia"/>
        </w:rPr>
      </w:pPr>
    </w:p>
    <w:p w14:paraId="0DCCAF78">
      <w:pPr>
        <w:snapToGrid w:val="0"/>
        <w:spacing w:line="360" w:lineRule="auto"/>
        <w:ind w:right="480"/>
        <w:jc w:val="center"/>
        <w:rPr>
          <w:rFonts w:hint="eastAsia" w:asciiTheme="minorEastAsia" w:hAnsiTheme="minorEastAsia" w:eastAsiaTheme="minorEastAsia" w:cstheme="minorEastAsia"/>
          <w:b/>
          <w:kern w:val="0"/>
          <w:sz w:val="32"/>
          <w:szCs w:val="32"/>
        </w:rPr>
      </w:pPr>
    </w:p>
    <w:p w14:paraId="36213A09">
      <w:pPr>
        <w:snapToGrid w:val="0"/>
        <w:spacing w:line="360" w:lineRule="auto"/>
        <w:ind w:right="480"/>
        <w:jc w:val="center"/>
        <w:rPr>
          <w:rFonts w:hint="eastAsia" w:asciiTheme="minorEastAsia" w:hAnsiTheme="minorEastAsia" w:eastAsiaTheme="minorEastAsia" w:cstheme="minorEastAsia"/>
          <w:b/>
          <w:kern w:val="0"/>
          <w:sz w:val="32"/>
          <w:szCs w:val="32"/>
        </w:rPr>
      </w:pPr>
    </w:p>
    <w:p w14:paraId="7F07F7A7">
      <w:pPr>
        <w:snapToGrid w:val="0"/>
        <w:spacing w:line="360" w:lineRule="auto"/>
        <w:ind w:right="480"/>
        <w:jc w:val="center"/>
        <w:rPr>
          <w:rFonts w:hint="eastAsia" w:asciiTheme="minorEastAsia" w:hAnsiTheme="minorEastAsia" w:eastAsiaTheme="minorEastAsia" w:cstheme="minorEastAsia"/>
          <w:b/>
          <w:kern w:val="0"/>
          <w:sz w:val="32"/>
          <w:szCs w:val="32"/>
        </w:rPr>
      </w:pPr>
    </w:p>
    <w:p w14:paraId="0A4CF8CF">
      <w:pPr>
        <w:snapToGrid w:val="0"/>
        <w:spacing w:line="360" w:lineRule="auto"/>
        <w:ind w:right="480"/>
        <w:jc w:val="center"/>
        <w:rPr>
          <w:rFonts w:hint="eastAsia" w:asciiTheme="minorEastAsia" w:hAnsiTheme="minorEastAsia" w:eastAsiaTheme="minorEastAsia" w:cstheme="minorEastAsia"/>
          <w:b/>
          <w:kern w:val="0"/>
          <w:sz w:val="32"/>
          <w:szCs w:val="32"/>
        </w:rPr>
      </w:pPr>
    </w:p>
    <w:p w14:paraId="593C1CB7">
      <w:pPr>
        <w:snapToGrid w:val="0"/>
        <w:spacing w:line="360" w:lineRule="auto"/>
        <w:ind w:right="480"/>
        <w:jc w:val="center"/>
        <w:rPr>
          <w:rFonts w:hint="eastAsia" w:asciiTheme="minorEastAsia" w:hAnsiTheme="minorEastAsia" w:eastAsiaTheme="minorEastAsia" w:cstheme="minorEastAsia"/>
          <w:b/>
          <w:kern w:val="0"/>
          <w:sz w:val="32"/>
          <w:szCs w:val="32"/>
        </w:rPr>
      </w:pPr>
    </w:p>
    <w:p w14:paraId="50AF8388">
      <w:pPr>
        <w:rPr>
          <w:rFonts w:hint="eastAsia" w:asciiTheme="minorEastAsia" w:hAnsiTheme="minorEastAsia" w:eastAsiaTheme="minorEastAsia" w:cstheme="minorEastAsia"/>
          <w:b/>
          <w:kern w:val="0"/>
          <w:sz w:val="36"/>
          <w:szCs w:val="36"/>
        </w:rPr>
      </w:pPr>
    </w:p>
    <w:p w14:paraId="180127F9">
      <w:pPr>
        <w:spacing w:line="360" w:lineRule="auto"/>
        <w:ind w:right="420" w:firstLine="3614" w:firstLineChars="1000"/>
        <w:rPr>
          <w:rFonts w:hint="eastAsia" w:asciiTheme="minorEastAsia" w:hAnsiTheme="minorEastAsia" w:eastAsiaTheme="minorEastAsia" w:cstheme="minorEastAsia"/>
          <w:b/>
          <w:kern w:val="0"/>
          <w:sz w:val="36"/>
          <w:szCs w:val="36"/>
        </w:rPr>
      </w:pPr>
    </w:p>
    <w:p w14:paraId="33C91693">
      <w:pPr>
        <w:spacing w:line="360" w:lineRule="auto"/>
        <w:ind w:right="420"/>
        <w:jc w:val="center"/>
        <w:rPr>
          <w:rFonts w:hint="eastAsia" w:asciiTheme="minorEastAsia" w:hAnsiTheme="minorEastAsia" w:eastAsiaTheme="minorEastAsia" w:cstheme="minorEastAsia"/>
          <w:b/>
          <w:kern w:val="0"/>
          <w:sz w:val="36"/>
          <w:szCs w:val="36"/>
        </w:rPr>
      </w:pPr>
    </w:p>
    <w:p w14:paraId="11200E53">
      <w:pP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6D535550">
      <w:pPr>
        <w:spacing w:line="360" w:lineRule="auto"/>
        <w:ind w:right="420"/>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商务技术文件部分</w:t>
      </w:r>
    </w:p>
    <w:p w14:paraId="23CDABB6">
      <w:pPr>
        <w:spacing w:line="360" w:lineRule="auto"/>
        <w:jc w:val="center"/>
        <w:outlineLvl w:val="0"/>
        <w:rPr>
          <w:rFonts w:hint="eastAsia" w:asciiTheme="minorEastAsia" w:hAnsiTheme="minorEastAsia" w:eastAsiaTheme="minorEastAsia" w:cstheme="minorEastAsia"/>
          <w:b/>
          <w:kern w:val="0"/>
          <w:sz w:val="24"/>
        </w:rPr>
      </w:pPr>
    </w:p>
    <w:p w14:paraId="616CECEE">
      <w:pPr>
        <w:spacing w:line="360" w:lineRule="auto"/>
        <w:jc w:val="center"/>
        <w:outlineLvl w:val="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目录</w:t>
      </w:r>
    </w:p>
    <w:p w14:paraId="3CDCFBD1">
      <w:pPr>
        <w:snapToGrid w:val="0"/>
        <w:spacing w:line="360" w:lineRule="auto"/>
        <w:ind w:left="479" w:leftChars="228"/>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（1）响应函</w:t>
      </w:r>
      <w:r>
        <w:rPr>
          <w:rFonts w:hint="eastAsia" w:asciiTheme="minorEastAsia" w:hAnsiTheme="minorEastAsia" w:eastAsiaTheme="minorEastAsia" w:cstheme="minorEastAsia"/>
        </w:rPr>
        <w:t>…………………………………………………………………………………（页码）</w:t>
      </w:r>
      <w:r>
        <w:rPr>
          <w:rFonts w:hint="eastAsia" w:asciiTheme="minorEastAsia" w:hAnsiTheme="minorEastAsia" w:eastAsiaTheme="minorEastAsia" w:cstheme="minorEastAsia"/>
          <w:sz w:val="24"/>
        </w:rPr>
        <w:t>（2）授权委托书或法定代表人（单位负责人、自然人本人）身份证明</w:t>
      </w:r>
      <w:r>
        <w:rPr>
          <w:rFonts w:hint="eastAsia" w:asciiTheme="minorEastAsia" w:hAnsiTheme="minorEastAsia" w:eastAsiaTheme="minorEastAsia" w:cstheme="minorEastAsia"/>
        </w:rPr>
        <w:t>………（页码）</w:t>
      </w:r>
    </w:p>
    <w:p w14:paraId="425A6AB7">
      <w:pPr>
        <w:snapToGrid w:val="0"/>
        <w:spacing w:line="360" w:lineRule="auto"/>
        <w:ind w:left="479" w:leftChars="228"/>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 xml:space="preserve">（3）符合性审查资料 </w:t>
      </w:r>
      <w:r>
        <w:rPr>
          <w:rFonts w:hint="eastAsia" w:asciiTheme="minorEastAsia" w:hAnsiTheme="minorEastAsia" w:eastAsiaTheme="minorEastAsia" w:cstheme="minorEastAsia"/>
        </w:rPr>
        <w:t>……………………………………………………………………（页码）</w:t>
      </w:r>
    </w:p>
    <w:p w14:paraId="7793E237">
      <w:pPr>
        <w:snapToGrid w:val="0"/>
        <w:spacing w:line="360" w:lineRule="auto"/>
        <w:ind w:left="479" w:leftChars="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 评标标准相应的商务技术资料……………………………………………（页码）</w:t>
      </w:r>
    </w:p>
    <w:p w14:paraId="135C33D2">
      <w:pPr>
        <w:snapToGrid w:val="0"/>
        <w:spacing w:line="360" w:lineRule="auto"/>
        <w:ind w:left="479" w:leftChars="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（5）交易标的清单………………………………………………………………（页码）</w:t>
      </w:r>
    </w:p>
    <w:p w14:paraId="40098035">
      <w:pPr>
        <w:snapToGrid w:val="0"/>
        <w:spacing w:line="360" w:lineRule="auto"/>
        <w:ind w:left="479" w:leftChars="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（6）商务技术偏离表……………………………………………………………（页码）</w:t>
      </w:r>
    </w:p>
    <w:p w14:paraId="76986588">
      <w:pPr>
        <w:snapToGrid w:val="0"/>
        <w:spacing w:line="360" w:lineRule="auto"/>
        <w:ind w:left="479" w:leftChars="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r>
        <w:rPr>
          <w:rFonts w:hint="eastAsia" w:asciiTheme="minorEastAsia" w:hAnsiTheme="minorEastAsia" w:eastAsiaTheme="minorEastAsia" w:cstheme="minorEastAsia"/>
          <w:sz w:val="24"/>
          <w:lang w:val="zh-CN"/>
        </w:rPr>
        <w:t>采购供应商廉洁自律承诺书</w:t>
      </w:r>
      <w:r>
        <w:rPr>
          <w:rFonts w:hint="eastAsia" w:asciiTheme="minorEastAsia" w:hAnsiTheme="minorEastAsia" w:eastAsiaTheme="minorEastAsia" w:cstheme="minorEastAsia"/>
          <w:sz w:val="24"/>
        </w:rPr>
        <w:t>………………………………………………（页码）</w:t>
      </w:r>
    </w:p>
    <w:p w14:paraId="3A9B9026">
      <w:pPr>
        <w:snapToGrid w:val="0"/>
        <w:spacing w:line="360" w:lineRule="auto"/>
        <w:jc w:val="center"/>
        <w:rPr>
          <w:rFonts w:hint="eastAsia" w:asciiTheme="minorEastAsia" w:hAnsiTheme="minorEastAsia" w:eastAsiaTheme="minorEastAsia" w:cstheme="minorEastAsia"/>
          <w:b/>
          <w:kern w:val="0"/>
          <w:sz w:val="32"/>
          <w:szCs w:val="32"/>
          <w:lang w:val="zh-CN"/>
        </w:rPr>
      </w:pPr>
    </w:p>
    <w:p w14:paraId="54AB4BC1">
      <w:pPr>
        <w:snapToGrid w:val="0"/>
        <w:spacing w:line="360" w:lineRule="auto"/>
        <w:jc w:val="center"/>
        <w:rPr>
          <w:rFonts w:hint="eastAsia" w:asciiTheme="minorEastAsia" w:hAnsiTheme="minorEastAsia" w:eastAsiaTheme="minorEastAsia" w:cstheme="minorEastAsia"/>
          <w:b/>
          <w:kern w:val="0"/>
          <w:sz w:val="32"/>
          <w:szCs w:val="32"/>
          <w:lang w:val="zh-CN"/>
        </w:rPr>
      </w:pPr>
    </w:p>
    <w:p w14:paraId="36F63937">
      <w:pPr>
        <w:snapToGrid w:val="0"/>
        <w:spacing w:line="360" w:lineRule="auto"/>
        <w:jc w:val="center"/>
        <w:rPr>
          <w:rFonts w:hint="eastAsia" w:asciiTheme="minorEastAsia" w:hAnsiTheme="minorEastAsia" w:eastAsiaTheme="minorEastAsia" w:cstheme="minorEastAsia"/>
          <w:b/>
          <w:kern w:val="0"/>
          <w:sz w:val="32"/>
          <w:szCs w:val="32"/>
          <w:lang w:val="zh-CN"/>
        </w:rPr>
      </w:pPr>
    </w:p>
    <w:p w14:paraId="59B98637">
      <w:pPr>
        <w:snapToGrid w:val="0"/>
        <w:spacing w:line="360" w:lineRule="auto"/>
        <w:jc w:val="center"/>
        <w:rPr>
          <w:rFonts w:hint="eastAsia" w:asciiTheme="minorEastAsia" w:hAnsiTheme="minorEastAsia" w:eastAsiaTheme="minorEastAsia" w:cstheme="minorEastAsia"/>
          <w:b/>
          <w:kern w:val="0"/>
          <w:sz w:val="32"/>
          <w:szCs w:val="32"/>
          <w:lang w:val="zh-CN"/>
        </w:rPr>
      </w:pPr>
    </w:p>
    <w:p w14:paraId="61BCD02A">
      <w:pPr>
        <w:snapToGrid w:val="0"/>
        <w:spacing w:line="360" w:lineRule="auto"/>
        <w:jc w:val="center"/>
        <w:rPr>
          <w:rFonts w:hint="eastAsia" w:asciiTheme="minorEastAsia" w:hAnsiTheme="minorEastAsia" w:eastAsiaTheme="minorEastAsia" w:cstheme="minorEastAsia"/>
          <w:b/>
          <w:kern w:val="0"/>
          <w:sz w:val="32"/>
          <w:szCs w:val="32"/>
          <w:lang w:val="zh-CN"/>
        </w:rPr>
      </w:pPr>
    </w:p>
    <w:p w14:paraId="70A2B4FC">
      <w:pPr>
        <w:snapToGrid w:val="0"/>
        <w:spacing w:line="360" w:lineRule="auto"/>
        <w:jc w:val="center"/>
        <w:outlineLvl w:val="0"/>
        <w:rPr>
          <w:rFonts w:hint="eastAsia" w:asciiTheme="minorEastAsia" w:hAnsiTheme="minorEastAsia" w:eastAsiaTheme="minorEastAsia" w:cstheme="minorEastAsia"/>
          <w:b/>
          <w:kern w:val="0"/>
          <w:sz w:val="32"/>
          <w:szCs w:val="32"/>
        </w:rPr>
      </w:pPr>
    </w:p>
    <w:p w14:paraId="2BCE8006">
      <w:pPr>
        <w:snapToGrid w:val="0"/>
        <w:spacing w:line="360" w:lineRule="auto"/>
        <w:jc w:val="center"/>
        <w:outlineLvl w:val="0"/>
        <w:rPr>
          <w:rFonts w:hint="eastAsia" w:asciiTheme="minorEastAsia" w:hAnsiTheme="minorEastAsia" w:eastAsiaTheme="minorEastAsia" w:cstheme="minorEastAsia"/>
          <w:b/>
          <w:kern w:val="0"/>
          <w:sz w:val="32"/>
          <w:szCs w:val="32"/>
        </w:rPr>
      </w:pPr>
    </w:p>
    <w:p w14:paraId="07661030">
      <w:pP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br w:type="page"/>
      </w:r>
    </w:p>
    <w:p w14:paraId="2ED88AB8">
      <w:p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kern w:val="0"/>
          <w:sz w:val="32"/>
          <w:szCs w:val="32"/>
        </w:rPr>
        <w:t>一、响应</w:t>
      </w:r>
      <w:r>
        <w:rPr>
          <w:rFonts w:hint="eastAsia" w:asciiTheme="minorEastAsia" w:hAnsiTheme="minorEastAsia" w:eastAsiaTheme="minorEastAsia" w:cstheme="minorEastAsia"/>
          <w:b/>
          <w:sz w:val="32"/>
          <w:szCs w:val="32"/>
        </w:rPr>
        <w:t>函</w:t>
      </w:r>
    </w:p>
    <w:p w14:paraId="0C2D1709">
      <w:pPr>
        <w:snapToGrid w:val="0"/>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（采购人）、（采购代理机构）</w:t>
      </w:r>
      <w:r>
        <w:rPr>
          <w:rFonts w:hint="eastAsia" w:asciiTheme="minorEastAsia" w:hAnsiTheme="minorEastAsia" w:eastAsiaTheme="minorEastAsia" w:cstheme="minorEastAsia"/>
          <w:sz w:val="24"/>
        </w:rPr>
        <w:t>：</w:t>
      </w:r>
    </w:p>
    <w:p w14:paraId="3C54FC1D">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我方参加你方组织的</w:t>
      </w:r>
      <w:r>
        <w:rPr>
          <w:rFonts w:hint="eastAsia" w:asciiTheme="minorEastAsia" w:hAnsiTheme="minorEastAsia" w:eastAsiaTheme="minorEastAsia" w:cstheme="minorEastAsia"/>
          <w:sz w:val="24"/>
          <w:u w:val="single"/>
        </w:rPr>
        <w:t>（项目名称）【交易编号：       】</w:t>
      </w:r>
      <w:r>
        <w:rPr>
          <w:rFonts w:hint="eastAsia" w:asciiTheme="minorEastAsia" w:hAnsiTheme="minorEastAsia" w:eastAsiaTheme="minorEastAsia" w:cstheme="minorEastAsia"/>
          <w:sz w:val="24"/>
        </w:rPr>
        <w:t>交易的有关活动，并对此项目进行响应。为此：</w:t>
      </w:r>
    </w:p>
    <w:p w14:paraId="76675658">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1、我方承诺交易有效期从提交响应文件的截止之日起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天（不少于90天）</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本响应文件在交易有效期满之前均具有约束力。</w:t>
      </w:r>
    </w:p>
    <w:p w14:paraId="5312225E">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2、我方的响应文件包括以下内容：</w:t>
      </w:r>
    </w:p>
    <w:p w14:paraId="15845B6E">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2.1资格文件：</w:t>
      </w:r>
    </w:p>
    <w:p w14:paraId="44EF8585">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2.1.1承诺函；</w:t>
      </w:r>
    </w:p>
    <w:p w14:paraId="0A9592A1">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2.1.2落实政府采购政策需满足的资格要求（如果有）；</w:t>
      </w:r>
    </w:p>
    <w:p w14:paraId="066D2FD8">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2.1.3本项目的特定资格要求（如果有）；</w:t>
      </w:r>
    </w:p>
    <w:p w14:paraId="1C0963B2">
      <w:pPr>
        <w:snapToGrid w:val="0"/>
        <w:spacing w:line="440" w:lineRule="exact"/>
        <w:ind w:left="420" w:leftChars="200"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 xml:space="preserve"> </w:t>
      </w:r>
      <w:r>
        <w:rPr>
          <w:rFonts w:hint="eastAsia" w:asciiTheme="minorEastAsia" w:hAnsiTheme="minorEastAsia" w:eastAsiaTheme="minorEastAsia" w:cstheme="minorEastAsia"/>
          <w:sz w:val="24"/>
        </w:rPr>
        <w:t>商务技术</w:t>
      </w:r>
      <w:r>
        <w:rPr>
          <w:rFonts w:hint="eastAsia" w:asciiTheme="minorEastAsia" w:hAnsiTheme="minorEastAsia" w:eastAsiaTheme="minorEastAsia" w:cstheme="minorEastAsia"/>
          <w:sz w:val="24"/>
          <w:lang w:val="zh-CN"/>
        </w:rPr>
        <w:t>文件：</w:t>
      </w:r>
    </w:p>
    <w:p w14:paraId="038341CE">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2.2.1响应函；</w:t>
      </w:r>
      <w:r>
        <w:rPr>
          <w:rFonts w:hint="eastAsia" w:asciiTheme="minorEastAsia" w:hAnsiTheme="minorEastAsia" w:eastAsiaTheme="minorEastAsia" w:cstheme="minorEastAsia"/>
          <w:sz w:val="24"/>
          <w:lang w:val="zh-CN"/>
        </w:rPr>
        <w:t xml:space="preserve"> </w:t>
      </w:r>
    </w:p>
    <w:p w14:paraId="7A68228D">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2.2.2授权委托书或法定代表人（单位负责人）身份证明；</w:t>
      </w:r>
    </w:p>
    <w:p w14:paraId="64035D8C">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2.2.3符合性审查资料；</w:t>
      </w:r>
    </w:p>
    <w:p w14:paraId="4EA527E4">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2.2.4评标标准相应的商务技术资料；</w:t>
      </w:r>
    </w:p>
    <w:p w14:paraId="555A78FC">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2.2.5交易标的清单；</w:t>
      </w:r>
    </w:p>
    <w:p w14:paraId="7BD3D91F">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2.2.6商务技术偏离表；</w:t>
      </w:r>
    </w:p>
    <w:p w14:paraId="0BB01279">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2.2.7</w:t>
      </w:r>
      <w:r>
        <w:rPr>
          <w:rFonts w:hint="eastAsia" w:asciiTheme="minorEastAsia" w:hAnsiTheme="minorEastAsia" w:eastAsiaTheme="minorEastAsia" w:cstheme="minorEastAsia"/>
          <w:sz w:val="24"/>
          <w:lang w:val="zh-CN"/>
        </w:rPr>
        <w:t>采购供应商廉洁自律承诺书</w:t>
      </w:r>
      <w:r>
        <w:rPr>
          <w:rFonts w:hint="eastAsia" w:asciiTheme="minorEastAsia" w:hAnsiTheme="minorEastAsia" w:eastAsiaTheme="minorEastAsia" w:cstheme="minorEastAsia"/>
          <w:sz w:val="24"/>
        </w:rPr>
        <w:t>；</w:t>
      </w:r>
    </w:p>
    <w:p w14:paraId="787E8F2C">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3报价文件</w:t>
      </w:r>
    </w:p>
    <w:p w14:paraId="69E25187">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2.3.1交易一览表（报价表）；</w:t>
      </w:r>
    </w:p>
    <w:p w14:paraId="605742CA">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3、我方承诺除商务技术偏离表列出的偏离外，我方响应交易文件的全部要求。</w:t>
      </w:r>
    </w:p>
    <w:p w14:paraId="096E846F">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4、如我方成交，我方承诺：</w:t>
      </w:r>
    </w:p>
    <w:p w14:paraId="0EE229C5">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4.1在收到成交通知书后，在成交通知书规定的期限内与你方签订合同； </w:t>
      </w:r>
    </w:p>
    <w:p w14:paraId="00B9C358">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4.2在签订合同时不向你方提出附加条件； </w:t>
      </w:r>
    </w:p>
    <w:p w14:paraId="133649CC">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4.3按照交易文件要求提交履约保证金； </w:t>
      </w:r>
    </w:p>
    <w:p w14:paraId="0E3DA3EA">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4.4在合同约定的期限内完成合同规定的全部义务。 </w:t>
      </w:r>
    </w:p>
    <w:p w14:paraId="4FD24BB1">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5、其他补充说明: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4BB6E8D6">
      <w:pPr>
        <w:spacing w:line="440" w:lineRule="exact"/>
        <w:ind w:firstLine="3600" w:firstLineChars="15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供应商名称（电子签名）：                          </w:t>
      </w:r>
    </w:p>
    <w:p w14:paraId="1ACDD82B">
      <w:pPr>
        <w:spacing w:line="4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日期：  年   月   日       注：按本格式和要求提供。</w:t>
      </w:r>
    </w:p>
    <w:p w14:paraId="490DEF8F">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07EBA63C">
      <w:pPr>
        <w:jc w:val="center"/>
        <w:rPr>
          <w:rFonts w:hint="eastAsia"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kern w:val="0"/>
          <w:sz w:val="32"/>
          <w:szCs w:val="32"/>
          <w:lang w:val="zh-CN"/>
        </w:rPr>
        <w:t>二、授权委托书或法定代表人（单位负责人、自然人本人）身份证明</w:t>
      </w:r>
    </w:p>
    <w:p w14:paraId="76B3E4E5">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76287170">
      <w:pPr>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sz w:val="32"/>
          <w:szCs w:val="32"/>
          <w:lang w:val="zh-CN"/>
        </w:rPr>
        <w:t>授权委托书</w:t>
      </w:r>
    </w:p>
    <w:p w14:paraId="2BAD7C2F">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（采购人）、（采购代理机构）</w:t>
      </w:r>
      <w:r>
        <w:rPr>
          <w:rFonts w:hint="eastAsia" w:asciiTheme="minorEastAsia" w:hAnsiTheme="minorEastAsia" w:eastAsiaTheme="minorEastAsia" w:cstheme="minorEastAsia"/>
          <w:kern w:val="0"/>
          <w:sz w:val="24"/>
          <w:lang w:val="zh-CN"/>
        </w:rPr>
        <w:t>：</w:t>
      </w:r>
    </w:p>
    <w:p w14:paraId="35150B3D">
      <w:pPr>
        <w:snapToGrid w:val="0"/>
        <w:spacing w:line="360" w:lineRule="auto"/>
        <w:ind w:firstLine="57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现</w:t>
      </w:r>
      <w:r>
        <w:rPr>
          <w:rFonts w:hint="eastAsia" w:asciiTheme="minorEastAsia" w:hAnsiTheme="minorEastAsia" w:eastAsiaTheme="minorEastAsia" w:cstheme="minorEastAsia"/>
          <w:kern w:val="0"/>
          <w:sz w:val="24"/>
          <w:lang w:val="zh-CN"/>
        </w:rPr>
        <w:t>委托</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kern w:val="0"/>
          <w:sz w:val="24"/>
          <w:lang w:val="zh-CN"/>
        </w:rPr>
        <w:t>（姓名）为我方代理人（身份证号码：</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kern w:val="0"/>
          <w:sz w:val="24"/>
          <w:lang w:val="zh-CN"/>
        </w:rPr>
        <w:t>，手机：</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kern w:val="0"/>
          <w:sz w:val="24"/>
          <w:lang w:val="zh-CN"/>
        </w:rPr>
        <w:t>），以我方名义处理</w:t>
      </w:r>
      <w:r>
        <w:rPr>
          <w:rFonts w:hint="eastAsia" w:asciiTheme="minorEastAsia" w:hAnsiTheme="minorEastAsia" w:eastAsiaTheme="minorEastAsia" w:cstheme="minorEastAsia"/>
          <w:sz w:val="24"/>
        </w:rPr>
        <w:t>（项目名称）【交易编号：    】</w:t>
      </w:r>
      <w:r>
        <w:rPr>
          <w:rFonts w:hint="eastAsia" w:asciiTheme="minorEastAsia" w:hAnsiTheme="minorEastAsia" w:eastAsiaTheme="minorEastAsia" w:cstheme="minorEastAsia"/>
          <w:kern w:val="0"/>
          <w:sz w:val="24"/>
          <w:lang w:val="zh-CN"/>
        </w:rPr>
        <w:t>交易的一切事项，其法律后果由我方承担。</w:t>
      </w:r>
    </w:p>
    <w:p w14:paraId="1412936C">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委托期限</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zh-CN"/>
        </w:rPr>
        <w:t>自</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年</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日起至</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年</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日止。</w:t>
      </w:r>
    </w:p>
    <w:p w14:paraId="0768391B">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特此告知。</w:t>
      </w:r>
    </w:p>
    <w:p w14:paraId="5738F575">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 xml:space="preserve">                                                 供应商名称(电子签名)：</w:t>
      </w:r>
    </w:p>
    <w:p w14:paraId="3C5C3A0F">
      <w:pPr>
        <w:snapToGrid w:val="0"/>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签发日期：  年  月   日</w:t>
      </w:r>
    </w:p>
    <w:p w14:paraId="411A8625">
      <w:pPr>
        <w:snapToGrid w:val="0"/>
        <w:spacing w:line="360" w:lineRule="auto"/>
        <w:rPr>
          <w:rFonts w:hint="eastAsia" w:asciiTheme="minorEastAsia" w:hAnsiTheme="minorEastAsia" w:eastAsiaTheme="minorEastAsia" w:cstheme="minorEastAsia"/>
          <w:sz w:val="24"/>
        </w:rPr>
      </w:pPr>
    </w:p>
    <w:p w14:paraId="0730A064">
      <w:pPr>
        <w:snapToGrid w:val="0"/>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b/>
          <w:kern w:val="0"/>
          <w:sz w:val="32"/>
          <w:szCs w:val="32"/>
          <w:lang w:val="zh-CN"/>
        </w:rPr>
        <w:t xml:space="preserve">      </w:t>
      </w:r>
    </w:p>
    <w:p w14:paraId="01AA7791">
      <w:pPr>
        <w:autoSpaceDE w:val="0"/>
        <w:autoSpaceDN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kern w:val="0"/>
          <w:sz w:val="32"/>
          <w:szCs w:val="32"/>
          <w:lang w:val="zh-CN"/>
        </w:rPr>
        <w:t>法定代表人、单位负责人或自然人本人</w:t>
      </w:r>
      <w:r>
        <w:rPr>
          <w:rFonts w:hint="eastAsia" w:asciiTheme="minorEastAsia" w:hAnsiTheme="minorEastAsia" w:eastAsiaTheme="minorEastAsia" w:cstheme="minorEastAsia"/>
          <w:b/>
          <w:sz w:val="30"/>
          <w:szCs w:val="30"/>
        </w:rPr>
        <w:t>的身份证明（适用于法定代表人、单位负责人或者自然人本人代表供应商参加交易）</w:t>
      </w:r>
    </w:p>
    <w:p w14:paraId="665A873D">
      <w:pPr>
        <w:pStyle w:val="33"/>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48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noWrap w:val="0"/>
            <w:vAlign w:val="top"/>
          </w:tcPr>
          <w:p w14:paraId="3F86F3C9">
            <w:pPr>
              <w:pStyle w:val="33"/>
              <w:adjustRightIn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正面：                                 反面：</w:t>
            </w:r>
          </w:p>
          <w:p w14:paraId="38F963F4">
            <w:pPr>
              <w:pStyle w:val="33"/>
              <w:adjustRightInd w:val="0"/>
              <w:spacing w:line="360" w:lineRule="auto"/>
              <w:rPr>
                <w:rFonts w:hint="eastAsia" w:asciiTheme="minorEastAsia" w:hAnsiTheme="minorEastAsia" w:eastAsiaTheme="minorEastAsia" w:cstheme="minorEastAsia"/>
                <w:bCs/>
                <w:sz w:val="24"/>
              </w:rPr>
            </w:pPr>
          </w:p>
        </w:tc>
      </w:tr>
    </w:tbl>
    <w:p w14:paraId="331549F1">
      <w:pPr>
        <w:snapToGrid w:val="0"/>
        <w:spacing w:line="360" w:lineRule="auto"/>
        <w:ind w:firstLine="576"/>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w:t>
      </w:r>
    </w:p>
    <w:p w14:paraId="6C2F6DB3">
      <w:pPr>
        <w:snapToGrid w:val="0"/>
        <w:spacing w:line="360" w:lineRule="auto"/>
        <w:ind w:firstLine="576"/>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供应商名称(电子签名)：                              </w:t>
      </w:r>
    </w:p>
    <w:p w14:paraId="206DFE59">
      <w:pPr>
        <w:spacing w:line="360" w:lineRule="auto"/>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日期：  年  月  日</w:t>
      </w:r>
    </w:p>
    <w:p w14:paraId="1777F7F8">
      <w:pPr>
        <w:jc w:val="center"/>
        <w:rPr>
          <w:rFonts w:hint="eastAsia" w:asciiTheme="minorEastAsia" w:hAnsiTheme="minorEastAsia" w:eastAsiaTheme="minorEastAsia" w:cstheme="minorEastAsia"/>
          <w:b/>
          <w:kern w:val="0"/>
          <w:sz w:val="32"/>
          <w:szCs w:val="32"/>
        </w:rPr>
      </w:pPr>
    </w:p>
    <w:p w14:paraId="0AFCEE08">
      <w:pPr>
        <w:snapToGrid w:val="0"/>
        <w:spacing w:line="360" w:lineRule="auto"/>
        <w:rPr>
          <w:rFonts w:hint="eastAsia" w:asciiTheme="minorEastAsia" w:hAnsiTheme="minorEastAsia" w:eastAsiaTheme="minorEastAsia" w:cstheme="minorEastAsia"/>
          <w:kern w:val="0"/>
          <w:sz w:val="24"/>
        </w:rPr>
      </w:pPr>
    </w:p>
    <w:p w14:paraId="59628A35">
      <w:pPr>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三、符合性审查资料</w:t>
      </w:r>
    </w:p>
    <w:p w14:paraId="753219BB">
      <w:pPr>
        <w:jc w:val="center"/>
        <w:rPr>
          <w:rFonts w:hint="eastAsia" w:asciiTheme="minorEastAsia" w:hAnsiTheme="minorEastAsia" w:eastAsiaTheme="minorEastAsia" w:cstheme="minorEastAsia"/>
          <w:b/>
          <w:kern w:val="0"/>
          <w:sz w:val="32"/>
          <w:szCs w:val="32"/>
        </w:rPr>
      </w:pPr>
    </w:p>
    <w:tbl>
      <w:tblPr>
        <w:tblStyle w:val="1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67DB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67EBF54F">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4672" w:type="dxa"/>
            <w:noWrap w:val="0"/>
            <w:vAlign w:val="center"/>
          </w:tcPr>
          <w:p w14:paraId="224D0175">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实质性要求</w:t>
            </w:r>
          </w:p>
        </w:tc>
        <w:tc>
          <w:tcPr>
            <w:tcW w:w="2551" w:type="dxa"/>
            <w:noWrap w:val="0"/>
            <w:vAlign w:val="center"/>
          </w:tcPr>
          <w:p w14:paraId="649512BD">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需要提供的符合性审查资料</w:t>
            </w:r>
          </w:p>
        </w:tc>
        <w:tc>
          <w:tcPr>
            <w:tcW w:w="1418" w:type="dxa"/>
            <w:noWrap w:val="0"/>
            <w:vAlign w:val="center"/>
          </w:tcPr>
          <w:p w14:paraId="15E11466">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响应文件中的</w:t>
            </w:r>
          </w:p>
          <w:p w14:paraId="54290DF2">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页码位置</w:t>
            </w:r>
          </w:p>
        </w:tc>
      </w:tr>
      <w:tr w14:paraId="3232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50618C04">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4672" w:type="dxa"/>
            <w:noWrap w:val="0"/>
            <w:vAlign w:val="center"/>
          </w:tcPr>
          <w:p w14:paraId="320CA7CD">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响应文件按照交易文件要求签署、盖章。</w:t>
            </w:r>
          </w:p>
        </w:tc>
        <w:tc>
          <w:tcPr>
            <w:tcW w:w="2551" w:type="dxa"/>
            <w:noWrap w:val="0"/>
            <w:vAlign w:val="center"/>
          </w:tcPr>
          <w:p w14:paraId="10143F11">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需要使用电子签名或者签字盖章的响应文件的组成部分</w:t>
            </w:r>
          </w:p>
        </w:tc>
        <w:tc>
          <w:tcPr>
            <w:tcW w:w="1418" w:type="dxa"/>
            <w:noWrap w:val="0"/>
            <w:vAlign w:val="center"/>
          </w:tcPr>
          <w:p w14:paraId="0C8D08F6">
            <w:pPr>
              <w:jc w:val="center"/>
              <w:rPr>
                <w:rFonts w:hint="eastAsia" w:asciiTheme="minorEastAsia" w:hAnsiTheme="minorEastAsia" w:eastAsiaTheme="minorEastAsia" w:cstheme="minorEastAsia"/>
                <w:sz w:val="24"/>
              </w:rPr>
            </w:pPr>
          </w:p>
          <w:p w14:paraId="19A52A7B">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见响应文件</w:t>
            </w:r>
          </w:p>
          <w:p w14:paraId="24CED97B">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r w14:paraId="4E08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44026E03">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4672" w:type="dxa"/>
            <w:noWrap w:val="0"/>
            <w:vAlign w:val="center"/>
          </w:tcPr>
          <w:p w14:paraId="1495404C">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响应文件中承诺的交易有效期不少于交易文件中载明的交易有效期。</w:t>
            </w:r>
          </w:p>
        </w:tc>
        <w:tc>
          <w:tcPr>
            <w:tcW w:w="2551" w:type="dxa"/>
            <w:noWrap w:val="0"/>
            <w:vAlign w:val="center"/>
          </w:tcPr>
          <w:p w14:paraId="52B38E62">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响应函</w:t>
            </w:r>
          </w:p>
        </w:tc>
        <w:tc>
          <w:tcPr>
            <w:tcW w:w="1418" w:type="dxa"/>
            <w:noWrap w:val="0"/>
            <w:vAlign w:val="center"/>
          </w:tcPr>
          <w:p w14:paraId="0B9BDCE0">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见响应文件第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r w14:paraId="6A84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44B74BE">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4672" w:type="dxa"/>
            <w:noWrap w:val="0"/>
            <w:vAlign w:val="center"/>
          </w:tcPr>
          <w:p w14:paraId="0EA07289">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响应文件满足交易文件的其它实质性要求。</w:t>
            </w:r>
          </w:p>
        </w:tc>
        <w:tc>
          <w:tcPr>
            <w:tcW w:w="2551" w:type="dxa"/>
            <w:noWrap w:val="0"/>
            <w:vAlign w:val="center"/>
          </w:tcPr>
          <w:p w14:paraId="186A2A38">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交易文件其它实质性要求相应的材料（“▲” 系指实质性要求条款，交易文件无其它实质性要求的，无需提供）</w:t>
            </w:r>
          </w:p>
        </w:tc>
        <w:tc>
          <w:tcPr>
            <w:tcW w:w="1418" w:type="dxa"/>
            <w:noWrap w:val="0"/>
            <w:vAlign w:val="center"/>
          </w:tcPr>
          <w:p w14:paraId="3806BAC7">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见响应文件第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bl>
    <w:p w14:paraId="51AEBEB8">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78C7B764">
      <w:pPr>
        <w:jc w:val="center"/>
        <w:rPr>
          <w:rFonts w:hint="eastAsia" w:asciiTheme="minorEastAsia" w:hAnsiTheme="minorEastAsia" w:eastAsiaTheme="minorEastAsia" w:cstheme="minorEastAsia"/>
          <w:b/>
          <w:kern w:val="0"/>
          <w:sz w:val="32"/>
          <w:szCs w:val="32"/>
        </w:rPr>
      </w:pPr>
    </w:p>
    <w:p w14:paraId="4A27E7B4">
      <w:pPr>
        <w:jc w:val="center"/>
        <w:rPr>
          <w:rFonts w:hint="eastAsia" w:asciiTheme="minorEastAsia" w:hAnsiTheme="minorEastAsia" w:eastAsiaTheme="minorEastAsia" w:cstheme="minorEastAsia"/>
          <w:b/>
          <w:kern w:val="0"/>
          <w:sz w:val="32"/>
          <w:szCs w:val="32"/>
        </w:rPr>
      </w:pPr>
    </w:p>
    <w:p w14:paraId="45B4CD60">
      <w:pPr>
        <w:jc w:val="center"/>
        <w:rPr>
          <w:rFonts w:hint="eastAsia" w:asciiTheme="minorEastAsia" w:hAnsiTheme="minorEastAsia" w:eastAsiaTheme="minorEastAsia" w:cstheme="minorEastAsia"/>
          <w:b/>
          <w:kern w:val="0"/>
          <w:sz w:val="32"/>
          <w:szCs w:val="32"/>
        </w:rPr>
      </w:pPr>
    </w:p>
    <w:p w14:paraId="560ACFBC">
      <w:pPr>
        <w:jc w:val="center"/>
        <w:rPr>
          <w:rFonts w:hint="eastAsia" w:asciiTheme="minorEastAsia" w:hAnsiTheme="minorEastAsia" w:eastAsiaTheme="minorEastAsia" w:cstheme="minorEastAsia"/>
          <w:b/>
          <w:kern w:val="0"/>
          <w:sz w:val="32"/>
          <w:szCs w:val="32"/>
        </w:rPr>
      </w:pPr>
    </w:p>
    <w:p w14:paraId="259D37CF">
      <w:pPr>
        <w:jc w:val="center"/>
        <w:rPr>
          <w:rFonts w:hint="eastAsia" w:asciiTheme="minorEastAsia" w:hAnsiTheme="minorEastAsia" w:eastAsiaTheme="minorEastAsia" w:cstheme="minorEastAsia"/>
          <w:b/>
          <w:kern w:val="0"/>
          <w:sz w:val="32"/>
          <w:szCs w:val="32"/>
        </w:rPr>
      </w:pPr>
    </w:p>
    <w:p w14:paraId="50A88A38">
      <w:pPr>
        <w:jc w:val="center"/>
        <w:rPr>
          <w:rFonts w:hint="eastAsia" w:asciiTheme="minorEastAsia" w:hAnsiTheme="minorEastAsia" w:eastAsiaTheme="minorEastAsia" w:cstheme="minorEastAsia"/>
          <w:b/>
          <w:kern w:val="0"/>
          <w:sz w:val="32"/>
          <w:szCs w:val="32"/>
        </w:rPr>
      </w:pPr>
    </w:p>
    <w:p w14:paraId="0F99D3F3">
      <w:pPr>
        <w:jc w:val="center"/>
        <w:rPr>
          <w:rFonts w:hint="eastAsia" w:asciiTheme="minorEastAsia" w:hAnsiTheme="minorEastAsia" w:eastAsiaTheme="minorEastAsia" w:cstheme="minorEastAsia"/>
          <w:b/>
          <w:kern w:val="0"/>
          <w:sz w:val="32"/>
          <w:szCs w:val="32"/>
        </w:rPr>
      </w:pPr>
    </w:p>
    <w:p w14:paraId="4C7551D0">
      <w:pPr>
        <w:jc w:val="center"/>
        <w:rPr>
          <w:rFonts w:hint="eastAsia" w:asciiTheme="minorEastAsia" w:hAnsiTheme="minorEastAsia" w:eastAsiaTheme="minorEastAsia" w:cstheme="minorEastAsia"/>
          <w:b/>
          <w:kern w:val="0"/>
          <w:sz w:val="32"/>
          <w:szCs w:val="32"/>
        </w:rPr>
      </w:pPr>
    </w:p>
    <w:p w14:paraId="27271332">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sz w:val="32"/>
          <w:szCs w:val="32"/>
        </w:rPr>
        <w:t>四、评标标准相应的商务技术资料</w:t>
      </w:r>
    </w:p>
    <w:p w14:paraId="592D0AFE">
      <w:pPr>
        <w:snapToGrid w:val="0"/>
        <w:spacing w:line="360" w:lineRule="auto"/>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（按交易文件第四部分评标办法前附表中“响应文件中评标标准相应的商务技术资料目录”提供资料。）</w:t>
      </w:r>
    </w:p>
    <w:p w14:paraId="5231D67B">
      <w:pPr>
        <w:jc w:val="center"/>
        <w:rPr>
          <w:rFonts w:hint="eastAsia" w:asciiTheme="minorEastAsia" w:hAnsiTheme="minorEastAsia" w:eastAsiaTheme="minorEastAsia" w:cstheme="minorEastAsia"/>
          <w:b/>
          <w:kern w:val="0"/>
          <w:sz w:val="32"/>
          <w:szCs w:val="32"/>
        </w:rPr>
      </w:pPr>
    </w:p>
    <w:p w14:paraId="036FBC8B">
      <w:pPr>
        <w:jc w:val="center"/>
        <w:rPr>
          <w:rFonts w:hint="eastAsia" w:asciiTheme="minorEastAsia" w:hAnsiTheme="minorEastAsia" w:eastAsiaTheme="minorEastAsia" w:cstheme="minorEastAsia"/>
          <w:b/>
          <w:kern w:val="0"/>
          <w:sz w:val="32"/>
          <w:szCs w:val="32"/>
        </w:rPr>
      </w:pPr>
    </w:p>
    <w:p w14:paraId="18D400CE">
      <w:pPr>
        <w:jc w:val="center"/>
        <w:rPr>
          <w:rFonts w:hint="eastAsia" w:asciiTheme="minorEastAsia" w:hAnsiTheme="minorEastAsia" w:eastAsiaTheme="minorEastAsia" w:cstheme="minorEastAsia"/>
          <w:b/>
          <w:kern w:val="0"/>
          <w:sz w:val="32"/>
          <w:szCs w:val="32"/>
        </w:rPr>
      </w:pPr>
    </w:p>
    <w:p w14:paraId="4AAAA648">
      <w:pPr>
        <w:jc w:val="center"/>
        <w:rPr>
          <w:rFonts w:hint="eastAsia" w:asciiTheme="minorEastAsia" w:hAnsiTheme="minorEastAsia" w:eastAsiaTheme="minorEastAsia" w:cstheme="minorEastAsia"/>
          <w:b/>
          <w:kern w:val="0"/>
          <w:sz w:val="32"/>
          <w:szCs w:val="32"/>
        </w:rPr>
      </w:pPr>
    </w:p>
    <w:p w14:paraId="08806EEE">
      <w:pPr>
        <w:jc w:val="center"/>
        <w:rPr>
          <w:rFonts w:hint="eastAsia" w:asciiTheme="minorEastAsia" w:hAnsiTheme="minorEastAsia" w:eastAsiaTheme="minorEastAsia" w:cstheme="minorEastAsia"/>
          <w:b/>
          <w:kern w:val="0"/>
          <w:sz w:val="32"/>
          <w:szCs w:val="32"/>
        </w:rPr>
      </w:pPr>
    </w:p>
    <w:p w14:paraId="0D99B604">
      <w:pPr>
        <w:jc w:val="center"/>
        <w:rPr>
          <w:rFonts w:hint="eastAsia" w:asciiTheme="minorEastAsia" w:hAnsiTheme="minorEastAsia" w:eastAsiaTheme="minorEastAsia" w:cstheme="minorEastAsia"/>
          <w:b/>
          <w:kern w:val="0"/>
          <w:sz w:val="32"/>
          <w:szCs w:val="32"/>
        </w:rPr>
      </w:pPr>
    </w:p>
    <w:p w14:paraId="1BED5876">
      <w:pPr>
        <w:jc w:val="center"/>
        <w:rPr>
          <w:rFonts w:hint="eastAsia" w:asciiTheme="minorEastAsia" w:hAnsiTheme="minorEastAsia" w:eastAsiaTheme="minorEastAsia" w:cstheme="minorEastAsia"/>
          <w:b/>
          <w:kern w:val="0"/>
          <w:sz w:val="32"/>
          <w:szCs w:val="32"/>
        </w:rPr>
      </w:pPr>
    </w:p>
    <w:p w14:paraId="034525D7">
      <w:pPr>
        <w:ind w:firstLine="2891" w:firstLineChars="900"/>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五、交易标的清单</w:t>
      </w:r>
    </w:p>
    <w:tbl>
      <w:tblPr>
        <w:tblStyle w:val="1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F42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03669890">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858CF33">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名称</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5E3B3551">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品牌（如果有）</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435A665">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型号（如果有）</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7F588720">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规格配置详细说明</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1EF74F3A">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数量</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1D8049B0">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w:t>
            </w:r>
          </w:p>
        </w:tc>
      </w:tr>
      <w:tr w14:paraId="1ED1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B612C15">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C9144A1">
            <w:pPr>
              <w:snapToGrid w:val="0"/>
              <w:spacing w:line="360" w:lineRule="auto"/>
              <w:jc w:val="center"/>
              <w:rPr>
                <w:rFonts w:hint="eastAsia" w:asciiTheme="minorEastAsia" w:hAnsiTheme="minorEastAsia" w:eastAsiaTheme="minorEastAsia" w:cstheme="minorEastAsia"/>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13A5CE20">
            <w:pPr>
              <w:snapToGrid w:val="0"/>
              <w:spacing w:line="360" w:lineRule="auto"/>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0ACF832">
            <w:pPr>
              <w:snapToGrid w:val="0"/>
              <w:spacing w:line="360" w:lineRule="auto"/>
              <w:jc w:val="center"/>
              <w:rPr>
                <w:rFonts w:hint="eastAsia"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45A0EEDD">
            <w:pPr>
              <w:spacing w:line="360" w:lineRule="auto"/>
              <w:jc w:val="center"/>
              <w:rPr>
                <w:rFonts w:hint="eastAsia" w:asciiTheme="minorEastAsia" w:hAnsiTheme="minorEastAsia" w:eastAsiaTheme="minorEastAsia" w:cstheme="minorEastAsia"/>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1824BF81">
            <w:pPr>
              <w:spacing w:line="360" w:lineRule="auto"/>
              <w:jc w:val="center"/>
              <w:rPr>
                <w:rFonts w:hint="eastAsia" w:asciiTheme="minorEastAsia" w:hAnsiTheme="minorEastAsia" w:eastAsiaTheme="minorEastAsia" w:cstheme="minorEastAsia"/>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301D4164">
            <w:pPr>
              <w:spacing w:line="360" w:lineRule="auto"/>
              <w:jc w:val="center"/>
              <w:rPr>
                <w:rFonts w:hint="eastAsia" w:asciiTheme="minorEastAsia" w:hAnsiTheme="minorEastAsia" w:eastAsiaTheme="minorEastAsia" w:cstheme="minorEastAsia"/>
                <w:sz w:val="24"/>
              </w:rPr>
            </w:pPr>
          </w:p>
        </w:tc>
      </w:tr>
      <w:tr w14:paraId="44C0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679758C5">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F1B901D">
            <w:pPr>
              <w:snapToGrid w:val="0"/>
              <w:spacing w:line="360" w:lineRule="auto"/>
              <w:jc w:val="center"/>
              <w:rPr>
                <w:rFonts w:hint="eastAsia" w:asciiTheme="minorEastAsia" w:hAnsiTheme="minorEastAsia" w:eastAsiaTheme="minorEastAsia" w:cstheme="minorEastAsia"/>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0B533412">
            <w:pPr>
              <w:snapToGrid w:val="0"/>
              <w:spacing w:line="360" w:lineRule="auto"/>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03731A2">
            <w:pPr>
              <w:snapToGrid w:val="0"/>
              <w:spacing w:line="360" w:lineRule="auto"/>
              <w:jc w:val="center"/>
              <w:rPr>
                <w:rFonts w:hint="eastAsia"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6889DB5B">
            <w:pPr>
              <w:spacing w:line="360" w:lineRule="auto"/>
              <w:jc w:val="center"/>
              <w:rPr>
                <w:rFonts w:hint="eastAsia" w:asciiTheme="minorEastAsia" w:hAnsiTheme="minorEastAsia" w:eastAsiaTheme="minorEastAsia" w:cstheme="minorEastAsia"/>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4A66ACD0">
            <w:pPr>
              <w:spacing w:line="360" w:lineRule="auto"/>
              <w:jc w:val="center"/>
              <w:rPr>
                <w:rFonts w:hint="eastAsia" w:asciiTheme="minorEastAsia" w:hAnsiTheme="minorEastAsia" w:eastAsiaTheme="minorEastAsia" w:cstheme="minorEastAsia"/>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0B6E851">
            <w:pPr>
              <w:spacing w:line="360" w:lineRule="auto"/>
              <w:jc w:val="center"/>
              <w:rPr>
                <w:rFonts w:hint="eastAsia" w:asciiTheme="minorEastAsia" w:hAnsiTheme="minorEastAsia" w:eastAsiaTheme="minorEastAsia" w:cstheme="minorEastAsia"/>
                <w:sz w:val="24"/>
              </w:rPr>
            </w:pPr>
          </w:p>
        </w:tc>
      </w:tr>
      <w:tr w14:paraId="33F4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2D488116">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FEC36C1">
            <w:pPr>
              <w:snapToGrid w:val="0"/>
              <w:spacing w:line="360" w:lineRule="auto"/>
              <w:jc w:val="center"/>
              <w:rPr>
                <w:rFonts w:hint="eastAsia" w:asciiTheme="minorEastAsia" w:hAnsiTheme="minorEastAsia" w:eastAsiaTheme="minorEastAsia" w:cstheme="minorEastAsia"/>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07DAB9BF">
            <w:pPr>
              <w:snapToGrid w:val="0"/>
              <w:spacing w:line="360" w:lineRule="auto"/>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D4F2FE4">
            <w:pPr>
              <w:snapToGrid w:val="0"/>
              <w:spacing w:line="360" w:lineRule="auto"/>
              <w:jc w:val="center"/>
              <w:rPr>
                <w:rFonts w:hint="eastAsia"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508646D7">
            <w:pPr>
              <w:spacing w:line="360" w:lineRule="auto"/>
              <w:jc w:val="center"/>
              <w:rPr>
                <w:rFonts w:hint="eastAsia" w:asciiTheme="minorEastAsia" w:hAnsiTheme="minorEastAsia" w:eastAsiaTheme="minorEastAsia" w:cstheme="minorEastAsia"/>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29FD1D87">
            <w:pPr>
              <w:spacing w:line="360" w:lineRule="auto"/>
              <w:jc w:val="center"/>
              <w:rPr>
                <w:rFonts w:hint="eastAsia" w:asciiTheme="minorEastAsia" w:hAnsiTheme="minorEastAsia" w:eastAsiaTheme="minorEastAsia" w:cstheme="minorEastAsia"/>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A8FF68F">
            <w:pPr>
              <w:spacing w:line="360" w:lineRule="auto"/>
              <w:jc w:val="center"/>
              <w:rPr>
                <w:rFonts w:hint="eastAsia" w:asciiTheme="minorEastAsia" w:hAnsiTheme="minorEastAsia" w:eastAsiaTheme="minorEastAsia" w:cstheme="minorEastAsia"/>
                <w:sz w:val="24"/>
              </w:rPr>
            </w:pPr>
          </w:p>
        </w:tc>
      </w:tr>
    </w:tbl>
    <w:p w14:paraId="7C02B28A">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7CA09863">
      <w:pPr>
        <w:jc w:val="center"/>
        <w:rPr>
          <w:rFonts w:hint="eastAsia" w:asciiTheme="minorEastAsia" w:hAnsiTheme="minorEastAsia" w:eastAsiaTheme="minorEastAsia" w:cstheme="minorEastAsia"/>
          <w:b/>
          <w:kern w:val="0"/>
          <w:sz w:val="32"/>
          <w:szCs w:val="32"/>
        </w:rPr>
      </w:pPr>
    </w:p>
    <w:p w14:paraId="1BDA7238">
      <w:pPr>
        <w:jc w:val="center"/>
        <w:rPr>
          <w:rFonts w:hint="eastAsia" w:asciiTheme="minorEastAsia" w:hAnsiTheme="minorEastAsia" w:eastAsiaTheme="minorEastAsia" w:cstheme="minorEastAsia"/>
          <w:b/>
          <w:kern w:val="0"/>
          <w:sz w:val="32"/>
          <w:szCs w:val="32"/>
        </w:rPr>
      </w:pPr>
    </w:p>
    <w:p w14:paraId="4810AC81">
      <w:pPr>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六、商务技术偏离表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A53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51CE7C8">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3683" w:type="dxa"/>
            <w:noWrap w:val="0"/>
            <w:vAlign w:val="top"/>
          </w:tcPr>
          <w:p w14:paraId="5C51513D">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交易文件章节及具体内容</w:t>
            </w:r>
          </w:p>
        </w:tc>
        <w:tc>
          <w:tcPr>
            <w:tcW w:w="3546" w:type="dxa"/>
            <w:noWrap w:val="0"/>
            <w:vAlign w:val="top"/>
          </w:tcPr>
          <w:p w14:paraId="4420B839">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响应文件章节及具体内容</w:t>
            </w:r>
          </w:p>
        </w:tc>
        <w:tc>
          <w:tcPr>
            <w:tcW w:w="1276" w:type="dxa"/>
            <w:noWrap w:val="0"/>
            <w:vAlign w:val="top"/>
          </w:tcPr>
          <w:p w14:paraId="3A10A824">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偏离说明</w:t>
            </w:r>
          </w:p>
        </w:tc>
      </w:tr>
      <w:tr w14:paraId="71E7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732F7F3">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3683" w:type="dxa"/>
            <w:noWrap w:val="0"/>
            <w:vAlign w:val="top"/>
          </w:tcPr>
          <w:p w14:paraId="4FC06EA4">
            <w:pPr>
              <w:jc w:val="center"/>
              <w:rPr>
                <w:rFonts w:hint="eastAsia" w:asciiTheme="minorEastAsia" w:hAnsiTheme="minorEastAsia" w:eastAsiaTheme="minorEastAsia" w:cstheme="minorEastAsia"/>
                <w:b/>
                <w:kern w:val="0"/>
                <w:sz w:val="32"/>
                <w:szCs w:val="32"/>
              </w:rPr>
            </w:pPr>
          </w:p>
        </w:tc>
        <w:tc>
          <w:tcPr>
            <w:tcW w:w="3546" w:type="dxa"/>
            <w:noWrap w:val="0"/>
            <w:vAlign w:val="top"/>
          </w:tcPr>
          <w:p w14:paraId="18492821">
            <w:pPr>
              <w:jc w:val="center"/>
              <w:rPr>
                <w:rFonts w:hint="eastAsia" w:asciiTheme="minorEastAsia" w:hAnsiTheme="minorEastAsia" w:eastAsiaTheme="minorEastAsia" w:cstheme="minorEastAsia"/>
                <w:b/>
                <w:kern w:val="0"/>
                <w:sz w:val="32"/>
                <w:szCs w:val="32"/>
              </w:rPr>
            </w:pPr>
          </w:p>
        </w:tc>
        <w:tc>
          <w:tcPr>
            <w:tcW w:w="1276" w:type="dxa"/>
            <w:noWrap w:val="0"/>
            <w:vAlign w:val="top"/>
          </w:tcPr>
          <w:p w14:paraId="300EA198">
            <w:pPr>
              <w:jc w:val="center"/>
              <w:rPr>
                <w:rFonts w:hint="eastAsia" w:asciiTheme="minorEastAsia" w:hAnsiTheme="minorEastAsia" w:eastAsiaTheme="minorEastAsia" w:cstheme="minorEastAsia"/>
                <w:b/>
                <w:kern w:val="0"/>
                <w:sz w:val="32"/>
                <w:szCs w:val="32"/>
              </w:rPr>
            </w:pPr>
          </w:p>
        </w:tc>
      </w:tr>
      <w:tr w14:paraId="28B5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742D8BE">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3683" w:type="dxa"/>
            <w:noWrap w:val="0"/>
            <w:vAlign w:val="top"/>
          </w:tcPr>
          <w:p w14:paraId="626BAB07">
            <w:pPr>
              <w:jc w:val="center"/>
              <w:rPr>
                <w:rFonts w:hint="eastAsia" w:asciiTheme="minorEastAsia" w:hAnsiTheme="minorEastAsia" w:eastAsiaTheme="minorEastAsia" w:cstheme="minorEastAsia"/>
                <w:b/>
                <w:kern w:val="0"/>
                <w:sz w:val="32"/>
                <w:szCs w:val="32"/>
              </w:rPr>
            </w:pPr>
          </w:p>
        </w:tc>
        <w:tc>
          <w:tcPr>
            <w:tcW w:w="3546" w:type="dxa"/>
            <w:noWrap w:val="0"/>
            <w:vAlign w:val="top"/>
          </w:tcPr>
          <w:p w14:paraId="74B91E90">
            <w:pPr>
              <w:jc w:val="center"/>
              <w:rPr>
                <w:rFonts w:hint="eastAsia" w:asciiTheme="minorEastAsia" w:hAnsiTheme="minorEastAsia" w:eastAsiaTheme="minorEastAsia" w:cstheme="minorEastAsia"/>
                <w:b/>
                <w:kern w:val="0"/>
                <w:sz w:val="32"/>
                <w:szCs w:val="32"/>
              </w:rPr>
            </w:pPr>
          </w:p>
        </w:tc>
        <w:tc>
          <w:tcPr>
            <w:tcW w:w="1276" w:type="dxa"/>
            <w:noWrap w:val="0"/>
            <w:vAlign w:val="top"/>
          </w:tcPr>
          <w:p w14:paraId="31024085">
            <w:pPr>
              <w:jc w:val="center"/>
              <w:rPr>
                <w:rFonts w:hint="eastAsia" w:asciiTheme="minorEastAsia" w:hAnsiTheme="minorEastAsia" w:eastAsiaTheme="minorEastAsia" w:cstheme="minorEastAsia"/>
                <w:b/>
                <w:kern w:val="0"/>
                <w:sz w:val="32"/>
                <w:szCs w:val="32"/>
              </w:rPr>
            </w:pPr>
          </w:p>
        </w:tc>
      </w:tr>
      <w:tr w14:paraId="62CA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E09B15C">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p>
        </w:tc>
        <w:tc>
          <w:tcPr>
            <w:tcW w:w="3683" w:type="dxa"/>
            <w:noWrap w:val="0"/>
            <w:vAlign w:val="top"/>
          </w:tcPr>
          <w:p w14:paraId="07A7E6A6">
            <w:pPr>
              <w:jc w:val="center"/>
              <w:rPr>
                <w:rFonts w:hint="eastAsia" w:asciiTheme="minorEastAsia" w:hAnsiTheme="minorEastAsia" w:eastAsiaTheme="minorEastAsia" w:cstheme="minorEastAsia"/>
                <w:b/>
                <w:kern w:val="0"/>
                <w:sz w:val="32"/>
                <w:szCs w:val="32"/>
              </w:rPr>
            </w:pPr>
          </w:p>
        </w:tc>
        <w:tc>
          <w:tcPr>
            <w:tcW w:w="3546" w:type="dxa"/>
            <w:noWrap w:val="0"/>
            <w:vAlign w:val="top"/>
          </w:tcPr>
          <w:p w14:paraId="2A5574A1">
            <w:pPr>
              <w:jc w:val="center"/>
              <w:rPr>
                <w:rFonts w:hint="eastAsia" w:asciiTheme="minorEastAsia" w:hAnsiTheme="minorEastAsia" w:eastAsiaTheme="minorEastAsia" w:cstheme="minorEastAsia"/>
                <w:b/>
                <w:kern w:val="0"/>
                <w:sz w:val="32"/>
                <w:szCs w:val="32"/>
              </w:rPr>
            </w:pPr>
          </w:p>
        </w:tc>
        <w:tc>
          <w:tcPr>
            <w:tcW w:w="1276" w:type="dxa"/>
            <w:noWrap w:val="0"/>
            <w:vAlign w:val="top"/>
          </w:tcPr>
          <w:p w14:paraId="234D8A30">
            <w:pPr>
              <w:jc w:val="center"/>
              <w:rPr>
                <w:rFonts w:hint="eastAsia" w:asciiTheme="minorEastAsia" w:hAnsiTheme="minorEastAsia" w:eastAsiaTheme="minorEastAsia" w:cstheme="minorEastAsia"/>
                <w:b/>
                <w:kern w:val="0"/>
                <w:sz w:val="32"/>
                <w:szCs w:val="32"/>
              </w:rPr>
            </w:pPr>
          </w:p>
        </w:tc>
      </w:tr>
    </w:tbl>
    <w:p w14:paraId="052B3E18">
      <w:pPr>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供应商保证：除商务技术偏离表列出的偏离外，供应商响应交易文件的全部要求</w:t>
      </w:r>
    </w:p>
    <w:p w14:paraId="6C5EBB20">
      <w:pPr>
        <w:jc w:val="center"/>
        <w:rPr>
          <w:rFonts w:hint="eastAsia" w:asciiTheme="minorEastAsia" w:hAnsiTheme="minorEastAsia" w:eastAsiaTheme="minorEastAsia" w:cstheme="minorEastAsia"/>
          <w:b/>
          <w:kern w:val="0"/>
          <w:sz w:val="32"/>
          <w:szCs w:val="32"/>
        </w:rPr>
      </w:pPr>
    </w:p>
    <w:p w14:paraId="02E5E1AA">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1FA93D89">
      <w:pPr>
        <w:jc w:val="center"/>
        <w:rPr>
          <w:rFonts w:hint="eastAsia" w:asciiTheme="minorEastAsia" w:hAnsiTheme="minorEastAsia" w:eastAsiaTheme="minorEastAsia" w:cstheme="minorEastAsia"/>
          <w:b/>
          <w:kern w:val="0"/>
          <w:sz w:val="32"/>
          <w:szCs w:val="32"/>
        </w:rPr>
      </w:pPr>
    </w:p>
    <w:p w14:paraId="15D6F248">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14:paraId="5C2F723C">
      <w:pPr>
        <w:ind w:firstLine="1911" w:firstLineChars="595"/>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bCs/>
          <w:sz w:val="32"/>
          <w:szCs w:val="32"/>
        </w:rPr>
        <w:t>七</w:t>
      </w:r>
      <w:r>
        <w:rPr>
          <w:rFonts w:hint="eastAsia" w:asciiTheme="minorEastAsia" w:hAnsiTheme="minorEastAsia" w:eastAsiaTheme="minorEastAsia" w:cstheme="minorEastAsia"/>
          <w:b/>
          <w:kern w:val="0"/>
          <w:sz w:val="32"/>
          <w:szCs w:val="32"/>
        </w:rPr>
        <w:t>、</w:t>
      </w:r>
      <w:r>
        <w:rPr>
          <w:rFonts w:hint="eastAsia" w:asciiTheme="minorEastAsia" w:hAnsiTheme="minorEastAsia" w:eastAsiaTheme="minorEastAsia" w:cstheme="minorEastAsia"/>
          <w:b/>
          <w:kern w:val="0"/>
          <w:sz w:val="32"/>
          <w:szCs w:val="32"/>
          <w:lang w:val="zh-CN"/>
        </w:rPr>
        <w:t>采购供应商廉洁自律承诺书</w:t>
      </w:r>
    </w:p>
    <w:p w14:paraId="195E84C2">
      <w:pPr>
        <w:snapToGrid w:val="0"/>
        <w:spacing w:line="360" w:lineRule="auto"/>
        <w:rPr>
          <w:rFonts w:hint="eastAsia" w:asciiTheme="minorEastAsia" w:hAnsiTheme="minorEastAsia" w:eastAsiaTheme="minorEastAsia" w:cstheme="minorEastAsia"/>
          <w:sz w:val="24"/>
        </w:rPr>
      </w:pPr>
    </w:p>
    <w:p w14:paraId="19C662B6">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u w:val="single"/>
        </w:rPr>
        <w:t>（采购人）、（采购代理机构）</w:t>
      </w:r>
      <w:r>
        <w:rPr>
          <w:rFonts w:hint="eastAsia" w:asciiTheme="minorEastAsia" w:hAnsiTheme="minorEastAsia" w:eastAsiaTheme="minorEastAsia" w:cstheme="minorEastAsia"/>
          <w:kern w:val="0"/>
          <w:sz w:val="24"/>
          <w:lang w:val="zh-CN"/>
        </w:rPr>
        <w:t>：</w:t>
      </w:r>
    </w:p>
    <w:p w14:paraId="20064FA5">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我单位响应你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项目交易要求参加响应。在这次响应过程中和成交后，我们将严格遵守国家法律法规要求，并郑重承诺：</w:t>
      </w:r>
    </w:p>
    <w:p w14:paraId="3B557BFA">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一、不向项目有关人员及部门赠送礼金礼物、有价证券、回扣以及中介费、介绍费、咨询费等好处费； </w:t>
      </w:r>
    </w:p>
    <w:p w14:paraId="4B475B63">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二、不为项目有关人员及部门报销应由你方单位或个人支付的费用； </w:t>
      </w:r>
    </w:p>
    <w:p w14:paraId="30100743">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三、不向项目有关人员及部门提供有可能影响公正的宴请和健身娱乐等活动； </w:t>
      </w:r>
    </w:p>
    <w:p w14:paraId="48A38135">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四、不为项目有关人员及部门出国（境）、旅游等提供方便；</w:t>
      </w:r>
    </w:p>
    <w:p w14:paraId="5B8142DE">
      <w:pPr>
        <w:autoSpaceDE w:val="0"/>
        <w:autoSpaceDN w:val="0"/>
        <w:spacing w:line="360" w:lineRule="auto"/>
        <w:ind w:left="481" w:leftChars="229"/>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五、不为项目有关人员个人装修住房、婚丧嫁娶、配偶子女工作安排等提供</w:t>
      </w:r>
    </w:p>
    <w:p w14:paraId="2A81FEA3">
      <w:pPr>
        <w:autoSpaceDE w:val="0"/>
        <w:autoSpaceDN w:val="0"/>
        <w:spacing w:line="360" w:lineRule="auto"/>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好处；</w:t>
      </w:r>
    </w:p>
    <w:p w14:paraId="791CF06F">
      <w:pPr>
        <w:autoSpaceDE w:val="0"/>
        <w:autoSpaceDN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六、严格遵守相关法律法规，诚实守信，合法经营，坚决抵制各种违法违纪行为。 </w:t>
      </w:r>
    </w:p>
    <w:p w14:paraId="6AB82741">
      <w:pPr>
        <w:autoSpaceDE w:val="0"/>
        <w:autoSpaceDN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如违反上述承诺，你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有权立即取消我单位响应、成交或在建项目的建设资格，有权拒绝我单位在一定时期内进入你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进行项目建设或其他经营活动，并通报市财政局。由此引起的相应损失均由我单位承担。</w:t>
      </w:r>
    </w:p>
    <w:p w14:paraId="208D87EF">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21C539C6">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4B2B5011">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7391CDB5">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供应商名称（</w:t>
      </w:r>
      <w:r>
        <w:rPr>
          <w:rFonts w:hint="eastAsia" w:asciiTheme="minorEastAsia" w:hAnsiTheme="minorEastAsia" w:eastAsiaTheme="minorEastAsia" w:cstheme="minorEastAsia"/>
          <w:sz w:val="24"/>
        </w:rPr>
        <w:t>电子签名</w:t>
      </w:r>
      <w:r>
        <w:rPr>
          <w:rFonts w:hint="eastAsia" w:asciiTheme="minorEastAsia" w:hAnsiTheme="minorEastAsia" w:eastAsiaTheme="minorEastAsia" w:cstheme="minorEastAsia"/>
          <w:kern w:val="0"/>
          <w:sz w:val="24"/>
          <w:lang w:val="zh-CN"/>
        </w:rPr>
        <w:t xml:space="preserve">）：                                                                                                                                                                                                               </w:t>
      </w:r>
    </w:p>
    <w:p w14:paraId="70688EC5">
      <w:pPr>
        <w:spacing w:line="360" w:lineRule="auto"/>
        <w:ind w:left="4620" w:leftChars="2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日期</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zh-CN"/>
        </w:rPr>
        <w:t xml:space="preserve">   年   月   日</w:t>
      </w:r>
    </w:p>
    <w:p w14:paraId="49116B18">
      <w:pPr>
        <w:spacing w:line="360" w:lineRule="auto"/>
        <w:jc w:val="center"/>
        <w:rPr>
          <w:rFonts w:hint="eastAsia" w:asciiTheme="minorEastAsia" w:hAnsiTheme="minorEastAsia" w:eastAsiaTheme="minorEastAsia" w:cstheme="minorEastAsia"/>
          <w:b/>
          <w:bCs/>
          <w:sz w:val="24"/>
        </w:rPr>
      </w:pPr>
    </w:p>
    <w:p w14:paraId="7D44A3F9">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4B701F8D">
      <w:pPr>
        <w:spacing w:line="360" w:lineRule="auto"/>
        <w:jc w:val="center"/>
        <w:rPr>
          <w:rFonts w:hint="eastAsia" w:asciiTheme="minorEastAsia" w:hAnsiTheme="minorEastAsia" w:eastAsiaTheme="minorEastAsia" w:cstheme="minorEastAsia"/>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4E8919FF">
      <w:pPr>
        <w:spacing w:line="360" w:lineRule="auto"/>
        <w:jc w:val="center"/>
        <w:outlineLvl w:val="0"/>
        <w:rPr>
          <w:rFonts w:hint="eastAsia" w:asciiTheme="minorEastAsia" w:hAnsiTheme="minorEastAsia" w:eastAsiaTheme="minorEastAsia" w:cstheme="minorEastAsia"/>
          <w:b/>
          <w:kern w:val="0"/>
          <w:sz w:val="36"/>
          <w:szCs w:val="36"/>
        </w:rPr>
      </w:pPr>
    </w:p>
    <w:p w14:paraId="66E6C936">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报价文件部分</w:t>
      </w:r>
    </w:p>
    <w:p w14:paraId="373E5199">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目录</w:t>
      </w:r>
    </w:p>
    <w:p w14:paraId="773DA0C8">
      <w:pPr>
        <w:spacing w:line="360" w:lineRule="auto"/>
        <w:jc w:val="center"/>
        <w:outlineLvl w:val="0"/>
        <w:rPr>
          <w:rFonts w:hint="eastAsia" w:asciiTheme="minorEastAsia" w:hAnsiTheme="minorEastAsia" w:eastAsiaTheme="minorEastAsia" w:cstheme="minorEastAsia"/>
          <w:b/>
          <w:kern w:val="0"/>
          <w:sz w:val="36"/>
          <w:szCs w:val="36"/>
        </w:rPr>
      </w:pPr>
    </w:p>
    <w:p w14:paraId="5488A229">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（1）交易一览表（报价表）………………………………………………………（页码）</w:t>
      </w:r>
    </w:p>
    <w:p w14:paraId="7B5A0F10">
      <w:pPr>
        <w:snapToGrid w:val="0"/>
        <w:spacing w:line="360" w:lineRule="auto"/>
        <w:ind w:right="480"/>
        <w:jc w:val="center"/>
        <w:rPr>
          <w:rFonts w:hint="eastAsia" w:asciiTheme="minorEastAsia" w:hAnsiTheme="minorEastAsia" w:eastAsiaTheme="minorEastAsia" w:cstheme="minorEastAsia"/>
          <w:b/>
          <w:kern w:val="0"/>
          <w:sz w:val="32"/>
          <w:szCs w:val="32"/>
        </w:rPr>
      </w:pPr>
    </w:p>
    <w:p w14:paraId="5593AD08">
      <w:pPr>
        <w:snapToGrid w:val="0"/>
        <w:spacing w:line="360" w:lineRule="auto"/>
        <w:ind w:right="480"/>
        <w:jc w:val="center"/>
        <w:rPr>
          <w:rFonts w:hint="eastAsia" w:asciiTheme="minorEastAsia" w:hAnsiTheme="minorEastAsia" w:eastAsiaTheme="minorEastAsia" w:cstheme="minorEastAsia"/>
          <w:b/>
          <w:kern w:val="0"/>
          <w:sz w:val="32"/>
          <w:szCs w:val="32"/>
        </w:rPr>
      </w:pPr>
    </w:p>
    <w:p w14:paraId="14B050F9">
      <w:pPr>
        <w:snapToGrid w:val="0"/>
        <w:spacing w:line="360" w:lineRule="auto"/>
        <w:ind w:right="480"/>
        <w:jc w:val="center"/>
        <w:rPr>
          <w:rFonts w:hint="eastAsia" w:asciiTheme="minorEastAsia" w:hAnsiTheme="minorEastAsia" w:eastAsiaTheme="minorEastAsia" w:cstheme="minorEastAsia"/>
          <w:b/>
          <w:kern w:val="0"/>
          <w:sz w:val="32"/>
          <w:szCs w:val="32"/>
        </w:rPr>
      </w:pPr>
    </w:p>
    <w:p w14:paraId="2EE8A0AB">
      <w:pPr>
        <w:snapToGrid w:val="0"/>
        <w:spacing w:line="360" w:lineRule="auto"/>
        <w:ind w:right="480"/>
        <w:jc w:val="center"/>
        <w:rPr>
          <w:rFonts w:hint="eastAsia" w:asciiTheme="minorEastAsia" w:hAnsiTheme="minorEastAsia" w:eastAsiaTheme="minorEastAsia" w:cstheme="minorEastAsia"/>
          <w:b/>
          <w:kern w:val="0"/>
          <w:sz w:val="32"/>
          <w:szCs w:val="32"/>
        </w:rPr>
      </w:pPr>
    </w:p>
    <w:p w14:paraId="123CDE17">
      <w:pPr>
        <w:snapToGrid w:val="0"/>
        <w:spacing w:line="360" w:lineRule="auto"/>
        <w:ind w:right="480"/>
        <w:jc w:val="center"/>
        <w:rPr>
          <w:rFonts w:hint="eastAsia" w:asciiTheme="minorEastAsia" w:hAnsiTheme="minorEastAsia" w:eastAsiaTheme="minorEastAsia" w:cstheme="minorEastAsia"/>
          <w:b/>
          <w:kern w:val="0"/>
          <w:sz w:val="32"/>
          <w:szCs w:val="32"/>
        </w:rPr>
      </w:pPr>
    </w:p>
    <w:p w14:paraId="1EE51133">
      <w:pPr>
        <w:snapToGrid w:val="0"/>
        <w:spacing w:line="360" w:lineRule="auto"/>
        <w:ind w:right="480"/>
        <w:jc w:val="center"/>
        <w:rPr>
          <w:rFonts w:hint="eastAsia" w:asciiTheme="minorEastAsia" w:hAnsiTheme="minorEastAsia" w:eastAsiaTheme="minorEastAsia" w:cstheme="minorEastAsia"/>
          <w:b/>
          <w:kern w:val="0"/>
          <w:sz w:val="32"/>
          <w:szCs w:val="32"/>
        </w:rPr>
      </w:pPr>
    </w:p>
    <w:p w14:paraId="3520B939">
      <w:pPr>
        <w:snapToGrid w:val="0"/>
        <w:spacing w:line="360" w:lineRule="auto"/>
        <w:ind w:right="480"/>
        <w:jc w:val="center"/>
        <w:rPr>
          <w:rFonts w:hint="eastAsia" w:asciiTheme="minorEastAsia" w:hAnsiTheme="minorEastAsia" w:eastAsiaTheme="minorEastAsia" w:cstheme="minorEastAsia"/>
          <w:b/>
          <w:kern w:val="0"/>
          <w:sz w:val="32"/>
          <w:szCs w:val="32"/>
        </w:rPr>
      </w:pPr>
    </w:p>
    <w:p w14:paraId="300036D6">
      <w:pPr>
        <w:snapToGrid w:val="0"/>
        <w:spacing w:line="360" w:lineRule="auto"/>
        <w:ind w:right="480"/>
        <w:jc w:val="center"/>
        <w:rPr>
          <w:rFonts w:hint="eastAsia" w:asciiTheme="minorEastAsia" w:hAnsiTheme="minorEastAsia" w:eastAsiaTheme="minorEastAsia" w:cstheme="minorEastAsia"/>
          <w:b/>
          <w:kern w:val="0"/>
          <w:sz w:val="32"/>
          <w:szCs w:val="32"/>
        </w:rPr>
      </w:pPr>
    </w:p>
    <w:p w14:paraId="6A7240DF">
      <w:pPr>
        <w:snapToGrid w:val="0"/>
        <w:spacing w:line="360" w:lineRule="auto"/>
        <w:ind w:right="480"/>
        <w:jc w:val="center"/>
        <w:rPr>
          <w:rFonts w:hint="eastAsia" w:asciiTheme="minorEastAsia" w:hAnsiTheme="minorEastAsia" w:eastAsiaTheme="minorEastAsia" w:cstheme="minorEastAsia"/>
          <w:b/>
          <w:kern w:val="0"/>
          <w:sz w:val="32"/>
          <w:szCs w:val="32"/>
        </w:rPr>
      </w:pPr>
    </w:p>
    <w:p w14:paraId="638EB679">
      <w:pPr>
        <w:snapToGrid w:val="0"/>
        <w:spacing w:line="360" w:lineRule="auto"/>
        <w:ind w:right="480"/>
        <w:jc w:val="center"/>
        <w:rPr>
          <w:rFonts w:hint="eastAsia" w:asciiTheme="minorEastAsia" w:hAnsiTheme="minorEastAsia" w:eastAsiaTheme="minorEastAsia" w:cstheme="minorEastAsia"/>
          <w:b/>
          <w:kern w:val="0"/>
          <w:sz w:val="32"/>
          <w:szCs w:val="32"/>
        </w:rPr>
      </w:pPr>
    </w:p>
    <w:p w14:paraId="06A5539B">
      <w:pPr>
        <w:snapToGrid w:val="0"/>
        <w:spacing w:line="360" w:lineRule="auto"/>
        <w:ind w:right="480"/>
        <w:jc w:val="center"/>
        <w:rPr>
          <w:rFonts w:hint="eastAsia" w:asciiTheme="minorEastAsia" w:hAnsiTheme="minorEastAsia" w:eastAsiaTheme="minorEastAsia" w:cstheme="minorEastAsia"/>
          <w:b/>
          <w:kern w:val="0"/>
          <w:sz w:val="32"/>
          <w:szCs w:val="32"/>
        </w:rPr>
      </w:pPr>
    </w:p>
    <w:p w14:paraId="6D9A4177">
      <w:pPr>
        <w:snapToGrid w:val="0"/>
        <w:spacing w:line="360" w:lineRule="auto"/>
        <w:ind w:right="480"/>
        <w:jc w:val="center"/>
        <w:rPr>
          <w:rFonts w:hint="eastAsia" w:asciiTheme="minorEastAsia" w:hAnsiTheme="minorEastAsia" w:eastAsiaTheme="minorEastAsia" w:cstheme="minorEastAsia"/>
          <w:b/>
          <w:kern w:val="0"/>
          <w:sz w:val="32"/>
          <w:szCs w:val="32"/>
        </w:rPr>
      </w:pPr>
    </w:p>
    <w:p w14:paraId="5F2C76CF">
      <w:pPr>
        <w:snapToGrid w:val="0"/>
        <w:spacing w:line="360" w:lineRule="auto"/>
        <w:ind w:right="480"/>
        <w:jc w:val="center"/>
        <w:rPr>
          <w:rFonts w:hint="eastAsia" w:asciiTheme="minorEastAsia" w:hAnsiTheme="minorEastAsia" w:eastAsiaTheme="minorEastAsia" w:cstheme="minorEastAsia"/>
          <w:b/>
          <w:kern w:val="0"/>
          <w:sz w:val="32"/>
          <w:szCs w:val="32"/>
        </w:rPr>
      </w:pPr>
    </w:p>
    <w:p w14:paraId="11B15C25">
      <w:pPr>
        <w:pStyle w:val="35"/>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130DE946">
      <w:pPr>
        <w:pStyle w:val="35"/>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一、交易一览表（报价表）</w:t>
      </w:r>
    </w:p>
    <w:p w14:paraId="6CAFACC7">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u w:val="single"/>
        </w:rPr>
        <w:t>（采购人）、（采购代理机构）</w:t>
      </w:r>
      <w:r>
        <w:rPr>
          <w:rFonts w:hint="eastAsia" w:asciiTheme="minorEastAsia" w:hAnsiTheme="minorEastAsia" w:eastAsiaTheme="minorEastAsia" w:cstheme="minorEastAsia"/>
          <w:kern w:val="0"/>
          <w:sz w:val="24"/>
          <w:lang w:val="zh-CN"/>
        </w:rPr>
        <w:t>：</w:t>
      </w:r>
    </w:p>
    <w:p w14:paraId="5F3BC6FF">
      <w:pPr>
        <w:snapToGrid w:val="0"/>
        <w:spacing w:line="360" w:lineRule="auto"/>
        <w:ind w:firstLine="482"/>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按你方交易文件要求，我们，本响应文件签字方，谨此向你方发出要约如下：如你方接受本响应，我方承诺按照如下交易一览表（报价表）的价格完成</w:t>
      </w:r>
      <w:r>
        <w:rPr>
          <w:rFonts w:hint="eastAsia" w:asciiTheme="minorEastAsia" w:hAnsiTheme="minorEastAsia" w:eastAsiaTheme="minorEastAsia" w:cstheme="minorEastAsia"/>
          <w:sz w:val="24"/>
          <w:u w:val="single"/>
        </w:rPr>
        <w:t>（项目名称）</w:t>
      </w:r>
      <w:r>
        <w:rPr>
          <w:rFonts w:hint="eastAsia" w:asciiTheme="minorEastAsia" w:hAnsiTheme="minorEastAsia" w:eastAsiaTheme="minorEastAsia" w:cstheme="minorEastAsia"/>
          <w:kern w:val="0"/>
          <w:sz w:val="24"/>
          <w:u w:val="single"/>
          <w:lang w:val="zh-CN"/>
        </w:rPr>
        <w:t>【交易编号：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的实施</w:t>
      </w:r>
      <w:r>
        <w:rPr>
          <w:rFonts w:hint="eastAsia" w:asciiTheme="minorEastAsia" w:hAnsiTheme="minorEastAsia" w:eastAsiaTheme="minorEastAsia" w:cstheme="minorEastAsia"/>
          <w:kern w:val="0"/>
          <w:sz w:val="24"/>
          <w:lang w:val="zh-CN"/>
        </w:rPr>
        <w:t>。</w:t>
      </w:r>
    </w:p>
    <w:p w14:paraId="44AADE7B">
      <w:pPr>
        <w:spacing w:line="360" w:lineRule="auto"/>
        <w:jc w:val="center"/>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en-US" w:eastAsia="zh-CN"/>
        </w:rPr>
        <w:t>交易</w:t>
      </w:r>
      <w:r>
        <w:rPr>
          <w:rFonts w:hint="eastAsia" w:asciiTheme="minorEastAsia" w:hAnsiTheme="minorEastAsia" w:eastAsiaTheme="minorEastAsia" w:cstheme="minorEastAsia"/>
          <w:b/>
          <w:kern w:val="0"/>
          <w:sz w:val="24"/>
          <w:lang w:val="zh-CN"/>
        </w:rPr>
        <w:t>一览表（报价表）(单位均为人民币元)</w:t>
      </w:r>
    </w:p>
    <w:tbl>
      <w:tblPr>
        <w:tblStyle w:val="1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F7E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14:paraId="798B170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417" w:type="dxa"/>
            <w:noWrap w:val="0"/>
            <w:vAlign w:val="center"/>
          </w:tcPr>
          <w:p w14:paraId="60FF2D27">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名称</w:t>
            </w:r>
          </w:p>
        </w:tc>
        <w:tc>
          <w:tcPr>
            <w:tcW w:w="1843" w:type="dxa"/>
            <w:noWrap w:val="0"/>
            <w:vAlign w:val="top"/>
          </w:tcPr>
          <w:p w14:paraId="152FB6CB">
            <w:pPr>
              <w:spacing w:line="360" w:lineRule="auto"/>
              <w:jc w:val="center"/>
              <w:rPr>
                <w:rFonts w:hint="eastAsia" w:asciiTheme="minorEastAsia" w:hAnsiTheme="minorEastAsia" w:eastAsiaTheme="minorEastAsia" w:cstheme="minorEastAsia"/>
                <w:b/>
                <w:sz w:val="24"/>
              </w:rPr>
            </w:pPr>
          </w:p>
          <w:p w14:paraId="4A5F691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品牌（如果有）</w:t>
            </w:r>
          </w:p>
        </w:tc>
        <w:tc>
          <w:tcPr>
            <w:tcW w:w="3118" w:type="dxa"/>
            <w:noWrap w:val="0"/>
            <w:vAlign w:val="center"/>
          </w:tcPr>
          <w:p w14:paraId="153E41B6">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规格型号（或具体服务）</w:t>
            </w:r>
          </w:p>
        </w:tc>
        <w:tc>
          <w:tcPr>
            <w:tcW w:w="993" w:type="dxa"/>
            <w:noWrap w:val="0"/>
            <w:vAlign w:val="center"/>
          </w:tcPr>
          <w:p w14:paraId="248EC6CA">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数量</w:t>
            </w:r>
          </w:p>
        </w:tc>
        <w:tc>
          <w:tcPr>
            <w:tcW w:w="1559" w:type="dxa"/>
            <w:noWrap w:val="0"/>
            <w:vAlign w:val="center"/>
          </w:tcPr>
          <w:p w14:paraId="3C58BB3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单价</w:t>
            </w:r>
          </w:p>
        </w:tc>
        <w:tc>
          <w:tcPr>
            <w:tcW w:w="1984" w:type="dxa"/>
            <w:noWrap w:val="0"/>
            <w:vAlign w:val="center"/>
          </w:tcPr>
          <w:p w14:paraId="07378FF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总价</w:t>
            </w:r>
          </w:p>
        </w:tc>
        <w:tc>
          <w:tcPr>
            <w:tcW w:w="3119" w:type="dxa"/>
            <w:noWrap w:val="0"/>
            <w:vAlign w:val="center"/>
          </w:tcPr>
          <w:p w14:paraId="1A11838C">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w:t>
            </w:r>
          </w:p>
        </w:tc>
      </w:tr>
      <w:tr w14:paraId="1558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14:paraId="7BB1A109">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417" w:type="dxa"/>
            <w:noWrap w:val="0"/>
            <w:vAlign w:val="center"/>
          </w:tcPr>
          <w:p w14:paraId="4C2C293E">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793728CB">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601C5512">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4F5E77E3">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290FCB1D">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5A1E9CC5">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3F4BCCBA">
            <w:pPr>
              <w:spacing w:line="360" w:lineRule="auto"/>
              <w:jc w:val="center"/>
              <w:rPr>
                <w:rFonts w:hint="eastAsia" w:asciiTheme="minorEastAsia" w:hAnsiTheme="minorEastAsia" w:eastAsiaTheme="minorEastAsia" w:cstheme="minorEastAsia"/>
                <w:sz w:val="24"/>
              </w:rPr>
            </w:pPr>
          </w:p>
        </w:tc>
      </w:tr>
      <w:tr w14:paraId="521E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09495078">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417" w:type="dxa"/>
            <w:noWrap w:val="0"/>
            <w:vAlign w:val="center"/>
          </w:tcPr>
          <w:p w14:paraId="6A97AAA1">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0304C51F">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566EE866">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36EA0AE3">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5EBBED25">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2491C824">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6FD0757E">
            <w:pPr>
              <w:spacing w:line="360" w:lineRule="auto"/>
              <w:jc w:val="center"/>
              <w:rPr>
                <w:rFonts w:hint="eastAsia" w:asciiTheme="minorEastAsia" w:hAnsiTheme="minorEastAsia" w:eastAsiaTheme="minorEastAsia" w:cstheme="minorEastAsia"/>
                <w:sz w:val="24"/>
              </w:rPr>
            </w:pPr>
          </w:p>
        </w:tc>
      </w:tr>
      <w:tr w14:paraId="2802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64B923E9">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417" w:type="dxa"/>
            <w:noWrap w:val="0"/>
            <w:vAlign w:val="center"/>
          </w:tcPr>
          <w:p w14:paraId="318F02DF">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231198F9">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6F8B2C27">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0F7833C5">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0EBBA861">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4846A07D">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208DE9E4">
            <w:pPr>
              <w:spacing w:line="360" w:lineRule="auto"/>
              <w:jc w:val="center"/>
              <w:rPr>
                <w:rFonts w:hint="eastAsia" w:asciiTheme="minorEastAsia" w:hAnsiTheme="minorEastAsia" w:eastAsiaTheme="minorEastAsia" w:cstheme="minorEastAsia"/>
                <w:sz w:val="24"/>
              </w:rPr>
            </w:pPr>
          </w:p>
        </w:tc>
      </w:tr>
      <w:tr w14:paraId="75BA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2715B9F2">
            <w:pPr>
              <w:spacing w:line="360" w:lineRule="auto"/>
              <w:jc w:val="center"/>
              <w:rPr>
                <w:rFonts w:hint="eastAsia" w:asciiTheme="minorEastAsia" w:hAnsiTheme="minorEastAsia" w:eastAsiaTheme="minorEastAsia" w:cstheme="minorEastAsia"/>
                <w:sz w:val="24"/>
              </w:rPr>
            </w:pPr>
          </w:p>
        </w:tc>
        <w:tc>
          <w:tcPr>
            <w:tcW w:w="1417" w:type="dxa"/>
            <w:noWrap w:val="0"/>
            <w:vAlign w:val="center"/>
          </w:tcPr>
          <w:p w14:paraId="239B9BC4">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308A71E9">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713C832C">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6AFD1A63">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493420A2">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7EF10A26">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65CA993B">
            <w:pPr>
              <w:spacing w:line="360" w:lineRule="auto"/>
              <w:jc w:val="center"/>
              <w:rPr>
                <w:rFonts w:hint="eastAsia" w:asciiTheme="minorEastAsia" w:hAnsiTheme="minorEastAsia" w:eastAsiaTheme="minorEastAsia" w:cstheme="minorEastAsia"/>
                <w:sz w:val="24"/>
              </w:rPr>
            </w:pPr>
          </w:p>
        </w:tc>
      </w:tr>
      <w:tr w14:paraId="4633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594E306A">
            <w:pPr>
              <w:spacing w:line="360" w:lineRule="auto"/>
              <w:jc w:val="center"/>
              <w:rPr>
                <w:rFonts w:hint="eastAsia" w:asciiTheme="minorEastAsia" w:hAnsiTheme="minorEastAsia" w:eastAsiaTheme="minorEastAsia" w:cstheme="minorEastAsia"/>
                <w:sz w:val="24"/>
              </w:rPr>
            </w:pPr>
          </w:p>
        </w:tc>
        <w:tc>
          <w:tcPr>
            <w:tcW w:w="1417" w:type="dxa"/>
            <w:noWrap w:val="0"/>
            <w:vAlign w:val="center"/>
          </w:tcPr>
          <w:p w14:paraId="787CA426">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3F20A16A">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0D77BE78">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109B1C67">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596A0AC0">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35DD41FB">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7132A680">
            <w:pPr>
              <w:spacing w:line="360" w:lineRule="auto"/>
              <w:jc w:val="center"/>
              <w:rPr>
                <w:rFonts w:hint="eastAsia" w:asciiTheme="minorEastAsia" w:hAnsiTheme="minorEastAsia" w:eastAsiaTheme="minorEastAsia" w:cstheme="minorEastAsia"/>
                <w:sz w:val="24"/>
              </w:rPr>
            </w:pPr>
          </w:p>
        </w:tc>
      </w:tr>
      <w:tr w14:paraId="6451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noWrap w:val="0"/>
            <w:vAlign w:val="center"/>
          </w:tcPr>
          <w:p w14:paraId="6DF2C903">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响应报价（小写）</w:t>
            </w:r>
          </w:p>
        </w:tc>
        <w:tc>
          <w:tcPr>
            <w:tcW w:w="7655" w:type="dxa"/>
            <w:gridSpan w:val="4"/>
            <w:noWrap w:val="0"/>
            <w:vAlign w:val="center"/>
          </w:tcPr>
          <w:p w14:paraId="1928785E">
            <w:pPr>
              <w:spacing w:line="360" w:lineRule="auto"/>
              <w:jc w:val="center"/>
              <w:rPr>
                <w:rFonts w:hint="eastAsia" w:asciiTheme="minorEastAsia" w:hAnsiTheme="minorEastAsia" w:eastAsiaTheme="minorEastAsia" w:cstheme="minorEastAsia"/>
                <w:sz w:val="24"/>
              </w:rPr>
            </w:pPr>
          </w:p>
        </w:tc>
      </w:tr>
      <w:tr w14:paraId="2E33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noWrap w:val="0"/>
            <w:vAlign w:val="center"/>
          </w:tcPr>
          <w:p w14:paraId="461FBFA2">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响应报价（大写）</w:t>
            </w:r>
          </w:p>
        </w:tc>
        <w:tc>
          <w:tcPr>
            <w:tcW w:w="7655" w:type="dxa"/>
            <w:gridSpan w:val="4"/>
            <w:noWrap w:val="0"/>
            <w:vAlign w:val="center"/>
          </w:tcPr>
          <w:p w14:paraId="66D8A69C">
            <w:pPr>
              <w:spacing w:line="360" w:lineRule="auto"/>
              <w:jc w:val="center"/>
              <w:rPr>
                <w:rFonts w:hint="eastAsia" w:asciiTheme="minorEastAsia" w:hAnsiTheme="minorEastAsia" w:eastAsiaTheme="minorEastAsia" w:cstheme="minorEastAsia"/>
                <w:sz w:val="24"/>
              </w:rPr>
            </w:pPr>
          </w:p>
        </w:tc>
      </w:tr>
    </w:tbl>
    <w:p w14:paraId="3925572B">
      <w:pPr>
        <w:snapToGrid w:val="0"/>
        <w:spacing w:line="360" w:lineRule="auto"/>
        <w:ind w:left="480"/>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注：</w:t>
      </w:r>
    </w:p>
    <w:p w14:paraId="1B06B73A">
      <w:pPr>
        <w:spacing w:line="360" w:lineRule="auto"/>
        <w:ind w:left="-2" w:leftChars="-1"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1、供应商需按本表格式填写，不得自行更改。</w:t>
      </w:r>
    </w:p>
    <w:p w14:paraId="71DDA601">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2、有关本项目实施所涉及的一切费用均计入报价。</w:t>
      </w:r>
      <w:r>
        <w:rPr>
          <w:rFonts w:hint="eastAsia" w:asciiTheme="minorEastAsia" w:hAnsiTheme="minorEastAsia" w:eastAsiaTheme="minorEastAsia" w:cstheme="minorEastAsia"/>
          <w:b/>
          <w:kern w:val="0"/>
          <w:sz w:val="24"/>
          <w:lang w:val="zh-CN"/>
        </w:rPr>
        <w:t>采购人将以合同形式有偿取得货物或服务，不接受供应商给予的赠品、回扣或者与采购无关的其他商品、服务</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b/>
          <w:kern w:val="0"/>
          <w:sz w:val="24"/>
          <w:lang w:val="zh-CN"/>
        </w:rPr>
        <w:t>不得出现“0元”“免费赠送”等形式的无偿报价，</w:t>
      </w:r>
      <w:r>
        <w:rPr>
          <w:rFonts w:hint="eastAsia" w:asciiTheme="minorEastAsia" w:hAnsiTheme="minorEastAsia" w:eastAsiaTheme="minorEastAsia" w:cstheme="minorEastAsia"/>
          <w:b/>
          <w:kern w:val="0"/>
          <w:sz w:val="24"/>
        </w:rPr>
        <w:t>否则视为</w:t>
      </w:r>
      <w:r>
        <w:rPr>
          <w:rFonts w:hint="eastAsia" w:asciiTheme="minorEastAsia" w:hAnsiTheme="minorEastAsia" w:eastAsiaTheme="minorEastAsia" w:cstheme="minorEastAsia"/>
          <w:b/>
          <w:sz w:val="24"/>
        </w:rPr>
        <w:t>响应文件含有采购人不能接受的附加条件的，交易无效</w:t>
      </w:r>
      <w:r>
        <w:rPr>
          <w:rFonts w:hint="eastAsia" w:asciiTheme="minorEastAsia" w:hAnsiTheme="minorEastAsia" w:eastAsiaTheme="minorEastAsia" w:cstheme="minorEastAsia"/>
          <w:b/>
          <w:kern w:val="0"/>
          <w:sz w:val="24"/>
          <w:lang w:val="zh-CN"/>
        </w:rPr>
        <w:t>；采购内容未包含在《交易一览表（报价表）》名称栏中，供应商不能作出合理解释的，</w:t>
      </w:r>
      <w:r>
        <w:rPr>
          <w:rFonts w:hint="eastAsia" w:asciiTheme="minorEastAsia" w:hAnsiTheme="minorEastAsia" w:eastAsiaTheme="minorEastAsia" w:cstheme="minorEastAsia"/>
          <w:b/>
          <w:kern w:val="0"/>
          <w:sz w:val="24"/>
        </w:rPr>
        <w:t>视为</w:t>
      </w:r>
      <w:r>
        <w:rPr>
          <w:rFonts w:hint="eastAsia" w:asciiTheme="minorEastAsia" w:hAnsiTheme="minorEastAsia" w:eastAsiaTheme="minorEastAsia" w:cstheme="minorEastAsia"/>
          <w:b/>
          <w:sz w:val="24"/>
        </w:rPr>
        <w:t>响应文件含有采购人不能接受的附加条件的，交易无效。</w:t>
      </w:r>
    </w:p>
    <w:p w14:paraId="6D0885B0">
      <w:pPr>
        <w:snapToGrid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3、以上表格要求细分项目及报价，在“规格型号（或具体服务）”一栏中，货物类项目填写规格型号，服务类项目填写具体服务。</w:t>
      </w:r>
    </w:p>
    <w:p w14:paraId="45D5015E">
      <w:pPr>
        <w:snapToGrid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4、特别提示：采购机构将对项目名称和项目编号，成交供应商名称、地址和成交金额，主要成交标的的名称、规格型号、数量、单价、服务要求等予以公示。</w:t>
      </w:r>
    </w:p>
    <w:p w14:paraId="5454430F">
      <w:pPr>
        <w:spacing w:line="360" w:lineRule="auto"/>
        <w:ind w:firstLine="482" w:firstLineChars="200"/>
        <w:rPr>
          <w:rFonts w:hint="eastAsia" w:asciiTheme="minorEastAsia" w:hAnsiTheme="minorEastAsia" w:eastAsiaTheme="minorEastAsia" w:cstheme="minorEastAsia"/>
          <w:b/>
          <w:kern w:val="0"/>
          <w:sz w:val="24"/>
        </w:rPr>
      </w:pPr>
    </w:p>
    <w:p w14:paraId="275FB73B">
      <w:pPr>
        <w:pStyle w:val="35"/>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pPr>
    </w:p>
    <w:p w14:paraId="4044D33C">
      <w:pPr>
        <w:pStyle w:val="35"/>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35CCF228">
      <w:pPr>
        <w:pStyle w:val="2"/>
        <w:keepNext w:val="0"/>
        <w:keepLines w:val="0"/>
        <w:pageBreakBefore/>
        <w:widowControl/>
        <w:spacing w:before="100" w:beforeAutospacing="1" w:after="100" w:afterAutospacing="1" w:line="360" w:lineRule="auto"/>
        <w:ind w:left="26" w:hanging="27" w:hangingChars="6"/>
        <w:jc w:val="left"/>
        <w:rPr>
          <w:rFonts w:hint="eastAsia" w:asciiTheme="minorEastAsia" w:hAnsiTheme="minorEastAsia" w:eastAsiaTheme="minorEastAsia" w:cstheme="minorEastAsia"/>
          <w:sz w:val="24"/>
        </w:rPr>
      </w:pPr>
      <w:bookmarkStart w:id="545" w:name="_Toc465665161"/>
      <w:r>
        <w:rPr>
          <w:rFonts w:hint="eastAsia" w:asciiTheme="minorEastAsia" w:hAnsiTheme="minorEastAsia" w:eastAsiaTheme="minorEastAsia" w:cstheme="minorEastAsia"/>
        </w:rPr>
        <w:t>附件</w:t>
      </w:r>
      <w:bookmarkEnd w:id="545"/>
    </w:p>
    <w:p w14:paraId="7A6251A7">
      <w:pPr>
        <w:pStyle w:val="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val="en-US"/>
        </w:rPr>
        <w:t>1：</w:t>
      </w:r>
      <w:r>
        <w:rPr>
          <w:rFonts w:hint="eastAsia" w:asciiTheme="minorEastAsia" w:hAnsiTheme="minorEastAsia" w:eastAsiaTheme="minorEastAsia" w:cstheme="minorEastAsia"/>
        </w:rPr>
        <w:t>样品（演示）授权委托书</w:t>
      </w:r>
    </w:p>
    <w:p w14:paraId="68E0038E">
      <w:pPr>
        <w:jc w:val="center"/>
        <w:rPr>
          <w:rFonts w:hint="eastAsia" w:asciiTheme="minorEastAsia" w:hAnsiTheme="minorEastAsia" w:eastAsiaTheme="minorEastAsia" w:cstheme="minorEastAsia"/>
          <w:sz w:val="40"/>
        </w:rPr>
      </w:pPr>
      <w:r>
        <w:rPr>
          <w:rFonts w:hint="eastAsia" w:asciiTheme="minorEastAsia" w:hAnsiTheme="minorEastAsia" w:eastAsiaTheme="minorEastAsia" w:cstheme="minorEastAsia"/>
          <w:sz w:val="40"/>
        </w:rPr>
        <w:t>样品（演示）授权委托书</w:t>
      </w:r>
    </w:p>
    <w:p w14:paraId="544F02C2">
      <w:pPr>
        <w:jc w:val="center"/>
        <w:rPr>
          <w:rFonts w:hint="eastAsia" w:asciiTheme="minorEastAsia" w:hAnsiTheme="minorEastAsia" w:eastAsiaTheme="minorEastAsia" w:cstheme="minorEastAsia"/>
          <w:sz w:val="40"/>
        </w:rPr>
      </w:pPr>
    </w:p>
    <w:p w14:paraId="27DF49D7">
      <w:pPr>
        <w:snapToGri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XXX（单位名称或采购机构名称）</w:t>
      </w:r>
      <w:r>
        <w:rPr>
          <w:rFonts w:hint="eastAsia" w:asciiTheme="minorEastAsia" w:hAnsiTheme="minorEastAsia" w:eastAsiaTheme="minorEastAsia" w:cstheme="minorEastAsia"/>
          <w:color w:val="000000"/>
          <w:sz w:val="24"/>
          <w:lang w:val="zh-CN"/>
        </w:rPr>
        <w:t>：</w:t>
      </w:r>
    </w:p>
    <w:p w14:paraId="3B3EBD20">
      <w:pPr>
        <w:snapToGrid w:val="0"/>
        <w:spacing w:line="360" w:lineRule="auto"/>
        <w:ind w:left="254" w:leftChars="121" w:firstLine="480" w:firstLineChars="200"/>
        <w:rPr>
          <w:rFonts w:hint="eastAsia" w:asciiTheme="minorEastAsia" w:hAnsiTheme="minorEastAsia" w:eastAsiaTheme="minorEastAsia" w:cstheme="minorEastAsia"/>
          <w:color w:val="000000"/>
          <w:sz w:val="24"/>
          <w:u w:val="single"/>
          <w:lang w:val="zh-CN"/>
        </w:rPr>
      </w:pPr>
      <w:r>
        <w:rPr>
          <w:rFonts w:hint="eastAsia" w:asciiTheme="minorEastAsia" w:hAnsiTheme="minorEastAsia" w:eastAsiaTheme="minorEastAsia" w:cstheme="minorEastAsia"/>
          <w:color w:val="000000"/>
          <w:sz w:val="24"/>
          <w:lang w:val="zh-CN"/>
        </w:rPr>
        <w:t>兹委派</w:t>
      </w:r>
      <w:r>
        <w:rPr>
          <w:rFonts w:hint="eastAsia" w:asciiTheme="minorEastAsia" w:hAnsiTheme="minorEastAsia" w:eastAsiaTheme="minorEastAsia" w:cstheme="minorEastAsia"/>
          <w:color w:val="000000"/>
          <w:sz w:val="24"/>
          <w:u w:val="single"/>
          <w:lang w:val="zh-CN"/>
        </w:rPr>
        <w:t xml:space="preserve">                </w:t>
      </w:r>
      <w:r>
        <w:rPr>
          <w:rFonts w:hint="eastAsia" w:asciiTheme="minorEastAsia" w:hAnsiTheme="minorEastAsia" w:eastAsiaTheme="minorEastAsia" w:cstheme="minorEastAsia"/>
          <w:color w:val="000000"/>
          <w:sz w:val="24"/>
          <w:lang w:val="zh-CN"/>
        </w:rPr>
        <w:t>先生/女士，身份证号：</w:t>
      </w:r>
      <w:r>
        <w:rPr>
          <w:rFonts w:hint="eastAsia" w:asciiTheme="minorEastAsia" w:hAnsiTheme="minorEastAsia" w:eastAsiaTheme="minorEastAsia" w:cstheme="minorEastAsia"/>
          <w:color w:val="000000"/>
          <w:sz w:val="24"/>
          <w:u w:val="single"/>
          <w:lang w:val="zh-CN"/>
        </w:rPr>
        <w:t xml:space="preserve">                   </w:t>
      </w:r>
    </w:p>
    <w:p w14:paraId="2A8F378A">
      <w:pPr>
        <w:snapToGrid w:val="0"/>
        <w:spacing w:line="360" w:lineRule="auto"/>
        <w:ind w:left="254" w:leftChars="121"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zh-CN"/>
        </w:rPr>
        <w:t>手机：</w:t>
      </w:r>
      <w:r>
        <w:rPr>
          <w:rFonts w:hint="eastAsia" w:asciiTheme="minorEastAsia" w:hAnsiTheme="minorEastAsia" w:eastAsiaTheme="minorEastAsia" w:cstheme="minorEastAsia"/>
          <w:color w:val="000000"/>
          <w:sz w:val="24"/>
          <w:u w:val="single"/>
          <w:lang w:val="zh-CN"/>
        </w:rPr>
        <w:t xml:space="preserve">             </w:t>
      </w:r>
      <w:r>
        <w:rPr>
          <w:rFonts w:hint="eastAsia" w:asciiTheme="minorEastAsia" w:hAnsiTheme="minorEastAsia" w:eastAsiaTheme="minorEastAsia" w:cstheme="minorEastAsia"/>
          <w:color w:val="000000"/>
          <w:sz w:val="24"/>
          <w:lang w:val="zh-CN"/>
        </w:rPr>
        <w:t>，代表我公司前来递交</w:t>
      </w:r>
      <w:r>
        <w:rPr>
          <w:rFonts w:hint="eastAsia" w:asciiTheme="minorEastAsia" w:hAnsiTheme="minorEastAsia" w:eastAsiaTheme="minorEastAsia" w:cstheme="minorEastAsia"/>
          <w:color w:val="000000"/>
          <w:sz w:val="24"/>
          <w:u w:val="single"/>
          <w:lang w:val="zh-CN"/>
        </w:rPr>
        <w:t xml:space="preserve">                           采购项目</w:t>
      </w:r>
      <w:r>
        <w:rPr>
          <w:rFonts w:hint="eastAsia" w:asciiTheme="minorEastAsia" w:hAnsiTheme="minorEastAsia" w:eastAsiaTheme="minorEastAsia" w:cstheme="minorEastAsia"/>
          <w:color w:val="000000"/>
          <w:sz w:val="24"/>
          <w:lang w:val="zh-CN"/>
        </w:rPr>
        <w:t>【项目编号：              】（标项号：  ）</w:t>
      </w:r>
      <w:r>
        <w:rPr>
          <w:rFonts w:hint="eastAsia" w:asciiTheme="minorEastAsia" w:hAnsiTheme="minorEastAsia" w:eastAsiaTheme="minorEastAsia" w:cstheme="minorEastAsia"/>
          <w:sz w:val="24"/>
          <w:lang w:val="zh-CN"/>
        </w:rPr>
        <w:t>投标样品或参加演示，</w:t>
      </w:r>
      <w:r>
        <w:rPr>
          <w:rFonts w:hint="eastAsia" w:asciiTheme="minorEastAsia" w:hAnsiTheme="minorEastAsia" w:eastAsiaTheme="minorEastAsia" w:cstheme="minorEastAsia"/>
          <w:color w:val="000000"/>
          <w:sz w:val="24"/>
          <w:lang w:val="zh-CN"/>
        </w:rPr>
        <w:t>并全权负责标后取回样品等其他处理事宜。</w:t>
      </w:r>
    </w:p>
    <w:p w14:paraId="27CEE251">
      <w:pPr>
        <w:snapToGrid w:val="0"/>
        <w:spacing w:line="360" w:lineRule="auto"/>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 xml:space="preserve">  </w:t>
      </w:r>
    </w:p>
    <w:p w14:paraId="4BAD0ABD">
      <w:pPr>
        <w:snapToGri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zh-CN"/>
        </w:rPr>
        <w:t xml:space="preserve">    特此告知。</w:t>
      </w:r>
    </w:p>
    <w:p w14:paraId="3F530097">
      <w:pPr>
        <w:snapToGri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zh-CN"/>
        </w:rPr>
        <w:t xml:space="preserve">                                                  供应商名称(公章)：</w:t>
      </w:r>
    </w:p>
    <w:p w14:paraId="59DDE5EC">
      <w:pPr>
        <w:snapToGri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zh-CN"/>
        </w:rPr>
        <w:t xml:space="preserve">                                                  </w:t>
      </w:r>
    </w:p>
    <w:p w14:paraId="503F8B32">
      <w:pPr>
        <w:snapToGrid w:val="0"/>
        <w:spacing w:line="360" w:lineRule="auto"/>
        <w:ind w:right="240"/>
        <w:jc w:val="right"/>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签发日期：  年  月   日</w:t>
      </w:r>
    </w:p>
    <w:p w14:paraId="260E8C2B">
      <w:pPr>
        <w:snapToGrid w:val="0"/>
        <w:spacing w:line="360" w:lineRule="auto"/>
        <w:ind w:right="240"/>
        <w:jc w:val="right"/>
        <w:rPr>
          <w:rFonts w:hint="eastAsia" w:asciiTheme="minorEastAsia" w:hAnsiTheme="minorEastAsia" w:eastAsiaTheme="minorEastAsia" w:cstheme="minorEastAsia"/>
          <w:color w:val="000000"/>
          <w:sz w:val="24"/>
          <w:lang w:val="zh-CN"/>
        </w:rPr>
      </w:pPr>
    </w:p>
    <w:p w14:paraId="64FF1CF6">
      <w:pPr>
        <w:snapToGrid w:val="0"/>
        <w:spacing w:line="360" w:lineRule="auto"/>
        <w:ind w:right="1920"/>
        <w:rPr>
          <w:rFonts w:hint="eastAsia" w:asciiTheme="minorEastAsia" w:hAnsiTheme="minorEastAsia" w:eastAsiaTheme="minorEastAsia" w:cstheme="minorEastAsia"/>
          <w:color w:val="000000"/>
          <w:sz w:val="24"/>
          <w:lang w:val="zh-CN"/>
        </w:rPr>
      </w:pPr>
    </w:p>
    <w:p w14:paraId="761631C8">
      <w:pPr>
        <w:snapToGrid w:val="0"/>
        <w:spacing w:line="360" w:lineRule="auto"/>
        <w:ind w:right="240"/>
        <w:jc w:val="right"/>
        <w:rPr>
          <w:rFonts w:hint="eastAsia" w:asciiTheme="minorEastAsia" w:hAnsiTheme="minorEastAsia" w:eastAsiaTheme="minorEastAsia" w:cstheme="minorEastAsia"/>
          <w:color w:val="000000"/>
          <w:sz w:val="24"/>
          <w:lang w:val="zh-CN"/>
        </w:rPr>
      </w:pPr>
    </w:p>
    <w:p w14:paraId="794B119A">
      <w:pPr>
        <w:snapToGrid w:val="0"/>
        <w:spacing w:line="360" w:lineRule="auto"/>
        <w:ind w:right="240"/>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rPr>
        <w:t>受委托人</w:t>
      </w:r>
      <w:r>
        <w:rPr>
          <w:rFonts w:hint="eastAsia" w:asciiTheme="minorEastAsia" w:hAnsiTheme="minorEastAsia" w:eastAsiaTheme="minorEastAsia" w:cstheme="minorEastAsia"/>
          <w:color w:val="000000"/>
          <w:sz w:val="24"/>
          <w:lang w:val="zh-CN"/>
        </w:rPr>
        <w:t>身份证复印件：</w:t>
      </w:r>
    </w:p>
    <w:p w14:paraId="31D4F24E">
      <w:pPr>
        <w:snapToGrid w:val="0"/>
        <w:spacing w:line="360" w:lineRule="auto"/>
        <w:ind w:right="240"/>
        <w:rPr>
          <w:rFonts w:hint="eastAsia" w:asciiTheme="minorEastAsia" w:hAnsiTheme="minorEastAsia" w:eastAsiaTheme="minorEastAsia" w:cstheme="minorEastAsia"/>
          <w:color w:val="000000"/>
          <w:sz w:val="24"/>
          <w:lang w:val="zh-CN"/>
        </w:rPr>
      </w:pPr>
    </w:p>
    <w:p w14:paraId="6F1F7387">
      <w:pPr>
        <w:snapToGrid w:val="0"/>
        <w:spacing w:line="360" w:lineRule="auto"/>
        <w:ind w:right="240"/>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说明：本委托书在有样品或演示时由受委托人携带至指定地点。</w:t>
      </w:r>
    </w:p>
    <w:p w14:paraId="3B8E0678">
      <w:pPr>
        <w:spacing w:line="360" w:lineRule="auto"/>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同时有样品和演示的，可委托不同人员。</w:t>
      </w:r>
    </w:p>
    <w:p w14:paraId="24928198">
      <w:pPr>
        <w:spacing w:line="360" w:lineRule="auto"/>
        <w:jc w:val="left"/>
        <w:rPr>
          <w:rFonts w:hint="eastAsia" w:asciiTheme="minorEastAsia" w:hAnsiTheme="minorEastAsia" w:eastAsiaTheme="minorEastAsia" w:cstheme="minorEastAsia"/>
          <w:b/>
          <w:spacing w:val="6"/>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6BD34888">
      <w:pPr>
        <w:spacing w:line="360" w:lineRule="auto"/>
        <w:jc w:val="left"/>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附件2：质疑函范本及制作说明</w:t>
      </w:r>
    </w:p>
    <w:p w14:paraId="0983B197">
      <w:pPr>
        <w:spacing w:line="360" w:lineRule="auto"/>
        <w:jc w:val="cente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质疑函范本</w:t>
      </w:r>
    </w:p>
    <w:p w14:paraId="39AB79E5">
      <w:pPr>
        <w:snapToGrid w:val="0"/>
        <w:spacing w:before="240" w:beforeLines="100"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一、质疑供应商基本信息</w:t>
      </w:r>
    </w:p>
    <w:p w14:paraId="43D6C8C9">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质疑供应商：</w:t>
      </w:r>
      <w:r>
        <w:rPr>
          <w:rFonts w:hint="eastAsia" w:asciiTheme="minorEastAsia" w:hAnsiTheme="minorEastAsia" w:eastAsiaTheme="minorEastAsia" w:cstheme="minorEastAsia"/>
          <w:sz w:val="24"/>
          <w:u w:val="dotted"/>
        </w:rPr>
        <w:t xml:space="preserve">                                        </w:t>
      </w:r>
    </w:p>
    <w:p w14:paraId="0D4291A4">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p>
    <w:p w14:paraId="2190A55A">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45742DBD">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授权代表：</w:t>
      </w:r>
      <w:r>
        <w:rPr>
          <w:rFonts w:hint="eastAsia" w:asciiTheme="minorEastAsia" w:hAnsiTheme="minorEastAsia" w:eastAsiaTheme="minorEastAsia" w:cstheme="minorEastAsia"/>
          <w:sz w:val="24"/>
          <w:u w:val="dotted"/>
        </w:rPr>
        <w:t xml:space="preserve">                                          </w:t>
      </w:r>
    </w:p>
    <w:p w14:paraId="186BD735">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7CF69B1F">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地址： </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p>
    <w:p w14:paraId="77EF1493">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二、质疑项目基本情况</w:t>
      </w:r>
    </w:p>
    <w:p w14:paraId="02A402AD">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质疑项目的名称：</w:t>
      </w:r>
      <w:r>
        <w:rPr>
          <w:rFonts w:hint="eastAsia" w:asciiTheme="minorEastAsia" w:hAnsiTheme="minorEastAsia" w:eastAsiaTheme="minorEastAsia" w:cstheme="minorEastAsia"/>
          <w:sz w:val="24"/>
          <w:u w:val="dotted"/>
        </w:rPr>
        <w:t xml:space="preserve">                                      </w:t>
      </w:r>
    </w:p>
    <w:p w14:paraId="4D93A336">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质疑项目的编号：</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包号：</w:t>
      </w:r>
      <w:r>
        <w:rPr>
          <w:rFonts w:hint="eastAsia" w:asciiTheme="minorEastAsia" w:hAnsiTheme="minorEastAsia" w:eastAsiaTheme="minorEastAsia" w:cstheme="minorEastAsia"/>
          <w:sz w:val="24"/>
          <w:u w:val="dotted"/>
        </w:rPr>
        <w:t xml:space="preserve">                 </w:t>
      </w:r>
    </w:p>
    <w:p w14:paraId="25A1C2A6">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采购人名称：</w:t>
      </w:r>
      <w:r>
        <w:rPr>
          <w:rFonts w:hint="eastAsia" w:asciiTheme="minorEastAsia" w:hAnsiTheme="minorEastAsia" w:eastAsiaTheme="minorEastAsia" w:cstheme="minorEastAsia"/>
          <w:sz w:val="24"/>
          <w:u w:val="dotted"/>
        </w:rPr>
        <w:t xml:space="preserve">                                         </w:t>
      </w:r>
    </w:p>
    <w:p w14:paraId="5F15EC17">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采购文件获取日期：</w:t>
      </w:r>
      <w:r>
        <w:rPr>
          <w:rFonts w:hint="eastAsia" w:asciiTheme="minorEastAsia" w:hAnsiTheme="minorEastAsia" w:eastAsiaTheme="minorEastAsia" w:cstheme="minorEastAsia"/>
          <w:sz w:val="24"/>
          <w:u w:val="dotted"/>
        </w:rPr>
        <w:t xml:space="preserve">                                           </w:t>
      </w:r>
    </w:p>
    <w:p w14:paraId="4016F496">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三、质疑事项具体内容</w:t>
      </w:r>
    </w:p>
    <w:p w14:paraId="5EDF2019">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质疑事项1：</w:t>
      </w:r>
      <w:r>
        <w:rPr>
          <w:rFonts w:hint="eastAsia" w:asciiTheme="minorEastAsia" w:hAnsiTheme="minorEastAsia" w:eastAsiaTheme="minorEastAsia" w:cstheme="minorEastAsia"/>
          <w:sz w:val="24"/>
          <w:u w:val="dotted"/>
        </w:rPr>
        <w:t xml:space="preserve">                                         </w:t>
      </w:r>
    </w:p>
    <w:p w14:paraId="347E60C9">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事实依据：</w:t>
      </w:r>
      <w:r>
        <w:rPr>
          <w:rFonts w:hint="eastAsia" w:asciiTheme="minorEastAsia" w:hAnsiTheme="minorEastAsia" w:eastAsiaTheme="minorEastAsia" w:cstheme="minorEastAsia"/>
          <w:sz w:val="24"/>
          <w:u w:val="dotted"/>
        </w:rPr>
        <w:t xml:space="preserve">                                          </w:t>
      </w:r>
    </w:p>
    <w:p w14:paraId="15AB22CC">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dotted"/>
        </w:rPr>
        <w:t xml:space="preserve">                                                       </w:t>
      </w:r>
    </w:p>
    <w:p w14:paraId="7FD5D9B5">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法律依据：</w:t>
      </w:r>
      <w:r>
        <w:rPr>
          <w:rFonts w:hint="eastAsia" w:asciiTheme="minorEastAsia" w:hAnsiTheme="minorEastAsia" w:eastAsiaTheme="minorEastAsia" w:cstheme="minorEastAsia"/>
          <w:sz w:val="24"/>
          <w:u w:val="dotted"/>
        </w:rPr>
        <w:t xml:space="preserve">                                          </w:t>
      </w:r>
    </w:p>
    <w:p w14:paraId="276747EE">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2F01241E">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质疑事项2</w:t>
      </w:r>
    </w:p>
    <w:p w14:paraId="6C69491E">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14:paraId="66E42D5E">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四、与质疑事项相关的质疑请求</w:t>
      </w:r>
    </w:p>
    <w:p w14:paraId="2B90E678">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请求：</w:t>
      </w:r>
      <w:r>
        <w:rPr>
          <w:rFonts w:hint="eastAsia" w:asciiTheme="minorEastAsia" w:hAnsiTheme="minorEastAsia" w:eastAsiaTheme="minorEastAsia" w:cstheme="minorEastAsia"/>
          <w:sz w:val="24"/>
          <w:u w:val="dotted"/>
        </w:rPr>
        <w:t xml:space="preserve">                                               </w:t>
      </w:r>
    </w:p>
    <w:p w14:paraId="04F1CE3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签字(签章)：                   公章：                      </w:t>
      </w:r>
    </w:p>
    <w:p w14:paraId="7A3CF132">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日期：    </w:t>
      </w:r>
    </w:p>
    <w:p w14:paraId="1FB92CDE">
      <w:pPr>
        <w:spacing w:line="360" w:lineRule="auto"/>
        <w:jc w:val="center"/>
        <w:rPr>
          <w:rFonts w:hint="eastAsia" w:asciiTheme="minorEastAsia" w:hAnsiTheme="minorEastAsia" w:eastAsiaTheme="minorEastAsia" w:cstheme="minorEastAsia"/>
          <w:b/>
          <w:bCs/>
          <w:sz w:val="24"/>
        </w:rPr>
      </w:pPr>
    </w:p>
    <w:p w14:paraId="302F4427">
      <w:pPr>
        <w:spacing w:line="360" w:lineRule="auto"/>
        <w:rPr>
          <w:rFonts w:hint="eastAsia" w:asciiTheme="minorEastAsia" w:hAnsiTheme="minorEastAsia" w:eastAsiaTheme="minorEastAsia" w:cstheme="minorEastAsia"/>
          <w:b/>
          <w:sz w:val="24"/>
        </w:rPr>
      </w:pPr>
    </w:p>
    <w:p w14:paraId="4D25F589">
      <w:pPr>
        <w:spacing w:line="360" w:lineRule="auto"/>
        <w:rPr>
          <w:rFonts w:hint="eastAsia" w:asciiTheme="minorEastAsia" w:hAnsiTheme="minorEastAsia" w:eastAsiaTheme="minorEastAsia" w:cstheme="minorEastAsia"/>
          <w:b/>
          <w:sz w:val="24"/>
        </w:rPr>
      </w:pPr>
    </w:p>
    <w:p w14:paraId="2D125D6F">
      <w:pPr>
        <w:spacing w:line="360" w:lineRule="auto"/>
        <w:rPr>
          <w:rFonts w:hint="eastAsia" w:asciiTheme="minorEastAsia" w:hAnsiTheme="minorEastAsia" w:eastAsiaTheme="minorEastAsia" w:cstheme="minorEastAsia"/>
          <w:b/>
          <w:sz w:val="24"/>
        </w:rPr>
      </w:pPr>
    </w:p>
    <w:p w14:paraId="49D0654D">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质疑函制作说明：</w:t>
      </w:r>
    </w:p>
    <w:p w14:paraId="00DE6BCA">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1.供应商提出质疑时，应提交质疑函和必要的证明材料。</w:t>
      </w:r>
    </w:p>
    <w:p w14:paraId="3FE35FBE">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2.质疑供应商若委托代理人进行质疑的，质疑函应按要求列明“授权代表”的有关内容，并在附件中提交由质疑</w:t>
      </w:r>
      <w:r>
        <w:rPr>
          <w:rFonts w:hint="eastAsia" w:asciiTheme="minorEastAsia" w:hAnsiTheme="minorEastAsia" w:eastAsiaTheme="minorEastAsia" w:cstheme="minorEastAsia"/>
          <w:kern w:val="0"/>
          <w:sz w:val="24"/>
        </w:rPr>
        <w:t>供应商签署的授权委托书。授权委托书应载明代理人的姓名或者名称、代理事项、具体权限、期限和相关事项。</w:t>
      </w:r>
    </w:p>
    <w:p w14:paraId="0B293C16">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3.质疑供应商若对项目的某一分包进行质疑，质疑函中应列明具体分包号。</w:t>
      </w:r>
    </w:p>
    <w:p w14:paraId="37DFC75E">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4.质疑函的质疑事项应具体、明确，并有必要的事实依据和法律依据。</w:t>
      </w:r>
    </w:p>
    <w:p w14:paraId="5DCA2E7C">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5.质疑函的质疑请求应与质疑事项相关。</w:t>
      </w:r>
    </w:p>
    <w:p w14:paraId="2E1FB10E">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6.质疑供应商为自然人的，质疑函应由本人签字；质疑供应商为法人或者其他组织的，质疑函应由法定代表人、主要负责人，或者其授权代表签字或者盖章，并加盖公章。</w:t>
      </w:r>
    </w:p>
    <w:p w14:paraId="1B37DE6A">
      <w:pPr>
        <w:widowControl/>
        <w:spacing w:line="360" w:lineRule="auto"/>
        <w:ind w:firstLine="600" w:firstLineChars="200"/>
        <w:jc w:val="left"/>
        <w:rPr>
          <w:rFonts w:hint="eastAsia" w:asciiTheme="minorEastAsia" w:hAnsiTheme="minorEastAsia" w:eastAsiaTheme="minorEastAsia" w:cstheme="minorEastAsia"/>
          <w:sz w:val="30"/>
          <w:szCs w:val="30"/>
        </w:rPr>
      </w:pPr>
    </w:p>
    <w:p w14:paraId="512BC525">
      <w:pPr>
        <w:spacing w:line="360" w:lineRule="auto"/>
        <w:jc w:val="center"/>
        <w:rPr>
          <w:rFonts w:hint="eastAsia" w:asciiTheme="minorEastAsia" w:hAnsiTheme="minorEastAsia" w:eastAsiaTheme="minorEastAsia" w:cstheme="minorEastAsia"/>
          <w:b/>
          <w:spacing w:val="6"/>
          <w:sz w:val="32"/>
          <w:szCs w:val="32"/>
        </w:rPr>
      </w:pPr>
    </w:p>
    <w:p w14:paraId="3CDB773C">
      <w:pPr>
        <w:spacing w:line="360" w:lineRule="auto"/>
        <w:jc w:val="center"/>
        <w:rPr>
          <w:rFonts w:hint="eastAsia" w:asciiTheme="minorEastAsia" w:hAnsiTheme="minorEastAsia" w:eastAsiaTheme="minorEastAsia" w:cstheme="minorEastAsia"/>
          <w:b/>
          <w:spacing w:val="6"/>
          <w:sz w:val="32"/>
          <w:szCs w:val="32"/>
        </w:rPr>
      </w:pPr>
    </w:p>
    <w:p w14:paraId="0414CD20">
      <w:pPr>
        <w:spacing w:line="360" w:lineRule="auto"/>
        <w:jc w:val="center"/>
        <w:rPr>
          <w:rFonts w:hint="eastAsia" w:asciiTheme="minorEastAsia" w:hAnsiTheme="minorEastAsia" w:eastAsiaTheme="minorEastAsia" w:cstheme="minorEastAsia"/>
          <w:b/>
          <w:spacing w:val="6"/>
          <w:sz w:val="32"/>
          <w:szCs w:val="32"/>
        </w:rPr>
      </w:pPr>
    </w:p>
    <w:p w14:paraId="155736BB">
      <w:pPr>
        <w:spacing w:line="360" w:lineRule="auto"/>
        <w:jc w:val="center"/>
        <w:rPr>
          <w:rFonts w:hint="eastAsia" w:asciiTheme="minorEastAsia" w:hAnsiTheme="minorEastAsia" w:eastAsiaTheme="minorEastAsia" w:cstheme="minorEastAsia"/>
          <w:b/>
          <w:spacing w:val="6"/>
          <w:sz w:val="32"/>
          <w:szCs w:val="32"/>
        </w:rPr>
      </w:pPr>
    </w:p>
    <w:p w14:paraId="2B479B76">
      <w:pPr>
        <w:spacing w:line="360" w:lineRule="auto"/>
        <w:jc w:val="center"/>
        <w:rPr>
          <w:rFonts w:hint="eastAsia" w:asciiTheme="minorEastAsia" w:hAnsiTheme="minorEastAsia" w:eastAsiaTheme="minorEastAsia" w:cstheme="minorEastAsia"/>
          <w:b/>
          <w:spacing w:val="6"/>
          <w:sz w:val="32"/>
          <w:szCs w:val="32"/>
        </w:rPr>
      </w:pPr>
    </w:p>
    <w:p w14:paraId="25E4CEFD">
      <w:pPr>
        <w:spacing w:line="360" w:lineRule="auto"/>
        <w:jc w:val="center"/>
        <w:rPr>
          <w:rFonts w:hint="eastAsia" w:asciiTheme="minorEastAsia" w:hAnsiTheme="minorEastAsia" w:eastAsiaTheme="minorEastAsia" w:cstheme="minorEastAsia"/>
          <w:b/>
          <w:spacing w:val="6"/>
          <w:sz w:val="32"/>
          <w:szCs w:val="32"/>
        </w:rPr>
      </w:pPr>
    </w:p>
    <w:p w14:paraId="3D686D5C">
      <w:pPr>
        <w:spacing w:line="360" w:lineRule="auto"/>
        <w:jc w:val="center"/>
        <w:rPr>
          <w:rFonts w:hint="eastAsia" w:asciiTheme="minorEastAsia" w:hAnsiTheme="minorEastAsia" w:eastAsiaTheme="minorEastAsia" w:cstheme="minorEastAsia"/>
          <w:b/>
          <w:spacing w:val="6"/>
          <w:sz w:val="32"/>
          <w:szCs w:val="32"/>
        </w:rPr>
      </w:pPr>
    </w:p>
    <w:p w14:paraId="0507437C">
      <w:pPr>
        <w:spacing w:line="360" w:lineRule="auto"/>
        <w:jc w:val="center"/>
        <w:rPr>
          <w:rFonts w:hint="eastAsia" w:asciiTheme="minorEastAsia" w:hAnsiTheme="minorEastAsia" w:eastAsiaTheme="minorEastAsia" w:cstheme="minorEastAsia"/>
          <w:b/>
          <w:spacing w:val="6"/>
          <w:sz w:val="32"/>
          <w:szCs w:val="32"/>
        </w:rPr>
      </w:pPr>
    </w:p>
    <w:p w14:paraId="0C0FD9F1">
      <w:pPr>
        <w:spacing w:line="360" w:lineRule="auto"/>
        <w:jc w:val="center"/>
        <w:rPr>
          <w:rFonts w:hint="eastAsia" w:asciiTheme="minorEastAsia" w:hAnsiTheme="minorEastAsia" w:eastAsiaTheme="minorEastAsia" w:cstheme="minorEastAsia"/>
          <w:b/>
          <w:spacing w:val="6"/>
          <w:sz w:val="32"/>
          <w:szCs w:val="32"/>
        </w:rPr>
      </w:pPr>
    </w:p>
    <w:p w14:paraId="00F28026">
      <w:pPr>
        <w:spacing w:line="360" w:lineRule="auto"/>
        <w:jc w:val="center"/>
        <w:rPr>
          <w:rFonts w:hint="eastAsia" w:asciiTheme="minorEastAsia" w:hAnsiTheme="minorEastAsia" w:eastAsiaTheme="minorEastAsia" w:cstheme="minorEastAsia"/>
          <w:b/>
          <w:spacing w:val="6"/>
          <w:sz w:val="32"/>
          <w:szCs w:val="32"/>
        </w:rPr>
      </w:pPr>
    </w:p>
    <w:p w14:paraId="05244F7B">
      <w:pPr>
        <w:spacing w:line="360" w:lineRule="auto"/>
        <w:jc w:val="center"/>
        <w:rPr>
          <w:rFonts w:hint="eastAsia" w:asciiTheme="minorEastAsia" w:hAnsiTheme="minorEastAsia" w:eastAsiaTheme="minorEastAsia" w:cstheme="minorEastAsia"/>
          <w:b/>
          <w:spacing w:val="6"/>
          <w:sz w:val="32"/>
          <w:szCs w:val="32"/>
        </w:rPr>
      </w:pPr>
    </w:p>
    <w:p w14:paraId="7B2F1C21">
      <w:pP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br w:type="page"/>
      </w:r>
    </w:p>
    <w:p w14:paraId="18680D7D">
      <w:pPr>
        <w:spacing w:line="360" w:lineRule="auto"/>
        <w:jc w:val="left"/>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附件3：投诉书范本及制作说明</w:t>
      </w:r>
    </w:p>
    <w:p w14:paraId="2A698506">
      <w:pPr>
        <w:spacing w:line="360" w:lineRule="auto"/>
        <w:jc w:val="center"/>
        <w:rPr>
          <w:rFonts w:hint="eastAsia" w:asciiTheme="minorEastAsia" w:hAnsiTheme="minorEastAsia" w:eastAsiaTheme="minorEastAsia" w:cstheme="minorEastAsia"/>
          <w:b/>
          <w:sz w:val="24"/>
        </w:rPr>
      </w:pPr>
    </w:p>
    <w:p w14:paraId="2F9FA3BE">
      <w:pPr>
        <w:spacing w:line="360" w:lineRule="auto"/>
        <w:jc w:val="cente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投诉书范本</w:t>
      </w:r>
    </w:p>
    <w:p w14:paraId="50AD416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一、投诉相关主体基本情况</w:t>
      </w:r>
    </w:p>
    <w:p w14:paraId="475CEB57">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投诉人：</w:t>
      </w:r>
      <w:r>
        <w:rPr>
          <w:rFonts w:hint="eastAsia" w:asciiTheme="minorEastAsia" w:hAnsiTheme="minorEastAsia" w:eastAsiaTheme="minorEastAsia" w:cstheme="minorEastAsia"/>
          <w:sz w:val="24"/>
          <w:u w:val="dotted"/>
        </w:rPr>
        <w:t xml:space="preserve">                                               </w:t>
      </w:r>
    </w:p>
    <w:p w14:paraId="0FB45CA0">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3A9027D9">
      <w:pPr>
        <w:tabs>
          <w:tab w:val="left" w:pos="6510"/>
        </w:tabs>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法定代表人/主要负责人：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6628245C">
      <w:pPr>
        <w:tabs>
          <w:tab w:val="left" w:pos="6510"/>
        </w:tabs>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26F1FA2E">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授权代表：</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271C6C2D">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dotted"/>
        </w:rPr>
        <w:t xml:space="preserve">                   </w:t>
      </w:r>
    </w:p>
    <w:p w14:paraId="7B47E281">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被投诉人1：</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71B9BC19">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3806F747">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72B36101">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被投诉人2</w:t>
      </w:r>
    </w:p>
    <w:p w14:paraId="28B3D665">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w:t>
      </w:r>
    </w:p>
    <w:p w14:paraId="43D7A510">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相关供应商：</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5D632959">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56773B15">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721CED9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二、投诉项目基本情况</w:t>
      </w:r>
    </w:p>
    <w:p w14:paraId="484D1A44">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采购项目名称：</w:t>
      </w:r>
      <w:r>
        <w:rPr>
          <w:rFonts w:hint="eastAsia" w:asciiTheme="minorEastAsia" w:hAnsiTheme="minorEastAsia" w:eastAsiaTheme="minorEastAsia" w:cstheme="minorEastAsia"/>
          <w:sz w:val="24"/>
          <w:u w:val="dotted"/>
        </w:rPr>
        <w:t xml:space="preserve">                                        </w:t>
      </w:r>
    </w:p>
    <w:p w14:paraId="40CF55A9">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采购项目编号：</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包号：</w:t>
      </w:r>
      <w:r>
        <w:rPr>
          <w:rFonts w:hint="eastAsia" w:asciiTheme="minorEastAsia" w:hAnsiTheme="minorEastAsia" w:eastAsiaTheme="minorEastAsia" w:cstheme="minorEastAsia"/>
          <w:sz w:val="24"/>
          <w:u w:val="dotted"/>
        </w:rPr>
        <w:t xml:space="preserve">              </w:t>
      </w:r>
    </w:p>
    <w:p w14:paraId="1BDCCCC3">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采购人名称：</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1BBAEE9C">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代理机构名称：</w:t>
      </w:r>
      <w:r>
        <w:rPr>
          <w:rFonts w:hint="eastAsia" w:asciiTheme="minorEastAsia" w:hAnsiTheme="minorEastAsia" w:eastAsiaTheme="minorEastAsia" w:cstheme="minorEastAsia"/>
          <w:sz w:val="24"/>
          <w:u w:val="dotted"/>
        </w:rPr>
        <w:t xml:space="preserve">                                         </w:t>
      </w:r>
    </w:p>
    <w:p w14:paraId="1A77E44F">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采购文件公告:</w:t>
      </w:r>
      <w:r>
        <w:rPr>
          <w:rFonts w:hint="eastAsia" w:asciiTheme="minorEastAsia" w:hAnsiTheme="minorEastAsia" w:eastAsiaTheme="minorEastAsia" w:cstheme="minorEastAsia"/>
          <w:sz w:val="24"/>
          <w:u w:val="dotted"/>
        </w:rPr>
        <w:t xml:space="preserve">是/否 </w:t>
      </w:r>
      <w:r>
        <w:rPr>
          <w:rFonts w:hint="eastAsia" w:asciiTheme="minorEastAsia" w:hAnsiTheme="minorEastAsia" w:eastAsiaTheme="minorEastAsia" w:cstheme="minorEastAsia"/>
          <w:sz w:val="24"/>
        </w:rPr>
        <w:t>公告期限：</w:t>
      </w:r>
      <w:r>
        <w:rPr>
          <w:rFonts w:hint="eastAsia" w:asciiTheme="minorEastAsia" w:hAnsiTheme="minorEastAsia" w:eastAsiaTheme="minorEastAsia" w:cstheme="minorEastAsia"/>
          <w:sz w:val="24"/>
          <w:u w:val="dotted"/>
        </w:rPr>
        <w:t xml:space="preserve">                                 </w:t>
      </w:r>
    </w:p>
    <w:p w14:paraId="03F5EEF1">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采购结果公告:</w:t>
      </w:r>
      <w:r>
        <w:rPr>
          <w:rFonts w:hint="eastAsia" w:asciiTheme="minorEastAsia" w:hAnsiTheme="minorEastAsia" w:eastAsiaTheme="minorEastAsia" w:cstheme="minorEastAsia"/>
          <w:sz w:val="24"/>
          <w:u w:val="dotted"/>
        </w:rPr>
        <w:t xml:space="preserve">是/否 </w:t>
      </w:r>
      <w:r>
        <w:rPr>
          <w:rFonts w:hint="eastAsia" w:asciiTheme="minorEastAsia" w:hAnsiTheme="minorEastAsia" w:eastAsiaTheme="minorEastAsia" w:cstheme="minorEastAsia"/>
          <w:sz w:val="24"/>
        </w:rPr>
        <w:t>公告期限：</w:t>
      </w:r>
      <w:r>
        <w:rPr>
          <w:rFonts w:hint="eastAsia" w:asciiTheme="minorEastAsia" w:hAnsiTheme="minorEastAsia" w:eastAsiaTheme="minorEastAsia" w:cstheme="minorEastAsia"/>
          <w:sz w:val="24"/>
          <w:u w:val="dotted"/>
        </w:rPr>
        <w:t xml:space="preserve">                        </w:t>
      </w:r>
    </w:p>
    <w:p w14:paraId="7912F002">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三、质疑基本情况</w:t>
      </w:r>
    </w:p>
    <w:p w14:paraId="30597D9D">
      <w:pPr>
        <w:spacing w:line="360" w:lineRule="auto"/>
        <w:ind w:firstLine="480" w:firstLineChars="200"/>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投诉人于</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日,向</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提出质疑，质疑事项为：</w:t>
      </w:r>
      <w:r>
        <w:rPr>
          <w:rFonts w:hint="eastAsia" w:asciiTheme="minorEastAsia" w:hAnsiTheme="minorEastAsia" w:eastAsiaTheme="minorEastAsia" w:cstheme="minorEastAsia"/>
          <w:sz w:val="24"/>
          <w:u w:val="dotted"/>
        </w:rPr>
        <w:t xml:space="preserve">                                </w:t>
      </w:r>
    </w:p>
    <w:p w14:paraId="712D35A6">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6B8514F4">
      <w:pPr>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dotted"/>
        </w:rPr>
        <w:t>采购人/代理机构</w:t>
      </w:r>
      <w:r>
        <w:rPr>
          <w:rFonts w:hint="eastAsia" w:asciiTheme="minorEastAsia" w:hAnsiTheme="minorEastAsia" w:eastAsiaTheme="minorEastAsia" w:cstheme="minorEastAsia"/>
          <w:sz w:val="24"/>
        </w:rPr>
        <w:t>于</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日,就质疑事项作出了答复/没有在法定期限内作出答复。</w:t>
      </w:r>
    </w:p>
    <w:p w14:paraId="67C64C7B">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四、投诉事项具体内容</w:t>
      </w:r>
    </w:p>
    <w:p w14:paraId="625F412A">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投诉事项 1：</w:t>
      </w:r>
      <w:r>
        <w:rPr>
          <w:rFonts w:hint="eastAsia" w:asciiTheme="minorEastAsia" w:hAnsiTheme="minorEastAsia" w:eastAsiaTheme="minorEastAsia" w:cstheme="minorEastAsia"/>
          <w:sz w:val="24"/>
          <w:u w:val="dotted"/>
        </w:rPr>
        <w:t xml:space="preserve">                                       </w:t>
      </w:r>
    </w:p>
    <w:p w14:paraId="35E213D4">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事实依据：</w:t>
      </w:r>
      <w:r>
        <w:rPr>
          <w:rFonts w:hint="eastAsia" w:asciiTheme="minorEastAsia" w:hAnsiTheme="minorEastAsia" w:eastAsiaTheme="minorEastAsia" w:cstheme="minorEastAsia"/>
          <w:sz w:val="24"/>
          <w:u w:val="dotted"/>
        </w:rPr>
        <w:t xml:space="preserve">                                         </w:t>
      </w:r>
    </w:p>
    <w:p w14:paraId="38E02268">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163704D1">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法律依据：</w:t>
      </w:r>
      <w:r>
        <w:rPr>
          <w:rFonts w:hint="eastAsia" w:asciiTheme="minorEastAsia" w:hAnsiTheme="minorEastAsia" w:eastAsiaTheme="minorEastAsia" w:cstheme="minorEastAsia"/>
          <w:sz w:val="24"/>
          <w:u w:val="dotted"/>
        </w:rPr>
        <w:t xml:space="preserve">                                          </w:t>
      </w:r>
    </w:p>
    <w:p w14:paraId="0A05D014">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47B3612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投诉事项2</w:t>
      </w:r>
    </w:p>
    <w:p w14:paraId="747C2065">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w:t>
      </w:r>
    </w:p>
    <w:p w14:paraId="271483CB">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五、与投诉事项相关的投诉请求</w:t>
      </w:r>
    </w:p>
    <w:p w14:paraId="57BB806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请求：</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5317B13C">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xml:space="preserve">                                                                                                    </w:t>
      </w:r>
    </w:p>
    <w:p w14:paraId="6BD6DB3F">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签字(签章)：                   公章：                      </w:t>
      </w:r>
    </w:p>
    <w:p w14:paraId="3874550D">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日期：    </w:t>
      </w:r>
    </w:p>
    <w:p w14:paraId="6E4F4398">
      <w:pPr>
        <w:spacing w:line="360" w:lineRule="auto"/>
        <w:rPr>
          <w:rFonts w:hint="eastAsia" w:asciiTheme="minorEastAsia" w:hAnsiTheme="minorEastAsia" w:eastAsiaTheme="minorEastAsia" w:cstheme="minorEastAsia"/>
          <w:b/>
          <w:sz w:val="24"/>
        </w:rPr>
      </w:pPr>
    </w:p>
    <w:p w14:paraId="5EBCA84D">
      <w:pPr>
        <w:spacing w:line="360" w:lineRule="auto"/>
        <w:rPr>
          <w:rFonts w:hint="eastAsia" w:asciiTheme="minorEastAsia" w:hAnsiTheme="minorEastAsia" w:eastAsiaTheme="minorEastAsia" w:cstheme="minorEastAsia"/>
          <w:b/>
          <w:sz w:val="24"/>
        </w:rPr>
      </w:pPr>
    </w:p>
    <w:p w14:paraId="24378125">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投诉书制作说明：</w:t>
      </w:r>
    </w:p>
    <w:p w14:paraId="4AF29E28">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1.投诉人提起投诉时，应当提交投诉书和必要的证明材料，并按照被投诉人和与投诉事项有关的供应商数量提供投诉书副本。</w:t>
      </w:r>
    </w:p>
    <w:p w14:paraId="47936839">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2.投诉人若委托代理人进行投诉的，投诉书应按照要求列明“授权代表”的有关内容，并在附件中提交由</w:t>
      </w:r>
      <w:r>
        <w:rPr>
          <w:rFonts w:hint="eastAsia" w:asciiTheme="minorEastAsia" w:hAnsiTheme="minorEastAsia" w:eastAsiaTheme="minorEastAsia" w:cstheme="minorEastAsia"/>
          <w:kern w:val="0"/>
          <w:sz w:val="24"/>
        </w:rPr>
        <w:t>投诉人签署的授权委托书。授权委托书应当载明代理人的姓名或者名称、代理事项、具体权限、期限和相关事项。</w:t>
      </w:r>
    </w:p>
    <w:p w14:paraId="6800EB48">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3.投诉人若对项目的某一分包进行投诉，投诉书应列明具体分包号。</w:t>
      </w:r>
    </w:p>
    <w:p w14:paraId="59C84AB2">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4.投诉书应简要列明质疑事项，质疑函、质疑答复等作为附件材料提供。</w:t>
      </w:r>
    </w:p>
    <w:p w14:paraId="298BE03D">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5.投诉书的投诉事项应具体、明确，并有必要的事实依据和法律依据。</w:t>
      </w:r>
    </w:p>
    <w:p w14:paraId="56966A77">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6.投诉书的投诉请求应与投诉事项相关。</w:t>
      </w:r>
    </w:p>
    <w:p w14:paraId="301E22BF">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7.投诉人为自然人的，投诉书应当由本人签字；投诉人为法人或者其他组织的，投诉书应当由法定代表人、主要负责人，或者其授权代表签字或者盖章，并加盖公章。</w:t>
      </w:r>
    </w:p>
    <w:p w14:paraId="5202DD11">
      <w:pPr>
        <w:spacing w:line="360" w:lineRule="auto"/>
        <w:rPr>
          <w:rFonts w:hint="eastAsia" w:asciiTheme="minorEastAsia" w:hAnsiTheme="minorEastAsia" w:eastAsiaTheme="minorEastAsia" w:cstheme="minorEastAsia"/>
          <w:b/>
          <w:sz w:val="24"/>
        </w:rPr>
      </w:pPr>
    </w:p>
    <w:p w14:paraId="4A2FAC8A">
      <w:pPr>
        <w:autoSpaceDE w:val="0"/>
        <w:autoSpaceDN w:val="0"/>
        <w:jc w:val="center"/>
        <w:rPr>
          <w:rFonts w:hint="eastAsia" w:asciiTheme="minorEastAsia" w:hAnsiTheme="minorEastAsia" w:eastAsiaTheme="minorEastAsia" w:cstheme="minorEastAsia"/>
          <w:b/>
          <w:spacing w:val="6"/>
          <w:sz w:val="32"/>
          <w:szCs w:val="32"/>
        </w:rPr>
      </w:pPr>
    </w:p>
    <w:p w14:paraId="61D4BF44">
      <w:pPr>
        <w:autoSpaceDE w:val="0"/>
        <w:autoSpaceDN w:val="0"/>
        <w:jc w:val="center"/>
        <w:rPr>
          <w:rFonts w:hint="eastAsia" w:asciiTheme="minorEastAsia" w:hAnsiTheme="minorEastAsia" w:eastAsiaTheme="minorEastAsia" w:cstheme="minorEastAsia"/>
          <w:b/>
          <w:spacing w:val="6"/>
          <w:sz w:val="32"/>
          <w:szCs w:val="32"/>
        </w:rPr>
      </w:pPr>
    </w:p>
    <w:p w14:paraId="71EF9BC8">
      <w:pPr>
        <w:rPr>
          <w:rFonts w:hint="eastAsia" w:asciiTheme="minorEastAsia" w:hAnsiTheme="minorEastAsia" w:eastAsiaTheme="minorEastAsia" w:cstheme="minorEastAsia"/>
          <w:b/>
          <w:spacing w:val="6"/>
          <w:sz w:val="32"/>
          <w:szCs w:val="32"/>
        </w:rPr>
      </w:pPr>
    </w:p>
    <w:p w14:paraId="4417DDE1">
      <w:pPr>
        <w:autoSpaceDE w:val="0"/>
        <w:autoSpaceDN w:val="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spacing w:val="6"/>
          <w:sz w:val="32"/>
          <w:szCs w:val="32"/>
        </w:rPr>
        <w:t>附件4：</w:t>
      </w:r>
      <w:r>
        <w:rPr>
          <w:rFonts w:hint="eastAsia" w:asciiTheme="minorEastAsia" w:hAnsiTheme="minorEastAsia" w:eastAsiaTheme="minorEastAsia" w:cstheme="minorEastAsia"/>
          <w:b/>
          <w:bCs/>
          <w:sz w:val="32"/>
          <w:szCs w:val="32"/>
        </w:rPr>
        <w:t>业务专用章使用说明函</w:t>
      </w:r>
    </w:p>
    <w:p w14:paraId="15884E7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（采购人）、（采购代理机构）</w:t>
      </w:r>
    </w:p>
    <w:p w14:paraId="6E13D84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我方</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sz w:val="24"/>
        </w:rPr>
        <w:t>(供应商全称)是中华人民共和国依法登记注册的合法企业，</w:t>
      </w:r>
      <w:r>
        <w:rPr>
          <w:rFonts w:hint="eastAsia" w:asciiTheme="minorEastAsia" w:hAnsiTheme="minorEastAsia" w:eastAsiaTheme="minorEastAsia" w:cstheme="minorEastAsia"/>
          <w:bCs/>
          <w:sz w:val="24"/>
        </w:rPr>
        <w:t>在参加</w:t>
      </w:r>
      <w:r>
        <w:rPr>
          <w:rFonts w:hint="eastAsia" w:asciiTheme="minorEastAsia" w:hAnsiTheme="minorEastAsia" w:eastAsiaTheme="minorEastAsia" w:cstheme="minorEastAsia"/>
          <w:sz w:val="24"/>
        </w:rPr>
        <w:t>你方组织的</w:t>
      </w:r>
      <w:r>
        <w:rPr>
          <w:rFonts w:hint="eastAsia" w:asciiTheme="minorEastAsia" w:hAnsiTheme="minorEastAsia" w:eastAsiaTheme="minorEastAsia" w:cstheme="minorEastAsia"/>
          <w:sz w:val="24"/>
          <w:u w:val="single"/>
        </w:rPr>
        <w:t>（项目名称）项目【交易编号：      】</w:t>
      </w:r>
      <w:r>
        <w:rPr>
          <w:rFonts w:hint="eastAsia" w:asciiTheme="minorEastAsia" w:hAnsiTheme="minorEastAsia" w:eastAsiaTheme="minorEastAsia" w:cstheme="minorEastAsia"/>
          <w:bCs/>
          <w:sz w:val="24"/>
        </w:rPr>
        <w:t>交易活动中作如下说明：</w:t>
      </w:r>
      <w:r>
        <w:rPr>
          <w:rFonts w:hint="eastAsia" w:asciiTheme="minorEastAsia" w:hAnsiTheme="minorEastAsia" w:eastAsiaTheme="minorEastAsia" w:cstheme="minorEastAsia"/>
          <w:sz w:val="24"/>
        </w:rPr>
        <w:t xml:space="preserve">我方所使用的“XX专用章”与法定名称章具有同等的法律效力，对使用“XX专用章”的行为予以完全承认，并愿意承担相应责任。   </w:t>
      </w:r>
    </w:p>
    <w:p w14:paraId="6E87D52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特此说明。</w:t>
      </w:r>
    </w:p>
    <w:p w14:paraId="4BE02DDD">
      <w:pPr>
        <w:spacing w:line="360" w:lineRule="auto"/>
        <w:ind w:firstLine="494"/>
        <w:rPr>
          <w:rFonts w:hint="eastAsia" w:asciiTheme="minorEastAsia" w:hAnsiTheme="minorEastAsia" w:eastAsiaTheme="minorEastAsia" w:cstheme="minorEastAsia"/>
          <w:sz w:val="24"/>
        </w:rPr>
      </w:pPr>
    </w:p>
    <w:p w14:paraId="25BEB718">
      <w:pPr>
        <w:spacing w:line="360" w:lineRule="auto"/>
        <w:ind w:firstLine="494"/>
        <w:rPr>
          <w:rFonts w:hint="eastAsia" w:asciiTheme="minorEastAsia" w:hAnsiTheme="minorEastAsia" w:eastAsiaTheme="minorEastAsia" w:cstheme="minorEastAsia"/>
          <w:sz w:val="24"/>
        </w:rPr>
      </w:pPr>
    </w:p>
    <w:p w14:paraId="1759B3C5">
      <w:pPr>
        <w:spacing w:line="360" w:lineRule="auto"/>
        <w:ind w:firstLine="494"/>
        <w:rPr>
          <w:rFonts w:hint="eastAsia" w:asciiTheme="minorEastAsia" w:hAnsiTheme="minorEastAsia" w:eastAsiaTheme="minorEastAsia" w:cstheme="minorEastAsia"/>
          <w:sz w:val="24"/>
        </w:rPr>
      </w:pPr>
    </w:p>
    <w:p w14:paraId="29DC01A2">
      <w:pPr>
        <w:spacing w:line="360" w:lineRule="auto"/>
        <w:ind w:firstLine="494"/>
        <w:rPr>
          <w:rFonts w:hint="eastAsia" w:asciiTheme="minorEastAsia" w:hAnsiTheme="minorEastAsia" w:eastAsiaTheme="minorEastAsia" w:cstheme="minorEastAsia"/>
          <w:sz w:val="24"/>
        </w:rPr>
      </w:pPr>
    </w:p>
    <w:p w14:paraId="69E65183">
      <w:pPr>
        <w:spacing w:line="360" w:lineRule="auto"/>
        <w:ind w:right="480" w:firstLine="4080" w:firstLineChars="17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响应单位（法定名称章）：</w:t>
      </w:r>
    </w:p>
    <w:p w14:paraId="14873E32">
      <w:pPr>
        <w:ind w:right="1440" w:firstLine="49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日期：       年     月     日</w:t>
      </w:r>
    </w:p>
    <w:p w14:paraId="72ADB9E5">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w:t>
      </w:r>
    </w:p>
    <w:p w14:paraId="39C20FFA">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WQDz/YAAAACgEAAA8AAAAAAAAAAQAgAAAAIgAAAGRycy9kb3du&#10;cmV2LnhtbFBLAQIUABQAAAAIAIdO4kBWCA7V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jEem2AAAAAoBAAAPAAAAAAAAAAEAIAAAACIAAABkcnMvZG93&#10;bnJldi54bWxQSwECFAAUAAAACACHTuJAq7r7Vj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sz w:val="24"/>
        </w:rPr>
        <w:t>响应单位法定名称章（印模）                响应单位“XX专用章”（印模）</w:t>
      </w:r>
    </w:p>
    <w:p w14:paraId="42981442">
      <w:pPr>
        <w:autoSpaceDE w:val="0"/>
        <w:autoSpaceDN w:val="0"/>
        <w:jc w:val="center"/>
        <w:rPr>
          <w:rFonts w:hint="eastAsia" w:asciiTheme="minorEastAsia" w:hAnsiTheme="minorEastAsia" w:eastAsiaTheme="minorEastAsia" w:cstheme="minorEastAsia"/>
          <w:b/>
          <w:spacing w:val="6"/>
          <w:sz w:val="32"/>
          <w:szCs w:val="32"/>
        </w:rPr>
      </w:pPr>
    </w:p>
    <w:p w14:paraId="3894BDF5">
      <w:pPr>
        <w:autoSpaceDE w:val="0"/>
        <w:autoSpaceDN w:val="0"/>
        <w:jc w:val="center"/>
        <w:rPr>
          <w:rFonts w:hint="eastAsia" w:asciiTheme="minorEastAsia" w:hAnsiTheme="minorEastAsia" w:eastAsiaTheme="minorEastAsia" w:cstheme="minorEastAsia"/>
          <w:b/>
          <w:spacing w:val="6"/>
          <w:sz w:val="32"/>
          <w:szCs w:val="32"/>
        </w:rPr>
      </w:pPr>
    </w:p>
    <w:p w14:paraId="2F03D653">
      <w:pPr>
        <w:autoSpaceDE w:val="0"/>
        <w:autoSpaceDN w:val="0"/>
        <w:jc w:val="center"/>
        <w:rPr>
          <w:rFonts w:hint="eastAsia" w:asciiTheme="minorEastAsia" w:hAnsiTheme="minorEastAsia" w:eastAsiaTheme="minorEastAsia" w:cstheme="minorEastAsia"/>
          <w:b/>
          <w:spacing w:val="6"/>
          <w:sz w:val="32"/>
          <w:szCs w:val="32"/>
        </w:rPr>
      </w:pPr>
    </w:p>
    <w:p w14:paraId="140AF39A">
      <w:pPr>
        <w:autoSpaceDE w:val="0"/>
        <w:autoSpaceDN w:val="0"/>
        <w:jc w:val="center"/>
        <w:rPr>
          <w:rFonts w:hint="eastAsia" w:asciiTheme="minorEastAsia" w:hAnsiTheme="minorEastAsia" w:eastAsiaTheme="minorEastAsia" w:cstheme="minorEastAsia"/>
          <w:b/>
          <w:spacing w:val="6"/>
          <w:sz w:val="32"/>
          <w:szCs w:val="32"/>
        </w:rPr>
      </w:pPr>
    </w:p>
    <w:p w14:paraId="5B8B48A1">
      <w:pPr>
        <w:autoSpaceDE w:val="0"/>
        <w:autoSpaceDN w:val="0"/>
        <w:jc w:val="center"/>
        <w:rPr>
          <w:rFonts w:hint="eastAsia" w:asciiTheme="minorEastAsia" w:hAnsiTheme="minorEastAsia" w:eastAsiaTheme="minorEastAsia" w:cstheme="minorEastAsia"/>
          <w:b/>
          <w:spacing w:val="6"/>
          <w:sz w:val="32"/>
          <w:szCs w:val="32"/>
        </w:rPr>
      </w:pPr>
    </w:p>
    <w:p w14:paraId="051A7B1E">
      <w:pPr>
        <w:autoSpaceDE w:val="0"/>
        <w:autoSpaceDN w:val="0"/>
        <w:jc w:val="center"/>
        <w:rPr>
          <w:rFonts w:hint="eastAsia" w:asciiTheme="minorEastAsia" w:hAnsiTheme="minorEastAsia" w:eastAsiaTheme="minorEastAsia" w:cstheme="minorEastAsia"/>
          <w:b/>
          <w:spacing w:val="6"/>
          <w:sz w:val="32"/>
          <w:szCs w:val="32"/>
        </w:rPr>
      </w:pPr>
    </w:p>
    <w:p w14:paraId="04E18EDB">
      <w:pPr>
        <w:autoSpaceDE w:val="0"/>
        <w:autoSpaceDN w:val="0"/>
        <w:jc w:val="center"/>
        <w:rPr>
          <w:rFonts w:hint="eastAsia" w:asciiTheme="minorEastAsia" w:hAnsiTheme="minorEastAsia" w:eastAsiaTheme="minorEastAsia" w:cstheme="minorEastAsia"/>
          <w:b/>
          <w:spacing w:val="6"/>
          <w:sz w:val="32"/>
          <w:szCs w:val="32"/>
        </w:rPr>
      </w:pPr>
    </w:p>
    <w:p w14:paraId="39825F71">
      <w:pPr>
        <w:autoSpaceDE w:val="0"/>
        <w:autoSpaceDN w:val="0"/>
        <w:jc w:val="center"/>
        <w:rPr>
          <w:rFonts w:hint="eastAsia" w:asciiTheme="minorEastAsia" w:hAnsiTheme="minorEastAsia" w:eastAsiaTheme="minorEastAsia" w:cstheme="minorEastAsia"/>
          <w:b/>
          <w:spacing w:val="6"/>
          <w:sz w:val="32"/>
          <w:szCs w:val="32"/>
        </w:rPr>
      </w:pPr>
    </w:p>
    <w:p w14:paraId="75953CF4">
      <w:pPr>
        <w:autoSpaceDE w:val="0"/>
        <w:autoSpaceDN w:val="0"/>
        <w:jc w:val="center"/>
        <w:rPr>
          <w:rFonts w:hint="eastAsia" w:asciiTheme="minorEastAsia" w:hAnsiTheme="minorEastAsia" w:eastAsiaTheme="minorEastAsia" w:cstheme="minorEastAsia"/>
          <w:b/>
          <w:spacing w:val="6"/>
          <w:sz w:val="32"/>
          <w:szCs w:val="32"/>
        </w:rPr>
      </w:pPr>
    </w:p>
    <w:p w14:paraId="6D8DCBA7">
      <w:pPr>
        <w:autoSpaceDE w:val="0"/>
        <w:autoSpaceDN w:val="0"/>
        <w:jc w:val="center"/>
        <w:rPr>
          <w:rFonts w:hint="eastAsia" w:asciiTheme="minorEastAsia" w:hAnsiTheme="minorEastAsia" w:eastAsiaTheme="minorEastAsia" w:cstheme="minorEastAsia"/>
          <w:b/>
          <w:spacing w:val="6"/>
          <w:sz w:val="32"/>
          <w:szCs w:val="32"/>
        </w:rPr>
      </w:pPr>
    </w:p>
    <w:p w14:paraId="6509BFE1">
      <w:pPr>
        <w:autoSpaceDE w:val="0"/>
        <w:autoSpaceDN w:val="0"/>
        <w:jc w:val="center"/>
        <w:rPr>
          <w:rFonts w:hint="eastAsia" w:asciiTheme="minorEastAsia" w:hAnsiTheme="minorEastAsia" w:eastAsiaTheme="minorEastAsia" w:cstheme="minorEastAsia"/>
          <w:b/>
          <w:spacing w:val="6"/>
          <w:sz w:val="32"/>
          <w:szCs w:val="32"/>
        </w:rPr>
      </w:pPr>
    </w:p>
    <w:p w14:paraId="42F3DFDB">
      <w:pPr>
        <w:autoSpaceDE w:val="0"/>
        <w:autoSpaceDN w:val="0"/>
        <w:rPr>
          <w:rFonts w:hint="eastAsia" w:asciiTheme="minorEastAsia" w:hAnsiTheme="minorEastAsia" w:eastAsiaTheme="minorEastAsia" w:cstheme="minorEastAsia"/>
          <w:b/>
          <w:spacing w:val="6"/>
          <w:sz w:val="32"/>
          <w:szCs w:val="32"/>
        </w:rPr>
      </w:pPr>
    </w:p>
    <w:p w14:paraId="120D4968"/>
    <w:p w14:paraId="294B3EB1"/>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66BB3">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6E650">
    <w:pPr>
      <w:pStyle w:val="1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2A957">
    <w:pPr>
      <w:pStyle w:val="12"/>
      <w:framePr w:wrap="around" w:vAnchor="text" w:hAnchor="margin" w:xAlign="right" w:y="1"/>
      <w:rPr>
        <w:rStyle w:val="20"/>
      </w:rPr>
    </w:pPr>
    <w:r>
      <w:fldChar w:fldCharType="begin"/>
    </w:r>
    <w:r>
      <w:rPr>
        <w:rStyle w:val="20"/>
      </w:rPr>
      <w:instrText xml:space="preserve">PAGE  </w:instrText>
    </w:r>
    <w:r>
      <w:fldChar w:fldCharType="end"/>
    </w:r>
  </w:p>
  <w:p w14:paraId="58ADB8EF">
    <w:pPr>
      <w:pStyle w:val="1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724B5">
    <w:pPr>
      <w:pStyle w:val="1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46" w:name="_Toc164085800"/>
    <w:bookmarkStart w:id="547" w:name="_Toc36110187"/>
    <w:bookmarkStart w:id="548" w:name="_Toc91899912"/>
    <w:bookmarkStart w:id="549" w:name="_Toc131845147"/>
    <w:r>
      <w:rPr>
        <w:rFonts w:hint="eastAsia" w:ascii="仿宋_GB2312" w:eastAsia="仿宋_GB2312"/>
        <w:kern w:val="0"/>
        <w:szCs w:val="21"/>
      </w:rPr>
      <w:t xml:space="preserve"> 页</w:t>
    </w:r>
    <w:bookmarkEnd w:id="546"/>
    <w:bookmarkEnd w:id="547"/>
    <w:bookmarkEnd w:id="548"/>
    <w:bookmarkEnd w:id="54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7CB1">
    <w:pPr>
      <w:pStyle w:val="12"/>
      <w:framePr w:wrap="around" w:vAnchor="text" w:hAnchor="margin" w:xAlign="right" w:y="1"/>
      <w:rPr>
        <w:rStyle w:val="20"/>
      </w:rPr>
    </w:pPr>
    <w:r>
      <w:fldChar w:fldCharType="begin"/>
    </w:r>
    <w:r>
      <w:rPr>
        <w:rStyle w:val="20"/>
      </w:rPr>
      <w:instrText xml:space="preserve">PAGE  </w:instrText>
    </w:r>
    <w:r>
      <w:fldChar w:fldCharType="end"/>
    </w:r>
  </w:p>
  <w:p w14:paraId="5CAA77DA">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AB54E">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A0811">
    <w:pPr>
      <w:pStyle w:val="1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A886B74">
                          <w:pPr>
                            <w:pStyle w:val="12"/>
                            <w:jc w:val="center"/>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A886B74">
                    <w:pPr>
                      <w:pStyle w:val="12"/>
                      <w:jc w:val="center"/>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5C19974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60787">
    <w:pPr>
      <w:pStyle w:val="1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15927F7">
                          <w:pPr>
                            <w:pStyle w:val="12"/>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415927F7">
                    <w:pPr>
                      <w:pStyle w:val="12"/>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5E241FE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EE766">
    <w:pPr>
      <w:pStyle w:val="1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D2EC679">
                          <w:pPr>
                            <w:pStyle w:val="12"/>
                            <w:jc w:val="center"/>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6D2EC679">
                    <w:pPr>
                      <w:pStyle w:val="12"/>
                      <w:jc w:val="center"/>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31EE4D0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43A9B">
    <w:pPr>
      <w:pStyle w:val="1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5D9ADDC">
                          <w:pPr>
                            <w:pStyle w:val="12"/>
                            <w:jc w:val="center"/>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14:paraId="15D9ADDC">
                    <w:pPr>
                      <w:pStyle w:val="12"/>
                      <w:jc w:val="center"/>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3AC22BE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54C28">
    <w:pPr>
      <w:pStyle w:val="12"/>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4A7CA9">
                          <w:pPr>
                            <w:pStyle w:val="12"/>
                            <w:jc w:val="center"/>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1C4A7CA9">
                    <w:pPr>
                      <w:pStyle w:val="12"/>
                      <w:jc w:val="center"/>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722CB">
    <w:pPr>
      <w:pStyle w:val="1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B17DE12">
                          <w:pPr>
                            <w:pStyle w:val="12"/>
                            <w:jc w:val="center"/>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5B17DE12">
                    <w:pPr>
                      <w:pStyle w:val="12"/>
                      <w:jc w:val="center"/>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8B1F3">
    <w:pPr>
      <w:pStyle w:val="13"/>
      <w:jc w:val="right"/>
      <w:rPr>
        <w:lang w:val="en-US"/>
      </w:rPr>
    </w:pPr>
    <w:r>
      <w:rPr>
        <w:rFonts w:hint="eastAsia"/>
      </w:rPr>
      <w:t xml:space="preserve">                                                                   </w:t>
    </w:r>
    <w:r>
      <w:t>公开</w:t>
    </w:r>
    <w:r>
      <w:rPr>
        <w:rFonts w:hint="eastAsia"/>
      </w:rPr>
      <w:t>交易文件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09CCC">
    <w:pPr>
      <w:pStyle w:val="13"/>
      <w:jc w:val="right"/>
    </w:pPr>
    <w:r>
      <w:t></w:t>
    </w:r>
    <w:r>
      <w:rPr>
        <w:rFonts w:hint="eastAsia"/>
      </w:rPr>
      <w:t xml:space="preserve">                                                                                                             </w:t>
    </w:r>
    <w:r>
      <w:t>公开</w:t>
    </w:r>
    <w:r>
      <w:rPr>
        <w:rFonts w:hint="eastAsia"/>
      </w:rPr>
      <w:t>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055D3">
    <w:pPr>
      <w:pStyle w:val="13"/>
      <w:jc w:val="right"/>
    </w:pPr>
    <w:r>
      <w:rPr>
        <w:rFonts w:hint="eastAsia"/>
        <w:lang w:val="zh-CN"/>
      </w:rPr>
      <w:t xml:space="preserve"> </w:t>
    </w:r>
    <w:r>
      <w:tab/>
    </w:r>
    <w:r>
      <w:rPr>
        <w:rFonts w:hint="eastAsia"/>
        <w:lang w:val="zh-CN"/>
      </w:rPr>
      <w:t xml:space="preserve"> </w:t>
    </w:r>
    <w:r>
      <w:tab/>
    </w:r>
    <w:r>
      <w:rPr>
        <w:rFonts w:hint="eastAsia"/>
      </w:rPr>
      <w:t xml:space="preserve">                                                                   </w:t>
    </w: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B2AF3">
    <w:pPr>
      <w:pStyle w:val="13"/>
      <w:jc w:val="right"/>
      <w:rPr>
        <w:rFonts w:ascii="仿宋_GB2312"/>
        <w:b/>
        <w:i/>
        <w:u w:val="single"/>
      </w:rPr>
    </w:pPr>
    <w:r>
      <w:t></w:t>
    </w:r>
    <w:r>
      <w:rPr>
        <w:rFonts w:hint="eastAsia"/>
      </w:rPr>
      <w:t xml:space="preserve">                                                  </w:t>
    </w:r>
    <w:r>
      <w:t>公开</w:t>
    </w:r>
    <w:r>
      <w:rPr>
        <w:rFonts w:hint="eastAsia"/>
      </w:rPr>
      <w:t>交易文件</w:t>
    </w:r>
  </w:p>
  <w:p w14:paraId="7BD50D3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0CB04">
    <w:pPr>
      <w:pStyle w:val="13"/>
    </w:pPr>
    <w:r>
      <w:t></w:t>
    </w:r>
    <w:r>
      <w:rPr>
        <w:rFonts w:hint="eastAsia"/>
      </w:rPr>
      <w:t xml:space="preserve">         </w:t>
    </w:r>
  </w:p>
  <w:p w14:paraId="6A8EFE73">
    <w:pPr>
      <w:pStyle w:val="13"/>
      <w:jc w:val="right"/>
    </w:pPr>
    <w:r>
      <w:rPr>
        <w:rFonts w:hint="eastAsia"/>
      </w:rPr>
      <w:t xml:space="preserve">                                                                   </w:t>
    </w: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C5742">
    <w:pPr>
      <w:pStyle w:val="13"/>
      <w:jc w:val="right"/>
      <w:rPr>
        <w:rFonts w:ascii="仿宋_GB2312"/>
        <w:b/>
        <w:i/>
        <w:u w:val="single"/>
      </w:rPr>
    </w:pPr>
    <w:r>
      <w:rPr>
        <w:rFonts w:hint="eastAsia"/>
      </w:rPr>
      <w:t xml:space="preserve">                                 </w:t>
    </w:r>
    <w:r>
      <w:t>公开</w:t>
    </w:r>
    <w:r>
      <w:rPr>
        <w:rFonts w:hint="eastAsia"/>
      </w:rPr>
      <w:t>交易文件</w:t>
    </w:r>
  </w:p>
  <w:p w14:paraId="4D62FA7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8D5C0">
    <w:pPr>
      <w:pStyle w:val="13"/>
      <w:jc w:val="right"/>
    </w:pPr>
    <w:r>
      <w:rPr>
        <w:rFonts w:hint="eastAsia"/>
      </w:rPr>
      <w:t xml:space="preserve">                                                                                                         </w:t>
    </w:r>
    <w:r>
      <w:t>公开</w:t>
    </w:r>
    <w:r>
      <w:rPr>
        <w:rFonts w:hint="eastAsia"/>
      </w:rPr>
      <w:t>交易文件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B9A1F">
    <w:pPr>
      <w:pStyle w:val="13"/>
      <w:jc w:val="right"/>
      <w:rPr>
        <w:rFonts w:ascii="仿宋_GB2312"/>
        <w:b/>
        <w:i/>
        <w:iCs/>
        <w:u w:val="single"/>
      </w:rPr>
    </w:pPr>
    <w:r>
      <w:t>公开</w:t>
    </w:r>
    <w:r>
      <w:rPr>
        <w:rFonts w:hint="eastAsia"/>
      </w:rPr>
      <w:t>交易文件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66D2B">
    <w:pPr>
      <w:pStyle w:val="13"/>
      <w:jc w:val="right"/>
    </w:pPr>
    <w:r>
      <w:t></w:t>
    </w:r>
    <w:r>
      <w:rPr>
        <w:rFonts w:hint="eastAsia"/>
      </w:rPr>
      <w:t xml:space="preserve">                                            </w:t>
    </w:r>
    <w:r>
      <w:t>公开</w:t>
    </w:r>
    <w:r>
      <w:rPr>
        <w:rFonts w:hint="eastAsia"/>
      </w:rPr>
      <w:t>交易文件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2595">
    <w:pPr>
      <w:pStyle w:val="13"/>
      <w:jc w:val="right"/>
      <w:rPr>
        <w:rFonts w:ascii="仿宋_GB2312" w:eastAsia="仿宋_GB2312"/>
        <w:b/>
        <w:i/>
        <w:iCs/>
        <w:u w:val="single"/>
      </w:rPr>
    </w:pPr>
    <w:r>
      <w:t></w:t>
    </w:r>
    <w:r>
      <w:rPr>
        <w:rFonts w:hint="eastAsia"/>
      </w:rPr>
      <w:t xml:space="preserve">                                            </w:t>
    </w:r>
    <w:r>
      <w:t>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D03CC"/>
    <w:rsid w:val="18F71505"/>
    <w:rsid w:val="20C93714"/>
    <w:rsid w:val="221D03CC"/>
    <w:rsid w:val="352B0108"/>
    <w:rsid w:val="39091573"/>
    <w:rsid w:val="3C1B7476"/>
    <w:rsid w:val="48923A9B"/>
    <w:rsid w:val="6F8F0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qFormat/>
    <w:uiPriority w:val="99"/>
    <w:pPr>
      <w:jc w:val="left"/>
    </w:pPr>
  </w:style>
  <w:style w:type="paragraph" w:styleId="8">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9">
    <w:name w:val="Body Text Indent"/>
    <w:basedOn w:val="1"/>
    <w:next w:val="1"/>
    <w:qFormat/>
    <w:uiPriority w:val="0"/>
    <w:pPr>
      <w:spacing w:line="480" w:lineRule="exact"/>
      <w:ind w:firstLine="480" w:firstLineChars="200"/>
    </w:pPr>
    <w:rPr>
      <w:rFonts w:ascii="宋体" w:hAnsi="宋体"/>
      <w:sz w:val="24"/>
    </w:rPr>
  </w:style>
  <w:style w:type="paragraph" w:styleId="10">
    <w:name w:val="Plain Text"/>
    <w:basedOn w:val="1"/>
    <w:next w:val="11"/>
    <w:qFormat/>
    <w:uiPriority w:val="0"/>
    <w:rPr>
      <w:rFonts w:ascii="宋体" w:hAnsi="Courier New" w:cs="Arial"/>
      <w:snapToGrid w:val="0"/>
      <w:szCs w:val="21"/>
    </w:rPr>
  </w:style>
  <w:style w:type="paragraph" w:styleId="11">
    <w:name w:val="Date"/>
    <w:basedOn w:val="1"/>
    <w:next w:val="1"/>
    <w:qFormat/>
    <w:uiPriority w:val="0"/>
    <w:pPr>
      <w:ind w:left="100" w:leftChars="2500"/>
    </w:pPr>
    <w:rPr>
      <w:rFonts w:ascii="宋体"/>
      <w:sz w:val="24"/>
      <w:szCs w:val="21"/>
      <w:lang w:val="zh-CN"/>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spacing w:beforeAutospacing="1" w:after="0" w:afterAutospacing="1"/>
    </w:pPr>
    <w:rPr>
      <w:rFonts w:cs="Times New Roman"/>
    </w:rPr>
  </w:style>
  <w:style w:type="paragraph" w:styleId="15">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16">
    <w:name w:val="Body Text First Indent"/>
    <w:basedOn w:val="8"/>
    <w:qFormat/>
    <w:uiPriority w:val="0"/>
    <w:pPr>
      <w:ind w:firstLine="420"/>
    </w:pPr>
    <w:rPr>
      <w:rFonts w:hAnsi="Calibri" w:cs="Times New Roman"/>
      <w:snapToGrid/>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rPr>
      <w:rFonts w:ascii="Arial" w:hAnsi="Arial" w:eastAsia="黑体" w:cs="Arial"/>
      <w:snapToGrid w:val="0"/>
      <w:kern w:val="0"/>
      <w:szCs w:val="21"/>
    </w:rPr>
  </w:style>
  <w:style w:type="character" w:styleId="21">
    <w:name w:val="Hyperlink"/>
    <w:qFormat/>
    <w:uiPriority w:val="99"/>
    <w:rPr>
      <w:rFonts w:ascii="Arial" w:hAnsi="Arial" w:eastAsia="黑体" w:cs="Arial"/>
      <w:snapToGrid w:val="0"/>
      <w:color w:val="000000"/>
      <w:kern w:val="0"/>
      <w:sz w:val="18"/>
      <w:szCs w:val="18"/>
      <w:u w:val="none"/>
    </w:rPr>
  </w:style>
  <w:style w:type="paragraph" w:customStyle="1" w:styleId="22">
    <w:name w:val="正文2"/>
    <w:basedOn w:val="1"/>
    <w:qFormat/>
    <w:uiPriority w:val="0"/>
    <w:pPr>
      <w:spacing w:before="156" w:line="360" w:lineRule="auto"/>
      <w:ind w:firstLine="510" w:firstLineChars="200"/>
    </w:pPr>
    <w:rPr>
      <w:sz w:val="24"/>
      <w:szCs w:val="20"/>
    </w:rPr>
  </w:style>
  <w:style w:type="paragraph" w:customStyle="1" w:styleId="2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26">
    <w:name w:val="不明显强调1"/>
    <w:qFormat/>
    <w:uiPriority w:val="19"/>
    <w:rPr>
      <w:i/>
      <w:iCs/>
    </w:rPr>
  </w:style>
  <w:style w:type="character" w:customStyle="1" w:styleId="27">
    <w:name w:val="font41"/>
    <w:basedOn w:val="19"/>
    <w:qFormat/>
    <w:uiPriority w:val="0"/>
    <w:rPr>
      <w:rFonts w:hint="eastAsia" w:ascii="宋体" w:hAnsi="宋体" w:eastAsia="宋体" w:cs="宋体"/>
      <w:b/>
      <w:bCs/>
      <w:color w:val="000000"/>
      <w:sz w:val="22"/>
      <w:szCs w:val="22"/>
      <w:u w:val="none"/>
    </w:rPr>
  </w:style>
  <w:style w:type="character" w:customStyle="1" w:styleId="28">
    <w:name w:val="font261"/>
    <w:basedOn w:val="19"/>
    <w:qFormat/>
    <w:uiPriority w:val="0"/>
    <w:rPr>
      <w:rFonts w:hint="eastAsia" w:ascii="宋体" w:hAnsi="宋体" w:eastAsia="宋体" w:cs="宋体"/>
      <w:b/>
      <w:bCs/>
      <w:color w:val="000000"/>
      <w:sz w:val="16"/>
      <w:szCs w:val="16"/>
      <w:u w:val="none"/>
    </w:rPr>
  </w:style>
  <w:style w:type="paragraph" w:customStyle="1" w:styleId="29">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
    <w:name w:val="索引 11"/>
    <w:basedOn w:val="1"/>
    <w:next w:val="1"/>
    <w:qFormat/>
    <w:uiPriority w:val="99"/>
    <w:pPr>
      <w:adjustRightInd/>
      <w:spacing w:line="360" w:lineRule="auto"/>
    </w:pPr>
    <w:rPr>
      <w:rFonts w:ascii="仿宋_GB2312" w:eastAsia="仿宋_GB2312"/>
      <w:sz w:val="24"/>
      <w:szCs w:val="20"/>
    </w:rPr>
  </w:style>
  <w:style w:type="paragraph" w:customStyle="1" w:styleId="31">
    <w:name w:val="纯文本1"/>
    <w:basedOn w:val="1"/>
    <w:qFormat/>
    <w:uiPriority w:val="0"/>
    <w:pPr>
      <w:adjustRightInd/>
    </w:pPr>
    <w:rPr>
      <w:rFonts w:ascii="宋体" w:hAnsi="Courier New"/>
      <w:kern w:val="0"/>
      <w:sz w:val="20"/>
      <w:szCs w:val="20"/>
    </w:rPr>
  </w:style>
  <w:style w:type="paragraph" w:customStyle="1" w:styleId="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3">
    <w:name w:val="纯文本_0_0"/>
    <w:basedOn w:val="34"/>
    <w:qFormat/>
    <w:uiPriority w:val="0"/>
    <w:rPr>
      <w:rFonts w:ascii="宋体" w:hAnsi="Courier New"/>
      <w:szCs w:val="21"/>
    </w:rPr>
  </w:style>
  <w:style w:type="paragraph" w:customStyle="1" w:styleId="3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styleId="36">
    <w:name w:val="List Paragraph"/>
    <w:basedOn w:val="1"/>
    <w:autoRedefine/>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9750</Words>
  <Characters>10844</Characters>
  <Lines>0</Lines>
  <Paragraphs>0</Paragraphs>
  <TotalTime>16</TotalTime>
  <ScaleCrop>false</ScaleCrop>
  <LinksUpToDate>false</LinksUpToDate>
  <CharactersWithSpaces>11140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2025-06-30T06:46:00Z</dcterms:created>
  <dc:creator>Kylian 29</dc:creator>
  <cp:lastModifiedBy>Kylian 29</cp:lastModifiedBy>
  <dcterms:modified xsi:type="dcterms:W3CDTF">2025-07-02T08:25:29Z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485622E1D8F54336BE1CC2F9FCFECD7F_11</vt:lpwstr>
  </property>
  <property fmtid="{D5CDD505-2E9C-101B-9397-08002B2CF9AE}" pid="4" name="KSOTemplateDocerSaveRecord">
    <vt:lpwstr>eyJoZGlkIjoiYWUwYWFjY2I4ZWFjZDQwY2Y2NGM4Y2Y3NTBlZTY2MTQiLCJ1c2VySWQiOiI0NDM0ODIzNDQifQ==</vt:lpwstr>
  </property>
</Properties>
</file>