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F786F">
      <w:pPr>
        <w:spacing w:line="360" w:lineRule="auto"/>
        <w:ind w:firstLine="420" w:firstLineChars="0"/>
        <w:jc w:val="center"/>
        <w:rPr>
          <w:rFonts w:cs="仿宋_GB2312" w:asciiTheme="majorEastAsia" w:hAnsiTheme="majorEastAsia" w:eastAsiaTheme="majorEastAsia"/>
          <w:color w:val="auto"/>
          <w:sz w:val="48"/>
          <w:szCs w:val="48"/>
        </w:rPr>
      </w:pPr>
    </w:p>
    <w:p w14:paraId="253F32D9">
      <w:pPr>
        <w:spacing w:line="360" w:lineRule="auto"/>
        <w:jc w:val="center"/>
        <w:rPr>
          <w:rFonts w:cs="仿宋_GB2312" w:asciiTheme="majorEastAsia" w:hAnsiTheme="majorEastAsia" w:eastAsiaTheme="majorEastAsia"/>
          <w:b/>
          <w:color w:val="auto"/>
          <w:sz w:val="44"/>
          <w:szCs w:val="44"/>
        </w:rPr>
      </w:pPr>
      <w:r>
        <w:rPr>
          <w:rFonts w:hint="eastAsia" w:cs="仿宋_GB2312" w:asciiTheme="majorEastAsia" w:hAnsiTheme="majorEastAsia" w:eastAsiaTheme="majorEastAsia"/>
          <w:color w:val="auto"/>
          <w:sz w:val="48"/>
          <w:szCs w:val="48"/>
          <w:lang w:eastAsia="zh-CN"/>
        </w:rPr>
        <w:t>奉化区裘村镇污水主干管沿海中线段管网迁改工程一体化设备采购项目</w:t>
      </w:r>
    </w:p>
    <w:p w14:paraId="235857DC">
      <w:pPr>
        <w:spacing w:line="360" w:lineRule="auto"/>
        <w:jc w:val="center"/>
        <w:rPr>
          <w:rFonts w:cs="仿宋_GB2312" w:asciiTheme="majorEastAsia" w:hAnsiTheme="majorEastAsia" w:eastAsiaTheme="majorEastAsia"/>
          <w:b/>
          <w:color w:val="auto"/>
          <w:sz w:val="44"/>
          <w:szCs w:val="44"/>
        </w:rPr>
      </w:pPr>
      <w:r>
        <w:rPr>
          <w:rFonts w:cs="仿宋_GB2312" w:asciiTheme="majorEastAsia" w:hAnsiTheme="majorEastAsia" w:eastAsiaTheme="majorEastAsia"/>
          <w:b/>
          <w:color w:val="auto"/>
          <w:sz w:val="44"/>
          <w:szCs w:val="44"/>
        </w:rPr>
        <w:t>（电子招投标）</w:t>
      </w:r>
    </w:p>
    <w:p w14:paraId="5CC5939C">
      <w:pPr>
        <w:spacing w:line="360" w:lineRule="auto"/>
        <w:jc w:val="center"/>
        <w:rPr>
          <w:rFonts w:cs="仿宋_GB2312" w:asciiTheme="majorEastAsia" w:hAnsiTheme="majorEastAsia" w:eastAsiaTheme="majorEastAsia"/>
          <w:b/>
          <w:color w:val="auto"/>
          <w:sz w:val="44"/>
          <w:szCs w:val="44"/>
        </w:rPr>
      </w:pPr>
    </w:p>
    <w:p w14:paraId="233458DC">
      <w:pPr>
        <w:spacing w:line="360" w:lineRule="auto"/>
        <w:jc w:val="center"/>
        <w:rPr>
          <w:rFonts w:cs="仿宋_GB2312" w:asciiTheme="majorEastAsia" w:hAnsiTheme="majorEastAsia" w:eastAsiaTheme="majorEastAsia"/>
          <w:b/>
          <w:color w:val="auto"/>
          <w:sz w:val="44"/>
          <w:szCs w:val="44"/>
        </w:rPr>
      </w:pPr>
    </w:p>
    <w:p w14:paraId="516E5F5C">
      <w:pPr>
        <w:spacing w:line="360" w:lineRule="auto"/>
        <w:jc w:val="center"/>
        <w:rPr>
          <w:rFonts w:cs="仿宋_GB2312" w:asciiTheme="majorEastAsia" w:hAnsiTheme="majorEastAsia" w:eastAsiaTheme="majorEastAsia"/>
          <w:b/>
          <w:color w:val="auto"/>
          <w:sz w:val="44"/>
          <w:szCs w:val="44"/>
        </w:rPr>
      </w:pPr>
    </w:p>
    <w:p w14:paraId="71ED17D1">
      <w:pPr>
        <w:pStyle w:val="30"/>
      </w:pPr>
    </w:p>
    <w:p w14:paraId="28782807">
      <w:pPr>
        <w:snapToGrid w:val="0"/>
        <w:spacing w:line="360" w:lineRule="auto"/>
        <w:ind w:firstLine="3000" w:firstLineChars="1000"/>
        <w:jc w:val="both"/>
        <w:rPr>
          <w:rFonts w:cs="仿宋_GB2312" w:asciiTheme="majorEastAsia" w:hAnsiTheme="majorEastAsia" w:eastAsiaTheme="majorEastAsia"/>
          <w:color w:val="auto"/>
          <w:sz w:val="24"/>
        </w:rPr>
      </w:pPr>
      <w:r>
        <w:rPr>
          <w:rFonts w:hint="eastAsia" w:cs="仿宋_GB2312" w:asciiTheme="majorEastAsia" w:hAnsiTheme="majorEastAsia" w:eastAsiaTheme="majorEastAsia"/>
          <w:color w:val="auto"/>
          <w:sz w:val="30"/>
          <w:szCs w:val="30"/>
        </w:rPr>
        <w:t>编号</w:t>
      </w:r>
      <w:r>
        <w:rPr>
          <w:rFonts w:cs="仿宋_GB2312" w:asciiTheme="majorEastAsia" w:hAnsiTheme="majorEastAsia" w:eastAsiaTheme="majorEastAsia"/>
          <w:color w:val="auto"/>
          <w:sz w:val="30"/>
          <w:szCs w:val="30"/>
        </w:rPr>
        <w:t>:</w:t>
      </w:r>
      <w:r>
        <w:rPr>
          <w:rFonts w:asciiTheme="majorEastAsia" w:hAnsiTheme="majorEastAsia" w:eastAsiaTheme="majorEastAsia"/>
          <w:color w:val="auto"/>
        </w:rPr>
        <w:t xml:space="preserve"> </w:t>
      </w:r>
      <w:r>
        <w:rPr>
          <w:rFonts w:hint="eastAsia" w:cs="仿宋_GB2312" w:asciiTheme="majorEastAsia" w:hAnsiTheme="majorEastAsia" w:eastAsiaTheme="majorEastAsia"/>
          <w:color w:val="auto"/>
          <w:sz w:val="30"/>
          <w:szCs w:val="30"/>
          <w:lang w:eastAsia="zh-CN"/>
        </w:rPr>
        <w:t>FHGQZB(202</w:t>
      </w:r>
      <w:r>
        <w:rPr>
          <w:rFonts w:hint="eastAsia" w:cs="仿宋_GB2312" w:asciiTheme="majorEastAsia" w:hAnsiTheme="majorEastAsia" w:eastAsiaTheme="majorEastAsia"/>
          <w:color w:val="auto"/>
          <w:sz w:val="30"/>
          <w:szCs w:val="30"/>
          <w:lang w:val="en-US" w:eastAsia="zh-CN"/>
        </w:rPr>
        <w:t>5</w:t>
      </w:r>
      <w:r>
        <w:rPr>
          <w:rFonts w:hint="eastAsia" w:cs="仿宋_GB2312" w:asciiTheme="majorEastAsia" w:hAnsiTheme="majorEastAsia" w:eastAsiaTheme="majorEastAsia"/>
          <w:color w:val="auto"/>
          <w:sz w:val="30"/>
          <w:szCs w:val="30"/>
          <w:lang w:eastAsia="zh-CN"/>
        </w:rPr>
        <w:t>)</w:t>
      </w:r>
      <w:r>
        <w:rPr>
          <w:rFonts w:hint="eastAsia" w:cs="仿宋_GB2312" w:asciiTheme="majorEastAsia" w:hAnsiTheme="majorEastAsia" w:eastAsiaTheme="majorEastAsia"/>
          <w:color w:val="auto"/>
          <w:sz w:val="30"/>
          <w:szCs w:val="30"/>
          <w:lang w:val="en-US" w:eastAsia="zh-CN"/>
        </w:rPr>
        <w:t xml:space="preserve">227D  </w:t>
      </w:r>
    </w:p>
    <w:p w14:paraId="0D56FB1D">
      <w:pPr>
        <w:pStyle w:val="30"/>
        <w:ind w:firstLine="480"/>
        <w:rPr>
          <w:rFonts w:cs="仿宋_GB2312" w:asciiTheme="majorEastAsia" w:hAnsiTheme="majorEastAsia" w:eastAsiaTheme="majorEastAsia"/>
          <w:color w:val="auto"/>
          <w:sz w:val="24"/>
        </w:rPr>
      </w:pPr>
    </w:p>
    <w:p w14:paraId="5152BDA4">
      <w:pPr>
        <w:pStyle w:val="30"/>
        <w:ind w:firstLine="480"/>
        <w:rPr>
          <w:rFonts w:cs="仿宋_GB2312" w:asciiTheme="majorEastAsia" w:hAnsiTheme="majorEastAsia" w:eastAsiaTheme="majorEastAsia"/>
          <w:color w:val="auto"/>
          <w:sz w:val="24"/>
        </w:rPr>
      </w:pPr>
    </w:p>
    <w:p w14:paraId="2DD6BE69">
      <w:pPr>
        <w:pStyle w:val="30"/>
        <w:ind w:firstLine="480"/>
        <w:rPr>
          <w:rFonts w:cs="仿宋_GB2312" w:asciiTheme="majorEastAsia" w:hAnsiTheme="majorEastAsia" w:eastAsiaTheme="majorEastAsia"/>
          <w:color w:val="auto"/>
          <w:sz w:val="24"/>
        </w:rPr>
      </w:pPr>
    </w:p>
    <w:p w14:paraId="2704B638">
      <w:pPr>
        <w:pStyle w:val="30"/>
        <w:ind w:firstLine="480"/>
        <w:rPr>
          <w:rFonts w:cs="仿宋_GB2312" w:asciiTheme="majorEastAsia" w:hAnsiTheme="majorEastAsia" w:eastAsiaTheme="majorEastAsia"/>
          <w:color w:val="auto"/>
          <w:sz w:val="24"/>
        </w:rPr>
      </w:pPr>
    </w:p>
    <w:p w14:paraId="2DBFA1A8">
      <w:pPr>
        <w:pStyle w:val="30"/>
        <w:ind w:firstLine="480"/>
        <w:rPr>
          <w:rFonts w:cs="仿宋_GB2312" w:asciiTheme="majorEastAsia" w:hAnsiTheme="majorEastAsia" w:eastAsiaTheme="majorEastAsia"/>
          <w:color w:val="auto"/>
          <w:sz w:val="24"/>
        </w:rPr>
      </w:pPr>
    </w:p>
    <w:p w14:paraId="608A0743">
      <w:pPr>
        <w:snapToGrid w:val="0"/>
        <w:spacing w:line="360" w:lineRule="auto"/>
        <w:jc w:val="center"/>
        <w:rPr>
          <w:rFonts w:hint="eastAsia" w:cs="仿宋_GB2312" w:asciiTheme="majorEastAsia" w:hAnsiTheme="majorEastAsia" w:eastAsiaTheme="majorEastAsia"/>
          <w:color w:val="auto"/>
          <w:sz w:val="30"/>
          <w:szCs w:val="30"/>
          <w:lang w:eastAsia="zh-CN"/>
        </w:rPr>
      </w:pPr>
    </w:p>
    <w:p w14:paraId="01703092">
      <w:pPr>
        <w:snapToGrid w:val="0"/>
        <w:spacing w:line="360" w:lineRule="auto"/>
        <w:jc w:val="center"/>
        <w:rPr>
          <w:rFonts w:hint="eastAsia" w:cs="仿宋_GB2312" w:asciiTheme="majorEastAsia" w:hAnsiTheme="majorEastAsia" w:eastAsiaTheme="majorEastAsia"/>
          <w:color w:val="auto"/>
          <w:sz w:val="30"/>
          <w:szCs w:val="30"/>
          <w:lang w:eastAsia="zh-CN"/>
        </w:rPr>
      </w:pPr>
    </w:p>
    <w:p w14:paraId="0830B549">
      <w:pPr>
        <w:snapToGrid w:val="0"/>
        <w:spacing w:line="360" w:lineRule="auto"/>
        <w:jc w:val="center"/>
        <w:rPr>
          <w:rFonts w:hint="eastAsia" w:cs="仿宋_GB2312" w:asciiTheme="majorEastAsia" w:hAnsiTheme="majorEastAsia" w:eastAsiaTheme="majorEastAsia"/>
          <w:color w:val="auto"/>
          <w:sz w:val="30"/>
          <w:szCs w:val="30"/>
          <w:lang w:eastAsia="zh-CN"/>
        </w:rPr>
      </w:pPr>
    </w:p>
    <w:p w14:paraId="2867D748">
      <w:pPr>
        <w:snapToGrid w:val="0"/>
        <w:spacing w:line="360" w:lineRule="auto"/>
        <w:jc w:val="center"/>
        <w:rPr>
          <w:rFonts w:hint="eastAsia" w:cs="仿宋_GB2312" w:asciiTheme="majorEastAsia" w:hAnsiTheme="majorEastAsia" w:eastAsiaTheme="majorEastAsia"/>
          <w:color w:val="auto"/>
          <w:sz w:val="30"/>
          <w:szCs w:val="30"/>
          <w:lang w:val="en-US" w:eastAsia="zh-CN"/>
        </w:rPr>
      </w:pPr>
      <w:bookmarkStart w:id="0" w:name="_Hlt67893495"/>
      <w:bookmarkEnd w:id="0"/>
      <w:r>
        <w:rPr>
          <w:rFonts w:hint="eastAsia" w:cs="仿宋_GB2312" w:asciiTheme="majorEastAsia" w:hAnsiTheme="majorEastAsia" w:eastAsiaTheme="majorEastAsia"/>
          <w:color w:val="auto"/>
          <w:sz w:val="30"/>
          <w:szCs w:val="30"/>
          <w:lang w:val="en-US" w:eastAsia="zh-CN"/>
        </w:rPr>
        <w:t>采购人：宁波奉化裘村城镇建设有限公司</w:t>
      </w:r>
    </w:p>
    <w:p w14:paraId="2BDAC8BB">
      <w:pPr>
        <w:snapToGrid w:val="0"/>
        <w:spacing w:line="360" w:lineRule="auto"/>
        <w:jc w:val="center"/>
        <w:rPr>
          <w:rFonts w:hint="eastAsia" w:cs="仿宋_GB2312" w:asciiTheme="majorEastAsia" w:hAnsiTheme="majorEastAsia" w:eastAsiaTheme="majorEastAsia"/>
          <w:color w:val="auto"/>
          <w:sz w:val="30"/>
          <w:szCs w:val="30"/>
          <w:lang w:val="en-US" w:eastAsia="zh-CN"/>
        </w:rPr>
      </w:pPr>
      <w:r>
        <w:rPr>
          <w:rFonts w:hint="eastAsia" w:cs="仿宋_GB2312" w:asciiTheme="majorEastAsia" w:hAnsiTheme="majorEastAsia" w:eastAsiaTheme="majorEastAsia"/>
          <w:color w:val="auto"/>
          <w:sz w:val="30"/>
          <w:szCs w:val="30"/>
          <w:lang w:val="en-US" w:eastAsia="zh-CN"/>
        </w:rPr>
        <w:t>采购代理机构：</w:t>
      </w:r>
      <w:r>
        <w:rPr>
          <w:rFonts w:hint="eastAsia" w:cs="仿宋_GB2312" w:asciiTheme="majorEastAsia" w:hAnsiTheme="majorEastAsia" w:eastAsiaTheme="majorEastAsia"/>
          <w:color w:val="auto"/>
          <w:sz w:val="30"/>
          <w:szCs w:val="30"/>
          <w:lang w:eastAsia="zh-CN"/>
        </w:rPr>
        <w:t>宁波奉元工程咨询有限公司</w:t>
      </w:r>
    </w:p>
    <w:p w14:paraId="6AB3E6FF">
      <w:pPr>
        <w:snapToGrid w:val="0"/>
        <w:spacing w:line="360" w:lineRule="auto"/>
        <w:jc w:val="both"/>
        <w:rPr>
          <w:rFonts w:hint="eastAsia" w:cs="仿宋_GB2312" w:asciiTheme="majorEastAsia" w:hAnsiTheme="majorEastAsia" w:eastAsiaTheme="majorEastAsia"/>
          <w:color w:val="auto"/>
          <w:sz w:val="30"/>
          <w:szCs w:val="30"/>
          <w:lang w:eastAsia="zh-CN"/>
        </w:rPr>
      </w:pPr>
    </w:p>
    <w:p w14:paraId="367FD93C">
      <w:pPr>
        <w:snapToGrid w:val="0"/>
        <w:spacing w:line="360" w:lineRule="auto"/>
        <w:jc w:val="center"/>
        <w:rPr>
          <w:rFonts w:hint="eastAsia" w:cs="仿宋_GB2312" w:asciiTheme="majorEastAsia" w:hAnsiTheme="majorEastAsia" w:eastAsiaTheme="majorEastAsia"/>
          <w:color w:val="auto"/>
          <w:sz w:val="30"/>
          <w:szCs w:val="30"/>
          <w:lang w:eastAsia="zh-CN"/>
        </w:rPr>
      </w:pPr>
      <w:r>
        <w:rPr>
          <w:rFonts w:hint="eastAsia" w:cs="仿宋_GB2312" w:asciiTheme="majorEastAsia" w:hAnsiTheme="majorEastAsia" w:eastAsiaTheme="majorEastAsia"/>
          <w:color w:val="auto"/>
          <w:sz w:val="30"/>
          <w:szCs w:val="30"/>
          <w:lang w:eastAsia="zh-CN"/>
        </w:rPr>
        <w:t>二零二五年</w:t>
      </w:r>
    </w:p>
    <w:p w14:paraId="443A66F5">
      <w:pPr>
        <w:snapToGrid w:val="0"/>
        <w:spacing w:line="360" w:lineRule="auto"/>
        <w:jc w:val="center"/>
        <w:rPr>
          <w:rFonts w:hint="eastAsia" w:cs="仿宋_GB2312" w:asciiTheme="majorEastAsia" w:hAnsiTheme="majorEastAsia" w:eastAsiaTheme="majorEastAsia"/>
          <w:color w:val="auto"/>
          <w:sz w:val="30"/>
          <w:szCs w:val="30"/>
          <w:lang w:eastAsia="zh-CN"/>
        </w:rPr>
      </w:pPr>
    </w:p>
    <w:p w14:paraId="214B061D">
      <w:pPr>
        <w:pStyle w:val="30"/>
        <w:ind w:left="0" w:leftChars="0" w:firstLine="0" w:firstLineChars="0"/>
        <w:rPr>
          <w:rFonts w:cs="仿宋_GB2312" w:asciiTheme="majorEastAsia" w:hAnsiTheme="majorEastAsia" w:eastAsiaTheme="majorEastAsia"/>
          <w:color w:val="auto"/>
          <w:sz w:val="24"/>
        </w:rPr>
      </w:pPr>
    </w:p>
    <w:p w14:paraId="4FD527E5">
      <w:pPr>
        <w:spacing w:line="360" w:lineRule="auto"/>
        <w:jc w:val="center"/>
        <w:rPr>
          <w:rFonts w:cs="仿宋_GB2312" w:asciiTheme="majorEastAsia" w:hAnsiTheme="majorEastAsia" w:eastAsiaTheme="majorEastAsia"/>
          <w:b/>
          <w:color w:val="auto"/>
          <w:sz w:val="48"/>
          <w:szCs w:val="48"/>
        </w:rPr>
      </w:pPr>
      <w:r>
        <w:rPr>
          <w:rFonts w:hint="eastAsia" w:cs="仿宋_GB2312" w:asciiTheme="majorEastAsia" w:hAnsiTheme="majorEastAsia" w:eastAsiaTheme="majorEastAsia"/>
          <w:b/>
          <w:color w:val="auto"/>
          <w:sz w:val="48"/>
          <w:szCs w:val="48"/>
        </w:rPr>
        <w:t>目</w:t>
      </w:r>
      <w:r>
        <w:rPr>
          <w:rFonts w:cs="仿宋_GB2312" w:asciiTheme="majorEastAsia" w:hAnsiTheme="majorEastAsia" w:eastAsiaTheme="majorEastAsia"/>
          <w:b/>
          <w:color w:val="auto"/>
          <w:sz w:val="48"/>
          <w:szCs w:val="48"/>
        </w:rPr>
        <w:t xml:space="preserve">  </w:t>
      </w:r>
      <w:r>
        <w:rPr>
          <w:rFonts w:hint="eastAsia" w:cs="仿宋_GB2312" w:asciiTheme="majorEastAsia" w:hAnsiTheme="majorEastAsia" w:eastAsiaTheme="majorEastAsia"/>
          <w:b/>
          <w:color w:val="auto"/>
          <w:sz w:val="48"/>
          <w:szCs w:val="48"/>
        </w:rPr>
        <w:t>录</w:t>
      </w:r>
    </w:p>
    <w:p w14:paraId="05E74871">
      <w:pPr>
        <w:spacing w:line="360" w:lineRule="auto"/>
        <w:rPr>
          <w:rFonts w:cs="仿宋_GB2312" w:asciiTheme="majorEastAsia" w:hAnsiTheme="majorEastAsia" w:eastAsiaTheme="majorEastAsia"/>
          <w:color w:val="auto"/>
          <w:sz w:val="32"/>
          <w:szCs w:val="32"/>
        </w:rPr>
      </w:pPr>
    </w:p>
    <w:p w14:paraId="7ECE8C4F">
      <w:pPr>
        <w:spacing w:line="360" w:lineRule="auto"/>
        <w:rPr>
          <w:rFonts w:cs="仿宋_GB2312" w:asciiTheme="majorEastAsia" w:hAnsiTheme="majorEastAsia" w:eastAsiaTheme="majorEastAsia"/>
          <w:color w:val="auto"/>
          <w:sz w:val="32"/>
          <w:szCs w:val="32"/>
        </w:rPr>
      </w:pPr>
    </w:p>
    <w:p w14:paraId="1EEF20F3">
      <w:pP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第一部分      招标公告</w:t>
      </w:r>
    </w:p>
    <w:p w14:paraId="7FEB6F02">
      <w:pP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第二部分      投标须知</w:t>
      </w:r>
    </w:p>
    <w:p w14:paraId="20F99F21">
      <w:pP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第三部分      采购需求</w:t>
      </w:r>
    </w:p>
    <w:p w14:paraId="32BE8E97">
      <w:pP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第四部分      评标办法</w:t>
      </w:r>
    </w:p>
    <w:p w14:paraId="70F9D86D">
      <w:pP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第五部分      拟签订的合同文本</w:t>
      </w:r>
    </w:p>
    <w:p w14:paraId="4E075F20">
      <w:pP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第六部分      应提交的有关格式范例</w:t>
      </w:r>
    </w:p>
    <w:p w14:paraId="4E9BBE35">
      <w:pPr>
        <w:spacing w:line="360" w:lineRule="auto"/>
        <w:ind w:firstLine="549" w:firstLineChars="229"/>
        <w:rPr>
          <w:rFonts w:cs="仿宋" w:asciiTheme="majorEastAsia" w:hAnsiTheme="majorEastAsia" w:eastAsiaTheme="majorEastAsia"/>
          <w:color w:val="auto"/>
          <w:sz w:val="24"/>
        </w:rPr>
      </w:pPr>
      <w:bookmarkStart w:id="1" w:name="_Hlt91233176"/>
      <w:bookmarkEnd w:id="1"/>
      <w:bookmarkStart w:id="2" w:name="_Toc91899869"/>
    </w:p>
    <w:p w14:paraId="20719158">
      <w:pPr>
        <w:spacing w:line="360" w:lineRule="auto"/>
        <w:ind w:firstLine="549" w:firstLineChars="229"/>
        <w:rPr>
          <w:rFonts w:cs="仿宋" w:asciiTheme="majorEastAsia" w:hAnsiTheme="majorEastAsia" w:eastAsiaTheme="majorEastAsia"/>
          <w:color w:val="auto"/>
          <w:sz w:val="24"/>
        </w:rPr>
      </w:pPr>
    </w:p>
    <w:p w14:paraId="602A2306">
      <w:pPr>
        <w:spacing w:line="360" w:lineRule="auto"/>
        <w:ind w:firstLine="549" w:firstLineChars="229"/>
        <w:rPr>
          <w:rFonts w:cs="仿宋" w:asciiTheme="majorEastAsia" w:hAnsiTheme="majorEastAsia" w:eastAsiaTheme="majorEastAsia"/>
          <w:color w:val="auto"/>
          <w:sz w:val="24"/>
        </w:rPr>
      </w:pPr>
    </w:p>
    <w:p w14:paraId="528802F9">
      <w:pPr>
        <w:spacing w:line="360" w:lineRule="auto"/>
        <w:ind w:firstLine="549" w:firstLineChars="229"/>
        <w:rPr>
          <w:rFonts w:cs="仿宋" w:asciiTheme="majorEastAsia" w:hAnsiTheme="majorEastAsia" w:eastAsiaTheme="majorEastAsia"/>
          <w:color w:val="auto"/>
          <w:sz w:val="24"/>
        </w:rPr>
      </w:pPr>
    </w:p>
    <w:p w14:paraId="44EC1DDA">
      <w:pPr>
        <w:spacing w:line="360" w:lineRule="auto"/>
        <w:ind w:firstLine="549" w:firstLineChars="229"/>
        <w:rPr>
          <w:rFonts w:cs="仿宋" w:asciiTheme="majorEastAsia" w:hAnsiTheme="majorEastAsia" w:eastAsiaTheme="majorEastAsia"/>
          <w:color w:val="auto"/>
          <w:sz w:val="24"/>
        </w:rPr>
      </w:pPr>
    </w:p>
    <w:p w14:paraId="62C5FCB8">
      <w:pPr>
        <w:spacing w:line="360" w:lineRule="auto"/>
        <w:ind w:firstLine="549" w:firstLineChars="229"/>
        <w:rPr>
          <w:rFonts w:cs="仿宋" w:asciiTheme="majorEastAsia" w:hAnsiTheme="majorEastAsia" w:eastAsiaTheme="majorEastAsia"/>
          <w:color w:val="auto"/>
          <w:sz w:val="24"/>
        </w:rPr>
      </w:pPr>
    </w:p>
    <w:p w14:paraId="0A4AA34F">
      <w:pPr>
        <w:spacing w:line="360" w:lineRule="auto"/>
        <w:ind w:firstLine="549" w:firstLineChars="229"/>
        <w:rPr>
          <w:rFonts w:cs="仿宋" w:asciiTheme="majorEastAsia" w:hAnsiTheme="majorEastAsia" w:eastAsiaTheme="majorEastAsia"/>
          <w:color w:val="auto"/>
          <w:sz w:val="24"/>
        </w:rPr>
      </w:pPr>
    </w:p>
    <w:p w14:paraId="53197BD9">
      <w:pPr>
        <w:spacing w:line="360" w:lineRule="auto"/>
        <w:ind w:firstLine="549" w:firstLineChars="229"/>
        <w:rPr>
          <w:rFonts w:cs="仿宋" w:asciiTheme="majorEastAsia" w:hAnsiTheme="majorEastAsia" w:eastAsiaTheme="majorEastAsia"/>
          <w:color w:val="auto"/>
          <w:sz w:val="24"/>
        </w:rPr>
      </w:pPr>
    </w:p>
    <w:p w14:paraId="48DA8CAB">
      <w:pPr>
        <w:spacing w:line="360" w:lineRule="auto"/>
        <w:ind w:firstLine="549" w:firstLineChars="229"/>
        <w:rPr>
          <w:rFonts w:cs="仿宋" w:asciiTheme="majorEastAsia" w:hAnsiTheme="majorEastAsia" w:eastAsiaTheme="majorEastAsia"/>
          <w:color w:val="auto"/>
          <w:sz w:val="24"/>
        </w:rPr>
      </w:pPr>
    </w:p>
    <w:p w14:paraId="1FCD6185">
      <w:pPr>
        <w:spacing w:line="360" w:lineRule="auto"/>
        <w:ind w:firstLine="549" w:firstLineChars="229"/>
        <w:rPr>
          <w:rFonts w:cs="仿宋" w:asciiTheme="majorEastAsia" w:hAnsiTheme="majorEastAsia" w:eastAsiaTheme="majorEastAsia"/>
          <w:color w:val="auto"/>
          <w:sz w:val="24"/>
        </w:rPr>
      </w:pPr>
    </w:p>
    <w:p w14:paraId="28932536">
      <w:pPr>
        <w:spacing w:line="360" w:lineRule="auto"/>
        <w:ind w:firstLine="549" w:firstLineChars="229"/>
        <w:rPr>
          <w:rFonts w:cs="仿宋" w:asciiTheme="majorEastAsia" w:hAnsiTheme="majorEastAsia" w:eastAsiaTheme="majorEastAsia"/>
          <w:color w:val="auto"/>
          <w:sz w:val="24"/>
        </w:rPr>
      </w:pPr>
    </w:p>
    <w:p w14:paraId="3F5F2C8B">
      <w:pPr>
        <w:spacing w:line="360" w:lineRule="auto"/>
        <w:ind w:firstLine="549" w:firstLineChars="229"/>
        <w:rPr>
          <w:rFonts w:cs="仿宋" w:asciiTheme="majorEastAsia" w:hAnsiTheme="majorEastAsia" w:eastAsiaTheme="majorEastAsia"/>
          <w:color w:val="auto"/>
          <w:sz w:val="24"/>
        </w:rPr>
      </w:pPr>
    </w:p>
    <w:p w14:paraId="7A6DE72E">
      <w:pPr>
        <w:spacing w:line="360" w:lineRule="auto"/>
        <w:ind w:firstLine="549" w:firstLineChars="229"/>
        <w:rPr>
          <w:rFonts w:cs="仿宋" w:asciiTheme="majorEastAsia" w:hAnsiTheme="majorEastAsia" w:eastAsiaTheme="majorEastAsia"/>
          <w:color w:val="auto"/>
          <w:sz w:val="24"/>
        </w:rPr>
      </w:pPr>
    </w:p>
    <w:p w14:paraId="506A1EF0">
      <w:pPr>
        <w:spacing w:line="360" w:lineRule="auto"/>
        <w:rPr>
          <w:rFonts w:cs="仿宋" w:asciiTheme="majorEastAsia" w:hAnsiTheme="majorEastAsia" w:eastAsiaTheme="majorEastAsia"/>
          <w:color w:val="auto"/>
          <w:sz w:val="24"/>
        </w:rPr>
      </w:pPr>
    </w:p>
    <w:p w14:paraId="056C4BCE">
      <w:pPr>
        <w:spacing w:line="360" w:lineRule="auto"/>
        <w:jc w:val="center"/>
        <w:outlineLvl w:val="0"/>
        <w:rPr>
          <w:rFonts w:cs="仿宋" w:asciiTheme="majorEastAsia" w:hAnsiTheme="majorEastAsia" w:eastAsiaTheme="majorEastAsia"/>
          <w:b/>
          <w:color w:val="auto"/>
          <w:sz w:val="36"/>
          <w:szCs w:val="20"/>
        </w:rPr>
      </w:pPr>
      <w:bookmarkStart w:id="3" w:name="第一部分"/>
      <w:r>
        <w:rPr>
          <w:rFonts w:hint="eastAsia" w:cs="仿宋" w:asciiTheme="majorEastAsia" w:hAnsiTheme="majorEastAsia" w:eastAsiaTheme="majorEastAsia"/>
          <w:b/>
          <w:color w:val="auto"/>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cs="仿宋" w:asciiTheme="majorEastAsia" w:hAnsiTheme="majorEastAsia" w:eastAsiaTheme="majorEastAsia"/>
          <w:b/>
          <w:color w:val="auto"/>
          <w:sz w:val="36"/>
          <w:szCs w:val="20"/>
        </w:rPr>
        <w:t>第一部分 招标公告</w:t>
      </w:r>
    </w:p>
    <w:p w14:paraId="7252B22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14:paraId="37B3709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lang w:eastAsia="zh-CN"/>
        </w:rPr>
        <w:t>奉化区裘村镇污水主干管沿海中线段管网迁改工程一体化设备采购项目</w:t>
      </w:r>
      <w:r>
        <w:rPr>
          <w:rFonts w:hint="eastAsia" w:ascii="仿宋" w:hAnsi="仿宋" w:eastAsia="仿宋" w:cs="仿宋"/>
          <w:color w:val="auto"/>
          <w:sz w:val="24"/>
          <w:szCs w:val="24"/>
        </w:rPr>
        <w:t>的潜在供应商应在</w:t>
      </w:r>
      <w:r>
        <w:rPr>
          <w:rFonts w:hint="eastAsia" w:ascii="仿宋" w:hAnsi="仿宋" w:eastAsia="仿宋" w:cs="仿宋"/>
          <w:color w:val="auto"/>
          <w:sz w:val="24"/>
          <w:szCs w:val="24"/>
          <w:lang w:eastAsia="zh-CN"/>
        </w:rPr>
        <w:t>乐采云平台</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"https://www.zcygov.cn/）获取（下载）招标文件，并于2022年00月00日14点30分00秒" </w:instrText>
      </w:r>
      <w:r>
        <w:rPr>
          <w:rFonts w:hint="eastAsia" w:ascii="仿宋" w:hAnsi="仿宋" w:eastAsia="仿宋" w:cs="仿宋"/>
          <w:color w:val="auto"/>
          <w:sz w:val="24"/>
          <w:szCs w:val="24"/>
        </w:rPr>
        <w:fldChar w:fldCharType="separate"/>
      </w:r>
      <w:r>
        <w:rPr>
          <w:rStyle w:val="28"/>
          <w:rFonts w:hint="eastAsia" w:ascii="仿宋" w:hAnsi="仿宋" w:eastAsia="仿宋" w:cs="仿宋"/>
          <w:color w:val="auto"/>
          <w:sz w:val="24"/>
          <w:szCs w:val="24"/>
          <w:lang w:eastAsia="zh-CN"/>
        </w:rPr>
        <w:t>https://www.lecaiyun.com/</w:t>
      </w:r>
      <w:r>
        <w:rPr>
          <w:rStyle w:val="28"/>
          <w:rFonts w:hint="eastAsia" w:ascii="仿宋" w:hAnsi="仿宋" w:eastAsia="仿宋" w:cs="仿宋"/>
          <w:color w:val="auto"/>
          <w:sz w:val="24"/>
          <w:szCs w:val="24"/>
        </w:rPr>
        <w:t>）获取（下载）招标文件，并于</w:t>
      </w:r>
      <w:r>
        <w:rPr>
          <w:rStyle w:val="28"/>
          <w:rFonts w:hint="eastAsia" w:ascii="仿宋" w:hAnsi="仿宋" w:eastAsia="仿宋" w:cs="仿宋"/>
          <w:snapToGrid/>
          <w:color w:val="auto"/>
          <w:kern w:val="2"/>
          <w:sz w:val="24"/>
          <w:szCs w:val="24"/>
        </w:rPr>
        <w:t>202</w:t>
      </w:r>
      <w:r>
        <w:rPr>
          <w:rStyle w:val="28"/>
          <w:rFonts w:hint="eastAsia" w:ascii="仿宋" w:hAnsi="仿宋" w:eastAsia="仿宋" w:cs="仿宋"/>
          <w:snapToGrid/>
          <w:color w:val="auto"/>
          <w:kern w:val="2"/>
          <w:sz w:val="24"/>
          <w:szCs w:val="24"/>
          <w:lang w:val="en-US" w:eastAsia="zh-CN"/>
        </w:rPr>
        <w:t>5</w:t>
      </w:r>
      <w:r>
        <w:rPr>
          <w:rStyle w:val="28"/>
          <w:rFonts w:hint="eastAsia" w:ascii="仿宋" w:hAnsi="仿宋" w:eastAsia="仿宋" w:cs="仿宋"/>
          <w:snapToGrid/>
          <w:color w:val="auto"/>
          <w:kern w:val="2"/>
          <w:sz w:val="24"/>
          <w:szCs w:val="24"/>
        </w:rPr>
        <w:t>年</w:t>
      </w:r>
      <w:r>
        <w:rPr>
          <w:rStyle w:val="28"/>
          <w:rFonts w:hint="eastAsia" w:ascii="仿宋" w:hAnsi="仿宋" w:eastAsia="仿宋" w:cs="仿宋"/>
          <w:snapToGrid/>
          <w:color w:val="auto"/>
          <w:kern w:val="2"/>
          <w:sz w:val="24"/>
          <w:szCs w:val="24"/>
          <w:lang w:val="en-US" w:eastAsia="zh-CN"/>
        </w:rPr>
        <w:t>8</w:t>
      </w:r>
      <w:r>
        <w:rPr>
          <w:rStyle w:val="28"/>
          <w:rFonts w:hint="eastAsia" w:ascii="仿宋" w:hAnsi="仿宋" w:eastAsia="仿宋" w:cs="仿宋"/>
          <w:snapToGrid/>
          <w:color w:val="auto"/>
          <w:kern w:val="2"/>
          <w:sz w:val="24"/>
          <w:szCs w:val="24"/>
        </w:rPr>
        <w:t>月</w:t>
      </w:r>
      <w:r>
        <w:rPr>
          <w:rStyle w:val="28"/>
          <w:rFonts w:hint="eastAsia" w:ascii="仿宋" w:hAnsi="仿宋" w:eastAsia="仿宋" w:cs="仿宋"/>
          <w:snapToGrid/>
          <w:color w:val="auto"/>
          <w:kern w:val="2"/>
          <w:sz w:val="24"/>
          <w:szCs w:val="24"/>
          <w:lang w:val="en-US" w:eastAsia="zh-CN"/>
        </w:rPr>
        <w:t>6</w:t>
      </w:r>
      <w:r>
        <w:rPr>
          <w:rStyle w:val="28"/>
          <w:rFonts w:hint="eastAsia" w:ascii="仿宋" w:hAnsi="仿宋" w:eastAsia="仿宋" w:cs="仿宋"/>
          <w:snapToGrid/>
          <w:color w:val="auto"/>
          <w:kern w:val="2"/>
          <w:sz w:val="24"/>
          <w:szCs w:val="24"/>
        </w:rPr>
        <w:t>日</w:t>
      </w:r>
      <w:r>
        <w:rPr>
          <w:rStyle w:val="28"/>
          <w:rFonts w:hint="eastAsia" w:ascii="仿宋" w:hAnsi="仿宋" w:eastAsia="仿宋" w:cs="仿宋"/>
          <w:snapToGrid/>
          <w:color w:val="auto"/>
          <w:kern w:val="2"/>
          <w:sz w:val="24"/>
          <w:szCs w:val="24"/>
          <w:lang w:val="en-US" w:eastAsia="zh-CN"/>
        </w:rPr>
        <w:t>9</w:t>
      </w:r>
      <w:r>
        <w:rPr>
          <w:rStyle w:val="28"/>
          <w:rFonts w:hint="eastAsia" w:ascii="仿宋" w:hAnsi="仿宋" w:eastAsia="仿宋" w:cs="仿宋"/>
          <w:snapToGrid/>
          <w:color w:val="auto"/>
          <w:kern w:val="2"/>
          <w:sz w:val="24"/>
          <w:szCs w:val="24"/>
        </w:rPr>
        <w:t>点</w:t>
      </w:r>
      <w:r>
        <w:rPr>
          <w:rStyle w:val="28"/>
          <w:rFonts w:hint="eastAsia" w:ascii="仿宋" w:hAnsi="仿宋" w:eastAsia="仿宋" w:cs="仿宋"/>
          <w:snapToGrid/>
          <w:color w:val="auto"/>
          <w:kern w:val="2"/>
          <w:sz w:val="24"/>
          <w:szCs w:val="24"/>
          <w:lang w:val="en-US" w:eastAsia="zh-CN"/>
        </w:rPr>
        <w:t>00</w:t>
      </w:r>
      <w:r>
        <w:rPr>
          <w:rStyle w:val="28"/>
          <w:rFonts w:hint="eastAsia" w:ascii="仿宋" w:hAnsi="仿宋" w:eastAsia="仿宋" w:cs="仿宋"/>
          <w:snapToGrid/>
          <w:color w:val="auto"/>
          <w:kern w:val="2"/>
          <w:sz w:val="24"/>
          <w:szCs w:val="24"/>
        </w:rPr>
        <w:t>分</w:t>
      </w:r>
      <w:r>
        <w:rPr>
          <w:rStyle w:val="28"/>
          <w:rFonts w:hint="eastAsia" w:ascii="仿宋" w:hAnsi="仿宋" w:eastAsia="仿宋" w:cs="仿宋"/>
          <w:bCs/>
          <w:snapToGrid/>
          <w:color w:val="auto"/>
          <w:kern w:val="2"/>
          <w:sz w:val="24"/>
          <w:szCs w:val="24"/>
          <w:lang w:val="en-US" w:eastAsia="zh-CN"/>
        </w:rPr>
        <w:t>00</w:t>
      </w:r>
      <w:r>
        <w:rPr>
          <w:rStyle w:val="28"/>
          <w:rFonts w:hint="eastAsia" w:ascii="仿宋" w:hAnsi="仿宋" w:eastAsia="仿宋" w:cs="仿宋"/>
          <w:bCs/>
          <w:snapToGrid/>
          <w:color w:val="auto"/>
          <w:kern w:val="2"/>
          <w:sz w:val="24"/>
          <w:szCs w:val="24"/>
        </w:rPr>
        <w:t>秒</w:t>
      </w:r>
      <w:r>
        <w:rPr>
          <w:rStyle w:val="28"/>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szCs w:val="24"/>
        </w:rPr>
        <w:t>（北京时间）前</w:t>
      </w:r>
      <w:r>
        <w:rPr>
          <w:rFonts w:hint="eastAsia" w:ascii="仿宋" w:hAnsi="仿宋" w:eastAsia="仿宋" w:cs="仿宋"/>
          <w:color w:val="auto"/>
          <w:sz w:val="24"/>
          <w:szCs w:val="24"/>
        </w:rPr>
        <w:t>递交（上传）投标文件。</w:t>
      </w:r>
    </w:p>
    <w:p w14:paraId="57896B1E">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一、项目基本情况                                            </w:t>
      </w:r>
    </w:p>
    <w:p w14:paraId="1BEEE80D">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项目编号：</w:t>
      </w:r>
      <w:r>
        <w:rPr>
          <w:rFonts w:hint="eastAsia" w:ascii="仿宋" w:hAnsi="仿宋" w:eastAsia="仿宋" w:cs="仿宋"/>
          <w:color w:val="auto"/>
          <w:sz w:val="24"/>
          <w:szCs w:val="24"/>
          <w:lang w:eastAsia="zh-CN"/>
        </w:rPr>
        <w:t>FHGQZB(202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 xml:space="preserve">227D </w:t>
      </w:r>
    </w:p>
    <w:p w14:paraId="2E79D606">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项目名称：</w:t>
      </w:r>
      <w:r>
        <w:rPr>
          <w:rFonts w:hint="eastAsia" w:ascii="仿宋" w:hAnsi="仿宋" w:eastAsia="仿宋" w:cs="仿宋"/>
          <w:color w:val="auto"/>
          <w:sz w:val="24"/>
          <w:szCs w:val="24"/>
          <w:lang w:eastAsia="zh-CN"/>
        </w:rPr>
        <w:t>奉化区裘村镇污水主干管沿海中线段管网迁改工程一体化设备采购项目</w:t>
      </w:r>
    </w:p>
    <w:p w14:paraId="5B26785B">
      <w:pPr>
        <w:spacing w:line="360" w:lineRule="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auto"/>
          <w:sz w:val="24"/>
          <w:szCs w:val="24"/>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t xml:space="preserve"> 预算金额（元）：</w:t>
      </w:r>
      <w:r>
        <w:rPr>
          <w:rFonts w:hint="eastAsia" w:ascii="仿宋" w:hAnsi="仿宋" w:eastAsia="仿宋" w:cs="仿宋"/>
          <w:b/>
          <w:color w:val="000000" w:themeColor="text1"/>
          <w:sz w:val="24"/>
          <w:szCs w:val="24"/>
          <w:highlight w:val="none"/>
          <w:lang w:val="en-US" w:eastAsia="zh-CN"/>
          <w14:textFill>
            <w14:solidFill>
              <w14:schemeClr w14:val="tx1"/>
            </w14:solidFill>
          </w14:textFill>
        </w:rPr>
        <w:t>1192157</w:t>
      </w:r>
    </w:p>
    <w:p w14:paraId="5738BB7D">
      <w:pPr>
        <w:spacing w:line="360" w:lineRule="auto"/>
        <w:ind w:firstLine="48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最高限价（元）</w:t>
      </w:r>
      <w:r>
        <w:rPr>
          <w:rFonts w:hint="eastAsia" w:ascii="仿宋" w:hAnsi="仿宋" w:eastAsia="仿宋" w:cs="仿宋"/>
          <w:b/>
          <w:color w:val="000000" w:themeColor="text1"/>
          <w:sz w:val="24"/>
          <w:szCs w:val="24"/>
          <w:highlight w:val="none"/>
          <w:lang w:val="en-US" w:eastAsia="zh-CN"/>
          <w14:textFill>
            <w14:solidFill>
              <w14:schemeClr w14:val="tx1"/>
            </w14:solidFill>
          </w14:textFill>
        </w:rPr>
        <w:t>: 1192157</w:t>
      </w:r>
    </w:p>
    <w:p w14:paraId="726EDC8E">
      <w:pPr>
        <w:pStyle w:val="8"/>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szCs w:val="24"/>
        </w:rPr>
        <w:t>采购需求：</w:t>
      </w:r>
      <w:r>
        <w:rPr>
          <w:rFonts w:hint="eastAsia" w:ascii="仿宋" w:hAnsi="仿宋" w:eastAsia="仿宋" w:cs="仿宋"/>
          <w:color w:val="auto"/>
          <w:sz w:val="24"/>
          <w:szCs w:val="24"/>
          <w:lang w:eastAsia="zh-CN"/>
        </w:rPr>
        <w:t>奉化区裘村镇污水主干管沿海中线段管网迁改工程一体化设备采购项目</w:t>
      </w:r>
      <w:r>
        <w:rPr>
          <w:rFonts w:hint="eastAsia" w:ascii="仿宋" w:hAnsi="仿宋" w:eastAsia="仿宋" w:cs="仿宋"/>
          <w:bCs/>
          <w:snapToGrid/>
          <w:color w:val="auto"/>
          <w:kern w:val="2"/>
          <w:sz w:val="24"/>
          <w:szCs w:val="24"/>
        </w:rPr>
        <w:t>。</w:t>
      </w:r>
    </w:p>
    <w:p w14:paraId="15DE560C">
      <w:pPr>
        <w:pStyle w:val="8"/>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Cs/>
          <w:snapToGrid/>
          <w:color w:val="auto"/>
          <w:kern w:val="2"/>
          <w:sz w:val="24"/>
          <w:szCs w:val="24"/>
        </w:rPr>
        <w:t>详见招标文件第三部分采购需求。</w:t>
      </w:r>
    </w:p>
    <w:p w14:paraId="414E640C">
      <w:pPr>
        <w:pStyle w:val="45"/>
        <w:ind w:firstLine="482"/>
        <w:outlineLvl w:val="2"/>
        <w:rPr>
          <w:rFonts w:hint="eastAsia" w:ascii="仿宋" w:hAnsi="仿宋" w:eastAsia="仿宋" w:cs="仿宋"/>
          <w:color w:val="auto"/>
          <w:sz w:val="24"/>
          <w:szCs w:val="24"/>
        </w:rPr>
      </w:pPr>
      <w:r>
        <w:rPr>
          <w:rFonts w:hint="eastAsia" w:ascii="仿宋" w:hAnsi="仿宋" w:eastAsia="仿宋" w:cs="仿宋"/>
          <w:b/>
          <w:color w:val="auto"/>
          <w:sz w:val="24"/>
          <w:szCs w:val="24"/>
        </w:rPr>
        <w:t>合同履约期限：详见采购文件</w:t>
      </w:r>
    </w:p>
    <w:p w14:paraId="5DE70490">
      <w:pPr>
        <w:pStyle w:val="8"/>
        <w:spacing w:line="360" w:lineRule="auto"/>
        <w:ind w:firstLine="480"/>
        <w:rPr>
          <w:rFonts w:hint="eastAsia" w:ascii="仿宋" w:hAnsi="仿宋" w:eastAsia="仿宋" w:cs="仿宋"/>
          <w:b/>
          <w:color w:val="auto"/>
          <w:sz w:val="24"/>
          <w:szCs w:val="24"/>
        </w:rPr>
      </w:pPr>
      <w:r>
        <w:rPr>
          <w:rFonts w:hint="eastAsia" w:ascii="仿宋" w:hAnsi="仿宋" w:eastAsia="仿宋" w:cs="仿宋"/>
          <w:b/>
          <w:color w:val="auto"/>
          <w:sz w:val="24"/>
          <w:szCs w:val="24"/>
        </w:rPr>
        <w:t>本项目接受联合体投标：</w:t>
      </w:r>
      <w:r>
        <w:rPr>
          <w:rFonts w:hint="eastAsia" w:ascii="仿宋" w:hAnsi="仿宋" w:eastAsia="仿宋" w:cs="仿宋"/>
          <w:color w:val="auto"/>
          <w:kern w:val="0"/>
          <w:sz w:val="24"/>
          <w:szCs w:val="24"/>
        </w:rPr>
        <w:t>☐</w:t>
      </w:r>
      <w:r>
        <w:rPr>
          <w:rFonts w:hint="eastAsia" w:ascii="仿宋" w:hAnsi="仿宋" w:eastAsia="仿宋" w:cs="仿宋"/>
          <w:b/>
          <w:color w:val="auto"/>
          <w:sz w:val="24"/>
          <w:szCs w:val="24"/>
        </w:rPr>
        <w:t>是，</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rPr>
        <w:sym w:font="Wingdings" w:char="F0FE"/>
      </w:r>
      <w:r>
        <w:rPr>
          <w:rFonts w:hint="eastAsia" w:ascii="仿宋" w:hAnsi="仿宋" w:eastAsia="仿宋" w:cs="仿宋"/>
          <w:b/>
          <w:color w:val="auto"/>
          <w:sz w:val="24"/>
          <w:szCs w:val="24"/>
        </w:rPr>
        <w:t>否</w:t>
      </w:r>
      <w:r>
        <w:rPr>
          <w:rFonts w:hint="eastAsia" w:ascii="仿宋" w:hAnsi="仿宋" w:eastAsia="仿宋" w:cs="仿宋"/>
          <w:color w:val="auto"/>
          <w:kern w:val="0"/>
          <w:sz w:val="24"/>
          <w:szCs w:val="24"/>
        </w:rPr>
        <w:t>。</w:t>
      </w:r>
    </w:p>
    <w:p w14:paraId="705786D8">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二、申请人的资格要求：</w:t>
      </w:r>
    </w:p>
    <w:p w14:paraId="50F3A477">
      <w:pPr>
        <w:spacing w:line="360" w:lineRule="auto"/>
        <w:ind w:firstLine="480"/>
        <w:rPr>
          <w:rFonts w:hint="eastAsia" w:ascii="仿宋" w:hAnsi="仿宋" w:eastAsia="仿宋" w:cs="仿宋"/>
          <w:snapToGrid w:val="0"/>
          <w:color w:val="auto"/>
          <w:kern w:val="28"/>
          <w:sz w:val="24"/>
          <w:szCs w:val="24"/>
        </w:rPr>
      </w:pPr>
      <w:r>
        <w:rPr>
          <w:rFonts w:hint="eastAsia" w:ascii="仿宋" w:hAnsi="仿宋" w:eastAsia="仿宋" w:cs="仿宋"/>
          <w:snapToGrid w:val="0"/>
          <w:color w:val="auto"/>
          <w:kern w:val="28"/>
          <w:sz w:val="24"/>
          <w:szCs w:val="24"/>
        </w:rPr>
        <w:t>1. 满足《中华人民共和国政府采购法》第二十二条规定；未被“信用中国”（www.creditchina.gov.cn)、中国政府采购网（www.ccgp.gov.cn）列入失信被执行人、</w:t>
      </w:r>
      <w:r>
        <w:rPr>
          <w:rFonts w:hint="eastAsia" w:ascii="仿宋" w:hAnsi="仿宋" w:eastAsia="仿宋" w:cs="仿宋"/>
          <w:snapToGrid w:val="0"/>
          <w:color w:val="auto"/>
          <w:kern w:val="28"/>
          <w:sz w:val="24"/>
          <w:szCs w:val="24"/>
          <w:lang w:eastAsia="zh-CN"/>
        </w:rPr>
        <w:t>重大税收违法失信主体</w:t>
      </w:r>
      <w:r>
        <w:rPr>
          <w:rFonts w:hint="eastAsia" w:ascii="仿宋" w:hAnsi="仿宋" w:eastAsia="仿宋" w:cs="仿宋"/>
          <w:snapToGrid w:val="0"/>
          <w:color w:val="auto"/>
          <w:kern w:val="28"/>
          <w:sz w:val="24"/>
          <w:szCs w:val="24"/>
        </w:rPr>
        <w:t>、政府采购严重违法失信行为记录名单；</w:t>
      </w:r>
    </w:p>
    <w:p w14:paraId="303DA1B2">
      <w:pPr>
        <w:spacing w:line="360" w:lineRule="auto"/>
        <w:rPr>
          <w:rFonts w:hint="eastAsia" w:ascii="仿宋" w:hAnsi="仿宋" w:eastAsia="仿宋" w:cs="仿宋"/>
          <w:snapToGrid w:val="0"/>
          <w:color w:val="auto"/>
          <w:kern w:val="28"/>
          <w:sz w:val="24"/>
          <w:szCs w:val="24"/>
        </w:rPr>
      </w:pPr>
      <w:r>
        <w:rPr>
          <w:rFonts w:hint="eastAsia" w:ascii="仿宋" w:hAnsi="仿宋" w:eastAsia="仿宋" w:cs="仿宋"/>
          <w:snapToGrid w:val="0"/>
          <w:color w:val="auto"/>
          <w:kern w:val="28"/>
          <w:sz w:val="24"/>
          <w:szCs w:val="24"/>
        </w:rPr>
        <w:t xml:space="preserve">    2.落实政府采购政策需满足的资格要求：</w:t>
      </w:r>
    </w:p>
    <w:p w14:paraId="0891257E">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F0FE"/>
      </w:r>
      <w:r>
        <w:rPr>
          <w:rFonts w:hint="eastAsia" w:ascii="仿宋" w:hAnsi="仿宋" w:eastAsia="仿宋" w:cs="仿宋"/>
          <w:color w:val="auto"/>
          <w:sz w:val="24"/>
          <w:szCs w:val="24"/>
        </w:rPr>
        <w:t>无；</w:t>
      </w:r>
    </w:p>
    <w:p w14:paraId="67CD847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w:t>
      </w:r>
    </w:p>
    <w:p w14:paraId="45C76F0F">
      <w:pPr>
        <w:snapToGrid w:val="0"/>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8C0DC6">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三、获取招标文件 </w:t>
      </w:r>
    </w:p>
    <w:p w14:paraId="2EBD48AC">
      <w:pPr>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时间：</w:t>
      </w:r>
      <w:r>
        <w:rPr>
          <w:rFonts w:hint="eastAsia" w:ascii="仿宋" w:hAnsi="仿宋" w:eastAsia="仿宋" w:cs="仿宋"/>
          <w:color w:val="auto"/>
          <w:sz w:val="24"/>
          <w:szCs w:val="24"/>
        </w:rPr>
        <w:t>/至</w:t>
      </w:r>
      <w:r>
        <w:rPr>
          <w:rFonts w:hint="eastAsia" w:ascii="仿宋" w:hAnsi="仿宋" w:eastAsia="仿宋" w:cs="仿宋"/>
          <w:color w:val="auto"/>
          <w:sz w:val="24"/>
          <w:szCs w:val="24"/>
          <w:u w:val="single"/>
          <w:lang w:eastAsia="zh-CN"/>
        </w:rPr>
        <w:t>2025年</w:t>
      </w:r>
      <w:r>
        <w:rPr>
          <w:rFonts w:hint="eastAsia" w:ascii="仿宋" w:hAnsi="仿宋" w:eastAsia="仿宋" w:cs="仿宋"/>
          <w:color w:val="auto"/>
          <w:sz w:val="24"/>
          <w:szCs w:val="24"/>
          <w:u w:val="single"/>
          <w:lang w:val="en-US" w:eastAsia="zh-CN"/>
        </w:rPr>
        <w:t>7</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18</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，每天上午00:00至12:00 ，下午12:00至23:59（北京时间）。</w:t>
      </w:r>
    </w:p>
    <w:p w14:paraId="31B1E74C">
      <w:pPr>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地点（网址）：</w:t>
      </w:r>
      <w:r>
        <w:rPr>
          <w:rFonts w:hint="eastAsia" w:ascii="仿宋" w:hAnsi="仿宋" w:eastAsia="仿宋" w:cs="仿宋"/>
          <w:color w:val="auto"/>
          <w:sz w:val="24"/>
          <w:szCs w:val="24"/>
          <w:lang w:eastAsia="zh-CN"/>
        </w:rPr>
        <w:t>乐采云平台</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https://www.lecaiyun.com/</w:t>
      </w:r>
      <w:r>
        <w:rPr>
          <w:rFonts w:hint="eastAsia" w:ascii="仿宋" w:hAnsi="仿宋" w:eastAsia="仿宋" w:cs="仿宋"/>
          <w:color w:val="auto"/>
          <w:sz w:val="24"/>
          <w:szCs w:val="24"/>
        </w:rPr>
        <w:t>）。</w:t>
      </w:r>
    </w:p>
    <w:p w14:paraId="7A04160C">
      <w:pPr>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方式：</w:t>
      </w:r>
      <w:r>
        <w:rPr>
          <w:rFonts w:hint="eastAsia" w:ascii="仿宋" w:hAnsi="仿宋" w:eastAsia="仿宋" w:cs="仿宋"/>
          <w:color w:val="auto"/>
          <w:sz w:val="24"/>
          <w:szCs w:val="24"/>
        </w:rPr>
        <w:t>供应商登录</w:t>
      </w:r>
      <w:r>
        <w:rPr>
          <w:rFonts w:hint="eastAsia" w:ascii="仿宋" w:hAnsi="仿宋" w:eastAsia="仿宋" w:cs="仿宋"/>
          <w:color w:val="auto"/>
          <w:sz w:val="24"/>
          <w:szCs w:val="24"/>
          <w:lang w:eastAsia="zh-CN"/>
        </w:rPr>
        <w:t>乐采云平台https://www.lecaiyun.com/</w:t>
      </w:r>
      <w:r>
        <w:rPr>
          <w:rFonts w:hint="eastAsia" w:ascii="仿宋" w:hAnsi="仿宋" w:eastAsia="仿宋" w:cs="仿宋"/>
          <w:color w:val="auto"/>
          <w:sz w:val="24"/>
          <w:szCs w:val="24"/>
        </w:rPr>
        <w:t xml:space="preserve">在线申请获取招标文件（进入“项目采购”应用，在获取采购文件菜单中选择项目，申请获取招标文件）。 </w:t>
      </w:r>
    </w:p>
    <w:p w14:paraId="2A7976DC">
      <w:pPr>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售价（元）：</w:t>
      </w:r>
      <w:r>
        <w:rPr>
          <w:rFonts w:hint="eastAsia" w:ascii="仿宋" w:hAnsi="仿宋" w:eastAsia="仿宋" w:cs="仿宋"/>
          <w:color w:val="auto"/>
          <w:sz w:val="24"/>
          <w:szCs w:val="24"/>
        </w:rPr>
        <w:t xml:space="preserve">0 </w:t>
      </w:r>
      <w:r>
        <w:rPr>
          <w:rFonts w:hint="eastAsia" w:ascii="仿宋" w:hAnsi="仿宋" w:eastAsia="仿宋" w:cs="仿宋"/>
          <w:color w:val="auto"/>
          <w:sz w:val="24"/>
          <w:szCs w:val="24"/>
        </w:rPr>
        <w:tab/>
      </w:r>
    </w:p>
    <w:p w14:paraId="18019D80">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四、提交投标文件截止时间、开标时间和地点</w:t>
      </w:r>
    </w:p>
    <w:p w14:paraId="64D5F46D">
      <w:pPr>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提交投标文件截止时间：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2025年</w:t>
      </w:r>
      <w:r>
        <w:rPr>
          <w:rFonts w:hint="eastAsia" w:ascii="仿宋" w:hAnsi="仿宋" w:eastAsia="仿宋" w:cs="仿宋"/>
          <w:color w:val="auto"/>
          <w:sz w:val="24"/>
          <w:szCs w:val="24"/>
          <w:u w:val="single"/>
          <w:lang w:val="en-US" w:eastAsia="zh-CN"/>
        </w:rPr>
        <w:t>8</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6</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9</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w:t>
      </w:r>
      <w:r>
        <w:rPr>
          <w:rFonts w:hint="eastAsia" w:ascii="仿宋" w:hAnsi="仿宋" w:eastAsia="仿宋" w:cs="仿宋"/>
          <w:bCs/>
          <w:color w:val="auto"/>
          <w:sz w:val="24"/>
          <w:szCs w:val="24"/>
          <w:u w:val="single"/>
        </w:rPr>
        <w:t xml:space="preserve"> </w:t>
      </w:r>
      <w:r>
        <w:rPr>
          <w:rFonts w:hint="eastAsia" w:ascii="仿宋" w:hAnsi="仿宋" w:eastAsia="仿宋" w:cs="仿宋"/>
          <w:color w:val="auto"/>
          <w:sz w:val="24"/>
          <w:szCs w:val="24"/>
        </w:rPr>
        <w:t>（北京时间）。</w:t>
      </w:r>
    </w:p>
    <w:p w14:paraId="09D92880">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投标地点（网址）：</w:t>
      </w:r>
      <w:r>
        <w:rPr>
          <w:rFonts w:hint="eastAsia" w:ascii="仿宋" w:hAnsi="仿宋" w:eastAsia="仿宋" w:cs="仿宋"/>
          <w:color w:val="auto"/>
          <w:sz w:val="24"/>
          <w:szCs w:val="24"/>
          <w:lang w:eastAsia="zh-CN"/>
        </w:rPr>
        <w:t>乐采云平台</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https://www.lecaiyun.com/</w:t>
      </w:r>
      <w:r>
        <w:rPr>
          <w:rFonts w:hint="eastAsia" w:ascii="仿宋" w:hAnsi="仿宋" w:eastAsia="仿宋" w:cs="仿宋"/>
          <w:color w:val="auto"/>
          <w:sz w:val="24"/>
          <w:szCs w:val="24"/>
        </w:rPr>
        <w:t>）。</w:t>
      </w:r>
    </w:p>
    <w:p w14:paraId="62529AB4">
      <w:pPr>
        <w:spacing w:line="360" w:lineRule="auto"/>
        <w:ind w:firstLine="482" w:firstLineChars="200"/>
        <w:rPr>
          <w:rFonts w:hint="eastAsia" w:ascii="仿宋" w:hAnsi="仿宋" w:eastAsia="仿宋" w:cs="仿宋"/>
          <w:bCs/>
          <w:color w:val="auto"/>
          <w:sz w:val="24"/>
          <w:szCs w:val="24"/>
          <w:u w:val="single"/>
        </w:rPr>
      </w:pPr>
      <w:r>
        <w:rPr>
          <w:rFonts w:hint="eastAsia" w:ascii="仿宋" w:hAnsi="仿宋" w:eastAsia="仿宋" w:cs="仿宋"/>
          <w:b/>
          <w:color w:val="auto"/>
          <w:sz w:val="24"/>
          <w:szCs w:val="24"/>
        </w:rPr>
        <w:t>开标时间：</w:t>
      </w:r>
      <w:r>
        <w:rPr>
          <w:rFonts w:hint="eastAsia" w:ascii="仿宋" w:hAnsi="仿宋" w:eastAsia="仿宋" w:cs="仿宋"/>
          <w:color w:val="auto"/>
          <w:sz w:val="24"/>
          <w:szCs w:val="24"/>
          <w:u w:val="single"/>
          <w:lang w:eastAsia="zh-CN"/>
        </w:rPr>
        <w:t>2025年</w:t>
      </w:r>
      <w:r>
        <w:rPr>
          <w:rFonts w:hint="eastAsia" w:ascii="仿宋" w:hAnsi="仿宋" w:eastAsia="仿宋" w:cs="仿宋"/>
          <w:color w:val="auto"/>
          <w:sz w:val="24"/>
          <w:szCs w:val="24"/>
          <w:u w:val="single"/>
          <w:lang w:val="en-US" w:eastAsia="zh-CN"/>
        </w:rPr>
        <w:t>8</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6</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9</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w:t>
      </w:r>
      <w:r>
        <w:rPr>
          <w:rFonts w:hint="eastAsia" w:ascii="仿宋" w:hAnsi="仿宋" w:eastAsia="仿宋" w:cs="仿宋"/>
          <w:bCs/>
          <w:color w:val="auto"/>
          <w:sz w:val="24"/>
          <w:szCs w:val="24"/>
        </w:rPr>
        <w:t>。</w:t>
      </w:r>
    </w:p>
    <w:p w14:paraId="4EDD048A">
      <w:pPr>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开标地点（网址）：</w:t>
      </w:r>
      <w:r>
        <w:rPr>
          <w:rFonts w:hint="eastAsia" w:ascii="仿宋" w:hAnsi="仿宋" w:eastAsia="仿宋" w:cs="仿宋"/>
          <w:color w:val="auto"/>
          <w:sz w:val="24"/>
          <w:szCs w:val="24"/>
          <w:lang w:eastAsia="zh-CN"/>
        </w:rPr>
        <w:t>乐采云平台</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https://www.lecaiyun.com/</w:t>
      </w:r>
      <w:r>
        <w:rPr>
          <w:rFonts w:hint="eastAsia" w:ascii="仿宋" w:hAnsi="仿宋" w:eastAsia="仿宋" w:cs="仿宋"/>
          <w:color w:val="auto"/>
          <w:sz w:val="24"/>
          <w:szCs w:val="24"/>
        </w:rPr>
        <w:t>）。</w:t>
      </w:r>
    </w:p>
    <w:p w14:paraId="3F1B7756">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开标地点（线下）：</w:t>
      </w:r>
      <w:r>
        <w:rPr>
          <w:rFonts w:hint="eastAsia" w:ascii="仿宋" w:hAnsi="仿宋" w:eastAsia="仿宋" w:cs="仿宋"/>
          <w:bCs/>
          <w:color w:val="auto"/>
          <w:sz w:val="24"/>
          <w:szCs w:val="24"/>
        </w:rPr>
        <w:t>宁波市奉化区公共资源交易中心开标</w:t>
      </w:r>
      <w:r>
        <w:rPr>
          <w:rFonts w:hint="eastAsia" w:ascii="仿宋" w:hAnsi="仿宋" w:eastAsia="仿宋" w:cs="仿宋"/>
          <w:bCs/>
          <w:color w:val="000000" w:themeColor="text1"/>
          <w:sz w:val="24"/>
          <w:szCs w:val="24"/>
          <w:highlight w:val="none"/>
          <w14:textFill>
            <w14:solidFill>
              <w14:schemeClr w14:val="tx1"/>
            </w14:solidFill>
          </w14:textFill>
        </w:rPr>
        <w:t>厅</w:t>
      </w:r>
      <w:r>
        <w:rPr>
          <w:rFonts w:hint="eastAsia" w:ascii="仿宋" w:hAnsi="仿宋" w:eastAsia="仿宋" w:cs="仿宋"/>
          <w:bCs/>
          <w:color w:val="000000" w:themeColor="text1"/>
          <w:sz w:val="24"/>
          <w:szCs w:val="24"/>
          <w:highlight w:val="none"/>
          <w:u w:val="single"/>
          <w:lang w:val="en-US" w:eastAsia="zh-CN"/>
          <w14:textFill>
            <w14:solidFill>
              <w14:schemeClr w14:val="tx1"/>
            </w14:solidFill>
          </w14:textFill>
        </w:rPr>
        <w:t xml:space="preserve"> 一  </w:t>
      </w:r>
      <w:r>
        <w:rPr>
          <w:rFonts w:hint="eastAsia" w:ascii="仿宋" w:hAnsi="仿宋" w:eastAsia="仿宋" w:cs="仿宋"/>
          <w:bCs/>
          <w:color w:val="auto"/>
          <w:sz w:val="24"/>
          <w:szCs w:val="24"/>
        </w:rPr>
        <w:t>（宁波市奉化区大成东路277号4楼）</w:t>
      </w:r>
    </w:p>
    <w:p w14:paraId="7A8F2F61">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 xml:space="preserve">五、公告期限 </w:t>
      </w:r>
    </w:p>
    <w:p w14:paraId="48E0166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自本公告发布之日起5个工作日。</w:t>
      </w:r>
    </w:p>
    <w:p w14:paraId="4E2D935D">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六、其他补充事宜</w:t>
      </w:r>
    </w:p>
    <w:p w14:paraId="2EE19CE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7123CAB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2.其他事项：（1）需要落实的政府采购政策：包括节约资源、保护环境、支持创新、促进中小企业发展等。详见招标文件的第二部分总则。（2）电子招投标的说明：①电子招投标：本项目以数据电文形式，依托“乐采云平台（www.lecaiyun.com）”进行招投标活动，不接受纸质投标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https://b.zhengcaiyun.cn/luban/category?parentId=550045&amp;childrenCode=qicaiCategory17&amp;utm=luban.luban-PC-39026.959-pc-websitegroup-navBar-front.8.ebdec73052c711ef9ade896d008b9248）”进行下载并安装；</w:t>
      </w:r>
      <w:r>
        <w:rPr>
          <w:rFonts w:hint="eastAsia" w:ascii="仿宋" w:hAnsi="仿宋" w:eastAsia="仿宋" w:cs="仿宋"/>
          <w:color w:val="auto"/>
          <w:sz w:val="24"/>
          <w:szCs w:val="24"/>
          <w:lang w:val="zh-CN" w:eastAsia="zh-CN"/>
        </w:rPr>
        <w:t>供应商</w:t>
      </w:r>
      <w:r>
        <w:rPr>
          <w:rFonts w:hint="eastAsia" w:ascii="仿宋" w:hAnsi="仿宋" w:eastAsia="仿宋" w:cs="仿宋"/>
          <w:color w:val="auto"/>
          <w:sz w:val="24"/>
          <w:szCs w:val="24"/>
          <w:lang w:eastAsia="zh-CN"/>
        </w:rPr>
        <w:t>在开标前应确保成为浙江省政府采购网正式注册入库供应商，并完成CA数字证书办理。完成CA数字证书办理在资料齐全的情况下预计7个工作日左右，请各</w:t>
      </w:r>
      <w:r>
        <w:rPr>
          <w:rFonts w:hint="eastAsia" w:ascii="仿宋" w:hAnsi="仿宋" w:eastAsia="仿宋" w:cs="仿宋"/>
          <w:color w:val="auto"/>
          <w:sz w:val="24"/>
          <w:szCs w:val="24"/>
          <w:lang w:val="zh-CN" w:eastAsia="zh-CN"/>
        </w:rPr>
        <w:t>供应商</w:t>
      </w:r>
      <w:r>
        <w:rPr>
          <w:rFonts w:hint="eastAsia" w:ascii="仿宋" w:hAnsi="仿宋" w:eastAsia="仿宋" w:cs="仿宋"/>
          <w:color w:val="auto"/>
          <w:sz w:val="24"/>
          <w:szCs w:val="24"/>
          <w:lang w:eastAsia="zh-CN"/>
        </w:rPr>
        <w:t>合理预估时间，及时办理。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ascii="仿宋" w:hAnsi="仿宋" w:eastAsia="仿宋" w:cs="仿宋"/>
          <w:color w:val="auto"/>
          <w:sz w:val="24"/>
          <w:szCs w:val="24"/>
          <w:lang w:val="zh-CN" w:eastAsia="zh-CN"/>
        </w:rPr>
        <w:t>供应商</w:t>
      </w:r>
      <w:r>
        <w:rPr>
          <w:rFonts w:hint="eastAsia" w:ascii="仿宋" w:hAnsi="仿宋" w:eastAsia="仿宋" w:cs="仿宋"/>
          <w:color w:val="auto"/>
          <w:sz w:val="24"/>
          <w:szCs w:val="24"/>
          <w:lang w:eastAsia="zh-CN"/>
        </w:rPr>
        <w:t>按照平台提示和招标文件的规定在半小时内完成在线解密。⑨具体操作指南：详见乐采云平台“服务中心-帮助文档-项目采购-操作流程-电子招投标-政府采购项目电子交易管理操作指南-供应商”。</w:t>
      </w:r>
    </w:p>
    <w:p w14:paraId="01CAC417">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七、对本次采购提出询问、质疑、投诉，请按以下方式联系</w:t>
      </w:r>
    </w:p>
    <w:p w14:paraId="1CBF6362">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1.采购人信息</w:t>
      </w:r>
    </w:p>
    <w:p w14:paraId="2D3AD3E2">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名    称：宁波奉化裘村城镇建设有限公司   </w:t>
      </w:r>
    </w:p>
    <w:p w14:paraId="2950DD8C">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    址：浙江省宁波市奉化区裘村镇裘一村车站后</w:t>
      </w:r>
    </w:p>
    <w:p w14:paraId="32BB237E">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传    真： /</w:t>
      </w:r>
    </w:p>
    <w:p w14:paraId="075F7332">
      <w:pPr>
        <w:pStyle w:val="19"/>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项目联系人：</w:t>
      </w:r>
      <w:r>
        <w:rPr>
          <w:rFonts w:hint="eastAsia" w:ascii="仿宋" w:hAnsi="仿宋" w:eastAsia="仿宋" w:cs="仿宋"/>
          <w:color w:val="auto"/>
          <w:sz w:val="24"/>
          <w:szCs w:val="24"/>
          <w:lang w:eastAsia="zh-CN"/>
        </w:rPr>
        <w:t>陈先生</w:t>
      </w:r>
      <w:r>
        <w:rPr>
          <w:rFonts w:hint="eastAsia" w:ascii="仿宋" w:hAnsi="仿宋" w:eastAsia="仿宋" w:cs="仿宋"/>
          <w:color w:val="auto"/>
          <w:sz w:val="24"/>
          <w:szCs w:val="24"/>
        </w:rPr>
        <w:t xml:space="preserve"> </w:t>
      </w:r>
    </w:p>
    <w:p w14:paraId="4BC09F13">
      <w:pPr>
        <w:pStyle w:val="19"/>
        <w:keepNext w:val="0"/>
        <w:keepLines w:val="0"/>
        <w:widowControl/>
        <w:suppressLineNumbers w:val="0"/>
        <w:spacing w:before="0" w:beforeAutospacing="0" w:after="0" w:afterAutospacing="0" w:line="360" w:lineRule="auto"/>
        <w:ind w:left="0" w:right="0"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项目联系方式：</w:t>
      </w:r>
      <w:r>
        <w:rPr>
          <w:rFonts w:hint="eastAsia" w:ascii="仿宋" w:hAnsi="仿宋" w:eastAsia="仿宋" w:cs="仿宋"/>
          <w:color w:val="auto"/>
          <w:sz w:val="24"/>
          <w:szCs w:val="24"/>
          <w:lang w:val="en-US" w:eastAsia="zh-CN"/>
        </w:rPr>
        <w:t>18069035495</w:t>
      </w:r>
    </w:p>
    <w:p w14:paraId="22CF5F38">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2.采购代理机构信息            </w:t>
      </w:r>
    </w:p>
    <w:p w14:paraId="2FFDE0EC">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名    称：宁波奉元工程咨询有限公司</w:t>
      </w:r>
    </w:p>
    <w:p w14:paraId="1B665407">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    址：宁波市奉化区滕明楼B幢办公用房1001-1002室</w:t>
      </w:r>
    </w:p>
    <w:p w14:paraId="10F1B607">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传    真：0574-</w:t>
      </w:r>
      <w:r>
        <w:rPr>
          <w:rFonts w:hint="eastAsia" w:ascii="仿宋" w:hAnsi="仿宋" w:eastAsia="仿宋" w:cs="仿宋"/>
          <w:color w:val="auto"/>
          <w:sz w:val="24"/>
          <w:szCs w:val="24"/>
          <w:lang w:val="en-US" w:eastAsia="zh-CN"/>
        </w:rPr>
        <w:t>88583970</w:t>
      </w:r>
      <w:r>
        <w:rPr>
          <w:rFonts w:hint="eastAsia" w:ascii="仿宋" w:hAnsi="仿宋" w:eastAsia="仿宋" w:cs="仿宋"/>
          <w:color w:val="auto"/>
          <w:sz w:val="24"/>
          <w:szCs w:val="24"/>
          <w:lang w:eastAsia="zh-CN"/>
        </w:rPr>
        <w:t xml:space="preserve">             </w:t>
      </w:r>
    </w:p>
    <w:p w14:paraId="0D125A1B">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项目联系人（询问）：夏女士  王女士 陈女士     </w:t>
      </w:r>
    </w:p>
    <w:p w14:paraId="4F20B05B">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项目联系方式（询问）：0574-</w:t>
      </w:r>
      <w:r>
        <w:rPr>
          <w:rFonts w:hint="eastAsia" w:ascii="仿宋" w:hAnsi="仿宋" w:eastAsia="仿宋" w:cs="仿宋"/>
          <w:color w:val="auto"/>
          <w:sz w:val="24"/>
          <w:szCs w:val="24"/>
          <w:lang w:val="en-US" w:eastAsia="zh-CN"/>
        </w:rPr>
        <w:t>88583970</w:t>
      </w:r>
      <w:r>
        <w:rPr>
          <w:rFonts w:hint="eastAsia" w:ascii="仿宋" w:hAnsi="仿宋" w:eastAsia="仿宋" w:cs="仿宋"/>
          <w:color w:val="auto"/>
          <w:sz w:val="24"/>
          <w:szCs w:val="24"/>
          <w:lang w:eastAsia="zh-CN"/>
        </w:rPr>
        <w:t xml:space="preserve">  </w:t>
      </w:r>
    </w:p>
    <w:p w14:paraId="06710C22">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质疑联系人：谢先生            </w:t>
      </w:r>
    </w:p>
    <w:p w14:paraId="65E7AC47">
      <w:pPr>
        <w:spacing w:line="360" w:lineRule="auto"/>
        <w:ind w:firstLine="480" w:firstLineChars="200"/>
        <w:rPr>
          <w:rFonts w:hint="default" w:ascii="仿宋" w:hAnsi="仿宋" w:eastAsia="仿宋" w:cs="仿宋"/>
          <w:color w:val="auto"/>
          <w:sz w:val="24"/>
          <w:szCs w:val="24"/>
          <w:lang w:eastAsia="zh-CN"/>
        </w:rPr>
      </w:pPr>
      <w:r>
        <w:rPr>
          <w:rFonts w:hint="eastAsia" w:ascii="仿宋" w:hAnsi="仿宋" w:eastAsia="仿宋" w:cs="仿宋"/>
          <w:color w:val="auto"/>
          <w:sz w:val="24"/>
          <w:szCs w:val="24"/>
          <w:lang w:eastAsia="zh-CN"/>
        </w:rPr>
        <w:t>质疑联系方式：0574-</w:t>
      </w:r>
      <w:r>
        <w:rPr>
          <w:rFonts w:hint="eastAsia" w:ascii="仿宋" w:hAnsi="仿宋" w:eastAsia="仿宋" w:cs="仿宋"/>
          <w:color w:val="auto"/>
          <w:sz w:val="24"/>
          <w:szCs w:val="24"/>
          <w:lang w:val="en-US" w:eastAsia="zh-CN"/>
        </w:rPr>
        <w:t>88583970</w:t>
      </w:r>
    </w:p>
    <w:p w14:paraId="3748D3F5">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3.同级监督管理部门            </w:t>
      </w:r>
    </w:p>
    <w:p w14:paraId="692757BF">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名    称：宁波市奉化区农商控股集团有限公司纪检监察（审计）部 </w:t>
      </w:r>
    </w:p>
    <w:p w14:paraId="29E893EA">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    址：宁波市奉化区岳林街道斗门北路298号</w:t>
      </w:r>
    </w:p>
    <w:p w14:paraId="4F4F707C">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 系 人 ：黄女士</w:t>
      </w:r>
    </w:p>
    <w:p w14:paraId="7B8F86C8">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eastAsia="zh-CN"/>
        </w:rPr>
        <w:t xml:space="preserve">监督投诉电话：13515884851  </w:t>
      </w:r>
      <w:r>
        <w:rPr>
          <w:rFonts w:hint="eastAsia" w:ascii="仿宋" w:hAnsi="仿宋" w:eastAsia="仿宋" w:cs="仿宋"/>
          <w:color w:val="auto"/>
          <w:sz w:val="24"/>
          <w:szCs w:val="24"/>
        </w:rPr>
        <w:t xml:space="preserve">    </w:t>
      </w:r>
    </w:p>
    <w:p w14:paraId="7D694A2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若对项目采购电子交易系统操作有疑问，可登录</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（https://</w:t>
      </w:r>
      <w:r>
        <w:rPr>
          <w:rFonts w:hint="eastAsia" w:ascii="仿宋" w:hAnsi="仿宋" w:eastAsia="仿宋" w:cs="仿宋"/>
          <w:color w:val="auto"/>
          <w:sz w:val="24"/>
          <w:szCs w:val="24"/>
          <w:lang w:eastAsia="zh-CN"/>
        </w:rPr>
        <w:t>www.lecaiyun.com</w:t>
      </w:r>
      <w:r>
        <w:rPr>
          <w:rFonts w:hint="eastAsia" w:ascii="仿宋" w:hAnsi="仿宋" w:eastAsia="仿宋" w:cs="仿宋"/>
          <w:color w:val="auto"/>
          <w:sz w:val="24"/>
          <w:szCs w:val="24"/>
        </w:rPr>
        <w:t>/），点击右侧咨询小采，获取采小蜜智能服务管家帮助，或拨打</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服务热线</w:t>
      </w:r>
      <w:r>
        <w:rPr>
          <w:rFonts w:hint="eastAsia" w:ascii="仿宋" w:hAnsi="仿宋" w:eastAsia="仿宋" w:cs="仿宋"/>
          <w:color w:val="auto"/>
          <w:sz w:val="24"/>
          <w:szCs w:val="24"/>
          <w:lang w:val="en-US" w:eastAsia="zh-CN"/>
        </w:rPr>
        <w:t>95763</w:t>
      </w:r>
      <w:r>
        <w:rPr>
          <w:rFonts w:hint="eastAsia" w:ascii="仿宋" w:hAnsi="仿宋" w:eastAsia="仿宋" w:cs="仿宋"/>
          <w:color w:val="auto"/>
          <w:sz w:val="24"/>
          <w:szCs w:val="24"/>
        </w:rPr>
        <w:t>获取热线服务帮助。</w:t>
      </w:r>
    </w:p>
    <w:p w14:paraId="15150BA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CA问题联系电话（人工）：汇信CA 400-888-4636；天谷CA 400-087-8198。</w:t>
      </w:r>
    </w:p>
    <w:p w14:paraId="02ABE8D5">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6D838703">
      <w:pPr>
        <w:spacing w:line="360" w:lineRule="auto"/>
        <w:jc w:val="center"/>
        <w:outlineLvl w:val="0"/>
        <w:rPr>
          <w:rFonts w:cs="仿宋" w:asciiTheme="majorEastAsia" w:hAnsiTheme="majorEastAsia" w:eastAsiaTheme="majorEastAsia"/>
          <w:b/>
          <w:color w:val="auto"/>
          <w:sz w:val="36"/>
          <w:szCs w:val="20"/>
        </w:rPr>
      </w:pPr>
      <w:r>
        <w:rPr>
          <w:rFonts w:hint="eastAsia" w:cs="仿宋" w:asciiTheme="majorEastAsia" w:hAnsiTheme="majorEastAsia" w:eastAsiaTheme="majorEastAsia"/>
          <w:b/>
          <w:color w:val="auto"/>
          <w:sz w:val="36"/>
          <w:szCs w:val="20"/>
        </w:rPr>
        <w:br w:type="page"/>
      </w:r>
      <w:r>
        <w:rPr>
          <w:rFonts w:hint="eastAsia" w:cs="仿宋" w:asciiTheme="majorEastAsia" w:hAnsiTheme="majorEastAsia" w:eastAsiaTheme="majorEastAsia"/>
          <w:b/>
          <w:color w:val="auto"/>
          <w:sz w:val="36"/>
          <w:szCs w:val="20"/>
        </w:rPr>
        <w:t>第二部分</w:t>
      </w:r>
      <w:bookmarkEnd w:id="8"/>
      <w:r>
        <w:rPr>
          <w:rFonts w:hint="eastAsia" w:cs="仿宋" w:asciiTheme="majorEastAsia" w:hAnsiTheme="majorEastAsia" w:eastAsiaTheme="majorEastAsia"/>
          <w:b/>
          <w:color w:val="auto"/>
          <w:sz w:val="36"/>
          <w:szCs w:val="20"/>
        </w:rPr>
        <w:t xml:space="preserve"> 投标须知</w:t>
      </w:r>
      <w:bookmarkEnd w:id="9"/>
    </w:p>
    <w:p w14:paraId="4BF42438">
      <w:pPr>
        <w:snapToGrid w:val="0"/>
        <w:spacing w:line="360" w:lineRule="auto"/>
        <w:jc w:val="center"/>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前附表</w:t>
      </w:r>
    </w:p>
    <w:tbl>
      <w:tblPr>
        <w:tblStyle w:val="23"/>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1331C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D966D8F">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C27D30A">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4FB29CA8">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本项目的特别规定</w:t>
            </w:r>
          </w:p>
        </w:tc>
      </w:tr>
      <w:tr w14:paraId="618AE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4C76B66D">
            <w:pPr>
              <w:snapToGrid w:val="0"/>
              <w:spacing w:line="360" w:lineRule="auto"/>
              <w:jc w:val="center"/>
              <w:rPr>
                <w:rFonts w:hint="eastAsia" w:ascii="仿宋" w:hAnsi="仿宋" w:eastAsia="仿宋" w:cs="仿宋"/>
                <w:color w:val="auto"/>
                <w:sz w:val="24"/>
                <w:szCs w:val="24"/>
              </w:rPr>
            </w:pPr>
          </w:p>
          <w:p w14:paraId="086C704F">
            <w:pPr>
              <w:snapToGrid w:val="0"/>
              <w:spacing w:line="360" w:lineRule="auto"/>
              <w:jc w:val="center"/>
              <w:rPr>
                <w:rFonts w:hint="eastAsia" w:ascii="仿宋" w:hAnsi="仿宋" w:eastAsia="仿宋" w:cs="仿宋"/>
                <w:color w:val="auto"/>
                <w:sz w:val="24"/>
                <w:szCs w:val="24"/>
              </w:rPr>
            </w:pPr>
          </w:p>
          <w:p w14:paraId="6F757287">
            <w:pPr>
              <w:snapToGrid w:val="0"/>
              <w:spacing w:line="360" w:lineRule="auto"/>
              <w:jc w:val="center"/>
              <w:rPr>
                <w:rFonts w:hint="eastAsia" w:ascii="仿宋" w:hAnsi="仿宋" w:eastAsia="仿宋" w:cs="仿宋"/>
                <w:color w:val="auto"/>
                <w:sz w:val="24"/>
                <w:szCs w:val="24"/>
              </w:rPr>
            </w:pPr>
          </w:p>
          <w:p w14:paraId="5940E332">
            <w:pPr>
              <w:snapToGrid w:val="0"/>
              <w:spacing w:line="360" w:lineRule="auto"/>
              <w:jc w:val="center"/>
              <w:rPr>
                <w:rFonts w:hint="eastAsia" w:ascii="仿宋" w:hAnsi="仿宋" w:eastAsia="仿宋" w:cs="仿宋"/>
                <w:color w:val="auto"/>
                <w:sz w:val="24"/>
                <w:szCs w:val="24"/>
              </w:rPr>
            </w:pPr>
          </w:p>
          <w:p w14:paraId="33BB1EF9">
            <w:pPr>
              <w:snapToGrid w:val="0"/>
              <w:spacing w:line="360" w:lineRule="auto"/>
              <w:jc w:val="center"/>
              <w:rPr>
                <w:rFonts w:hint="eastAsia" w:ascii="仿宋" w:hAnsi="仿宋" w:eastAsia="仿宋" w:cs="仿宋"/>
                <w:color w:val="auto"/>
                <w:sz w:val="24"/>
                <w:szCs w:val="24"/>
              </w:rPr>
            </w:pPr>
          </w:p>
          <w:p w14:paraId="7408DF94">
            <w:pPr>
              <w:snapToGrid w:val="0"/>
              <w:spacing w:line="360" w:lineRule="auto"/>
              <w:jc w:val="center"/>
              <w:rPr>
                <w:rFonts w:hint="eastAsia" w:ascii="仿宋" w:hAnsi="仿宋" w:eastAsia="仿宋" w:cs="仿宋"/>
                <w:color w:val="auto"/>
                <w:sz w:val="24"/>
                <w:szCs w:val="24"/>
              </w:rPr>
            </w:pPr>
          </w:p>
          <w:p w14:paraId="21683975">
            <w:pPr>
              <w:snapToGrid w:val="0"/>
              <w:spacing w:line="360" w:lineRule="auto"/>
              <w:jc w:val="center"/>
              <w:rPr>
                <w:rFonts w:hint="eastAsia" w:ascii="仿宋" w:hAnsi="仿宋" w:eastAsia="仿宋" w:cs="仿宋"/>
                <w:color w:val="auto"/>
                <w:sz w:val="24"/>
                <w:szCs w:val="24"/>
              </w:rPr>
            </w:pPr>
          </w:p>
          <w:p w14:paraId="7E5B0422">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5D137FF">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719B405F">
            <w:pPr>
              <w:snapToGrid w:val="0"/>
              <w:spacing w:line="360" w:lineRule="auto"/>
              <w:jc w:val="left"/>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有关本项目实施所需的所有费用（含税费）均计入报价。</w:t>
            </w:r>
            <w:r>
              <w:rPr>
                <w:rFonts w:hint="eastAsia" w:ascii="仿宋" w:hAnsi="仿宋" w:eastAsia="仿宋" w:cs="仿宋"/>
                <w:color w:val="auto"/>
                <w:sz w:val="24"/>
                <w:szCs w:val="24"/>
              </w:rPr>
              <w:t>开标一览表是报价的唯一载体</w:t>
            </w:r>
            <w:r>
              <w:rPr>
                <w:rFonts w:hint="eastAsia" w:ascii="仿宋" w:hAnsi="仿宋" w:eastAsia="仿宋" w:cs="仿宋"/>
                <w:color w:val="auto"/>
                <w:kern w:val="0"/>
                <w:sz w:val="24"/>
                <w:szCs w:val="24"/>
                <w:lang w:val="zh-CN"/>
              </w:rPr>
              <w:t>。投标文件中价格全部采用人民币报价。招标文件未列明，而供应商认为必需的费用也需列入报价。</w:t>
            </w:r>
          </w:p>
          <w:p w14:paraId="473B95E4">
            <w:pPr>
              <w:snapToGrid w:val="0"/>
              <w:spacing w:line="360" w:lineRule="auto"/>
              <w:jc w:val="left"/>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投标报价出现下列情形的，投标无效：</w:t>
            </w:r>
          </w:p>
          <w:p w14:paraId="322106E4">
            <w:pPr>
              <w:snapToGrid w:val="0"/>
              <w:spacing w:line="360" w:lineRule="auto"/>
              <w:ind w:firstLine="241" w:firstLineChars="100"/>
              <w:jc w:val="left"/>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投标文件出现不是唯一的、有选择性投标报价的；</w:t>
            </w:r>
          </w:p>
          <w:p w14:paraId="65AD88FD">
            <w:pPr>
              <w:snapToGrid w:val="0"/>
              <w:spacing w:line="360" w:lineRule="auto"/>
              <w:ind w:firstLine="241" w:firstLineChars="100"/>
              <w:jc w:val="left"/>
              <w:rPr>
                <w:rFonts w:hint="eastAsia" w:ascii="仿宋" w:hAnsi="仿宋" w:eastAsia="仿宋" w:cs="仿宋"/>
                <w:color w:val="auto"/>
                <w:kern w:val="0"/>
                <w:sz w:val="24"/>
                <w:szCs w:val="24"/>
                <w:lang w:val="zh-CN"/>
              </w:rPr>
            </w:pPr>
            <w:r>
              <w:rPr>
                <w:rFonts w:hint="eastAsia" w:ascii="仿宋" w:hAnsi="仿宋" w:eastAsia="仿宋" w:cs="仿宋"/>
                <w:b/>
                <w:color w:val="auto"/>
                <w:kern w:val="0"/>
                <w:sz w:val="24"/>
                <w:szCs w:val="24"/>
                <w:lang w:val="zh-CN"/>
              </w:rPr>
              <w:t>投标报价超过招标文件中规定的预算金额或者最高限价的;</w:t>
            </w:r>
          </w:p>
          <w:p w14:paraId="6E26E054">
            <w:pPr>
              <w:spacing w:line="360" w:lineRule="auto"/>
              <w:ind w:firstLine="241" w:firstLineChars="100"/>
              <w:rPr>
                <w:rFonts w:hint="eastAsia" w:ascii="仿宋" w:hAnsi="仿宋" w:eastAsia="仿宋" w:cs="仿宋"/>
                <w:b/>
                <w:color w:val="auto"/>
                <w:sz w:val="24"/>
                <w:szCs w:val="24"/>
              </w:rPr>
            </w:pPr>
            <w:r>
              <w:rPr>
                <w:rFonts w:hint="eastAsia" w:ascii="仿宋" w:hAnsi="仿宋" w:eastAsia="仿宋" w:cs="仿宋"/>
                <w:b/>
                <w:color w:val="auto"/>
                <w:kern w:val="0"/>
                <w:sz w:val="24"/>
                <w:szCs w:val="24"/>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rPr>
              <w:t>;</w:t>
            </w:r>
          </w:p>
          <w:p w14:paraId="7983342A">
            <w:pPr>
              <w:spacing w:line="360" w:lineRule="auto"/>
              <w:ind w:firstLine="241" w:firstLineChars="100"/>
              <w:rPr>
                <w:rFonts w:hint="eastAsia" w:ascii="仿宋" w:hAnsi="仿宋" w:eastAsia="仿宋" w:cs="仿宋"/>
                <w:color w:val="auto"/>
                <w:sz w:val="24"/>
                <w:szCs w:val="24"/>
              </w:rPr>
            </w:pPr>
            <w:r>
              <w:rPr>
                <w:rFonts w:hint="eastAsia" w:ascii="仿宋" w:hAnsi="仿宋" w:eastAsia="仿宋" w:cs="仿宋"/>
                <w:b/>
                <w:color w:val="auto"/>
                <w:kern w:val="0"/>
                <w:sz w:val="24"/>
                <w:szCs w:val="24"/>
              </w:rPr>
              <w:t>供应商对根据修正原则修正后的报价不确认的</w:t>
            </w:r>
            <w:r>
              <w:rPr>
                <w:rFonts w:hint="eastAsia" w:ascii="仿宋" w:hAnsi="仿宋" w:eastAsia="仿宋" w:cs="仿宋"/>
                <w:b/>
                <w:color w:val="auto"/>
                <w:sz w:val="24"/>
                <w:szCs w:val="24"/>
              </w:rPr>
              <w:t>。</w:t>
            </w:r>
          </w:p>
        </w:tc>
      </w:tr>
      <w:tr w14:paraId="018DE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ACE4B4">
            <w:pPr>
              <w:snapToGrid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0DF54D1">
            <w:pPr>
              <w:pStyle w:val="13"/>
              <w:spacing w:line="360" w:lineRule="auto"/>
              <w:jc w:val="center"/>
              <w:rPr>
                <w:rFonts w:hint="eastAsia" w:ascii="仿宋" w:hAnsi="仿宋" w:eastAsia="仿宋" w:cs="仿宋"/>
                <w:b/>
                <w:color w:val="auto"/>
                <w:sz w:val="24"/>
                <w:szCs w:val="24"/>
              </w:rPr>
            </w:pPr>
            <w:r>
              <w:rPr>
                <w:rFonts w:hint="eastAsia" w:cs="仿宋" w:asciiTheme="majorEastAsia" w:hAnsiTheme="majorEastAsia" w:eastAsiaTheme="majorEastAsia"/>
                <w:b/>
                <w:color w:val="auto"/>
                <w:kern w:val="28"/>
                <w:sz w:val="24"/>
                <w:szCs w:val="24"/>
              </w:rPr>
              <w:t>投标保证金</w:t>
            </w:r>
          </w:p>
        </w:tc>
        <w:tc>
          <w:tcPr>
            <w:tcW w:w="6662" w:type="dxa"/>
            <w:tcBorders>
              <w:top w:val="single" w:color="000000" w:sz="8" w:space="0"/>
              <w:left w:val="single" w:color="000000" w:sz="2" w:space="0"/>
              <w:bottom w:val="single" w:color="000000" w:sz="8" w:space="0"/>
              <w:right w:val="single" w:color="000000" w:sz="8" w:space="0"/>
            </w:tcBorders>
            <w:vAlign w:val="bottom"/>
          </w:tcPr>
          <w:p w14:paraId="75DCBB6B">
            <w:pPr>
              <w:pStyle w:val="8"/>
              <w:spacing w:line="360" w:lineRule="auto"/>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w:t>
            </w:r>
            <w:r>
              <w:rPr>
                <w:rFonts w:hint="eastAsia" w:ascii="仿宋" w:hAnsi="仿宋" w:eastAsia="仿宋" w:cs="仿宋"/>
                <w:snapToGrid/>
                <w:color w:val="auto"/>
                <w:kern w:val="2"/>
                <w:sz w:val="24"/>
                <w:szCs w:val="24"/>
                <w:lang w:val="en-US" w:eastAsia="zh-CN" w:bidi="ar-SA"/>
              </w:rPr>
              <w:t>适用</w:t>
            </w:r>
          </w:p>
        </w:tc>
      </w:tr>
      <w:tr w14:paraId="1403A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EA1CE0">
            <w:pPr>
              <w:snapToGrid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2EEB400">
            <w:pPr>
              <w:snapToGrid w:val="0"/>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164C3AA2">
            <w:pPr>
              <w:spacing w:line="360" w:lineRule="auto"/>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A8"/>
            </w:r>
            <w:r>
              <w:rPr>
                <w:rFonts w:hint="eastAsia" w:ascii="仿宋" w:hAnsi="仿宋" w:eastAsia="仿宋" w:cs="仿宋"/>
                <w:color w:val="auto"/>
                <w:kern w:val="0"/>
                <w:sz w:val="24"/>
                <w:szCs w:val="24"/>
              </w:rPr>
              <w:t xml:space="preserve"> A</w:t>
            </w:r>
            <w:r>
              <w:rPr>
                <w:rFonts w:hint="eastAsia" w:ascii="仿宋" w:hAnsi="仿宋" w:eastAsia="仿宋" w:cs="仿宋"/>
                <w:color w:val="auto"/>
                <w:sz w:val="24"/>
                <w:szCs w:val="24"/>
              </w:rPr>
              <w:t>同意将非主体、非关键性的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工作分包。</w:t>
            </w:r>
          </w:p>
          <w:p w14:paraId="350F7299">
            <w:pPr>
              <w:spacing w:line="36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rPr>
              <w:t xml:space="preserve"> B</w:t>
            </w:r>
            <w:r>
              <w:rPr>
                <w:rFonts w:hint="eastAsia" w:ascii="仿宋" w:hAnsi="仿宋" w:eastAsia="仿宋" w:cs="仿宋"/>
                <w:color w:val="auto"/>
                <w:sz w:val="24"/>
                <w:szCs w:val="24"/>
              </w:rPr>
              <w:t>不同意分包。</w:t>
            </w:r>
          </w:p>
        </w:tc>
      </w:tr>
      <w:tr w14:paraId="4D870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3B0049">
            <w:pPr>
              <w:snapToGrid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8B98991">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4D6E4224">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资格证明文件：见招标文件第二部分9.1。</w:t>
            </w:r>
          </w:p>
          <w:p w14:paraId="31CCF1E4">
            <w:pPr>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资格证明文件不全的或者不符合招标文件标明的资格要求的</w:t>
            </w:r>
            <w:r>
              <w:rPr>
                <w:rFonts w:hint="eastAsia" w:ascii="仿宋" w:hAnsi="仿宋" w:eastAsia="仿宋" w:cs="仿宋"/>
                <w:color w:val="auto"/>
                <w:sz w:val="24"/>
                <w:szCs w:val="24"/>
                <w:lang w:val="zh-CN"/>
              </w:rPr>
              <w:t>，视为供应商不具备招标文件中规定的资格要求，投标无效。</w:t>
            </w:r>
          </w:p>
        </w:tc>
      </w:tr>
      <w:tr w14:paraId="576D3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DDFCC5">
            <w:pPr>
              <w:snapToGrid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2408537">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14C13AE0">
            <w:pPr>
              <w:spacing w:line="360" w:lineRule="auto"/>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F0FE"/>
            </w:r>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不组织。</w:t>
            </w:r>
          </w:p>
          <w:p w14:paraId="1D826C93">
            <w:pPr>
              <w:spacing w:line="360" w:lineRule="auto"/>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A8"/>
            </w:r>
            <w:r>
              <w:rPr>
                <w:rFonts w:hint="eastAsia" w:ascii="仿宋" w:hAnsi="仿宋" w:eastAsia="仿宋" w:cs="仿宋"/>
                <w:color w:val="auto"/>
                <w:kern w:val="0"/>
                <w:sz w:val="24"/>
                <w:szCs w:val="24"/>
              </w:rPr>
              <w:t>B组织，</w:t>
            </w: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tc>
      </w:tr>
      <w:tr w14:paraId="22967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78E32EE4">
            <w:pPr>
              <w:snapToGrid w:val="0"/>
              <w:spacing w:line="360" w:lineRule="auto"/>
              <w:jc w:val="center"/>
              <w:rPr>
                <w:rFonts w:hint="eastAsia" w:ascii="仿宋" w:hAnsi="仿宋" w:eastAsia="仿宋" w:cs="仿宋"/>
                <w:color w:val="auto"/>
                <w:sz w:val="24"/>
                <w:szCs w:val="24"/>
              </w:rPr>
            </w:pPr>
          </w:p>
          <w:p w14:paraId="46395225">
            <w:pPr>
              <w:snapToGrid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BD86546">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465A0C78">
            <w:pPr>
              <w:spacing w:line="360" w:lineRule="auto"/>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不要求提供。</w:t>
            </w:r>
          </w:p>
          <w:p w14:paraId="415FBEF5">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sym w:font="Wingdings" w:char="00A8"/>
            </w:r>
            <w:r>
              <w:rPr>
                <w:rFonts w:hint="eastAsia" w:ascii="仿宋" w:hAnsi="仿宋" w:eastAsia="仿宋" w:cs="仿宋"/>
                <w:color w:val="auto"/>
                <w:kern w:val="0"/>
                <w:sz w:val="24"/>
                <w:szCs w:val="24"/>
              </w:rPr>
              <w:t>B要求提供，</w:t>
            </w:r>
          </w:p>
          <w:p w14:paraId="74FBC858">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snapToGrid w:val="0"/>
                <w:color w:val="auto"/>
                <w:kern w:val="28"/>
                <w:sz w:val="24"/>
                <w:szCs w:val="24"/>
                <w:highlight w:val="none"/>
              </w:rPr>
              <w:t>样品：</w:t>
            </w:r>
            <w:r>
              <w:rPr>
                <w:rFonts w:hint="eastAsia" w:ascii="仿宋" w:hAnsi="仿宋" w:eastAsia="仿宋" w:cs="仿宋"/>
                <w:snapToGrid w:val="0"/>
                <w:color w:val="auto"/>
                <w:kern w:val="28"/>
                <w:sz w:val="24"/>
                <w:szCs w:val="24"/>
                <w:highlight w:val="none"/>
                <w:u w:val="single"/>
                <w:lang w:val="en-US" w:eastAsia="zh-CN"/>
              </w:rPr>
              <w:t xml:space="preserve"> / </w:t>
            </w:r>
            <w:r>
              <w:rPr>
                <w:rFonts w:hint="eastAsia" w:ascii="仿宋" w:hAnsi="仿宋" w:eastAsia="仿宋" w:cs="仿宋"/>
                <w:color w:val="auto"/>
                <w:kern w:val="0"/>
                <w:sz w:val="24"/>
                <w:szCs w:val="24"/>
                <w:highlight w:val="none"/>
              </w:rPr>
              <w:t>；</w:t>
            </w:r>
          </w:p>
          <w:p w14:paraId="5EFD774B">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snapToGrid w:val="0"/>
                <w:color w:val="auto"/>
                <w:kern w:val="28"/>
                <w:sz w:val="24"/>
                <w:szCs w:val="24"/>
                <w:highlight w:val="none"/>
                <w:u w:val="single"/>
                <w:lang w:val="en-US" w:eastAsia="zh-CN"/>
              </w:rPr>
              <w:t>/</w:t>
            </w:r>
            <w:r>
              <w:rPr>
                <w:rFonts w:hint="eastAsia" w:ascii="仿宋" w:hAnsi="仿宋" w:eastAsia="仿宋" w:cs="仿宋"/>
                <w:color w:val="auto"/>
                <w:kern w:val="0"/>
                <w:sz w:val="24"/>
                <w:szCs w:val="24"/>
                <w:highlight w:val="none"/>
              </w:rPr>
              <w:t>；</w:t>
            </w:r>
          </w:p>
          <w:p w14:paraId="72F36EBF">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snapToGrid w:val="0"/>
                <w:color w:val="auto"/>
                <w:kern w:val="28"/>
                <w:sz w:val="24"/>
                <w:szCs w:val="24"/>
                <w:highlight w:val="none"/>
                <w:u w:val="single"/>
                <w:lang w:val="en-US" w:eastAsia="zh-CN"/>
              </w:rPr>
              <w:t>/</w:t>
            </w:r>
            <w:r>
              <w:rPr>
                <w:rFonts w:hint="eastAsia" w:ascii="仿宋" w:hAnsi="仿宋" w:eastAsia="仿宋" w:cs="仿宋"/>
                <w:color w:val="auto"/>
                <w:kern w:val="0"/>
                <w:sz w:val="24"/>
                <w:szCs w:val="24"/>
                <w:highlight w:val="none"/>
              </w:rPr>
              <w:t>；</w:t>
            </w:r>
          </w:p>
          <w:p w14:paraId="0E2196A7">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（4）是否需要随样品提交检测报告：</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否；☐是，检测机构的要求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1CAF791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（5）提供样品的时间：</w:t>
            </w:r>
            <w:r>
              <w:rPr>
                <w:rFonts w:hint="eastAsia" w:ascii="仿宋" w:hAnsi="仿宋" w:eastAsia="仿宋" w:cs="仿宋"/>
                <w:snapToGrid w:val="0"/>
                <w:color w:val="auto"/>
                <w:kern w:val="28"/>
                <w:sz w:val="24"/>
                <w:szCs w:val="24"/>
                <w:highlight w:val="none"/>
                <w:u w:val="single"/>
                <w:lang w:val="en-US" w:eastAsia="zh-CN"/>
              </w:rPr>
              <w:t>/</w:t>
            </w:r>
            <w:r>
              <w:rPr>
                <w:rFonts w:hint="eastAsia" w:ascii="仿宋" w:hAnsi="仿宋" w:eastAsia="仿宋" w:cs="仿宋"/>
                <w:color w:val="auto"/>
                <w:kern w:val="0"/>
                <w:sz w:val="24"/>
                <w:szCs w:val="24"/>
              </w:rPr>
              <w:t>；地点：</w:t>
            </w:r>
            <w:r>
              <w:rPr>
                <w:rFonts w:hint="eastAsia" w:ascii="仿宋" w:hAnsi="仿宋" w:eastAsia="仿宋" w:cs="仿宋"/>
                <w:snapToGrid w:val="0"/>
                <w:color w:val="auto"/>
                <w:kern w:val="28"/>
                <w:sz w:val="24"/>
                <w:szCs w:val="24"/>
                <w:highlight w:val="none"/>
                <w:u w:val="single"/>
                <w:lang w:val="en-US" w:eastAsia="zh-CN"/>
              </w:rPr>
              <w:t>/</w:t>
            </w:r>
            <w:r>
              <w:rPr>
                <w:rFonts w:hint="eastAsia" w:ascii="仿宋" w:hAnsi="仿宋" w:eastAsia="仿宋" w:cs="仿宋"/>
                <w:color w:val="auto"/>
                <w:kern w:val="0"/>
                <w:sz w:val="24"/>
                <w:szCs w:val="24"/>
              </w:rPr>
              <w:t>；联系人</w:t>
            </w:r>
            <w:r>
              <w:rPr>
                <w:rFonts w:hint="eastAsia" w:ascii="仿宋" w:hAnsi="仿宋" w:eastAsia="仿宋" w:cs="仿宋"/>
                <w:color w:val="auto"/>
                <w:sz w:val="24"/>
                <w:szCs w:val="24"/>
              </w:rPr>
              <w:t>：</w:t>
            </w:r>
            <w:r>
              <w:rPr>
                <w:rFonts w:hint="eastAsia" w:ascii="仿宋" w:hAnsi="仿宋" w:eastAsia="仿宋" w:cs="仿宋"/>
                <w:snapToGrid w:val="0"/>
                <w:color w:val="auto"/>
                <w:kern w:val="28"/>
                <w:sz w:val="24"/>
                <w:szCs w:val="24"/>
                <w:highlight w:val="none"/>
                <w:u w:val="single"/>
                <w:lang w:val="en-US" w:eastAsia="zh-CN"/>
              </w:rPr>
              <w:t>/</w:t>
            </w:r>
            <w:r>
              <w:rPr>
                <w:rFonts w:hint="eastAsia" w:ascii="仿宋" w:hAnsi="仿宋" w:eastAsia="仿宋" w:cs="仿宋"/>
                <w:color w:val="auto"/>
                <w:sz w:val="24"/>
                <w:szCs w:val="24"/>
              </w:rPr>
              <w:t>，</w:t>
            </w:r>
            <w:r>
              <w:rPr>
                <w:rFonts w:hint="eastAsia" w:ascii="仿宋" w:hAnsi="仿宋" w:eastAsia="仿宋" w:cs="仿宋"/>
                <w:color w:val="auto"/>
                <w:kern w:val="28"/>
                <w:sz w:val="24"/>
                <w:szCs w:val="24"/>
              </w:rPr>
              <w:t>联系电话：</w:t>
            </w:r>
            <w:r>
              <w:rPr>
                <w:rFonts w:hint="eastAsia" w:ascii="仿宋" w:hAnsi="仿宋" w:eastAsia="仿宋" w:cs="仿宋"/>
                <w:snapToGrid w:val="0"/>
                <w:color w:val="auto"/>
                <w:kern w:val="28"/>
                <w:sz w:val="24"/>
                <w:szCs w:val="24"/>
                <w:highlight w:val="none"/>
                <w:u w:val="single"/>
                <w:lang w:val="en-US" w:eastAsia="zh-CN"/>
              </w:rPr>
              <w:t>/</w:t>
            </w:r>
            <w:r>
              <w:rPr>
                <w:rFonts w:hint="eastAsia" w:ascii="仿宋" w:hAnsi="仿宋" w:eastAsia="仿宋" w:cs="仿宋"/>
                <w:color w:val="auto"/>
                <w:sz w:val="24"/>
                <w:szCs w:val="24"/>
              </w:rPr>
              <w:t>。请</w:t>
            </w:r>
            <w:r>
              <w:rPr>
                <w:rFonts w:hint="eastAsia" w:ascii="仿宋" w:hAnsi="仿宋" w:eastAsia="仿宋" w:cs="仿宋"/>
                <w:color w:val="auto"/>
                <w:kern w:val="0"/>
                <w:sz w:val="24"/>
                <w:szCs w:val="24"/>
                <w:lang w:val="zh-CN"/>
              </w:rPr>
              <w:t>供应商</w:t>
            </w:r>
            <w:r>
              <w:rPr>
                <w:rFonts w:hint="eastAsia" w:ascii="仿宋" w:hAnsi="仿宋" w:eastAsia="仿宋" w:cs="仿宋"/>
                <w:color w:val="auto"/>
                <w:sz w:val="24"/>
                <w:szCs w:val="24"/>
              </w:rPr>
              <w:t>在上述时间内提供样品并按规定位置安装完毕。超过截止时间的，采购人或采购代理机构将不予接收，并将清场并封闭样品现场。</w:t>
            </w:r>
          </w:p>
          <w:p w14:paraId="7B57E991">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4B5B540">
            <w:pPr>
              <w:spacing w:line="360" w:lineRule="auto"/>
              <w:rPr>
                <w:rFonts w:hint="eastAsia" w:ascii="仿宋" w:hAnsi="仿宋" w:eastAsia="仿宋" w:cs="仿宋"/>
                <w:b/>
                <w:color w:val="auto"/>
                <w:sz w:val="24"/>
                <w:szCs w:val="24"/>
              </w:rPr>
            </w:pPr>
            <w:r>
              <w:rPr>
                <w:rFonts w:hint="eastAsia" w:ascii="仿宋" w:hAnsi="仿宋" w:eastAsia="仿宋" w:cs="仿宋"/>
                <w:color w:val="auto"/>
                <w:sz w:val="24"/>
                <w:szCs w:val="24"/>
              </w:rPr>
              <w:t>（7）制作、运输、安装和保管样品所发生的一切费用由</w:t>
            </w:r>
            <w:r>
              <w:rPr>
                <w:rFonts w:hint="eastAsia" w:ascii="仿宋" w:hAnsi="仿宋" w:eastAsia="仿宋" w:cs="仿宋"/>
                <w:color w:val="auto"/>
                <w:kern w:val="0"/>
                <w:sz w:val="24"/>
                <w:szCs w:val="24"/>
                <w:lang w:val="zh-CN"/>
              </w:rPr>
              <w:t>供应商承担</w:t>
            </w:r>
            <w:r>
              <w:rPr>
                <w:rFonts w:hint="eastAsia" w:ascii="仿宋" w:hAnsi="仿宋" w:eastAsia="仿宋" w:cs="仿宋"/>
                <w:color w:val="auto"/>
                <w:sz w:val="24"/>
                <w:szCs w:val="24"/>
              </w:rPr>
              <w:t>。</w:t>
            </w:r>
          </w:p>
        </w:tc>
      </w:tr>
      <w:tr w14:paraId="523DD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06EC76">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42E9FE4F">
            <w:pPr>
              <w:snapToGrid w:val="0"/>
              <w:spacing w:line="360" w:lineRule="auto"/>
              <w:jc w:val="center"/>
              <w:rPr>
                <w:rFonts w:hint="eastAsia" w:ascii="仿宋" w:hAnsi="仿宋" w:eastAsia="仿宋" w:cs="仿宋"/>
                <w:bCs/>
                <w:color w:val="auto"/>
                <w:sz w:val="24"/>
                <w:szCs w:val="24"/>
              </w:rPr>
            </w:pPr>
            <w:r>
              <w:rPr>
                <w:rFonts w:hint="eastAsia" w:ascii="仿宋" w:hAnsi="仿宋" w:eastAsia="仿宋" w:cs="仿宋"/>
                <w:b/>
                <w:color w:val="auto"/>
                <w:sz w:val="24"/>
                <w:szCs w:val="24"/>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200AE556">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rPr>
              <w:t>A不组织。</w:t>
            </w:r>
          </w:p>
          <w:p w14:paraId="478478AF">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☐B组织。</w:t>
            </w:r>
          </w:p>
          <w:p w14:paraId="59BA79E3">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（1）在评标时安排每个</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进行方案讲解演示。每个</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时间不超过</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分钟，讲解次序以投标文件解密时间先后次序为准，讲解演示人员不超过</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人。讲解演示结束后按要求解答评标委员会提问。</w:t>
            </w:r>
          </w:p>
          <w:p w14:paraId="1CF16F02">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（2）方案讲解演示可选择以下其中一种方式：</w:t>
            </w:r>
          </w:p>
          <w:p w14:paraId="1D695AE2">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方式一：</w:t>
            </w:r>
            <w:r>
              <w:rPr>
                <w:rFonts w:hint="eastAsia" w:ascii="仿宋" w:hAnsi="仿宋" w:eastAsia="仿宋" w:cs="仿宋"/>
                <w:color w:val="auto"/>
                <w:kern w:val="0"/>
                <w:sz w:val="24"/>
                <w:szCs w:val="24"/>
                <w:lang w:eastAsia="zh-CN"/>
              </w:rPr>
              <w:t>乐采云平台</w:t>
            </w:r>
            <w:r>
              <w:rPr>
                <w:rFonts w:hint="eastAsia" w:ascii="仿宋" w:hAnsi="仿宋" w:eastAsia="仿宋" w:cs="仿宋"/>
                <w:color w:val="auto"/>
                <w:kern w:val="0"/>
                <w:sz w:val="24"/>
                <w:szCs w:val="24"/>
              </w:rPr>
              <w:t>在线讲解演示。</w:t>
            </w:r>
            <w:r>
              <w:rPr>
                <w:rFonts w:hint="eastAsia" w:ascii="仿宋" w:hAnsi="仿宋" w:eastAsia="仿宋" w:cs="仿宋"/>
                <w:color w:val="auto"/>
                <w:kern w:val="0"/>
                <w:sz w:val="24"/>
                <w:szCs w:val="24"/>
                <w:lang w:eastAsia="zh-CN"/>
              </w:rPr>
              <w:t>乐采云平台</w:t>
            </w:r>
            <w:r>
              <w:rPr>
                <w:rFonts w:hint="eastAsia" w:ascii="仿宋" w:hAnsi="仿宋" w:eastAsia="仿宋" w:cs="仿宋"/>
                <w:color w:val="auto"/>
                <w:kern w:val="0"/>
                <w:sz w:val="24"/>
                <w:szCs w:val="24"/>
              </w:rPr>
              <w:t>在线讲解需</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根据</w:t>
            </w:r>
            <w:r>
              <w:rPr>
                <w:rFonts w:hint="eastAsia" w:ascii="仿宋" w:hAnsi="仿宋" w:eastAsia="仿宋" w:cs="仿宋"/>
                <w:color w:val="auto"/>
                <w:kern w:val="0"/>
                <w:sz w:val="24"/>
                <w:szCs w:val="24"/>
                <w:lang w:eastAsia="zh-CN"/>
              </w:rPr>
              <w:t>乐采云平台</w:t>
            </w:r>
            <w:r>
              <w:rPr>
                <w:rFonts w:hint="eastAsia" w:ascii="仿宋" w:hAnsi="仿宋" w:eastAsia="仿宋" w:cs="仿宋"/>
                <w:color w:val="auto"/>
                <w:kern w:val="0"/>
                <w:sz w:val="24"/>
                <w:szCs w:val="24"/>
              </w:rPr>
              <w:t>操作要求做好准备工作，提前完善软硬件配置环境。</w:t>
            </w:r>
          </w:p>
          <w:p w14:paraId="2D38926D">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方式二：交易中心现场讲解演示。现场讲解地点为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，讲解演示所用电脑等设备由</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自备。现场讲解演示人员进场时提供讲解人员名单（加盖公章）及身份证明，否则不得讲解演示。</w:t>
            </w:r>
          </w:p>
          <w:p w14:paraId="20B4F59D">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rPr>
              <w:t>注：因</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自身原因导致无法演示或者演示效果不理想的，责任自负。因平台原因导致本项目方案讲解演示环节无法顺利开展，按照《浙江省政府采购项目电子交易管理暂行办法》相关规定执行。</w:t>
            </w:r>
          </w:p>
        </w:tc>
      </w:tr>
      <w:tr w14:paraId="1BAEA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64A3604">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18573D63">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203429E8">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本项目不允许采购进口产品。</w:t>
            </w:r>
          </w:p>
        </w:tc>
      </w:tr>
      <w:tr w14:paraId="22607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07BB96">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ED4E51A">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32D4B0C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kern w:val="0"/>
                <w:sz w:val="24"/>
                <w:szCs w:val="24"/>
                <w:highlight w:val="none"/>
                <w:u w:val="single"/>
                <w:lang w:eastAsia="zh-CN"/>
              </w:rPr>
              <w:t>一体化预制泵站</w:t>
            </w:r>
            <w:r>
              <w:rPr>
                <w:rFonts w:hint="eastAsia" w:ascii="仿宋" w:hAnsi="仿宋" w:eastAsia="仿宋" w:cs="仿宋"/>
                <w:color w:val="auto"/>
                <w:sz w:val="24"/>
                <w:szCs w:val="24"/>
                <w:highlight w:val="none"/>
              </w:rPr>
              <w:t>。</w:t>
            </w:r>
          </w:p>
          <w:p w14:paraId="255B919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多家</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参加同一合同项下投标的，按一家</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计算，评审后得分最高的同品牌</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获得中标人推荐资格；评审得分相同的，报价评审得分最高的同品牌</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获得中标人推荐资格；评审得分和报价评审得分均相同的，由采购人或评标委员会采取随机抽取方式确定，其他同品牌</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不作为中标候选人。</w:t>
            </w:r>
          </w:p>
          <w:p w14:paraId="6DA5A0CA">
            <w:pPr>
              <w:spacing w:line="360" w:lineRule="auto"/>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A8"/>
            </w:r>
            <w:r>
              <w:rPr>
                <w:rFonts w:hint="eastAsia" w:ascii="仿宋" w:hAnsi="仿宋" w:eastAsia="仿宋" w:cs="仿宋"/>
                <w:color w:val="auto"/>
                <w:kern w:val="0"/>
                <w:sz w:val="24"/>
                <w:szCs w:val="24"/>
              </w:rPr>
              <w:t>B</w:t>
            </w:r>
            <w:r>
              <w:rPr>
                <w:rFonts w:hint="eastAsia" w:ascii="仿宋" w:hAnsi="仿宋" w:eastAsia="仿宋" w:cs="仿宋"/>
                <w:color w:val="auto"/>
                <w:sz w:val="24"/>
                <w:szCs w:val="24"/>
              </w:rPr>
              <w:t>服务类</w:t>
            </w:r>
          </w:p>
        </w:tc>
      </w:tr>
      <w:tr w14:paraId="4854D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AC282B5">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CC773EA">
            <w:pPr>
              <w:snapToGrid w:val="0"/>
              <w:spacing w:line="360" w:lineRule="auto"/>
              <w:jc w:val="center"/>
              <w:rPr>
                <w:rFonts w:hint="eastAsia" w:ascii="仿宋" w:hAnsi="仿宋" w:eastAsia="仿宋" w:cs="仿宋"/>
                <w:b/>
                <w:color w:val="auto"/>
                <w:sz w:val="24"/>
                <w:szCs w:val="24"/>
                <w:highlight w:val="yellow"/>
              </w:rPr>
            </w:pPr>
            <w:r>
              <w:rPr>
                <w:rFonts w:hint="eastAsia" w:ascii="仿宋" w:hAnsi="仿宋" w:eastAsia="仿宋" w:cs="仿宋"/>
                <w:b/>
                <w:color w:val="auto"/>
                <w:sz w:val="24"/>
                <w:szCs w:val="24"/>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75FAD2A4">
            <w:pPr>
              <w:snapToGrid w:val="0"/>
              <w:spacing w:line="360" w:lineRule="auto"/>
              <w:rPr>
                <w:rFonts w:hint="eastAsia" w:ascii="仿宋" w:hAnsi="仿宋" w:eastAsia="仿宋" w:cs="仿宋"/>
                <w:color w:val="auto"/>
                <w:kern w:val="0"/>
                <w:sz w:val="24"/>
                <w:szCs w:val="24"/>
                <w:highlight w:val="yellow"/>
              </w:rPr>
            </w:pPr>
            <w:r>
              <w:rPr>
                <w:rFonts w:hint="eastAsia" w:ascii="仿宋" w:hAnsi="仿宋" w:eastAsia="仿宋" w:cs="仿宋"/>
                <w:color w:val="auto"/>
                <w:kern w:val="0"/>
                <w:sz w:val="24"/>
                <w:szCs w:val="24"/>
                <w:highlight w:val="none"/>
                <w:u w:val="single"/>
                <w:lang w:eastAsia="zh-CN"/>
              </w:rPr>
              <w:t>标的：一体化预制泵站、潜污泵，属于工业行业；</w:t>
            </w:r>
          </w:p>
        </w:tc>
      </w:tr>
      <w:tr w14:paraId="64088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C081AD">
            <w:pPr>
              <w:snapToGrid w:val="0"/>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2CFCEF44">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sz w:val="24"/>
              </w:rPr>
              <w:t>节能产品、环境标志产品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6A38D476">
            <w:pPr>
              <w:snapToGrid w:val="0"/>
              <w:spacing w:line="360" w:lineRule="auto"/>
              <w:rPr>
                <w:rFonts w:hint="eastAsia" w:ascii="MS Gothic" w:hAnsi="MS Gothic" w:eastAsia="仿宋" w:cs="仿宋"/>
                <w:snapToGrid w:val="0"/>
                <w:color w:val="auto"/>
                <w:kern w:val="0"/>
                <w:sz w:val="24"/>
                <w:szCs w:val="24"/>
                <w:lang w:val="en-US" w:eastAsia="zh-CN" w:bidi="ar-SA"/>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2FAA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DD7BBE">
            <w:pPr>
              <w:snapToGrid w:val="0"/>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14:paraId="3DE948B7">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5C9BFCA2">
            <w:pPr>
              <w:spacing w:line="360" w:lineRule="auto"/>
              <w:rPr>
                <w:rFonts w:hint="eastAsia" w:ascii="仿宋" w:hAnsi="仿宋" w:eastAsia="仿宋" w:cs="仿宋"/>
                <w:color w:val="auto"/>
                <w:kern w:val="0"/>
                <w:sz w:val="24"/>
                <w:lang w:eastAsia="zh-CN"/>
              </w:rPr>
            </w:pPr>
            <w:r>
              <w:rPr>
                <w:rFonts w:hint="eastAsia" w:ascii="MS Gothic" w:hAnsi="MS Gothic" w:eastAsia="仿宋" w:cs="仿宋"/>
                <w:snapToGrid w:val="0"/>
                <w:color w:val="auto"/>
                <w:kern w:val="0"/>
                <w:sz w:val="24"/>
                <w:szCs w:val="24"/>
                <w:lang w:val="en-US" w:eastAsia="zh-CN" w:bidi="ar-SA"/>
              </w:rPr>
              <w:t>☐</w:t>
            </w:r>
            <w:r>
              <w:rPr>
                <w:rFonts w:hint="eastAsia" w:ascii="仿宋" w:hAnsi="仿宋" w:eastAsia="仿宋" w:cs="仿宋"/>
                <w:color w:val="auto"/>
                <w:kern w:val="0"/>
                <w:sz w:val="24"/>
                <w:lang w:eastAsia="zh-CN"/>
              </w:rPr>
              <w:t>无。</w:t>
            </w:r>
          </w:p>
          <w:p w14:paraId="24DBC351">
            <w:pPr>
              <w:pStyle w:val="2"/>
              <w:spacing w:line="360" w:lineRule="auto"/>
              <w:rPr>
                <w:rFonts w:hint="eastAsia"/>
                <w:color w:val="auto"/>
                <w:lang w:eastAsia="zh-CN"/>
              </w:rPr>
            </w:pPr>
            <w:r>
              <w:rPr>
                <w:rFonts w:hint="eastAsia" w:ascii="Wingdings" w:hAnsi="Wingdings" w:eastAsia="仿宋" w:cs="仿宋"/>
                <w:color w:val="auto"/>
                <w:kern w:val="0"/>
                <w:sz w:val="24"/>
                <w:szCs w:val="24"/>
                <w:lang w:val="en-US" w:eastAsia="zh-CN" w:bidi="ar-SA"/>
              </w:rPr>
              <w:sym w:font="Wingdings" w:char="00FE"/>
            </w:r>
            <w:r>
              <w:rPr>
                <w:rFonts w:hint="eastAsia" w:ascii="仿宋" w:hAnsi="仿宋" w:eastAsia="仿宋" w:cs="仿宋"/>
                <w:snapToGrid w:val="0"/>
                <w:color w:val="auto"/>
                <w:kern w:val="28"/>
                <w:sz w:val="24"/>
                <w:szCs w:val="24"/>
                <w:lang w:val="en-US" w:eastAsia="zh-CN" w:bidi="ar-SA"/>
              </w:rPr>
              <w:t>中标人向采购代理机构支付中标服务费</w:t>
            </w:r>
            <w:r>
              <w:rPr>
                <w:rFonts w:hint="eastAsia" w:ascii="仿宋" w:hAnsi="仿宋" w:eastAsia="仿宋" w:cs="仿宋"/>
                <w:snapToGrid w:val="0"/>
                <w:color w:val="auto"/>
                <w:kern w:val="28"/>
                <w:sz w:val="24"/>
                <w:szCs w:val="24"/>
                <w:u w:val="single"/>
                <w:lang w:val="en-US" w:eastAsia="zh-CN" w:bidi="ar-SA"/>
              </w:rPr>
              <w:t>17000</w:t>
            </w:r>
            <w:r>
              <w:rPr>
                <w:rFonts w:hint="eastAsia" w:ascii="仿宋" w:hAnsi="仿宋" w:eastAsia="仿宋" w:cs="仿宋"/>
                <w:snapToGrid w:val="0"/>
                <w:color w:val="auto"/>
                <w:kern w:val="28"/>
                <w:sz w:val="24"/>
                <w:szCs w:val="24"/>
                <w:lang w:val="en-US" w:eastAsia="zh-CN" w:bidi="ar-SA"/>
              </w:rPr>
              <w:t>元。</w:t>
            </w:r>
          </w:p>
          <w:p w14:paraId="5DF7B787">
            <w:pPr>
              <w:spacing w:line="360" w:lineRule="auto"/>
              <w:rPr>
                <w:rFonts w:hint="eastAsia" w:ascii="仿宋" w:hAnsi="仿宋" w:eastAsia="仿宋" w:cs="仿宋"/>
                <w:snapToGrid w:val="0"/>
                <w:color w:val="auto"/>
                <w:kern w:val="28"/>
                <w:sz w:val="24"/>
                <w:szCs w:val="24"/>
              </w:rPr>
            </w:pPr>
            <w:r>
              <w:rPr>
                <w:rFonts w:hint="eastAsia" w:ascii="MS Gothic" w:hAnsi="MS Gothic" w:eastAsia="仿宋" w:cs="仿宋"/>
                <w:snapToGrid w:val="0"/>
                <w:color w:val="auto"/>
                <w:kern w:val="0"/>
                <w:sz w:val="24"/>
                <w:szCs w:val="24"/>
                <w:lang w:val="en-US" w:eastAsia="zh-CN" w:bidi="ar-SA"/>
              </w:rPr>
              <w:t>☐</w:t>
            </w:r>
            <w:r>
              <w:rPr>
                <w:rFonts w:hint="eastAsia" w:ascii="仿宋" w:hAnsi="仿宋" w:eastAsia="仿宋" w:cs="仿宋"/>
                <w:snapToGrid w:val="0"/>
                <w:color w:val="auto"/>
                <w:kern w:val="28"/>
                <w:sz w:val="24"/>
              </w:rPr>
              <w:t>根据国家发改委发改办价格[2003]857号通知和原国家计委计价格[2002]1980号文件规定的服务招标费率标准收取中标服务费，按照中标通知书确定的中标价，向中标供应商收取中标服务费。中标通知书</w:t>
            </w:r>
            <w:r>
              <w:rPr>
                <w:rFonts w:hint="eastAsia" w:ascii="仿宋" w:hAnsi="仿宋" w:eastAsia="仿宋" w:cs="仿宋"/>
                <w:snapToGrid w:val="0"/>
                <w:color w:val="auto"/>
                <w:kern w:val="28"/>
                <w:sz w:val="24"/>
                <w:lang w:eastAsia="zh-CN"/>
              </w:rPr>
              <w:t>发出后</w:t>
            </w:r>
            <w:r>
              <w:rPr>
                <w:rFonts w:hint="eastAsia" w:ascii="仿宋" w:hAnsi="仿宋" w:eastAsia="仿宋" w:cs="仿宋"/>
                <w:snapToGrid w:val="0"/>
                <w:color w:val="auto"/>
                <w:kern w:val="28"/>
                <w:sz w:val="24"/>
              </w:rPr>
              <w:t>5个工作日内</w:t>
            </w:r>
            <w:r>
              <w:rPr>
                <w:rFonts w:hint="eastAsia" w:ascii="仿宋" w:hAnsi="仿宋" w:eastAsia="仿宋" w:cs="仿宋"/>
                <w:snapToGrid w:val="0"/>
                <w:color w:val="auto"/>
                <w:kern w:val="28"/>
                <w:sz w:val="24"/>
                <w:lang w:eastAsia="zh-CN"/>
              </w:rPr>
              <w:t>，</w:t>
            </w:r>
            <w:r>
              <w:rPr>
                <w:rFonts w:hint="eastAsia" w:ascii="仿宋" w:hAnsi="仿宋" w:eastAsia="仿宋" w:cs="仿宋"/>
                <w:snapToGrid w:val="0"/>
                <w:color w:val="auto"/>
                <w:kern w:val="28"/>
                <w:sz w:val="24"/>
              </w:rPr>
              <w:t>中标人</w:t>
            </w:r>
            <w:r>
              <w:rPr>
                <w:rFonts w:hint="eastAsia" w:ascii="仿宋" w:hAnsi="仿宋" w:eastAsia="仿宋" w:cs="仿宋"/>
                <w:snapToGrid w:val="0"/>
                <w:color w:val="auto"/>
                <w:kern w:val="28"/>
                <w:sz w:val="24"/>
                <w:lang w:eastAsia="zh-CN"/>
              </w:rPr>
              <w:t>向采购代理机构</w:t>
            </w:r>
            <w:r>
              <w:rPr>
                <w:rFonts w:hint="eastAsia" w:ascii="仿宋" w:hAnsi="仿宋" w:eastAsia="仿宋" w:cs="仿宋"/>
                <w:snapToGrid w:val="0"/>
                <w:color w:val="auto"/>
                <w:kern w:val="28"/>
                <w:sz w:val="24"/>
              </w:rPr>
              <w:t>支付中标服务费。</w:t>
            </w:r>
          </w:p>
        </w:tc>
      </w:tr>
      <w:tr w14:paraId="09868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21655C26">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p>
        </w:tc>
        <w:tc>
          <w:tcPr>
            <w:tcW w:w="1843" w:type="dxa"/>
            <w:tcBorders>
              <w:top w:val="single" w:color="000000" w:sz="8" w:space="0"/>
              <w:left w:val="single" w:color="000000" w:sz="2" w:space="0"/>
              <w:right w:val="single" w:color="000000" w:sz="8" w:space="0"/>
            </w:tcBorders>
            <w:vAlign w:val="center"/>
          </w:tcPr>
          <w:p w14:paraId="47EC37F3">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特别说明</w:t>
            </w:r>
          </w:p>
        </w:tc>
        <w:tc>
          <w:tcPr>
            <w:tcW w:w="6662" w:type="dxa"/>
            <w:tcBorders>
              <w:top w:val="single" w:color="000000" w:sz="8" w:space="0"/>
              <w:left w:val="single" w:color="000000" w:sz="2" w:space="0"/>
              <w:bottom w:val="single" w:color="000000" w:sz="8" w:space="0"/>
              <w:right w:val="single" w:color="000000" w:sz="8" w:space="0"/>
            </w:tcBorders>
            <w:vAlign w:val="center"/>
          </w:tcPr>
          <w:p w14:paraId="5347BB3C">
            <w:pPr>
              <w:spacing w:line="360" w:lineRule="auto"/>
              <w:rPr>
                <w:rFonts w:hint="eastAsia" w:ascii="仿宋" w:hAnsi="仿宋" w:eastAsia="仿宋" w:cs="仿宋"/>
                <w:color w:val="auto"/>
                <w:sz w:val="24"/>
                <w:szCs w:val="24"/>
              </w:rPr>
            </w:pPr>
            <w:r>
              <w:rPr>
                <w:rFonts w:hint="eastAsia" w:ascii="仿宋" w:hAnsi="仿宋" w:eastAsia="仿宋" w:cs="仿宋"/>
                <w:snapToGrid w:val="0"/>
                <w:color w:val="auto"/>
                <w:kern w:val="28"/>
                <w:sz w:val="24"/>
                <w:szCs w:val="24"/>
              </w:rPr>
              <w:t>公益一类事业单位不属于政府购买服务的承接主体，不得参与承接政府购买服务。</w:t>
            </w:r>
          </w:p>
        </w:tc>
      </w:tr>
      <w:bookmarkEnd w:id="10"/>
    </w:tbl>
    <w:p w14:paraId="4BACAEB0">
      <w:pPr>
        <w:rPr>
          <w:rFonts w:cs="仿宋" w:asciiTheme="majorEastAsia" w:hAnsiTheme="majorEastAsia" w:eastAsiaTheme="majorEastAsia"/>
          <w:b/>
          <w:color w:val="auto"/>
          <w:sz w:val="32"/>
          <w:szCs w:val="20"/>
        </w:rPr>
      </w:pPr>
      <w:bookmarkStart w:id="11" w:name="第三部分"/>
      <w:bookmarkStart w:id="12" w:name="_Toc164416483"/>
      <w:r>
        <w:rPr>
          <w:rFonts w:hint="eastAsia" w:ascii="仿宋" w:hAnsi="仿宋" w:eastAsia="仿宋" w:cs="仿宋"/>
          <w:b/>
          <w:color w:val="auto"/>
          <w:sz w:val="24"/>
          <w:szCs w:val="24"/>
        </w:rPr>
        <w:br w:type="page"/>
      </w:r>
    </w:p>
    <w:p w14:paraId="650DBD15">
      <w:pPr>
        <w:spacing w:line="360" w:lineRule="auto"/>
        <w:ind w:firstLine="3845" w:firstLineChars="1197"/>
        <w:outlineLvl w:val="0"/>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一、总则</w:t>
      </w:r>
    </w:p>
    <w:p w14:paraId="53DC262B">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适用范围</w:t>
      </w:r>
    </w:p>
    <w:p w14:paraId="4FD673A4">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本招标文件适用于该项目的招标、投标、开标、资格审查及信用信息查询、评标、定标、合同、验收等行为（法律、法规另有规定的，从其规定）。</w:t>
      </w:r>
    </w:p>
    <w:p w14:paraId="4DA8A6A7">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定义</w:t>
      </w:r>
    </w:p>
    <w:p w14:paraId="5CE0A08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 “采购人”系指招标公告中载明的本项目的采购人。</w:t>
      </w:r>
    </w:p>
    <w:p w14:paraId="3FFA720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 “采购代理机构”系指招标公告中载明的本项目的采购代理机构。</w:t>
      </w:r>
    </w:p>
    <w:p w14:paraId="02468D6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 “</w:t>
      </w:r>
      <w:r>
        <w:rPr>
          <w:rFonts w:hint="eastAsia" w:ascii="仿宋" w:hAnsi="仿宋" w:eastAsia="仿宋" w:cs="仿宋"/>
          <w:color w:val="auto"/>
          <w:kern w:val="0"/>
          <w:sz w:val="24"/>
          <w:szCs w:val="24"/>
          <w:lang w:val="zh-CN"/>
        </w:rPr>
        <w:t>供应商</w:t>
      </w:r>
      <w:r>
        <w:rPr>
          <w:rFonts w:hint="eastAsia" w:ascii="仿宋" w:hAnsi="仿宋" w:eastAsia="仿宋" w:cs="仿宋"/>
          <w:color w:val="auto"/>
          <w:sz w:val="24"/>
          <w:szCs w:val="24"/>
        </w:rPr>
        <w:t>”系指是指响应招标、参加投标竞争的法人、其他组织或者自然人。</w:t>
      </w:r>
    </w:p>
    <w:p w14:paraId="59CBF01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 “负责人”系指法人企业的法定负责人，或其他组织为法律、行政法规规定代表单位行使职权的主要负责人，或自然人本人。</w:t>
      </w:r>
    </w:p>
    <w:p w14:paraId="1378697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2.5“电子签名”系指数据电文中以电子形式所含、所附用于识别签名人身份并表明签名人认可其中内容的数据；“公章”系指单位法定名称章。</w:t>
      </w:r>
    </w:p>
    <w:p w14:paraId="5CC78E1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2.6“电子交易平台”是指本项目采购活动所依托的采购云平台（</w:t>
      </w:r>
      <w:r>
        <w:rPr>
          <w:rFonts w:hint="eastAsia" w:ascii="仿宋" w:hAnsi="仿宋" w:eastAsia="仿宋" w:cs="仿宋"/>
          <w:color w:val="auto"/>
          <w:sz w:val="24"/>
          <w:szCs w:val="24"/>
          <w:lang w:eastAsia="zh-CN"/>
        </w:rPr>
        <w:t>https://www.lecaiyun.com/</w:t>
      </w:r>
      <w:r>
        <w:rPr>
          <w:rFonts w:hint="eastAsia" w:ascii="仿宋" w:hAnsi="仿宋" w:eastAsia="仿宋" w:cs="仿宋"/>
          <w:color w:val="auto"/>
          <w:sz w:val="24"/>
          <w:szCs w:val="24"/>
        </w:rPr>
        <w:t>）。</w:t>
      </w:r>
    </w:p>
    <w:p w14:paraId="55A3248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2.7 “▲” 系指实质性要求条款，“</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 系指适用本项目的要求，“</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 系指不适用本项目的要求。</w:t>
      </w:r>
    </w:p>
    <w:p w14:paraId="628281FF">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采购项目需要落实的政府采购政策</w:t>
      </w:r>
    </w:p>
    <w:p w14:paraId="181DD5B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7D3582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3.2 支持节能产品</w:t>
      </w:r>
    </w:p>
    <w:p w14:paraId="51C85FA8">
      <w:pPr>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color w:val="auto"/>
          <w:sz w:val="24"/>
          <w:szCs w:val="24"/>
          <w:lang w:val="zh-CN"/>
        </w:rPr>
        <w:t>供应商</w:t>
      </w:r>
      <w:r>
        <w:rPr>
          <w:rFonts w:hint="eastAsia" w:ascii="仿宋" w:hAnsi="仿宋" w:eastAsia="仿宋" w:cs="仿宋"/>
          <w:color w:val="auto"/>
          <w:sz w:val="24"/>
          <w:szCs w:val="24"/>
        </w:rPr>
        <w:t>须按招标文件要求提供相关产品认证证书。</w:t>
      </w:r>
      <w:r>
        <w:rPr>
          <w:rFonts w:hint="eastAsia" w:ascii="仿宋" w:hAnsi="仿宋" w:eastAsia="仿宋" w:cs="仿宋"/>
          <w:b/>
          <w:bCs/>
          <w:color w:val="auto"/>
          <w:sz w:val="24"/>
          <w:szCs w:val="24"/>
        </w:rPr>
        <w:t>▲采购人拟采购的产品属于政府强制采购的节能产品品目清单范围的，</w:t>
      </w:r>
      <w:r>
        <w:rPr>
          <w:rFonts w:hint="eastAsia" w:ascii="仿宋" w:hAnsi="仿宋" w:eastAsia="仿宋" w:cs="仿宋"/>
          <w:b/>
          <w:bCs/>
          <w:color w:val="auto"/>
          <w:sz w:val="24"/>
          <w:szCs w:val="24"/>
          <w:lang w:eastAsia="zh-CN"/>
        </w:rPr>
        <w:t>供应商</w:t>
      </w:r>
      <w:r>
        <w:rPr>
          <w:rFonts w:hint="eastAsia" w:ascii="仿宋" w:hAnsi="仿宋" w:eastAsia="仿宋" w:cs="仿宋"/>
          <w:b/>
          <w:bCs/>
          <w:color w:val="auto"/>
          <w:sz w:val="24"/>
          <w:szCs w:val="24"/>
        </w:rPr>
        <w:t>未按招标文件要求提供国家确定的认证机构出具的、处于有效期之内的节能产品认证证书的，投标无效。</w:t>
      </w:r>
    </w:p>
    <w:p w14:paraId="443243A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3.3支持中小企业发展</w:t>
      </w:r>
    </w:p>
    <w:p w14:paraId="070480B3">
      <w:pPr>
        <w:spacing w:line="360" w:lineRule="auto"/>
        <w:ind w:firstLine="480" w:firstLineChars="200"/>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3EE86F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符合中小企业划分标准的个体工商户，在政府采购活动中视同中小企业。</w:t>
      </w:r>
    </w:p>
    <w:p w14:paraId="63B38B0C">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bCs/>
          <w:color w:val="auto"/>
          <w:sz w:val="24"/>
          <w:szCs w:val="24"/>
        </w:rPr>
        <w:t>3.3.2</w:t>
      </w:r>
      <w:r>
        <w:rPr>
          <w:rFonts w:hint="eastAsia" w:ascii="仿宋" w:hAnsi="仿宋" w:eastAsia="仿宋" w:cs="仿宋"/>
          <w:color w:val="auto"/>
          <w:kern w:val="0"/>
          <w:sz w:val="24"/>
          <w:szCs w:val="24"/>
        </w:rPr>
        <w:t>在政府采购活动中，</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提供的货物、工程或者服务符合下列情形的，享受中小企业扶持政策：</w:t>
      </w:r>
    </w:p>
    <w:p w14:paraId="7445A148">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3.3.2.1在货物采购项目中，货物由中小企业制造，即货物由中小企业生产且使用该中小企业商号或者注册商标；</w:t>
      </w:r>
    </w:p>
    <w:p w14:paraId="28FEB095">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3.3.2.2在工程采购项目中，工程由中小企业承建，即工程施工单位为中小企业；</w:t>
      </w:r>
    </w:p>
    <w:p w14:paraId="79BB1CF0">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3.3.2.3在服务采购项目中，服务由中小企业承接，即提供服务的人员为中小企业依照《中华人民共和国劳动合同法》订立劳动合同的从业人员。</w:t>
      </w:r>
    </w:p>
    <w:p w14:paraId="46E95724">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在货物采购项目中，</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提供的货物既有中小企业制造货物，也有大型企业制造货物的，不享受中小企业扶持政策。</w:t>
      </w:r>
    </w:p>
    <w:p w14:paraId="49835185">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以联合体形式参加政府采购活动，联合体各方均为中小企业的，联合体视同中小企业。其中，联合体各方均为小微企业的，联合体视同小微企业。</w:t>
      </w:r>
    </w:p>
    <w:p w14:paraId="393F8E6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%的扣除，用扣除后的价格参加评审。组成联合体或者接受分包的小微企业与联合体内其他企业、分包企业之间存在直接控股、管理关系的，不享受价格扣除优惠政策。</w:t>
      </w:r>
    </w:p>
    <w:p w14:paraId="19A3DA0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3.3.4符合《关于促进残疾人就业政府采购政策的通知》（财库〔2017〕141号）规定的条件并提供《残疾人福利性单位声明函》的残疾人福利性单位视同小型、微型企业；</w:t>
      </w:r>
    </w:p>
    <w:p w14:paraId="1653033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64BA6C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3.3.6可享受中小企业扶持政策的</w:t>
      </w:r>
      <w:r>
        <w:rPr>
          <w:rFonts w:hint="eastAsia" w:ascii="仿宋" w:hAnsi="仿宋" w:eastAsia="仿宋" w:cs="仿宋"/>
          <w:color w:val="auto"/>
          <w:kern w:val="0"/>
          <w:sz w:val="24"/>
          <w:szCs w:val="24"/>
          <w:lang w:val="zh-CN"/>
        </w:rPr>
        <w:t>供应商</w:t>
      </w:r>
      <w:r>
        <w:rPr>
          <w:rFonts w:hint="eastAsia" w:ascii="仿宋" w:hAnsi="仿宋" w:eastAsia="仿宋" w:cs="仿宋"/>
          <w:color w:val="auto"/>
          <w:sz w:val="24"/>
          <w:szCs w:val="24"/>
        </w:rPr>
        <w:t>应按照招标文件格式要求提供《中小企业声明函》，</w:t>
      </w:r>
      <w:r>
        <w:rPr>
          <w:rFonts w:hint="eastAsia" w:ascii="仿宋" w:hAnsi="仿宋" w:eastAsia="仿宋" w:cs="仿宋"/>
          <w:color w:val="auto"/>
          <w:kern w:val="0"/>
          <w:sz w:val="24"/>
          <w:szCs w:val="24"/>
          <w:lang w:val="zh-CN"/>
        </w:rPr>
        <w:t>供应商</w:t>
      </w:r>
      <w:r>
        <w:rPr>
          <w:rFonts w:hint="eastAsia" w:ascii="仿宋" w:hAnsi="仿宋" w:eastAsia="仿宋" w:cs="仿宋"/>
          <w:color w:val="auto"/>
          <w:sz w:val="24"/>
          <w:szCs w:val="24"/>
        </w:rPr>
        <w:t>提供的《中小企业声明函》与实际情况不符的，不享受中小企业扶持政策。声明内容不实的，属于提供虚假材料谋取中标、成交的，依法承担法律责任。</w:t>
      </w:r>
    </w:p>
    <w:p w14:paraId="677E996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3.3.7中小企业享受扶持政策获得政府采购合同的，小微企业不得将合同分包给大中型企业，中型企业不得将合同分包给大型企业。</w:t>
      </w:r>
    </w:p>
    <w:p w14:paraId="5EBFB27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3.4支持创新发展</w:t>
      </w:r>
    </w:p>
    <w:p w14:paraId="4146AB6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3.4.1 采购人优先采购被认定为首台套产品和“制造精品”的自主创新产品。</w:t>
      </w:r>
    </w:p>
    <w:p w14:paraId="53B34BA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2EDB5A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3.4.3根据《关于促进自主创新进一步改进招标采购工作的意见》(甬资交管办〔2019〕 1号)规定，若投标产品列入地级市及以上政府部门重点自主创新产品目录的，相应的资格审查和业绩评分视同完全满足（以投标文件中提供地级市及以上政府部门重点自主创新产品目录证明材料为准）。</w:t>
      </w:r>
    </w:p>
    <w:p w14:paraId="11A6D28D">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特别说明</w:t>
      </w:r>
    </w:p>
    <w:p w14:paraId="55BC263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4.1关于分公司投标</w:t>
      </w:r>
    </w:p>
    <w:p w14:paraId="17E214F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除银行、保险、石油石化、电力、电信等特殊行业外。法人的分支机构由于不能独立承担民事责任，不能以分支机构的身份参加政府采购，只能以法人身份参加。 </w:t>
      </w:r>
    </w:p>
    <w:p w14:paraId="335654F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4.2关于知识产权</w:t>
      </w:r>
    </w:p>
    <w:p w14:paraId="71BCFB4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4.2.1 </w:t>
      </w:r>
      <w:r>
        <w:rPr>
          <w:rFonts w:hint="eastAsia" w:ascii="仿宋" w:hAnsi="仿宋" w:eastAsia="仿宋" w:cs="仿宋"/>
          <w:color w:val="auto"/>
          <w:kern w:val="0"/>
          <w:sz w:val="24"/>
          <w:szCs w:val="24"/>
          <w:lang w:val="zh-CN"/>
        </w:rPr>
        <w:t>供应商</w:t>
      </w:r>
      <w:r>
        <w:rPr>
          <w:rFonts w:hint="eastAsia" w:ascii="仿宋" w:hAnsi="仿宋" w:eastAsia="仿宋" w:cs="仿宋"/>
          <w:color w:val="auto"/>
          <w:sz w:val="24"/>
          <w:szCs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ascii="仿宋" w:hAnsi="仿宋" w:eastAsia="仿宋" w:cs="仿宋"/>
          <w:color w:val="auto"/>
          <w:kern w:val="0"/>
          <w:sz w:val="24"/>
          <w:szCs w:val="24"/>
          <w:lang w:val="zh-CN"/>
        </w:rPr>
        <w:t>供应商</w:t>
      </w:r>
      <w:r>
        <w:rPr>
          <w:rFonts w:hint="eastAsia" w:ascii="仿宋" w:hAnsi="仿宋" w:eastAsia="仿宋" w:cs="仿宋"/>
          <w:color w:val="auto"/>
          <w:sz w:val="24"/>
          <w:szCs w:val="24"/>
        </w:rPr>
        <w:t>承担。</w:t>
      </w:r>
    </w:p>
    <w:p w14:paraId="684B5D2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4.2.2 投标报价应包含所有应向所有权人支付的专利权、商标权或其它知识产权的一切相关费用。</w:t>
      </w:r>
    </w:p>
    <w:p w14:paraId="2E6D56F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4.2.3 系统软件、通用软件必须是具有在中国境内的合法使用权或版权的正版软件，涉及到第三方提出侵权或知识产权的起诉及支付版税等费用由</w:t>
      </w:r>
      <w:r>
        <w:rPr>
          <w:rFonts w:hint="eastAsia" w:ascii="仿宋" w:hAnsi="仿宋" w:eastAsia="仿宋" w:cs="仿宋"/>
          <w:color w:val="auto"/>
          <w:kern w:val="0"/>
          <w:sz w:val="24"/>
          <w:szCs w:val="24"/>
          <w:lang w:val="zh-CN"/>
        </w:rPr>
        <w:t>供应商</w:t>
      </w:r>
      <w:r>
        <w:rPr>
          <w:rFonts w:hint="eastAsia" w:ascii="仿宋" w:hAnsi="仿宋" w:eastAsia="仿宋" w:cs="仿宋"/>
          <w:color w:val="auto"/>
          <w:sz w:val="24"/>
          <w:szCs w:val="24"/>
        </w:rPr>
        <w:t>承担所有责任及费用。</w:t>
      </w:r>
    </w:p>
    <w:p w14:paraId="35A985C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color w:val="auto"/>
          <w:kern w:val="0"/>
          <w:sz w:val="24"/>
          <w:szCs w:val="24"/>
          <w:lang w:val="zh-CN"/>
        </w:rPr>
        <w:t>供应商</w:t>
      </w:r>
      <w:r>
        <w:rPr>
          <w:rFonts w:hint="eastAsia" w:ascii="仿宋" w:hAnsi="仿宋" w:eastAsia="仿宋" w:cs="仿宋"/>
          <w:color w:val="auto"/>
          <w:sz w:val="24"/>
          <w:szCs w:val="24"/>
        </w:rPr>
        <w:t>的风险</w:t>
      </w:r>
    </w:p>
    <w:p w14:paraId="1433DC8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4.3.1 </w:t>
      </w:r>
      <w:r>
        <w:rPr>
          <w:rFonts w:hint="eastAsia" w:ascii="仿宋" w:hAnsi="仿宋" w:eastAsia="仿宋" w:cs="仿宋"/>
          <w:color w:val="auto"/>
          <w:kern w:val="0"/>
          <w:sz w:val="24"/>
          <w:szCs w:val="24"/>
          <w:lang w:val="zh-CN"/>
        </w:rPr>
        <w:t>供应商</w:t>
      </w:r>
      <w:r>
        <w:rPr>
          <w:rFonts w:hint="eastAsia" w:ascii="仿宋" w:hAnsi="仿宋" w:eastAsia="仿宋" w:cs="仿宋"/>
          <w:color w:val="auto"/>
          <w:sz w:val="24"/>
          <w:szCs w:val="24"/>
        </w:rPr>
        <w:t>应详细阅读招标文件中的全部内容和要求，按照招标文件的要求提交投标文件，没有按照招标文件要求提供投标文件和资料导致的风险由</w:t>
      </w:r>
      <w:r>
        <w:rPr>
          <w:rFonts w:hint="eastAsia" w:ascii="仿宋" w:hAnsi="仿宋" w:eastAsia="仿宋" w:cs="仿宋"/>
          <w:color w:val="auto"/>
          <w:kern w:val="0"/>
          <w:sz w:val="24"/>
          <w:szCs w:val="24"/>
          <w:lang w:val="zh-CN"/>
        </w:rPr>
        <w:t>供应商</w:t>
      </w:r>
      <w:r>
        <w:rPr>
          <w:rFonts w:hint="eastAsia" w:ascii="仿宋" w:hAnsi="仿宋" w:eastAsia="仿宋" w:cs="仿宋"/>
          <w:color w:val="auto"/>
          <w:sz w:val="24"/>
          <w:szCs w:val="24"/>
        </w:rPr>
        <w:t>承担,并对所提供的全部资料的真实性承担法律责任。</w:t>
      </w:r>
    </w:p>
    <w:p w14:paraId="4A853F1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4.3.2 无论因何种原因导致本次采购活动终止致</w:t>
      </w:r>
      <w:r>
        <w:rPr>
          <w:rFonts w:hint="eastAsia" w:ascii="仿宋" w:hAnsi="仿宋" w:eastAsia="仿宋" w:cs="仿宋"/>
          <w:color w:val="auto"/>
          <w:kern w:val="0"/>
          <w:sz w:val="24"/>
          <w:szCs w:val="24"/>
          <w:lang w:val="zh-CN"/>
        </w:rPr>
        <w:t>供应商</w:t>
      </w:r>
      <w:r>
        <w:rPr>
          <w:rFonts w:hint="eastAsia" w:ascii="仿宋" w:hAnsi="仿宋" w:eastAsia="仿宋" w:cs="仿宋"/>
          <w:color w:val="auto"/>
          <w:sz w:val="24"/>
          <w:szCs w:val="24"/>
        </w:rPr>
        <w:t>损失的，相关责任人均不承担任何责任。</w:t>
      </w:r>
    </w:p>
    <w:p w14:paraId="4C4EB302">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询问、质疑、投诉</w:t>
      </w:r>
    </w:p>
    <w:p w14:paraId="384A3CEB">
      <w:pPr>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.1供应商询问</w:t>
      </w:r>
    </w:p>
    <w:p w14:paraId="2D5F1D97">
      <w:pPr>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F10D969">
      <w:pPr>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.2供应商质疑</w:t>
      </w:r>
    </w:p>
    <w:p w14:paraId="5D81F1F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.2</w:t>
      </w:r>
      <w:r>
        <w:rPr>
          <w:rFonts w:hint="eastAsia" w:ascii="仿宋" w:hAnsi="仿宋" w:eastAsia="仿宋" w:cs="仿宋"/>
          <w:color w:val="auto"/>
          <w:sz w:val="24"/>
          <w:szCs w:val="24"/>
        </w:rPr>
        <w:t>.1提出质疑的供应商应当是参与所质疑项目采购活动的供应商。潜在供应商已依法获取其可质疑的招标文件的，可以对该文件提出质疑。</w:t>
      </w:r>
    </w:p>
    <w:p w14:paraId="1F52EBC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.2</w:t>
      </w:r>
      <w:r>
        <w:rPr>
          <w:rFonts w:hint="eastAsia" w:ascii="仿宋" w:hAnsi="仿宋" w:eastAsia="仿宋" w:cs="仿宋"/>
          <w:color w:val="auto"/>
          <w:sz w:val="24"/>
          <w:szCs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41C29D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5.2.2.1对招标文件提出质疑的，质疑期限为供应商获得招标文件之日或者招标文件公告期限届满之日起计算。</w:t>
      </w:r>
    </w:p>
    <w:p w14:paraId="60A28FF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5.2.2.2对采购过程提出质疑的，质疑期限为各采购程序环节结束之日起计算。</w:t>
      </w:r>
    </w:p>
    <w:p w14:paraId="306E7DD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5.2.2.3对采购结果提出质疑的，质疑期限自采购结果公告期限届满之日起计算。</w:t>
      </w:r>
    </w:p>
    <w:p w14:paraId="5C12EA7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5.2.2.4对同一采购程序环节的质疑，供应商须一次性提出。</w:t>
      </w:r>
    </w:p>
    <w:p w14:paraId="36364CF9">
      <w:pPr>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.2.3</w:t>
      </w:r>
      <w:r>
        <w:rPr>
          <w:rFonts w:hint="eastAsia" w:ascii="仿宋" w:hAnsi="仿宋" w:eastAsia="仿宋" w:cs="仿宋"/>
          <w:color w:val="auto"/>
          <w:sz w:val="24"/>
          <w:szCs w:val="24"/>
        </w:rPr>
        <w:t>供应商提出质疑应当提交质疑函和必要的证明材料。质疑函应当包括下列内容：</w:t>
      </w:r>
    </w:p>
    <w:p w14:paraId="7C14F052">
      <w:pPr>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.2.3.1供应商的姓名或者名称、地址、邮编、联系人及联系电话；</w:t>
      </w:r>
    </w:p>
    <w:p w14:paraId="132BAD91">
      <w:pPr>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.2.3.2质疑项目的名称、编号；</w:t>
      </w:r>
    </w:p>
    <w:p w14:paraId="4A83837C">
      <w:pPr>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.2.3.3具体、明确的质疑事项和与质疑事项相关的请求；</w:t>
      </w:r>
    </w:p>
    <w:p w14:paraId="7AC28765">
      <w:pPr>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.2.3.4事实依据；</w:t>
      </w:r>
    </w:p>
    <w:p w14:paraId="688C50A0">
      <w:pPr>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.2.3.5必要的法律依据；</w:t>
      </w:r>
    </w:p>
    <w:p w14:paraId="682F8B18">
      <w:pPr>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.2.3.6提出质疑的日期。</w:t>
      </w:r>
    </w:p>
    <w:p w14:paraId="46655BE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5.2.3.7对招标文件提出质疑的需要提供在</w:t>
      </w:r>
      <w:r>
        <w:rPr>
          <w:rFonts w:hint="eastAsia" w:ascii="仿宋" w:hAnsi="仿宋" w:eastAsia="仿宋" w:cs="仿宋"/>
          <w:color w:val="auto"/>
          <w:sz w:val="24"/>
          <w:szCs w:val="24"/>
          <w:lang w:eastAsia="zh-CN"/>
        </w:rPr>
        <w:t>乐采云平台</w:t>
      </w:r>
      <w:r>
        <w:rPr>
          <w:rFonts w:hint="eastAsia" w:ascii="仿宋" w:hAnsi="仿宋" w:eastAsia="仿宋" w:cs="仿宋"/>
          <w:color w:val="auto"/>
          <w:sz w:val="24"/>
          <w:szCs w:val="24"/>
        </w:rPr>
        <w:t>获取招标文件的截图。</w:t>
      </w:r>
    </w:p>
    <w:p w14:paraId="2F66746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供应商提交的质疑函需一式三份。供应商为自然人的，应当由本人签字；供应商为法人或者其他组织的，应当由法定代表人、主要负责人，或者其授权代表签字或者盖章，并加盖公章。</w:t>
      </w:r>
    </w:p>
    <w:p w14:paraId="28AF1F9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质疑函范本请到浙江企业采购信息服务网下载专区下载。</w:t>
      </w:r>
    </w:p>
    <w:p w14:paraId="5C9D96C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.2</w:t>
      </w:r>
      <w:r>
        <w:rPr>
          <w:rFonts w:hint="eastAsia" w:ascii="仿宋" w:hAnsi="仿宋" w:eastAsia="仿宋" w:cs="仿宋"/>
          <w:color w:val="auto"/>
          <w:sz w:val="24"/>
          <w:szCs w:val="24"/>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1E9F6E8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rPr>
        <w:t>.2</w:t>
      </w:r>
      <w:r>
        <w:rPr>
          <w:rFonts w:hint="eastAsia" w:ascii="仿宋" w:hAnsi="仿宋" w:eastAsia="仿宋" w:cs="仿宋"/>
          <w:color w:val="auto"/>
          <w:sz w:val="24"/>
          <w:szCs w:val="24"/>
        </w:rPr>
        <w:t>.5询问或者质疑事项可能影响采购结果的，采购人应当暂停签订合同，已经签订合同的，应当中止履行合同。</w:t>
      </w:r>
    </w:p>
    <w:p w14:paraId="3880AEA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5.3供应商投诉</w:t>
      </w:r>
    </w:p>
    <w:p w14:paraId="19D8FAC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79D32BA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5.3.2供应商投诉的事项不得超出已质疑事项的范围，基于质疑答复内容提出的投诉事项除外。</w:t>
      </w:r>
    </w:p>
    <w:p w14:paraId="19D0E50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5.3.3供应商投诉应当有明确的请求和必要的证明材料。</w:t>
      </w:r>
    </w:p>
    <w:p w14:paraId="29B156E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5.3.4 以联合体形式参加政府采购活动的，其投诉应当由组成联合体的所有供应商共同提出。</w:t>
      </w:r>
    </w:p>
    <w:p w14:paraId="41C2099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5.3.5投诉人对监督管理部门的投诉处理决定不服或监督管理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14:paraId="763DBE4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投诉书范本请到</w:t>
      </w:r>
      <w:r>
        <w:rPr>
          <w:rFonts w:hint="eastAsia" w:ascii="仿宋" w:hAnsi="仿宋" w:eastAsia="仿宋" w:cs="仿宋"/>
          <w:color w:val="auto"/>
          <w:sz w:val="24"/>
          <w:szCs w:val="24"/>
          <w:highlight w:val="none"/>
          <w:lang w:eastAsia="zh-CN"/>
        </w:rPr>
        <w:t>浙江企业采购信息服务网</w:t>
      </w:r>
      <w:r>
        <w:rPr>
          <w:rFonts w:hint="eastAsia" w:ascii="仿宋" w:hAnsi="仿宋" w:eastAsia="仿宋" w:cs="仿宋"/>
          <w:color w:val="auto"/>
          <w:sz w:val="24"/>
          <w:szCs w:val="24"/>
          <w:highlight w:val="none"/>
        </w:rPr>
        <w:t>下载专区下载。</w:t>
      </w:r>
    </w:p>
    <w:p w14:paraId="709FD090">
      <w:pPr>
        <w:spacing w:line="360" w:lineRule="auto"/>
        <w:jc w:val="center"/>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w:t>
      </w:r>
      <w:r>
        <w:rPr>
          <w:rFonts w:hint="eastAsia" w:ascii="仿宋" w:hAnsi="仿宋" w:eastAsia="仿宋" w:cs="仿宋"/>
          <w:b/>
          <w:color w:val="auto"/>
          <w:sz w:val="32"/>
          <w:szCs w:val="32"/>
        </w:rPr>
        <w:t xml:space="preserve"> 二、招标文件的构成、澄清、修改</w:t>
      </w:r>
    </w:p>
    <w:p w14:paraId="085FC677">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招标文件的构成</w:t>
      </w:r>
    </w:p>
    <w:p w14:paraId="772DA13F">
      <w:pPr>
        <w:pStyle w:val="1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 招标文件包括下列文件及附件：</w:t>
      </w:r>
    </w:p>
    <w:p w14:paraId="264D3D69">
      <w:pPr>
        <w:pStyle w:val="1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6.1.1 招标公告；</w:t>
      </w:r>
    </w:p>
    <w:p w14:paraId="1B845AD7">
      <w:pPr>
        <w:pStyle w:val="1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6.1.2 </w:t>
      </w:r>
      <w:r>
        <w:rPr>
          <w:rFonts w:hint="eastAsia" w:ascii="仿宋" w:hAnsi="仿宋" w:eastAsia="仿宋" w:cs="仿宋"/>
          <w:color w:val="auto"/>
          <w:sz w:val="24"/>
          <w:szCs w:val="24"/>
          <w:lang w:val="zh-CN"/>
        </w:rPr>
        <w:t>投标</w:t>
      </w:r>
      <w:r>
        <w:rPr>
          <w:rFonts w:hint="eastAsia" w:ascii="仿宋" w:hAnsi="仿宋" w:eastAsia="仿宋" w:cs="仿宋"/>
          <w:color w:val="auto"/>
          <w:sz w:val="24"/>
          <w:szCs w:val="24"/>
        </w:rPr>
        <w:t>须知；</w:t>
      </w:r>
    </w:p>
    <w:p w14:paraId="7387DB1A">
      <w:pPr>
        <w:pStyle w:val="1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6.1.3 采购需求；</w:t>
      </w:r>
    </w:p>
    <w:p w14:paraId="5D76299D">
      <w:pPr>
        <w:pStyle w:val="1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6.1.4 评标办法；</w:t>
      </w:r>
    </w:p>
    <w:p w14:paraId="4BA15A88">
      <w:pPr>
        <w:pStyle w:val="1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6.1.5 拟签订的合同文本；</w:t>
      </w:r>
    </w:p>
    <w:p w14:paraId="338B1094">
      <w:pPr>
        <w:pStyle w:val="1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6.1.6 应提交的有关格式范例； </w:t>
      </w:r>
    </w:p>
    <w:p w14:paraId="22DDC8D5">
      <w:pPr>
        <w:pStyle w:val="1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6.1.7附件（如有）。</w:t>
      </w:r>
    </w:p>
    <w:p w14:paraId="23D3234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6.2与本项目有关的</w:t>
      </w:r>
      <w:r>
        <w:rPr>
          <w:rFonts w:hint="eastAsia" w:ascii="仿宋" w:hAnsi="仿宋" w:eastAsia="仿宋" w:cs="仿宋"/>
          <w:bCs/>
          <w:color w:val="auto"/>
          <w:sz w:val="24"/>
          <w:szCs w:val="24"/>
        </w:rPr>
        <w:t>澄清或者修改的内容为招标文件的组成部分</w:t>
      </w:r>
      <w:r>
        <w:rPr>
          <w:rFonts w:hint="eastAsia" w:ascii="仿宋" w:hAnsi="仿宋" w:eastAsia="仿宋" w:cs="仿宋"/>
          <w:color w:val="auto"/>
          <w:sz w:val="24"/>
          <w:szCs w:val="24"/>
        </w:rPr>
        <w:t>。</w:t>
      </w:r>
    </w:p>
    <w:p w14:paraId="2A9181B6">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招标文件的澄清、修改</w:t>
      </w:r>
    </w:p>
    <w:p w14:paraId="3BCB42D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759C52D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1823F13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7.3 如更正公告有重新发布电子招标文件的，</w:t>
      </w:r>
      <w:r>
        <w:rPr>
          <w:rFonts w:hint="eastAsia" w:ascii="仿宋" w:hAnsi="仿宋" w:eastAsia="仿宋" w:cs="仿宋"/>
          <w:color w:val="auto"/>
          <w:kern w:val="0"/>
          <w:sz w:val="24"/>
          <w:szCs w:val="24"/>
          <w:lang w:val="zh-CN"/>
        </w:rPr>
        <w:t>供应商</w:t>
      </w:r>
      <w:r>
        <w:rPr>
          <w:rFonts w:hint="eastAsia" w:ascii="仿宋" w:hAnsi="仿宋" w:eastAsia="仿宋" w:cs="仿宋"/>
          <w:color w:val="auto"/>
          <w:sz w:val="24"/>
          <w:szCs w:val="24"/>
        </w:rPr>
        <w:t>应下载最新发布的电子招标文件制作投标文件。</w:t>
      </w:r>
    </w:p>
    <w:p w14:paraId="25F707B3">
      <w:pPr>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7.4 已获取招标文件的潜在</w:t>
      </w:r>
      <w:r>
        <w:rPr>
          <w:rFonts w:hint="eastAsia" w:ascii="仿宋" w:hAnsi="仿宋" w:eastAsia="仿宋" w:cs="仿宋"/>
          <w:color w:val="auto"/>
          <w:kern w:val="0"/>
          <w:sz w:val="24"/>
          <w:szCs w:val="24"/>
          <w:lang w:val="zh-CN"/>
        </w:rPr>
        <w:t>供应商</w:t>
      </w:r>
      <w:r>
        <w:rPr>
          <w:rFonts w:hint="eastAsia" w:ascii="仿宋" w:hAnsi="仿宋" w:eastAsia="仿宋" w:cs="仿宋"/>
          <w:color w:val="auto"/>
          <w:sz w:val="24"/>
          <w:szCs w:val="24"/>
        </w:rPr>
        <w:t>，若有问题需要澄清，应于投标截止时间前，以书面形式向采购代理机构提出。</w:t>
      </w:r>
      <w:r>
        <w:rPr>
          <w:rFonts w:hint="eastAsia" w:ascii="仿宋" w:hAnsi="仿宋" w:eastAsia="仿宋" w:cs="仿宋"/>
          <w:color w:val="auto"/>
          <w:kern w:val="0"/>
          <w:sz w:val="24"/>
          <w:szCs w:val="24"/>
          <w:lang w:val="zh-CN"/>
        </w:rPr>
        <w:t>供应商</w:t>
      </w:r>
      <w:r>
        <w:rPr>
          <w:rFonts w:hint="eastAsia" w:ascii="仿宋" w:hAnsi="仿宋" w:eastAsia="仿宋" w:cs="仿宋"/>
          <w:color w:val="auto"/>
          <w:sz w:val="24"/>
          <w:szCs w:val="24"/>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仿宋" w:hAnsi="仿宋" w:eastAsia="仿宋" w:cs="仿宋"/>
          <w:color w:val="auto"/>
          <w:kern w:val="0"/>
          <w:sz w:val="24"/>
          <w:szCs w:val="24"/>
          <w:lang w:val="zh-CN"/>
        </w:rPr>
        <w:t>供应商</w:t>
      </w:r>
      <w:r>
        <w:rPr>
          <w:rFonts w:hint="eastAsia" w:ascii="仿宋" w:hAnsi="仿宋" w:eastAsia="仿宋" w:cs="仿宋"/>
          <w:color w:val="auto"/>
          <w:sz w:val="24"/>
          <w:szCs w:val="24"/>
        </w:rPr>
        <w:t>。</w:t>
      </w:r>
    </w:p>
    <w:p w14:paraId="0F27ACB2">
      <w:pPr>
        <w:spacing w:line="360" w:lineRule="auto"/>
        <w:jc w:val="center"/>
        <w:outlineLvl w:val="0"/>
        <w:rPr>
          <w:rFonts w:hint="eastAsia" w:ascii="仿宋" w:hAnsi="仿宋" w:eastAsia="仿宋" w:cs="仿宋"/>
          <w:b/>
          <w:color w:val="auto"/>
          <w:sz w:val="24"/>
          <w:szCs w:val="24"/>
        </w:rPr>
      </w:pPr>
      <w:r>
        <w:rPr>
          <w:rFonts w:hint="eastAsia" w:ascii="仿宋" w:hAnsi="仿宋" w:eastAsia="仿宋" w:cs="仿宋"/>
          <w:b/>
          <w:color w:val="auto"/>
          <w:sz w:val="32"/>
          <w:szCs w:val="32"/>
        </w:rPr>
        <w:t>三、投标</w:t>
      </w:r>
    </w:p>
    <w:p w14:paraId="0D5AF66B">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投标文件的语言</w:t>
      </w:r>
    </w:p>
    <w:p w14:paraId="11D8A087">
      <w:pPr>
        <w:autoSpaceDE w:val="0"/>
        <w:autoSpaceDN w:val="0"/>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投标文件及</w:t>
      </w:r>
      <w:r>
        <w:rPr>
          <w:rFonts w:hint="eastAsia" w:ascii="仿宋" w:hAnsi="仿宋" w:eastAsia="仿宋" w:cs="仿宋"/>
          <w:color w:val="auto"/>
          <w:kern w:val="0"/>
          <w:sz w:val="24"/>
          <w:szCs w:val="24"/>
          <w:lang w:val="zh-CN"/>
        </w:rPr>
        <w:t>供应商</w:t>
      </w:r>
      <w:r>
        <w:rPr>
          <w:rFonts w:hint="eastAsia" w:ascii="仿宋" w:hAnsi="仿宋" w:eastAsia="仿宋" w:cs="仿宋"/>
          <w:color w:val="auto"/>
          <w:sz w:val="24"/>
          <w:szCs w:val="24"/>
        </w:rPr>
        <w:t>与采购有关的来往通知、函件和文件均应使用中文。</w:t>
      </w:r>
    </w:p>
    <w:p w14:paraId="739528AB">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投标文件的组成</w:t>
      </w:r>
    </w:p>
    <w:p w14:paraId="0D9CF4E2">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9.1 </w:t>
      </w:r>
      <w:r>
        <w:rPr>
          <w:rFonts w:hint="eastAsia" w:ascii="仿宋" w:hAnsi="仿宋" w:eastAsia="仿宋" w:cs="仿宋"/>
          <w:b/>
          <w:color w:val="auto"/>
          <w:sz w:val="24"/>
          <w:szCs w:val="24"/>
        </w:rPr>
        <w:t>资格文件</w:t>
      </w:r>
      <w:r>
        <w:rPr>
          <w:rFonts w:hint="eastAsia" w:ascii="仿宋" w:hAnsi="仿宋" w:eastAsia="仿宋" w:cs="仿宋"/>
          <w:color w:val="auto"/>
          <w:sz w:val="24"/>
          <w:szCs w:val="24"/>
        </w:rPr>
        <w:t>：</w:t>
      </w:r>
    </w:p>
    <w:p w14:paraId="360F2B47">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9.1.1有效的企业法人营业执照（或事业法人登记证）、其他组织（个体工商户）的营业执照或者民办非企业单位登记证书；</w:t>
      </w:r>
    </w:p>
    <w:p w14:paraId="7206B638">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9.1.2符合参加政府采购活动应当具备的一般条件的承诺函(格式见第六部分)；</w:t>
      </w:r>
    </w:p>
    <w:p w14:paraId="4AD916E0">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9.1.3落实政府采购政策需满足的资格要求（如适用）；</w:t>
      </w:r>
    </w:p>
    <w:p w14:paraId="35BA64D4">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9.1.4本项目的特定资格要求。</w:t>
      </w:r>
    </w:p>
    <w:p w14:paraId="1BF30AE9">
      <w:pPr>
        <w:snapToGrid w:val="0"/>
        <w:spacing w:line="360" w:lineRule="auto"/>
        <w:ind w:firstLine="480" w:firstLineChars="200"/>
        <w:rPr>
          <w:rFonts w:hint="eastAsia" w:ascii="仿宋" w:hAnsi="仿宋" w:eastAsia="仿宋" w:cs="仿宋"/>
          <w:b/>
          <w:bCs/>
          <w:color w:val="auto"/>
          <w:sz w:val="24"/>
          <w:szCs w:val="24"/>
          <w:lang w:val="zh-CN"/>
        </w:rPr>
      </w:pPr>
      <w:r>
        <w:rPr>
          <w:rFonts w:hint="eastAsia" w:ascii="仿宋" w:hAnsi="仿宋" w:eastAsia="仿宋" w:cs="仿宋"/>
          <w:color w:val="auto"/>
          <w:sz w:val="24"/>
          <w:szCs w:val="24"/>
        </w:rPr>
        <w:t>9</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 xml:space="preserve"> </w:t>
      </w:r>
      <w:r>
        <w:rPr>
          <w:rFonts w:hint="eastAsia" w:ascii="仿宋" w:hAnsi="仿宋" w:eastAsia="仿宋" w:cs="仿宋"/>
          <w:b/>
          <w:bCs/>
          <w:color w:val="auto"/>
          <w:sz w:val="24"/>
          <w:szCs w:val="24"/>
        </w:rPr>
        <w:t>商务技术</w:t>
      </w:r>
      <w:r>
        <w:rPr>
          <w:rFonts w:hint="eastAsia" w:ascii="仿宋" w:hAnsi="仿宋" w:eastAsia="仿宋" w:cs="仿宋"/>
          <w:b/>
          <w:bCs/>
          <w:color w:val="auto"/>
          <w:sz w:val="24"/>
          <w:szCs w:val="24"/>
          <w:lang w:val="zh-CN"/>
        </w:rPr>
        <w:t>文件：</w:t>
      </w:r>
    </w:p>
    <w:p w14:paraId="5E326A42">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9.2.1 符合性自查表；</w:t>
      </w:r>
    </w:p>
    <w:p w14:paraId="7B4B9613">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9.2.2 投标函；</w:t>
      </w:r>
      <w:r>
        <w:rPr>
          <w:rFonts w:hint="eastAsia" w:ascii="仿宋" w:hAnsi="仿宋" w:eastAsia="仿宋" w:cs="仿宋"/>
          <w:color w:val="auto"/>
          <w:sz w:val="24"/>
          <w:szCs w:val="24"/>
          <w:lang w:val="zh-CN"/>
        </w:rPr>
        <w:t xml:space="preserve"> </w:t>
      </w:r>
    </w:p>
    <w:p w14:paraId="49FE4122">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9.2.3 授权委托书或法定代表人（单位负责人、自然人本人）身份证明；</w:t>
      </w:r>
    </w:p>
    <w:p w14:paraId="685F019A">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9.2.4 供应商情况表；</w:t>
      </w:r>
    </w:p>
    <w:p w14:paraId="30DCF2AC">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9.2.5 距采购人最近或者能为本项目提供最优服务的网点情况表；</w:t>
      </w:r>
    </w:p>
    <w:p w14:paraId="5FD9EA2B">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6 评标标准相应的商务技术资料；</w:t>
      </w:r>
    </w:p>
    <w:p w14:paraId="2CE0ACF0">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9.2.7 商务偏离表；</w:t>
      </w:r>
    </w:p>
    <w:p w14:paraId="666FCFF3">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9.2.8 技术偏离表；</w:t>
      </w:r>
    </w:p>
    <w:p w14:paraId="08BF243B">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9.2.9 同类业绩情况一览表；</w:t>
      </w:r>
    </w:p>
    <w:p w14:paraId="0462101E">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9.2.10</w:t>
      </w:r>
      <w:r>
        <w:rPr>
          <w:rFonts w:hint="eastAsia" w:ascii="仿宋" w:hAnsi="仿宋" w:eastAsia="仿宋" w:cs="仿宋"/>
          <w:color w:val="auto"/>
          <w:sz w:val="24"/>
          <w:szCs w:val="24"/>
          <w:lang w:val="zh-CN"/>
        </w:rPr>
        <w:t>政府采购供应商廉洁自律承诺书；</w:t>
      </w:r>
    </w:p>
    <w:p w14:paraId="07E87628">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9.2.11其他资料（如有）。</w:t>
      </w:r>
    </w:p>
    <w:p w14:paraId="0A72643E">
      <w:pPr>
        <w:snapToGrid w:val="0"/>
        <w:spacing w:line="360" w:lineRule="auto"/>
        <w:ind w:firstLine="480" w:firstLineChars="200"/>
        <w:rPr>
          <w:rFonts w:hint="eastAsia" w:ascii="仿宋" w:hAnsi="仿宋" w:eastAsia="仿宋" w:cs="仿宋"/>
          <w:color w:val="auto"/>
          <w:sz w:val="24"/>
          <w:szCs w:val="24"/>
          <w:u w:val="single"/>
          <w:lang w:val="zh-CN"/>
        </w:rPr>
      </w:pPr>
      <w:r>
        <w:rPr>
          <w:rFonts w:hint="eastAsia" w:ascii="仿宋" w:hAnsi="仿宋" w:eastAsia="仿宋" w:cs="仿宋"/>
          <w:color w:val="auto"/>
          <w:kern w:val="0"/>
          <w:sz w:val="24"/>
          <w:szCs w:val="24"/>
        </w:rPr>
        <w:t>9</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rPr>
        <w:t xml:space="preserve">3 </w:t>
      </w:r>
      <w:r>
        <w:rPr>
          <w:rFonts w:hint="eastAsia" w:ascii="仿宋" w:hAnsi="仿宋" w:eastAsia="仿宋" w:cs="仿宋"/>
          <w:b/>
          <w:color w:val="auto"/>
          <w:sz w:val="24"/>
          <w:szCs w:val="24"/>
        </w:rPr>
        <w:t>报价文件：</w:t>
      </w:r>
      <w:r>
        <w:rPr>
          <w:rFonts w:hint="eastAsia" w:ascii="仿宋" w:hAnsi="仿宋" w:eastAsia="仿宋" w:cs="仿宋"/>
          <w:color w:val="auto"/>
          <w:sz w:val="24"/>
          <w:szCs w:val="24"/>
        </w:rPr>
        <w:t xml:space="preserve"> </w:t>
      </w:r>
    </w:p>
    <w:p w14:paraId="60EDA86B">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9.3.1 开标一览表；</w:t>
      </w:r>
    </w:p>
    <w:p w14:paraId="3351749C">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9.3.2 投标报价明细表；</w:t>
      </w:r>
    </w:p>
    <w:p w14:paraId="6DDE6074">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9.3.3 中小企业声明函（如有）；</w:t>
      </w:r>
    </w:p>
    <w:p w14:paraId="092D1CAA">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9.3.4 残疾人福利性单位声明函（如有）；</w:t>
      </w:r>
    </w:p>
    <w:p w14:paraId="5037522D">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9.3.5 监狱企业的证明文件（如有）；</w:t>
      </w:r>
    </w:p>
    <w:p w14:paraId="23C6CC63">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9.3.6 政府采购统计基础信息表；</w:t>
      </w:r>
    </w:p>
    <w:p w14:paraId="7E414EFB">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9.3.7其他资料（如有）。</w:t>
      </w:r>
    </w:p>
    <w:p w14:paraId="629D6B26">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投标文件的编制</w:t>
      </w:r>
    </w:p>
    <w:p w14:paraId="776837D6">
      <w:pPr>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kern w:val="0"/>
          <w:sz w:val="24"/>
          <w:szCs w:val="24"/>
          <w:lang w:val="zh-CN"/>
        </w:rPr>
        <w:t>1</w:t>
      </w:r>
      <w:r>
        <w:rPr>
          <w:rFonts w:hint="eastAsia" w:ascii="仿宋" w:hAnsi="仿宋" w:eastAsia="仿宋" w:cs="仿宋"/>
          <w:color w:val="auto"/>
          <w:kern w:val="0"/>
          <w:sz w:val="24"/>
          <w:szCs w:val="24"/>
        </w:rPr>
        <w:t>0</w:t>
      </w:r>
      <w:r>
        <w:rPr>
          <w:rFonts w:hint="eastAsia" w:ascii="仿宋" w:hAnsi="仿宋" w:eastAsia="仿宋" w:cs="仿宋"/>
          <w:color w:val="auto"/>
          <w:kern w:val="0"/>
          <w:sz w:val="24"/>
          <w:szCs w:val="24"/>
          <w:lang w:val="zh-CN"/>
        </w:rPr>
        <w:t>.1投标文件分为资格文件、商务技术文件、报价文件三部分。各供应商在编制投标文件时请按照招标文件第六部分规定的格式进行。</w:t>
      </w:r>
      <w:r>
        <w:rPr>
          <w:rFonts w:hint="eastAsia" w:ascii="仿宋" w:hAnsi="仿宋" w:eastAsia="仿宋" w:cs="仿宋"/>
          <w:color w:val="auto"/>
          <w:kern w:val="0"/>
          <w:sz w:val="24"/>
          <w:szCs w:val="24"/>
        </w:rPr>
        <w:t>未有规定格式的资料，</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应自行编制，但至少须包含9.投标文件组成中的内容。</w:t>
      </w:r>
      <w:r>
        <w:rPr>
          <w:rFonts w:hint="eastAsia" w:ascii="仿宋" w:hAnsi="仿宋" w:eastAsia="仿宋" w:cs="仿宋"/>
          <w:color w:val="auto"/>
          <w:kern w:val="0"/>
          <w:sz w:val="24"/>
          <w:szCs w:val="24"/>
          <w:lang w:val="zh-CN"/>
        </w:rPr>
        <w:t>混乱的编排导致投标文件被误读或评标委员会查找不到有效文件是供应商的风险。</w:t>
      </w:r>
    </w:p>
    <w:p w14:paraId="77258920">
      <w:pPr>
        <w:spacing w:line="360" w:lineRule="auto"/>
        <w:ind w:firstLine="480" w:firstLineChars="2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w:t>
      </w:r>
      <w:r>
        <w:rPr>
          <w:rFonts w:hint="eastAsia" w:ascii="仿宋" w:hAnsi="仿宋" w:eastAsia="仿宋" w:cs="仿宋"/>
          <w:color w:val="auto"/>
          <w:kern w:val="0"/>
          <w:sz w:val="24"/>
          <w:szCs w:val="24"/>
        </w:rPr>
        <w:t>0</w:t>
      </w:r>
      <w:r>
        <w:rPr>
          <w:rFonts w:hint="eastAsia" w:ascii="仿宋" w:hAnsi="仿宋" w:eastAsia="仿宋" w:cs="仿宋"/>
          <w:color w:val="auto"/>
          <w:kern w:val="0"/>
          <w:sz w:val="24"/>
          <w:szCs w:val="24"/>
          <w:lang w:val="zh-CN"/>
        </w:rPr>
        <w:t>.2供应商进行电子投标应安装客户端软件—“乐采云电子交易客户端”，并按照招标文件和电子交易平台的要求编制并加密投标文件。供应商未按规定加密的投标文件，电子交易平台将拒收并提示。</w:t>
      </w:r>
    </w:p>
    <w:p w14:paraId="16BBA190">
      <w:pPr>
        <w:spacing w:line="360" w:lineRule="auto"/>
        <w:ind w:firstLine="480" w:firstLineChars="2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w:t>
      </w:r>
      <w:r>
        <w:rPr>
          <w:rFonts w:hint="eastAsia" w:ascii="仿宋" w:hAnsi="仿宋" w:eastAsia="仿宋" w:cs="仿宋"/>
          <w:color w:val="auto"/>
          <w:kern w:val="0"/>
          <w:sz w:val="24"/>
          <w:szCs w:val="24"/>
        </w:rPr>
        <w:t>0</w:t>
      </w:r>
      <w:r>
        <w:rPr>
          <w:rFonts w:hint="eastAsia" w:ascii="仿宋" w:hAnsi="仿宋" w:eastAsia="仿宋" w:cs="仿宋"/>
          <w:color w:val="auto"/>
          <w:kern w:val="0"/>
          <w:sz w:val="24"/>
          <w:szCs w:val="24"/>
          <w:lang w:val="zh-CN"/>
        </w:rPr>
        <w:t>.3使用“乐采云电子交易客户端”需要提前申领CA数字证书，申领流程请自行前往“浙江企业采购信息服务网-下载专区-电子交易客户端-CA驱动和申领流程”进行查阅。</w:t>
      </w:r>
    </w:p>
    <w:p w14:paraId="1C11BE4C">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投标文件的签署、盖章</w:t>
      </w:r>
    </w:p>
    <w:p w14:paraId="5A468968">
      <w:pPr>
        <w:pStyle w:val="45"/>
        <w:snapToGrid w:val="0"/>
        <w:spacing w:before="0"/>
        <w:ind w:firstLine="480"/>
        <w:rPr>
          <w:rFonts w:hint="eastAsia" w:ascii="仿宋" w:hAnsi="仿宋" w:eastAsia="仿宋" w:cs="仿宋"/>
          <w:b/>
          <w:color w:val="auto"/>
          <w:sz w:val="24"/>
          <w:szCs w:val="24"/>
        </w:rPr>
      </w:pPr>
      <w:r>
        <w:rPr>
          <w:rFonts w:hint="eastAsia" w:ascii="仿宋" w:hAnsi="仿宋" w:eastAsia="仿宋" w:cs="仿宋"/>
          <w:color w:val="auto"/>
          <w:sz w:val="24"/>
          <w:szCs w:val="24"/>
        </w:rPr>
        <w:t>11.1投标文件按照招标文件第六部分格式要求进行签署、盖章。</w:t>
      </w:r>
      <w:r>
        <w:rPr>
          <w:rFonts w:hint="eastAsia" w:ascii="仿宋" w:hAnsi="仿宋" w:eastAsia="仿宋" w:cs="仿宋"/>
          <w:b/>
          <w:color w:val="auto"/>
          <w:sz w:val="24"/>
          <w:szCs w:val="24"/>
        </w:rPr>
        <w:t>▲供应商的投标文件未按照招标文件要求签署、盖章的，其投标无效</w:t>
      </w:r>
      <w:r>
        <w:rPr>
          <w:rFonts w:hint="eastAsia" w:ascii="仿宋" w:hAnsi="仿宋" w:eastAsia="仿宋" w:cs="仿宋"/>
          <w:color w:val="auto"/>
          <w:sz w:val="24"/>
          <w:szCs w:val="24"/>
        </w:rPr>
        <w:t>。</w:t>
      </w:r>
    </w:p>
    <w:p w14:paraId="661025C1">
      <w:pPr>
        <w:pStyle w:val="45"/>
        <w:snapToGrid w:val="0"/>
        <w:spacing w:before="0"/>
        <w:ind w:firstLine="480"/>
        <w:rPr>
          <w:rFonts w:hint="eastAsia" w:ascii="仿宋" w:hAnsi="仿宋" w:eastAsia="仿宋" w:cs="仿宋"/>
          <w:color w:val="auto"/>
          <w:sz w:val="24"/>
          <w:szCs w:val="24"/>
        </w:rPr>
      </w:pPr>
      <w:r>
        <w:rPr>
          <w:rFonts w:hint="eastAsia" w:ascii="仿宋" w:hAnsi="仿宋" w:eastAsia="仿宋" w:cs="仿宋"/>
          <w:color w:val="auto"/>
          <w:sz w:val="24"/>
          <w:szCs w:val="24"/>
        </w:rPr>
        <w:t>11.2为确保网上操作合法、有效和安全，</w:t>
      </w:r>
      <w:r>
        <w:rPr>
          <w:rFonts w:hint="eastAsia" w:ascii="仿宋" w:hAnsi="仿宋" w:eastAsia="仿宋" w:cs="仿宋"/>
          <w:color w:val="auto"/>
          <w:kern w:val="0"/>
          <w:sz w:val="24"/>
          <w:szCs w:val="24"/>
          <w:lang w:val="zh-CN"/>
        </w:rPr>
        <w:t>供应商</w:t>
      </w:r>
      <w:r>
        <w:rPr>
          <w:rFonts w:hint="eastAsia" w:ascii="仿宋" w:hAnsi="仿宋" w:eastAsia="仿宋" w:cs="仿宋"/>
          <w:color w:val="auto"/>
          <w:sz w:val="24"/>
          <w:szCs w:val="24"/>
        </w:rPr>
        <w:t>应当在投标截止时间前完成在“</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平台”的身份认证，确保在电子投标过程中能够对相关数据电文进行加密和使用电子签名。</w:t>
      </w:r>
    </w:p>
    <w:p w14:paraId="46AB75E8">
      <w:pPr>
        <w:pStyle w:val="45"/>
        <w:snapToGrid w:val="0"/>
        <w:spacing w:before="0"/>
        <w:ind w:firstLine="480"/>
        <w:rPr>
          <w:rFonts w:hint="eastAsia" w:ascii="仿宋" w:hAnsi="仿宋" w:eastAsia="仿宋" w:cs="仿宋"/>
          <w:color w:val="auto"/>
          <w:sz w:val="24"/>
          <w:szCs w:val="24"/>
        </w:rPr>
      </w:pPr>
      <w:r>
        <w:rPr>
          <w:rFonts w:hint="eastAsia" w:ascii="仿宋" w:hAnsi="仿宋" w:eastAsia="仿宋" w:cs="仿宋"/>
          <w:color w:val="auto"/>
          <w:sz w:val="24"/>
          <w:szCs w:val="24"/>
        </w:rPr>
        <w:t>11.3招标文件对投标文件签署、盖章的要求适用于电子签名。</w:t>
      </w:r>
    </w:p>
    <w:p w14:paraId="5F7F7120">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投标文件的提交、补充、修改、撤回</w:t>
      </w:r>
    </w:p>
    <w:p w14:paraId="4613B50F">
      <w:pPr>
        <w:pStyle w:val="45"/>
        <w:ind w:firstLine="480"/>
        <w:rPr>
          <w:rFonts w:hint="eastAsia" w:ascii="仿宋" w:hAnsi="仿宋" w:eastAsia="仿宋" w:cs="仿宋"/>
          <w:color w:val="auto"/>
          <w:sz w:val="24"/>
          <w:szCs w:val="24"/>
        </w:rPr>
      </w:pPr>
      <w:r>
        <w:rPr>
          <w:rFonts w:hint="eastAsia" w:ascii="仿宋" w:hAnsi="仿宋" w:eastAsia="仿宋" w:cs="仿宋"/>
          <w:color w:val="auto"/>
          <w:sz w:val="24"/>
          <w:szCs w:val="24"/>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FA05691">
      <w:pPr>
        <w:pStyle w:val="45"/>
        <w:spacing w:before="0"/>
        <w:ind w:firstLine="480"/>
        <w:rPr>
          <w:rFonts w:hint="eastAsia" w:ascii="仿宋" w:hAnsi="仿宋" w:eastAsia="仿宋" w:cs="仿宋"/>
          <w:color w:val="auto"/>
          <w:sz w:val="24"/>
          <w:szCs w:val="24"/>
        </w:rPr>
      </w:pPr>
      <w:r>
        <w:rPr>
          <w:rFonts w:hint="eastAsia" w:ascii="仿宋" w:hAnsi="仿宋" w:eastAsia="仿宋" w:cs="仿宋"/>
          <w:color w:val="auto"/>
          <w:sz w:val="24"/>
          <w:szCs w:val="24"/>
        </w:rPr>
        <w:t>12.2电子交易平台收到投标文件，将妥善保存并即时向供应商发出确认回执通知。在投标截止时间前，除供应商补充、修改或者撤回投标文件外，任何单位和个人不得解密或提取投标文件。</w:t>
      </w:r>
    </w:p>
    <w:p w14:paraId="284C1763">
      <w:pPr>
        <w:pStyle w:val="45"/>
        <w:spacing w:before="0"/>
        <w:ind w:firstLine="480"/>
        <w:rPr>
          <w:rFonts w:hint="eastAsia" w:ascii="仿宋" w:hAnsi="仿宋" w:eastAsia="仿宋" w:cs="仿宋"/>
          <w:color w:val="auto"/>
          <w:sz w:val="24"/>
          <w:szCs w:val="24"/>
        </w:rPr>
      </w:pPr>
      <w:r>
        <w:rPr>
          <w:rFonts w:hint="eastAsia" w:ascii="仿宋" w:hAnsi="仿宋" w:eastAsia="仿宋" w:cs="仿宋"/>
          <w:color w:val="auto"/>
          <w:sz w:val="24"/>
          <w:szCs w:val="24"/>
        </w:rPr>
        <w:t>12.3采购人、采购代理机构可以视情况延长投标文件提交的截止时间。在上述情况下，采购代理机构与</w:t>
      </w:r>
      <w:r>
        <w:rPr>
          <w:rFonts w:hint="eastAsia" w:ascii="仿宋" w:hAnsi="仿宋" w:eastAsia="仿宋" w:cs="仿宋"/>
          <w:color w:val="auto"/>
          <w:kern w:val="0"/>
          <w:sz w:val="24"/>
          <w:szCs w:val="24"/>
          <w:lang w:val="zh-CN"/>
        </w:rPr>
        <w:t>供应商</w:t>
      </w:r>
      <w:r>
        <w:rPr>
          <w:rFonts w:hint="eastAsia" w:ascii="仿宋" w:hAnsi="仿宋" w:eastAsia="仿宋" w:cs="仿宋"/>
          <w:color w:val="auto"/>
          <w:sz w:val="24"/>
          <w:szCs w:val="24"/>
        </w:rPr>
        <w:t>以前在投标截止期方面的全部权利、责任和义务，将适用于延长至新的投标截止期。</w:t>
      </w:r>
    </w:p>
    <w:p w14:paraId="1F46F426">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投标有效期</w:t>
      </w:r>
    </w:p>
    <w:p w14:paraId="11C384EE">
      <w:pPr>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投标有效期为从提交投标文件的截止之日起90天。▲</w:t>
      </w:r>
      <w:r>
        <w:rPr>
          <w:rFonts w:hint="eastAsia" w:ascii="仿宋" w:hAnsi="仿宋" w:eastAsia="仿宋" w:cs="仿宋"/>
          <w:b/>
          <w:color w:val="auto"/>
          <w:sz w:val="24"/>
          <w:szCs w:val="24"/>
        </w:rPr>
        <w:t>供应商的投标文件中承诺的投标有效期少于招标文件中载明的投标有效期的，投标无效。</w:t>
      </w:r>
    </w:p>
    <w:p w14:paraId="590D36B1">
      <w:pPr>
        <w:pStyle w:val="45"/>
        <w:spacing w:before="0"/>
        <w:ind w:firstLine="643"/>
        <w:rPr>
          <w:rFonts w:hint="eastAsia" w:ascii="仿宋" w:hAnsi="仿宋" w:eastAsia="仿宋" w:cs="仿宋"/>
          <w:b/>
          <w:color w:val="auto"/>
          <w:sz w:val="24"/>
          <w:szCs w:val="24"/>
        </w:rPr>
      </w:pPr>
    </w:p>
    <w:p w14:paraId="029B8E66">
      <w:pPr>
        <w:pStyle w:val="45"/>
        <w:spacing w:before="0"/>
        <w:ind w:firstLine="1807" w:firstLineChars="600"/>
        <w:rPr>
          <w:rFonts w:hint="eastAsia" w:ascii="仿宋" w:hAnsi="仿宋" w:eastAsia="仿宋" w:cs="仿宋"/>
          <w:b/>
          <w:color w:val="auto"/>
          <w:sz w:val="30"/>
          <w:szCs w:val="30"/>
        </w:rPr>
      </w:pPr>
      <w:r>
        <w:rPr>
          <w:rFonts w:hint="eastAsia" w:ascii="仿宋" w:hAnsi="仿宋" w:eastAsia="仿宋" w:cs="仿宋"/>
          <w:b/>
          <w:color w:val="auto"/>
          <w:sz w:val="30"/>
          <w:szCs w:val="30"/>
        </w:rPr>
        <w:t>四、开标、资格审查与信用信息查询</w:t>
      </w:r>
    </w:p>
    <w:p w14:paraId="3067FEDE">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开标 </w:t>
      </w:r>
    </w:p>
    <w:p w14:paraId="093B8C01">
      <w:pPr>
        <w:pStyle w:val="40"/>
        <w:spacing w:before="0" w:line="360" w:lineRule="auto"/>
        <w:ind w:left="0" w:firstLine="480" w:firstLineChars="2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14.1采购代理机构按照招标文件规定的时间通过电子交易平台组织开标，所有</w:t>
      </w:r>
      <w:r>
        <w:rPr>
          <w:rFonts w:hint="eastAsia" w:ascii="仿宋" w:hAnsi="仿宋" w:eastAsia="仿宋" w:cs="仿宋"/>
          <w:color w:val="auto"/>
          <w:sz w:val="24"/>
          <w:szCs w:val="24"/>
          <w:lang w:val="zh-CN"/>
        </w:rPr>
        <w:t>供应商</w:t>
      </w:r>
      <w:r>
        <w:rPr>
          <w:rFonts w:hint="eastAsia" w:ascii="仿宋" w:hAnsi="仿宋" w:eastAsia="仿宋" w:cs="仿宋"/>
          <w:color w:val="auto"/>
          <w:sz w:val="24"/>
          <w:szCs w:val="24"/>
        </w:rPr>
        <w:t>均应当准时在线参加。</w:t>
      </w:r>
      <w:r>
        <w:rPr>
          <w:rFonts w:hint="eastAsia" w:ascii="仿宋" w:hAnsi="仿宋" w:eastAsia="仿宋" w:cs="仿宋"/>
          <w:color w:val="auto"/>
          <w:sz w:val="24"/>
          <w:szCs w:val="24"/>
          <w:lang w:val="zh-CN"/>
        </w:rPr>
        <w:t>供应商</w:t>
      </w:r>
      <w:r>
        <w:rPr>
          <w:rFonts w:hint="eastAsia" w:ascii="仿宋" w:hAnsi="仿宋" w:eastAsia="仿宋" w:cs="仿宋"/>
          <w:color w:val="auto"/>
          <w:sz w:val="24"/>
          <w:szCs w:val="24"/>
        </w:rPr>
        <w:t>不足3家的，不得开标。</w:t>
      </w:r>
    </w:p>
    <w:p w14:paraId="15B83C5A">
      <w:pPr>
        <w:pStyle w:val="40"/>
        <w:spacing w:before="0" w:line="360" w:lineRule="auto"/>
        <w:ind w:left="0" w:firstLine="240" w:firstLineChars="100"/>
        <w:contextualSpacing/>
        <w:rPr>
          <w:rFonts w:hint="eastAsia" w:ascii="仿宋" w:hAnsi="仿宋" w:eastAsia="仿宋" w:cs="仿宋"/>
          <w:color w:val="auto"/>
          <w:sz w:val="24"/>
          <w:szCs w:val="24"/>
        </w:rPr>
      </w:pPr>
      <w:r>
        <w:rPr>
          <w:rFonts w:hint="eastAsia" w:ascii="仿宋" w:hAnsi="仿宋" w:eastAsia="仿宋" w:cs="仿宋"/>
          <w:color w:val="auto"/>
          <w:sz w:val="24"/>
          <w:szCs w:val="24"/>
        </w:rPr>
        <w:t>　14.2开标时，电子交易平台按开标时间自动提取所有投标文件。采购代理机构依托电子交易平台发起开始解密指令，</w:t>
      </w:r>
      <w:r>
        <w:rPr>
          <w:rFonts w:hint="eastAsia" w:ascii="仿宋" w:hAnsi="仿宋" w:eastAsia="仿宋" w:cs="仿宋"/>
          <w:color w:val="auto"/>
          <w:sz w:val="24"/>
          <w:szCs w:val="24"/>
          <w:lang w:val="zh-CN"/>
        </w:rPr>
        <w:t>供应商</w:t>
      </w:r>
      <w:r>
        <w:rPr>
          <w:rFonts w:hint="eastAsia" w:ascii="仿宋" w:hAnsi="仿宋" w:eastAsia="仿宋" w:cs="仿宋"/>
          <w:color w:val="auto"/>
          <w:sz w:val="24"/>
          <w:szCs w:val="24"/>
        </w:rPr>
        <w:t>按照平台提示和招标文件的规定在半小时内完成在线解密。</w:t>
      </w:r>
    </w:p>
    <w:p w14:paraId="400E702E">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资格审查</w:t>
      </w:r>
    </w:p>
    <w:p w14:paraId="7A265A00">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15.1开标后，采购人或采购代理机构依据法律法规和招标文件的规定，对供应商的资格条件进行审查。</w:t>
      </w:r>
    </w:p>
    <w:p w14:paraId="245B6B91">
      <w:pPr>
        <w:pStyle w:val="45"/>
        <w:spacing w:before="0"/>
        <w:ind w:firstLine="480"/>
        <w:rPr>
          <w:rFonts w:hint="eastAsia" w:ascii="仿宋" w:hAnsi="仿宋" w:eastAsia="仿宋" w:cs="仿宋"/>
          <w:color w:val="auto"/>
          <w:sz w:val="24"/>
          <w:szCs w:val="24"/>
        </w:rPr>
      </w:pPr>
      <w:r>
        <w:rPr>
          <w:rFonts w:hint="eastAsia" w:ascii="仿宋" w:hAnsi="仿宋" w:eastAsia="仿宋" w:cs="仿宋"/>
          <w:color w:val="auto"/>
          <w:kern w:val="0"/>
          <w:sz w:val="24"/>
          <w:szCs w:val="24"/>
        </w:rPr>
        <w:t>15.</w:t>
      </w:r>
      <w:r>
        <w:rPr>
          <w:rFonts w:hint="eastAsia" w:ascii="仿宋" w:hAnsi="仿宋" w:eastAsia="仿宋" w:cs="仿宋"/>
          <w:color w:val="auto"/>
          <w:sz w:val="24"/>
          <w:szCs w:val="24"/>
        </w:rPr>
        <w:t>2对未通过资格审查的供应商，采购人或采购代理机构告知其未通过的原因。</w:t>
      </w:r>
    </w:p>
    <w:p w14:paraId="4163E7A0">
      <w:pPr>
        <w:pStyle w:val="45"/>
        <w:spacing w:before="0"/>
        <w:ind w:firstLine="480"/>
        <w:rPr>
          <w:rFonts w:hint="eastAsia" w:ascii="仿宋" w:hAnsi="仿宋" w:eastAsia="仿宋" w:cs="仿宋"/>
          <w:color w:val="auto"/>
          <w:sz w:val="24"/>
          <w:szCs w:val="24"/>
        </w:rPr>
      </w:pPr>
      <w:r>
        <w:rPr>
          <w:rFonts w:hint="eastAsia" w:ascii="仿宋" w:hAnsi="仿宋" w:eastAsia="仿宋" w:cs="仿宋"/>
          <w:color w:val="auto"/>
          <w:kern w:val="0"/>
          <w:sz w:val="24"/>
          <w:szCs w:val="24"/>
        </w:rPr>
        <w:t>15.</w:t>
      </w:r>
      <w:r>
        <w:rPr>
          <w:rFonts w:hint="eastAsia" w:ascii="仿宋" w:hAnsi="仿宋" w:eastAsia="仿宋" w:cs="仿宋"/>
          <w:color w:val="auto"/>
          <w:sz w:val="24"/>
          <w:szCs w:val="24"/>
        </w:rPr>
        <w:t>3合格供应商不足3家的，不再评标。</w:t>
      </w:r>
    </w:p>
    <w:p w14:paraId="3C7EC069">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信用信息查询</w:t>
      </w:r>
    </w:p>
    <w:p w14:paraId="19602FE8">
      <w:pPr>
        <w:pStyle w:val="45"/>
        <w:spacing w:before="0"/>
        <w:ind w:firstLine="495"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16.1信用信息查询渠道及截止时间：采购代理机构将通过“信用中国”网站(www.creditchina.gov.cn)、中国政府采购网(www.ccgp.gov.cn)渠道查询供应商投标截止时间当天的信用记录。</w:t>
      </w:r>
    </w:p>
    <w:p w14:paraId="695F1984">
      <w:pPr>
        <w:pStyle w:val="45"/>
        <w:spacing w:before="0"/>
        <w:ind w:firstLine="495"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16.2信用信息的使用规则：经查询列入失信被执行人名单、</w:t>
      </w:r>
      <w:r>
        <w:rPr>
          <w:rFonts w:hint="eastAsia" w:ascii="仿宋" w:hAnsi="仿宋" w:eastAsia="仿宋" w:cs="仿宋"/>
          <w:color w:val="auto"/>
          <w:kern w:val="0"/>
          <w:sz w:val="24"/>
          <w:szCs w:val="24"/>
          <w:lang w:eastAsia="zh-CN"/>
        </w:rPr>
        <w:t>重大税收违法失信主体</w:t>
      </w:r>
      <w:r>
        <w:rPr>
          <w:rFonts w:hint="eastAsia" w:ascii="仿宋" w:hAnsi="仿宋" w:eastAsia="仿宋" w:cs="仿宋"/>
          <w:color w:val="auto"/>
          <w:kern w:val="0"/>
          <w:sz w:val="24"/>
          <w:szCs w:val="24"/>
        </w:rPr>
        <w:t>、政府采购严重违法失信行为记录名单的</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将被拒绝参与政府采购活动。</w:t>
      </w:r>
    </w:p>
    <w:p w14:paraId="2B619DEE">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4"/>
          <w:szCs w:val="24"/>
        </w:rPr>
        <w:t>。</w:t>
      </w:r>
    </w:p>
    <w:p w14:paraId="605F3856">
      <w:pPr>
        <w:snapToGrid w:val="0"/>
        <w:spacing w:line="360" w:lineRule="auto"/>
        <w:jc w:val="center"/>
        <w:outlineLvl w:val="9"/>
        <w:rPr>
          <w:rFonts w:hint="eastAsia" w:ascii="仿宋" w:hAnsi="仿宋" w:eastAsia="仿宋" w:cs="仿宋"/>
          <w:b/>
          <w:color w:val="auto"/>
          <w:sz w:val="24"/>
          <w:szCs w:val="24"/>
        </w:rPr>
      </w:pPr>
    </w:p>
    <w:p w14:paraId="19DC9C63">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五、评标</w:t>
      </w:r>
    </w:p>
    <w:p w14:paraId="476CE140">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szCs w:val="24"/>
        </w:rPr>
      </w:pPr>
      <w:bookmarkStart w:id="13" w:name="_Toc91899903"/>
      <w:r>
        <w:rPr>
          <w:rFonts w:hint="eastAsia" w:ascii="仿宋" w:hAnsi="仿宋" w:eastAsia="仿宋" w:cs="仿宋"/>
          <w:b/>
          <w:color w:val="auto"/>
          <w:sz w:val="24"/>
          <w:szCs w:val="24"/>
        </w:rPr>
        <w:t>评标委员会</w:t>
      </w:r>
    </w:p>
    <w:p w14:paraId="1D6EAD7D">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17.1 本次招标依法组建评标委员会。评标委员会由采购人代表和评审专家组成，评审专家从专家库随机抽取。</w:t>
      </w:r>
    </w:p>
    <w:p w14:paraId="0A9EF372">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14D57858">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17.3 评审专家有下列情形之一的，受到邀请应主动提出回避，采购当事人也可以要求该评审专家回避：</w:t>
      </w:r>
    </w:p>
    <w:p w14:paraId="588DB607">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17.3.1 参加采购活动前三年内，与供应商存在劳动关系，或者担任过供应商的董事、监事，或者是供应商的控股股东或实际控制人；</w:t>
      </w:r>
    </w:p>
    <w:p w14:paraId="26168FE7">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17.3.2 与供应商的法定代表人或者负责人有夫妻、直系血亲、三代以内旁系血亲或者近姻亲关系；</w:t>
      </w:r>
    </w:p>
    <w:p w14:paraId="7D5644A1">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17.3.3 任职单位与参加该采购项目供应商存在行政隶属关系；</w:t>
      </w:r>
    </w:p>
    <w:p w14:paraId="0FFE4077">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17.3.4 曾经参加过该采购项目的进口产品或招标文件、采购需求、采购方式的论证和咨询服务工作；</w:t>
      </w:r>
    </w:p>
    <w:p w14:paraId="7EB46199">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17.3.5 是参加该采购项目供应商的上级主管部门、控股或参股单位的工作人员，或与该供应商存在其他经济利益关系；</w:t>
      </w:r>
    </w:p>
    <w:p w14:paraId="2637EA1B">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17.3.6 评标委员会成员之间具有配偶、近亲属关系等；</w:t>
      </w:r>
    </w:p>
    <w:p w14:paraId="5B4E0AEF">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17.3.7 法律、法规、规章规定应当回避以及其他可能影响政府采购活动公平、公正进行的关系。</w:t>
      </w:r>
    </w:p>
    <w:p w14:paraId="0648E03B">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17.4 评标委员会判断投标文件的有效性、合格性和响应情况，仅依据投标人所递交一切文件的真实表述，不受与本项目无直接关联的外部信息、传言而影响自身的专业判断。</w:t>
      </w:r>
    </w:p>
    <w:p w14:paraId="46915304">
      <w:pPr>
        <w:pStyle w:val="45"/>
        <w:spacing w:before="0"/>
        <w:ind w:firstLine="480"/>
        <w:rPr>
          <w:rFonts w:hint="eastAsia" w:ascii="仿宋" w:hAnsi="仿宋" w:eastAsia="仿宋" w:cs="仿宋"/>
          <w:color w:val="auto"/>
          <w:sz w:val="24"/>
          <w:szCs w:val="24"/>
        </w:rPr>
      </w:pPr>
      <w:r>
        <w:rPr>
          <w:rFonts w:hint="eastAsia" w:ascii="仿宋" w:hAnsi="仿宋" w:eastAsia="仿宋" w:cs="仿宋"/>
          <w:color w:val="auto"/>
          <w:kern w:val="0"/>
          <w:sz w:val="24"/>
          <w:szCs w:val="24"/>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0E3FE3DD">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评标</w:t>
      </w:r>
    </w:p>
    <w:p w14:paraId="183383DD">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评标委员会将根据招标文件和有关规定，履行评标工作职责，并按照评标方法及评分标准，全面衡量各</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对招标文件的响应情况。对实质上响应招标文件的</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，按照评审因素的量化指标推荐综合得分排名第一的为中标候选人。</w:t>
      </w:r>
    </w:p>
    <w:p w14:paraId="7219F373">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得分相同的，按投标报价由低到高顺序排列。得分且投标报价相同的，投标文件满足招标文件全部实质性要求，且按照评审因素的量化指标评审得分最高的</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为排名第一的中标候选人。</w:t>
      </w:r>
    </w:p>
    <w:p w14:paraId="49BD9220">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详见招标文件第四部分评标办法。</w:t>
      </w:r>
    </w:p>
    <w:p w14:paraId="557DE591">
      <w:pPr>
        <w:spacing w:line="360" w:lineRule="auto"/>
        <w:rPr>
          <w:rFonts w:hint="eastAsia" w:ascii="仿宋" w:hAnsi="仿宋" w:eastAsia="仿宋" w:cs="仿宋"/>
          <w:b/>
          <w:color w:val="auto"/>
          <w:sz w:val="24"/>
          <w:szCs w:val="24"/>
        </w:rPr>
      </w:pPr>
    </w:p>
    <w:p w14:paraId="494B99FF">
      <w:pPr>
        <w:snapToGrid w:val="0"/>
        <w:spacing w:line="360" w:lineRule="auto"/>
        <w:jc w:val="center"/>
        <w:outlineLvl w:val="0"/>
        <w:rPr>
          <w:rFonts w:hint="eastAsia" w:ascii="仿宋" w:hAnsi="仿宋" w:eastAsia="仿宋" w:cs="仿宋"/>
          <w:b/>
          <w:color w:val="auto"/>
          <w:sz w:val="24"/>
          <w:szCs w:val="24"/>
        </w:rPr>
      </w:pPr>
      <w:r>
        <w:rPr>
          <w:rFonts w:hint="eastAsia" w:ascii="仿宋" w:hAnsi="仿宋" w:eastAsia="仿宋" w:cs="仿宋"/>
          <w:b/>
          <w:color w:val="auto"/>
          <w:sz w:val="32"/>
          <w:szCs w:val="32"/>
        </w:rPr>
        <w:t>六、定 标</w:t>
      </w:r>
    </w:p>
    <w:p w14:paraId="334A1920">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确定中标供应商</w:t>
      </w:r>
    </w:p>
    <w:p w14:paraId="5C5E0196">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本项目由评标委员会推荐一个中标候选人，采购人不得在评标委员会推荐的中标候选人以外确定中标候选人。</w:t>
      </w:r>
    </w:p>
    <w:p w14:paraId="48FF9027">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中标通知与中标结果公告</w:t>
      </w:r>
    </w:p>
    <w:p w14:paraId="6C4B9C0C">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20.1自中标人确定之日起2个工作日内，采购代理机构通过电子交易平台向中标人发出中标通知书，同时编制发布采购结果公告。采购代理机构也可以以纸质形式进行中标通知。</w:t>
      </w:r>
    </w:p>
    <w:p w14:paraId="3914B7BD">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70D18791">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20.3公告期限为1个工作日。</w:t>
      </w:r>
    </w:p>
    <w:p w14:paraId="0F8B2596">
      <w:pPr>
        <w:snapToGrid w:val="0"/>
        <w:spacing w:line="360" w:lineRule="auto"/>
        <w:ind w:left="120" w:leftChars="57" w:firstLine="361" w:firstLineChars="150"/>
        <w:jc w:val="center"/>
        <w:rPr>
          <w:rFonts w:hint="eastAsia" w:ascii="仿宋" w:hAnsi="仿宋" w:eastAsia="仿宋" w:cs="仿宋"/>
          <w:b/>
          <w:color w:val="auto"/>
          <w:sz w:val="24"/>
          <w:szCs w:val="24"/>
        </w:rPr>
      </w:pPr>
    </w:p>
    <w:p w14:paraId="7B88503B">
      <w:pPr>
        <w:snapToGrid w:val="0"/>
        <w:spacing w:line="360" w:lineRule="auto"/>
        <w:ind w:left="120" w:leftChars="57" w:firstLine="482" w:firstLineChars="15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七、合同授予</w:t>
      </w:r>
    </w:p>
    <w:p w14:paraId="62D7FA4B">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合同授予</w:t>
      </w:r>
    </w:p>
    <w:p w14:paraId="75F7C73A">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合同主要条款详见第五部分拟签订的合同文本。</w:t>
      </w:r>
    </w:p>
    <w:p w14:paraId="247BD45A">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合同的签订</w:t>
      </w:r>
    </w:p>
    <w:p w14:paraId="0A855DCC">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22.1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06512FFC">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2</w:t>
      </w: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val="zh-CN"/>
        </w:rPr>
        <w:t>.2中标供应商按规定的日期、时间、地点，由法定代表人或其授权代表与采购人代表签订合同。如中标人为联合体的，由联合体成员各方法定代表人或其授权代表与采购人代表签订合同。</w:t>
      </w:r>
    </w:p>
    <w:p w14:paraId="5F73A9E1">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22.3如签订合同并生效后，供应商无故拒绝或延期，除按照合同条款处理外，列入不良行为记录名单，并给予通报。</w:t>
      </w:r>
    </w:p>
    <w:p w14:paraId="5DE5F3BA">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22.4中标供应商拒绝与采购人签订合同的，列入不良行为记录名单，采购人、采购代理机构重新开展政府采购活动。</w:t>
      </w:r>
    </w:p>
    <w:p w14:paraId="37817C1A">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22.5采购合同由采购人与中标供应商根据招标文件、投标文件等内容通过政府采购电子交易平台在线签订，自动备案。</w:t>
      </w:r>
    </w:p>
    <w:p w14:paraId="6EEE0389">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履约保证金</w:t>
      </w:r>
    </w:p>
    <w:p w14:paraId="49F484BD">
      <w:pPr>
        <w:tabs>
          <w:tab w:val="left" w:pos="0"/>
        </w:tabs>
        <w:spacing w:line="360" w:lineRule="auto"/>
        <w:ind w:firstLine="482"/>
        <w:rPr>
          <w:rFonts w:hint="eastAsia" w:ascii="仿宋" w:hAnsi="仿宋" w:eastAsia="仿宋" w:cs="仿宋"/>
          <w:b/>
          <w:color w:val="auto"/>
          <w:sz w:val="24"/>
          <w:szCs w:val="24"/>
        </w:rPr>
      </w:pPr>
      <w:r>
        <w:rPr>
          <w:rFonts w:hint="eastAsia" w:ascii="仿宋" w:hAnsi="仿宋" w:eastAsia="仿宋" w:cs="仿宋"/>
          <w:color w:val="auto"/>
          <w:kern w:val="0"/>
          <w:sz w:val="24"/>
          <w:szCs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rPr>
        <w:t>。履约保证金的数额不得超过政府采购合同金额的2.5%。鼓励和支持供应商以银行、保险公司出具的保函形式提供履约保证金。</w:t>
      </w:r>
      <w:r>
        <w:rPr>
          <w:rFonts w:hint="eastAsia" w:ascii="仿宋" w:hAnsi="仿宋" w:eastAsia="仿宋" w:cs="仿宋"/>
          <w:b/>
          <w:color w:val="auto"/>
          <w:sz w:val="24"/>
          <w:szCs w:val="24"/>
        </w:rPr>
        <w:t>采购人不得拒收履约保函。</w:t>
      </w:r>
    </w:p>
    <w:p w14:paraId="6BE6E886">
      <w:pPr>
        <w:pStyle w:val="2"/>
        <w:rPr>
          <w:rFonts w:hint="eastAsia" w:ascii="仿宋" w:hAnsi="仿宋" w:eastAsia="仿宋" w:cs="仿宋"/>
          <w:color w:val="auto"/>
          <w:sz w:val="24"/>
          <w:szCs w:val="24"/>
        </w:rPr>
      </w:pPr>
    </w:p>
    <w:p w14:paraId="2B5CB83E">
      <w:pPr>
        <w:snapToGrid w:val="0"/>
        <w:spacing w:line="360" w:lineRule="auto"/>
        <w:ind w:firstLine="3357" w:firstLineChars="1045"/>
        <w:rPr>
          <w:rFonts w:hint="eastAsia" w:ascii="仿宋" w:hAnsi="仿宋" w:eastAsia="仿宋" w:cs="仿宋"/>
          <w:b/>
          <w:color w:val="auto"/>
          <w:sz w:val="32"/>
          <w:szCs w:val="32"/>
        </w:rPr>
      </w:pPr>
      <w:r>
        <w:rPr>
          <w:rFonts w:hint="eastAsia" w:ascii="仿宋" w:hAnsi="仿宋" w:eastAsia="仿宋" w:cs="仿宋"/>
          <w:b/>
          <w:color w:val="auto"/>
          <w:sz w:val="32"/>
          <w:szCs w:val="32"/>
        </w:rPr>
        <w:t>八、电子交易活动的中止</w:t>
      </w:r>
    </w:p>
    <w:p w14:paraId="79E7DE69">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电子交易活动的中止</w:t>
      </w:r>
    </w:p>
    <w:p w14:paraId="5AD6DE06">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采购过程中出现以下情形，导致电子交易平台无法正常运行，或者无法保证电子交易的公平、公正和安全时，采购代理机构可中止电子交易活动：</w:t>
      </w:r>
    </w:p>
    <w:p w14:paraId="4251C9C6">
      <w:pPr>
        <w:pStyle w:val="45"/>
        <w:snapToGrid w:val="0"/>
        <w:spacing w:before="0"/>
        <w:ind w:firstLine="48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 xml:space="preserve">.1电子交易平台发生故障而无法登录访问的； </w:t>
      </w:r>
    </w:p>
    <w:p w14:paraId="40A77EC6">
      <w:pPr>
        <w:pStyle w:val="45"/>
        <w:snapToGrid w:val="0"/>
        <w:spacing w:before="0"/>
        <w:ind w:firstLine="48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.2电子交易平台应用或数据库出现错误，不能进行正常操作的；</w:t>
      </w:r>
    </w:p>
    <w:p w14:paraId="208E947A">
      <w:pPr>
        <w:pStyle w:val="45"/>
        <w:snapToGrid w:val="0"/>
        <w:spacing w:before="0"/>
        <w:ind w:firstLine="48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.3电子交易平台发现严重安全漏洞，有潜在泄密危险的；</w:t>
      </w:r>
    </w:p>
    <w:p w14:paraId="2745BA0C">
      <w:pPr>
        <w:pStyle w:val="45"/>
        <w:snapToGrid w:val="0"/>
        <w:spacing w:before="0"/>
        <w:ind w:firstLine="48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 xml:space="preserve">.4病毒发作导致不能进行正常操作的； </w:t>
      </w:r>
    </w:p>
    <w:p w14:paraId="584AD153">
      <w:pPr>
        <w:pStyle w:val="45"/>
        <w:snapToGrid w:val="0"/>
        <w:spacing w:before="0"/>
        <w:ind w:firstLine="480"/>
        <w:rPr>
          <w:rFonts w:hint="eastAsia"/>
          <w:color w:val="auto"/>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.5其他无法保证电子交易的公平、公正和安全的情况。</w:t>
      </w:r>
    </w:p>
    <w:p w14:paraId="7F385961">
      <w:pPr>
        <w:snapToGrid w:val="0"/>
        <w:spacing w:line="360" w:lineRule="auto"/>
        <w:ind w:left="120" w:leftChars="57" w:firstLine="482" w:firstLineChars="150"/>
        <w:jc w:val="center"/>
        <w:rPr>
          <w:rFonts w:hint="eastAsia" w:ascii="仿宋" w:hAnsi="仿宋" w:eastAsia="仿宋" w:cs="仿宋"/>
          <w:b/>
          <w:color w:val="auto"/>
          <w:sz w:val="32"/>
          <w:szCs w:val="32"/>
        </w:rPr>
      </w:pPr>
    </w:p>
    <w:p w14:paraId="241293CC">
      <w:pPr>
        <w:snapToGrid w:val="0"/>
        <w:spacing w:line="360" w:lineRule="auto"/>
        <w:ind w:left="120" w:leftChars="57" w:firstLine="482" w:firstLineChars="150"/>
        <w:jc w:val="center"/>
        <w:rPr>
          <w:rFonts w:hint="eastAsia" w:ascii="仿宋" w:hAnsi="仿宋" w:eastAsia="仿宋" w:cs="仿宋"/>
          <w:b/>
          <w:color w:val="auto"/>
          <w:sz w:val="24"/>
          <w:szCs w:val="24"/>
        </w:rPr>
      </w:pPr>
      <w:r>
        <w:rPr>
          <w:rFonts w:hint="eastAsia" w:ascii="仿宋" w:hAnsi="仿宋" w:eastAsia="仿宋" w:cs="仿宋"/>
          <w:b/>
          <w:color w:val="auto"/>
          <w:sz w:val="32"/>
          <w:szCs w:val="32"/>
        </w:rPr>
        <w:t>九、验收</w:t>
      </w:r>
    </w:p>
    <w:p w14:paraId="787FD026">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验收</w:t>
      </w:r>
    </w:p>
    <w:p w14:paraId="2DFC0549">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9210904">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AD010E">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bookmarkEnd w:id="11"/>
      <w:bookmarkEnd w:id="12"/>
      <w:bookmarkEnd w:id="13"/>
      <w:bookmarkStart w:id="14" w:name="_Hlt68072998"/>
      <w:bookmarkEnd w:id="14"/>
      <w:bookmarkStart w:id="15" w:name="_Hlt75236290"/>
      <w:bookmarkEnd w:id="15"/>
      <w:bookmarkStart w:id="16" w:name="_Hlt74714665"/>
      <w:bookmarkEnd w:id="16"/>
      <w:bookmarkStart w:id="17" w:name="_Hlt68072990"/>
      <w:bookmarkEnd w:id="17"/>
      <w:bookmarkStart w:id="18" w:name="_Hlt68057669"/>
      <w:bookmarkEnd w:id="18"/>
      <w:bookmarkStart w:id="19" w:name="_Hlt68073093"/>
      <w:bookmarkEnd w:id="19"/>
      <w:bookmarkStart w:id="20" w:name="_Hlt75236101"/>
      <w:bookmarkEnd w:id="20"/>
      <w:bookmarkStart w:id="21" w:name="_Hlt74730295"/>
      <w:bookmarkEnd w:id="21"/>
      <w:bookmarkStart w:id="22" w:name="_Hlt74729768"/>
      <w:bookmarkEnd w:id="22"/>
      <w:bookmarkStart w:id="23" w:name="_Hlt68403820"/>
      <w:bookmarkEnd w:id="23"/>
      <w:bookmarkStart w:id="24" w:name="_Hlt74707468"/>
      <w:bookmarkEnd w:id="24"/>
      <w:bookmarkStart w:id="25" w:name="_Hlt75236011"/>
      <w:bookmarkEnd w:id="25"/>
      <w:bookmarkStart w:id="26" w:name="第四部分"/>
    </w:p>
    <w:p w14:paraId="517042C0">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br w:type="page"/>
      </w:r>
    </w:p>
    <w:bookmarkEnd w:id="26"/>
    <w:p w14:paraId="548027AD">
      <w:pPr>
        <w:keepNext w:val="0"/>
        <w:keepLines w:val="0"/>
        <w:pageBreakBefore w:val="0"/>
        <w:numPr>
          <w:ilvl w:val="0"/>
          <w:numId w:val="3"/>
        </w:numPr>
        <w:tabs>
          <w:tab w:val="left" w:pos="0"/>
        </w:tabs>
        <w:kinsoku/>
        <w:wordWrap w:val="0"/>
        <w:overflowPunct/>
        <w:topLinePunct w:val="0"/>
        <w:autoSpaceDE/>
        <w:autoSpaceDN/>
        <w:bidi w:val="0"/>
        <w:adjustRightInd/>
        <w:snapToGrid/>
        <w:spacing w:line="360" w:lineRule="auto"/>
        <w:jc w:val="center"/>
        <w:outlineLvl w:val="0"/>
        <w:rPr>
          <w:rFonts w:hint="eastAsia" w:cs="仿宋" w:asciiTheme="majorEastAsia" w:hAnsiTheme="majorEastAsia" w:eastAsiaTheme="majorEastAsia"/>
          <w:b/>
          <w:color w:val="auto"/>
          <w:sz w:val="36"/>
          <w:szCs w:val="36"/>
          <w:highlight w:val="none"/>
        </w:rPr>
      </w:pPr>
      <w:bookmarkStart w:id="27" w:name="第五部分"/>
      <w:bookmarkStart w:id="28" w:name="_Toc86217003"/>
      <w:r>
        <w:rPr>
          <w:rFonts w:hint="eastAsia" w:cs="仿宋" w:asciiTheme="majorEastAsia" w:hAnsiTheme="majorEastAsia" w:eastAsiaTheme="majorEastAsia"/>
          <w:b/>
          <w:color w:val="auto"/>
          <w:sz w:val="36"/>
          <w:szCs w:val="36"/>
          <w:highlight w:val="none"/>
        </w:rPr>
        <w:t xml:space="preserve">  采购需求</w:t>
      </w:r>
    </w:p>
    <w:p w14:paraId="43981B4B">
      <w:pPr>
        <w:spacing w:line="400" w:lineRule="exact"/>
        <w:ind w:firstLine="442" w:firstLineChars="200"/>
        <w:rPr>
          <w:rFonts w:ascii="宋体" w:hAnsi="宋体" w:cs="宋体"/>
          <w:b/>
          <w:bCs/>
          <w:color w:val="auto"/>
          <w:sz w:val="22"/>
          <w:szCs w:val="22"/>
          <w:highlight w:val="none"/>
        </w:rPr>
      </w:pPr>
      <w:bookmarkStart w:id="29" w:name="_Toc471938839"/>
      <w:bookmarkStart w:id="30" w:name="_Toc500353170"/>
      <w:r>
        <w:rPr>
          <w:rFonts w:hint="eastAsia" w:ascii="宋体" w:hAnsi="宋体" w:cs="宋体"/>
          <w:b/>
          <w:bCs/>
          <w:color w:val="auto"/>
          <w:sz w:val="22"/>
          <w:szCs w:val="22"/>
          <w:highlight w:val="none"/>
        </w:rPr>
        <w:t xml:space="preserve">一、总则 </w:t>
      </w:r>
    </w:p>
    <w:p w14:paraId="7333F8F3">
      <w:pPr>
        <w:spacing w:line="400" w:lineRule="exact"/>
        <w:ind w:firstLine="495" w:firstLineChars="225"/>
        <w:rPr>
          <w:rFonts w:ascii="宋体" w:hAnsi="宋体" w:cs="宋体"/>
          <w:color w:val="auto"/>
          <w:sz w:val="22"/>
          <w:szCs w:val="22"/>
          <w:highlight w:val="none"/>
        </w:rPr>
      </w:pPr>
      <w:r>
        <w:rPr>
          <w:rFonts w:hint="eastAsia" w:ascii="宋体" w:hAnsi="宋体" w:cs="宋体"/>
          <w:color w:val="auto"/>
          <w:sz w:val="22"/>
          <w:szCs w:val="22"/>
          <w:highlight w:val="none"/>
        </w:rPr>
        <w:t>1、本技术规范要求提出的是最低限度的基本技术要求，并未对所有技术细节做出规定，投标供应商应提供符合本技术要求和国家标准、行业标准的优质产品。</w:t>
      </w:r>
    </w:p>
    <w:p w14:paraId="0BE5AEFD">
      <w:pPr>
        <w:spacing w:line="400" w:lineRule="exact"/>
        <w:ind w:firstLine="495" w:firstLineChars="225"/>
        <w:rPr>
          <w:rFonts w:ascii="宋体" w:hAnsi="宋体" w:cs="宋体"/>
          <w:color w:val="auto"/>
          <w:sz w:val="22"/>
          <w:szCs w:val="22"/>
          <w:highlight w:val="none"/>
        </w:rPr>
      </w:pPr>
      <w:r>
        <w:rPr>
          <w:rFonts w:hint="eastAsia" w:ascii="宋体" w:hAnsi="宋体" w:cs="宋体"/>
          <w:color w:val="auto"/>
          <w:sz w:val="22"/>
          <w:szCs w:val="22"/>
          <w:highlight w:val="none"/>
        </w:rPr>
        <w:t>2、投标供应商产品与本技术要求不一致时，投标供应商应在</w:t>
      </w:r>
      <w:r>
        <w:rPr>
          <w:rFonts w:hint="eastAsia" w:ascii="宋体" w:hAnsi="宋体" w:cs="宋体"/>
          <w:color w:val="auto"/>
          <w:sz w:val="22"/>
          <w:szCs w:val="22"/>
          <w:highlight w:val="none"/>
          <w:lang w:eastAsia="zh-CN"/>
        </w:rPr>
        <w:t>投标（响应）文件</w:t>
      </w:r>
      <w:r>
        <w:rPr>
          <w:rFonts w:hint="eastAsia" w:ascii="宋体" w:hAnsi="宋体" w:cs="宋体"/>
          <w:color w:val="auto"/>
          <w:sz w:val="22"/>
          <w:szCs w:val="22"/>
          <w:highlight w:val="none"/>
        </w:rPr>
        <w:t>中予以说明，并由</w:t>
      </w:r>
      <w:r>
        <w:rPr>
          <w:rFonts w:hint="eastAsia" w:ascii="宋体" w:hAnsi="宋体" w:cs="宋体"/>
          <w:color w:val="auto"/>
          <w:sz w:val="22"/>
          <w:szCs w:val="22"/>
          <w:highlight w:val="none"/>
          <w:lang w:eastAsia="zh-CN"/>
        </w:rPr>
        <w:t>评审小组</w:t>
      </w:r>
      <w:r>
        <w:rPr>
          <w:rFonts w:hint="eastAsia" w:ascii="宋体" w:hAnsi="宋体" w:cs="宋体"/>
          <w:color w:val="auto"/>
          <w:sz w:val="22"/>
          <w:szCs w:val="22"/>
          <w:highlight w:val="none"/>
        </w:rPr>
        <w:t>鉴定投标供应商产品能否达到要求。如投标供应商没有在</w:t>
      </w:r>
      <w:r>
        <w:rPr>
          <w:rFonts w:hint="eastAsia" w:ascii="宋体" w:hAnsi="宋体" w:cs="宋体"/>
          <w:color w:val="auto"/>
          <w:sz w:val="22"/>
          <w:szCs w:val="22"/>
          <w:highlight w:val="none"/>
          <w:lang w:eastAsia="zh-CN"/>
        </w:rPr>
        <w:t>投标（响应）文件</w:t>
      </w:r>
      <w:r>
        <w:rPr>
          <w:rFonts w:hint="eastAsia" w:ascii="宋体" w:hAnsi="宋体" w:cs="宋体"/>
          <w:color w:val="auto"/>
          <w:sz w:val="22"/>
          <w:szCs w:val="22"/>
          <w:highlight w:val="none"/>
        </w:rPr>
        <w:t>中提出异议，则视为投标供应商提供的产品完全按照本</w:t>
      </w:r>
      <w:r>
        <w:rPr>
          <w:rFonts w:hint="eastAsia" w:ascii="宋体" w:hAnsi="宋体" w:cs="宋体"/>
          <w:color w:val="auto"/>
          <w:sz w:val="22"/>
          <w:szCs w:val="22"/>
          <w:highlight w:val="none"/>
          <w:lang w:eastAsia="zh-CN"/>
        </w:rPr>
        <w:t>采购文件</w:t>
      </w:r>
      <w:r>
        <w:rPr>
          <w:rFonts w:hint="eastAsia" w:ascii="宋体" w:hAnsi="宋体" w:cs="宋体"/>
          <w:color w:val="auto"/>
          <w:sz w:val="22"/>
          <w:szCs w:val="22"/>
          <w:highlight w:val="none"/>
        </w:rPr>
        <w:t>要求。</w:t>
      </w:r>
    </w:p>
    <w:p w14:paraId="7EB7C189">
      <w:pPr>
        <w:spacing w:line="400" w:lineRule="exact"/>
        <w:ind w:firstLine="495" w:firstLineChars="225"/>
        <w:rPr>
          <w:rFonts w:ascii="宋体" w:hAnsi="宋体" w:cs="宋体"/>
          <w:color w:val="auto"/>
          <w:sz w:val="22"/>
          <w:szCs w:val="22"/>
          <w:highlight w:val="none"/>
        </w:rPr>
      </w:pPr>
      <w:r>
        <w:rPr>
          <w:rFonts w:hint="eastAsia" w:ascii="宋体" w:hAnsi="宋体" w:cs="宋体"/>
          <w:color w:val="auto"/>
          <w:sz w:val="22"/>
          <w:szCs w:val="22"/>
          <w:highlight w:val="none"/>
        </w:rPr>
        <w:t>3、技术要求及标准的执行</w:t>
      </w:r>
    </w:p>
    <w:p w14:paraId="2CEC5B94">
      <w:pPr>
        <w:spacing w:line="400" w:lineRule="exact"/>
        <w:ind w:firstLine="495" w:firstLineChars="225"/>
        <w:rPr>
          <w:rFonts w:ascii="宋体" w:hAnsi="宋体" w:cs="宋体"/>
          <w:color w:val="auto"/>
          <w:sz w:val="22"/>
          <w:szCs w:val="22"/>
          <w:highlight w:val="none"/>
        </w:rPr>
      </w:pPr>
      <w:r>
        <w:rPr>
          <w:rFonts w:hint="eastAsia" w:ascii="宋体" w:hAnsi="宋体" w:cs="宋体"/>
          <w:color w:val="auto"/>
          <w:sz w:val="22"/>
          <w:szCs w:val="22"/>
          <w:highlight w:val="none"/>
        </w:rPr>
        <w:t>投标供应商提供的产品应标明所执行的质量标准，若同一标准已颁发新标准，则按最新标准执行。若同一产品同时有几个标准（国家标准、行业标准、企业标准等），则按最高层次的标准执行。</w:t>
      </w:r>
    </w:p>
    <w:p w14:paraId="7AF06485">
      <w:pPr>
        <w:spacing w:line="400" w:lineRule="exact"/>
        <w:ind w:firstLine="495" w:firstLineChars="225"/>
        <w:rPr>
          <w:rFonts w:ascii="宋体" w:hAnsi="宋体" w:cs="宋体"/>
          <w:color w:val="auto"/>
          <w:sz w:val="22"/>
          <w:szCs w:val="22"/>
          <w:highlight w:val="none"/>
        </w:rPr>
      </w:pPr>
      <w:r>
        <w:rPr>
          <w:rFonts w:hint="eastAsia" w:ascii="宋体" w:hAnsi="宋体" w:cs="宋体"/>
          <w:color w:val="auto"/>
          <w:sz w:val="22"/>
          <w:szCs w:val="22"/>
          <w:highlight w:val="none"/>
        </w:rPr>
        <w:t>4、本项目为“交钥匙”项目，采购内容包括采购清单中货物供货、安装调试、货物验收、培训、质保期内的售后服务等。投标报价必须包括设备费、设备安装费、售后服务费、培训费、有关部门的验收费、政策性文件规定及合同包含的所有风险、责任等各项全部费用，以及全额含税发票、雇员费用、合同施工过程中的应预见和不可预见费用等。</w:t>
      </w:r>
    </w:p>
    <w:p w14:paraId="7C594EF1">
      <w:pPr>
        <w:spacing w:line="400" w:lineRule="exact"/>
        <w:ind w:firstLine="495" w:firstLineChars="225"/>
        <w:rPr>
          <w:rFonts w:hint="eastAsia" w:ascii="宋体" w:hAnsi="宋体" w:eastAsia="宋体" w:cs="宋体"/>
          <w:b/>
          <w:bCs/>
          <w:color w:val="auto"/>
          <w:sz w:val="21"/>
          <w:szCs w:val="21"/>
          <w:highlight w:val="none"/>
          <w:lang w:eastAsia="zh-CN"/>
        </w:rPr>
      </w:pPr>
      <w:r>
        <w:rPr>
          <w:rFonts w:hint="eastAsia" w:ascii="宋体" w:hAnsi="宋体" w:cs="宋体"/>
          <w:color w:val="auto"/>
          <w:sz w:val="22"/>
          <w:szCs w:val="22"/>
          <w:highlight w:val="none"/>
        </w:rPr>
        <w:t>5、本项目采用总价包干方式报价。供应商可以自行到采购人处现场勘查，了解安装地点、环境尺寸及采购人需求，本项目设计的安装材料、安装附件</w:t>
      </w:r>
      <w:r>
        <w:rPr>
          <w:rFonts w:hint="eastAsia" w:ascii="宋体" w:hAnsi="宋体" w:cs="宋体"/>
          <w:color w:val="auto"/>
          <w:sz w:val="22"/>
          <w:szCs w:val="22"/>
          <w:highlight w:val="none"/>
          <w:lang w:eastAsia="zh-CN"/>
        </w:rPr>
        <w:t>等辅助性材料</w:t>
      </w:r>
      <w:r>
        <w:rPr>
          <w:rFonts w:hint="eastAsia" w:ascii="宋体" w:hAnsi="宋体" w:cs="宋体"/>
          <w:color w:val="auto"/>
          <w:sz w:val="22"/>
          <w:szCs w:val="22"/>
          <w:highlight w:val="none"/>
        </w:rPr>
        <w:t>均采用包干方式计入投标总价，中标后不予调整。</w:t>
      </w:r>
      <w:r>
        <w:rPr>
          <w:rFonts w:hint="eastAsia" w:ascii="宋体" w:hAnsi="宋体" w:cs="宋体"/>
          <w:color w:val="auto"/>
          <w:sz w:val="22"/>
          <w:szCs w:val="22"/>
          <w:highlight w:val="none"/>
          <w:lang w:eastAsia="zh-CN"/>
        </w:rPr>
        <w:t>设备安装要求须满足国家的相关法律法规政策。</w:t>
      </w:r>
    </w:p>
    <w:bookmarkEnd w:id="29"/>
    <w:p w14:paraId="22527F5D">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textAlignment w:val="auto"/>
        <w:rPr>
          <w:rFonts w:hint="eastAsia"/>
          <w:highlight w:val="none"/>
        </w:rPr>
      </w:pP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主要设备清单</w:t>
      </w:r>
    </w:p>
    <w:bookmarkEnd w:id="30"/>
    <w:tbl>
      <w:tblPr>
        <w:tblStyle w:val="23"/>
        <w:tblW w:w="9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5"/>
        <w:gridCol w:w="1688"/>
        <w:gridCol w:w="1635"/>
        <w:gridCol w:w="870"/>
        <w:gridCol w:w="765"/>
        <w:gridCol w:w="720"/>
        <w:gridCol w:w="705"/>
        <w:gridCol w:w="2237"/>
      </w:tblGrid>
      <w:tr w14:paraId="34C2D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C353">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序号</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B8F5">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产品名称</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CE36">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产品型号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5AA4">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流量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9750">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扬程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8A1B">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功率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26DB">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数量</w:t>
            </w:r>
          </w:p>
        </w:tc>
        <w:tc>
          <w:tcPr>
            <w:tcW w:w="22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CF90">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备注：</w:t>
            </w:r>
          </w:p>
        </w:tc>
      </w:tr>
      <w:tr w14:paraId="5F007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588C">
            <w:pPr>
              <w:spacing w:line="300" w:lineRule="auto"/>
              <w:jc w:val="left"/>
              <w:rPr>
                <w:rFonts w:hint="eastAsia" w:ascii="仿宋" w:hAnsi="仿宋" w:eastAsia="仿宋" w:cs="仿宋"/>
                <w:color w:val="auto"/>
                <w:sz w:val="24"/>
                <w:szCs w:val="24"/>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19D1">
            <w:pPr>
              <w:spacing w:line="300" w:lineRule="auto"/>
              <w:jc w:val="left"/>
              <w:rPr>
                <w:rFonts w:hint="eastAsia" w:ascii="仿宋" w:hAnsi="仿宋" w:eastAsia="仿宋" w:cs="仿宋"/>
                <w:color w:val="auto"/>
                <w:sz w:val="24"/>
                <w:szCs w:val="24"/>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67F9">
            <w:pPr>
              <w:spacing w:line="300" w:lineRule="auto"/>
              <w:jc w:val="left"/>
              <w:rPr>
                <w:rFonts w:hint="eastAsia" w:ascii="仿宋" w:hAnsi="仿宋" w:eastAsia="仿宋" w:cs="仿宋"/>
                <w:color w:val="auto"/>
                <w:sz w:val="24"/>
                <w:szCs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DA29">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m3/h</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49A7">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92C3">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kw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CA19">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台</w:t>
            </w:r>
          </w:p>
        </w:tc>
        <w:tc>
          <w:tcPr>
            <w:tcW w:w="22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588E">
            <w:pPr>
              <w:spacing w:line="300" w:lineRule="auto"/>
              <w:jc w:val="left"/>
              <w:rPr>
                <w:rFonts w:hint="eastAsia" w:ascii="仿宋" w:hAnsi="仿宋" w:eastAsia="仿宋" w:cs="仿宋"/>
                <w:color w:val="auto"/>
                <w:sz w:val="24"/>
                <w:szCs w:val="24"/>
              </w:rPr>
            </w:pPr>
          </w:p>
        </w:tc>
      </w:tr>
      <w:tr w14:paraId="3F044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BE98">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1DBC">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一体化预制泵站</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3349">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φ4200*6290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AF10">
            <w:pPr>
              <w:spacing w:line="300" w:lineRule="auto"/>
              <w:jc w:val="left"/>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180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8757">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0DAD">
            <w:pPr>
              <w:spacing w:line="300" w:lineRule="auto"/>
              <w:jc w:val="left"/>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2083">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8F80">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切割型水泵，二用一备</w:t>
            </w:r>
          </w:p>
        </w:tc>
      </w:tr>
      <w:tr w14:paraId="38DBF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6FE4">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2F76">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一体化预制泵站</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6240">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φ4200*5430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C689">
            <w:pPr>
              <w:spacing w:line="300" w:lineRule="auto"/>
              <w:jc w:val="left"/>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170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5BB0">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870A">
            <w:pPr>
              <w:spacing w:line="300" w:lineRule="auto"/>
              <w:jc w:val="left"/>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EE4A">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4048">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切割型水泵，二用一备</w:t>
            </w:r>
          </w:p>
        </w:tc>
      </w:tr>
      <w:tr w14:paraId="5A5EC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8A15">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396C">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潜污泵</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4EF4">
            <w:pPr>
              <w:spacing w:line="300" w:lineRule="auto"/>
              <w:jc w:val="left"/>
              <w:rPr>
                <w:rFonts w:hint="eastAsia" w:ascii="仿宋" w:hAnsi="仿宋" w:eastAsia="仿宋" w:cs="仿宋"/>
                <w:color w:val="auto"/>
                <w:sz w:val="24"/>
                <w:szCs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FA40">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A927">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9180">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874F">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3902">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含耦合、导轨、链条</w:t>
            </w:r>
          </w:p>
        </w:tc>
      </w:tr>
      <w:tr w14:paraId="790B8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162B">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2817">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潜污泵</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020A">
            <w:pPr>
              <w:spacing w:line="300" w:lineRule="auto"/>
              <w:jc w:val="left"/>
              <w:rPr>
                <w:rFonts w:hint="eastAsia" w:ascii="仿宋" w:hAnsi="仿宋" w:eastAsia="仿宋" w:cs="仿宋"/>
                <w:color w:val="auto"/>
                <w:sz w:val="24"/>
                <w:szCs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530E">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4F75">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CA7B">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F613">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81FA">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含耦合、导轨、链条</w:t>
            </w:r>
          </w:p>
        </w:tc>
      </w:tr>
      <w:tr w14:paraId="41729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BFA3">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7BA7">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潜污泵</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6449">
            <w:pPr>
              <w:spacing w:line="300" w:lineRule="auto"/>
              <w:jc w:val="left"/>
              <w:rPr>
                <w:rFonts w:hint="eastAsia" w:ascii="仿宋" w:hAnsi="仿宋" w:eastAsia="仿宋" w:cs="仿宋"/>
                <w:color w:val="auto"/>
                <w:sz w:val="24"/>
                <w:szCs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EF1F">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D54A">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684A">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5977">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02BD">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含耦合、导轨、链条</w:t>
            </w:r>
          </w:p>
        </w:tc>
      </w:tr>
      <w:tr w14:paraId="0523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0242">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4076">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潜污泵</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CB50">
            <w:pPr>
              <w:spacing w:line="300" w:lineRule="auto"/>
              <w:jc w:val="left"/>
              <w:rPr>
                <w:rFonts w:hint="eastAsia" w:ascii="仿宋" w:hAnsi="仿宋" w:eastAsia="仿宋" w:cs="仿宋"/>
                <w:color w:val="auto"/>
                <w:sz w:val="24"/>
                <w:szCs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FD83">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9D2E">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21EB">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7684">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5843">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含耦合、导轨、链条</w:t>
            </w:r>
          </w:p>
        </w:tc>
      </w:tr>
      <w:tr w14:paraId="33A75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3039">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FE59">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潜污泵</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8DDA">
            <w:pPr>
              <w:spacing w:line="300" w:lineRule="auto"/>
              <w:jc w:val="left"/>
              <w:rPr>
                <w:rFonts w:hint="eastAsia" w:ascii="仿宋" w:hAnsi="仿宋" w:eastAsia="仿宋" w:cs="仿宋"/>
                <w:color w:val="auto"/>
                <w:sz w:val="24"/>
                <w:szCs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C55C">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9F2F">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8A54">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9C04">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2451">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含耦合、导轨、链条</w:t>
            </w:r>
          </w:p>
        </w:tc>
      </w:tr>
      <w:tr w14:paraId="14A58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461F">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97C4">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潜污泵</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8619">
            <w:pPr>
              <w:spacing w:line="300" w:lineRule="auto"/>
              <w:jc w:val="left"/>
              <w:rPr>
                <w:rFonts w:hint="eastAsia" w:ascii="仿宋" w:hAnsi="仿宋" w:eastAsia="仿宋" w:cs="仿宋"/>
                <w:color w:val="auto"/>
                <w:sz w:val="24"/>
                <w:szCs w:val="24"/>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10C8">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8A32">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F2B3">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3AF0">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349E">
            <w:pPr>
              <w:spacing w:line="30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含耦合、导轨、链条</w:t>
            </w:r>
          </w:p>
        </w:tc>
      </w:tr>
    </w:tbl>
    <w:p w14:paraId="358B8BAD">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一体化预制泵站（φ4200*6290）</w:t>
      </w:r>
      <w:r>
        <w:rPr>
          <w:rFonts w:hint="eastAsia" w:ascii="宋体" w:hAnsi="宋体" w:eastAsia="宋体" w:cs="宋体"/>
          <w:b/>
          <w:bCs/>
          <w:color w:val="auto"/>
          <w:sz w:val="21"/>
          <w:szCs w:val="21"/>
          <w:highlight w:val="none"/>
          <w:lang w:eastAsia="zh-CN"/>
        </w:rPr>
        <w:t>具体设备参数</w:t>
      </w:r>
      <w:r>
        <w:rPr>
          <w:rFonts w:hint="eastAsia" w:ascii="宋体" w:hAnsi="宋体" w:cs="宋体"/>
          <w:b/>
          <w:bCs/>
          <w:color w:val="auto"/>
          <w:sz w:val="21"/>
          <w:szCs w:val="21"/>
          <w:highlight w:val="none"/>
          <w:lang w:val="en-US" w:eastAsia="zh-CN"/>
        </w:rPr>
        <w:t>:</w:t>
      </w:r>
    </w:p>
    <w:tbl>
      <w:tblPr>
        <w:tblStyle w:val="24"/>
        <w:tblW w:w="938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2073"/>
        <w:gridCol w:w="878"/>
        <w:gridCol w:w="2523"/>
        <w:gridCol w:w="1776"/>
        <w:gridCol w:w="1503"/>
      </w:tblGrid>
      <w:tr w14:paraId="2AE2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4" w:type="dxa"/>
          </w:tcPr>
          <w:p w14:paraId="28EEA7EB">
            <w:pPr>
              <w:spacing w:line="30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编号</w:t>
            </w:r>
          </w:p>
        </w:tc>
        <w:tc>
          <w:tcPr>
            <w:tcW w:w="2073" w:type="dxa"/>
          </w:tcPr>
          <w:p w14:paraId="2729D1C2">
            <w:pPr>
              <w:spacing w:line="30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878" w:type="dxa"/>
          </w:tcPr>
          <w:p w14:paraId="67D49E71">
            <w:pPr>
              <w:spacing w:line="30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数量</w:t>
            </w:r>
          </w:p>
        </w:tc>
        <w:tc>
          <w:tcPr>
            <w:tcW w:w="2523" w:type="dxa"/>
          </w:tcPr>
          <w:p w14:paraId="2963878B">
            <w:pPr>
              <w:spacing w:line="30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材料</w:t>
            </w:r>
          </w:p>
        </w:tc>
        <w:tc>
          <w:tcPr>
            <w:tcW w:w="1776" w:type="dxa"/>
          </w:tcPr>
          <w:p w14:paraId="43B0D837">
            <w:pPr>
              <w:spacing w:line="30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规格</w:t>
            </w:r>
          </w:p>
        </w:tc>
        <w:tc>
          <w:tcPr>
            <w:tcW w:w="1503" w:type="dxa"/>
          </w:tcPr>
          <w:p w14:paraId="7DA208EF">
            <w:pPr>
              <w:spacing w:line="30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w:t>
            </w:r>
          </w:p>
        </w:tc>
      </w:tr>
      <w:tr w14:paraId="0F76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4" w:type="dxa"/>
            <w:vAlign w:val="center"/>
          </w:tcPr>
          <w:p w14:paraId="311BA0CE">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073" w:type="dxa"/>
          </w:tcPr>
          <w:p w14:paraId="44B2C072">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切割式水泵</w:t>
            </w:r>
          </w:p>
        </w:tc>
        <w:tc>
          <w:tcPr>
            <w:tcW w:w="878" w:type="dxa"/>
          </w:tcPr>
          <w:p w14:paraId="39011B6B">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523" w:type="dxa"/>
          </w:tcPr>
          <w:p w14:paraId="7607D342">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Q=180m³/h H=10mN=15kw</w:t>
            </w:r>
          </w:p>
        </w:tc>
        <w:tc>
          <w:tcPr>
            <w:tcW w:w="1776" w:type="dxa"/>
          </w:tcPr>
          <w:p w14:paraId="50C355AD">
            <w:pPr>
              <w:spacing w:line="300" w:lineRule="auto"/>
              <w:jc w:val="center"/>
              <w:rPr>
                <w:rFonts w:hint="eastAsia" w:ascii="仿宋" w:hAnsi="仿宋" w:eastAsia="仿宋" w:cs="仿宋"/>
                <w:color w:val="auto"/>
                <w:sz w:val="24"/>
                <w:szCs w:val="24"/>
                <w:lang w:val="en-US" w:eastAsia="zh-CN"/>
              </w:rPr>
            </w:pPr>
          </w:p>
        </w:tc>
        <w:tc>
          <w:tcPr>
            <w:tcW w:w="1503" w:type="dxa"/>
          </w:tcPr>
          <w:p w14:paraId="79D20585">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两用一备</w:t>
            </w:r>
          </w:p>
        </w:tc>
      </w:tr>
      <w:tr w14:paraId="63EB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4" w:type="dxa"/>
            <w:vAlign w:val="center"/>
          </w:tcPr>
          <w:p w14:paraId="0EE4345D">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2073" w:type="dxa"/>
          </w:tcPr>
          <w:p w14:paraId="19E7AE6A">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自耦底座</w:t>
            </w:r>
          </w:p>
        </w:tc>
        <w:tc>
          <w:tcPr>
            <w:tcW w:w="878" w:type="dxa"/>
          </w:tcPr>
          <w:p w14:paraId="497AB8CB">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523" w:type="dxa"/>
          </w:tcPr>
          <w:p w14:paraId="2387AA39">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HT200</w:t>
            </w:r>
          </w:p>
        </w:tc>
        <w:tc>
          <w:tcPr>
            <w:tcW w:w="1776" w:type="dxa"/>
          </w:tcPr>
          <w:p w14:paraId="311597E4">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按管径</w:t>
            </w:r>
          </w:p>
        </w:tc>
        <w:tc>
          <w:tcPr>
            <w:tcW w:w="1503" w:type="dxa"/>
          </w:tcPr>
          <w:p w14:paraId="3522D413">
            <w:pPr>
              <w:spacing w:line="300" w:lineRule="auto"/>
              <w:jc w:val="center"/>
              <w:rPr>
                <w:rFonts w:hint="eastAsia" w:ascii="仿宋" w:hAnsi="仿宋" w:eastAsia="仿宋" w:cs="仿宋"/>
                <w:color w:val="auto"/>
                <w:sz w:val="24"/>
                <w:szCs w:val="24"/>
                <w:lang w:val="en-US" w:eastAsia="zh-CN"/>
              </w:rPr>
            </w:pPr>
          </w:p>
        </w:tc>
      </w:tr>
      <w:tr w14:paraId="689E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4" w:type="dxa"/>
            <w:vAlign w:val="center"/>
          </w:tcPr>
          <w:p w14:paraId="781000DC">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073" w:type="dxa"/>
          </w:tcPr>
          <w:p w14:paraId="68D8D3DF">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水泵导轨</w:t>
            </w:r>
          </w:p>
        </w:tc>
        <w:tc>
          <w:tcPr>
            <w:tcW w:w="878" w:type="dxa"/>
          </w:tcPr>
          <w:p w14:paraId="4D33A03C">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2523" w:type="dxa"/>
          </w:tcPr>
          <w:p w14:paraId="27474C7F">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SS304</w:t>
            </w:r>
          </w:p>
        </w:tc>
        <w:tc>
          <w:tcPr>
            <w:tcW w:w="1776" w:type="dxa"/>
          </w:tcPr>
          <w:p w14:paraId="5994C669">
            <w:pPr>
              <w:spacing w:line="300" w:lineRule="auto"/>
              <w:jc w:val="center"/>
              <w:rPr>
                <w:rFonts w:hint="eastAsia" w:ascii="仿宋" w:hAnsi="仿宋" w:eastAsia="仿宋" w:cs="仿宋"/>
                <w:color w:val="auto"/>
                <w:sz w:val="24"/>
                <w:szCs w:val="24"/>
                <w:lang w:val="en-US" w:eastAsia="zh-CN"/>
              </w:rPr>
            </w:pPr>
          </w:p>
        </w:tc>
        <w:tc>
          <w:tcPr>
            <w:tcW w:w="1503" w:type="dxa"/>
          </w:tcPr>
          <w:p w14:paraId="3CF46D6D">
            <w:pPr>
              <w:spacing w:line="300" w:lineRule="auto"/>
              <w:jc w:val="center"/>
              <w:rPr>
                <w:rFonts w:hint="eastAsia" w:ascii="仿宋" w:hAnsi="仿宋" w:eastAsia="仿宋" w:cs="仿宋"/>
                <w:color w:val="auto"/>
                <w:sz w:val="24"/>
                <w:szCs w:val="24"/>
                <w:lang w:val="en-US" w:eastAsia="zh-CN"/>
              </w:rPr>
            </w:pPr>
          </w:p>
        </w:tc>
      </w:tr>
      <w:tr w14:paraId="3252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4" w:type="dxa"/>
            <w:vAlign w:val="center"/>
          </w:tcPr>
          <w:p w14:paraId="430EA213">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2073" w:type="dxa"/>
          </w:tcPr>
          <w:p w14:paraId="5322A736">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液位传感器保护管</w:t>
            </w:r>
          </w:p>
        </w:tc>
        <w:tc>
          <w:tcPr>
            <w:tcW w:w="878" w:type="dxa"/>
          </w:tcPr>
          <w:p w14:paraId="10C019E2">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523" w:type="dxa"/>
          </w:tcPr>
          <w:p w14:paraId="77B88150">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陶瓷液位计,GRP管</w:t>
            </w:r>
          </w:p>
        </w:tc>
        <w:tc>
          <w:tcPr>
            <w:tcW w:w="1776" w:type="dxa"/>
          </w:tcPr>
          <w:p w14:paraId="0890AC18">
            <w:pPr>
              <w:spacing w:line="300" w:lineRule="auto"/>
              <w:jc w:val="center"/>
              <w:rPr>
                <w:rFonts w:hint="eastAsia" w:ascii="仿宋" w:hAnsi="仿宋" w:eastAsia="仿宋" w:cs="仿宋"/>
                <w:color w:val="auto"/>
                <w:sz w:val="24"/>
                <w:szCs w:val="24"/>
                <w:lang w:val="en-US" w:eastAsia="zh-CN"/>
              </w:rPr>
            </w:pPr>
          </w:p>
        </w:tc>
        <w:tc>
          <w:tcPr>
            <w:tcW w:w="1503" w:type="dxa"/>
          </w:tcPr>
          <w:p w14:paraId="7D9A511E">
            <w:pPr>
              <w:spacing w:line="300" w:lineRule="auto"/>
              <w:jc w:val="center"/>
              <w:rPr>
                <w:rFonts w:hint="eastAsia" w:ascii="仿宋" w:hAnsi="仿宋" w:eastAsia="仿宋" w:cs="仿宋"/>
                <w:color w:val="auto"/>
                <w:sz w:val="24"/>
                <w:szCs w:val="24"/>
                <w:lang w:val="en-US" w:eastAsia="zh-CN"/>
              </w:rPr>
            </w:pPr>
          </w:p>
        </w:tc>
      </w:tr>
      <w:tr w14:paraId="3DE1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4" w:type="dxa"/>
            <w:vAlign w:val="center"/>
          </w:tcPr>
          <w:p w14:paraId="54352169">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2073" w:type="dxa"/>
          </w:tcPr>
          <w:p w14:paraId="28DA568D">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压力管道</w:t>
            </w:r>
          </w:p>
        </w:tc>
        <w:tc>
          <w:tcPr>
            <w:tcW w:w="878" w:type="dxa"/>
          </w:tcPr>
          <w:p w14:paraId="6E12767A">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523" w:type="dxa"/>
          </w:tcPr>
          <w:p w14:paraId="38850FA6">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SS304</w:t>
            </w:r>
          </w:p>
        </w:tc>
        <w:tc>
          <w:tcPr>
            <w:tcW w:w="1776" w:type="dxa"/>
          </w:tcPr>
          <w:p w14:paraId="120370A1">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DN400 PN10</w:t>
            </w:r>
          </w:p>
        </w:tc>
        <w:tc>
          <w:tcPr>
            <w:tcW w:w="1503" w:type="dxa"/>
          </w:tcPr>
          <w:p w14:paraId="505C64A6">
            <w:pPr>
              <w:spacing w:line="300" w:lineRule="auto"/>
              <w:jc w:val="center"/>
              <w:rPr>
                <w:rFonts w:hint="eastAsia" w:ascii="仿宋" w:hAnsi="仿宋" w:eastAsia="仿宋" w:cs="仿宋"/>
                <w:color w:val="auto"/>
                <w:sz w:val="24"/>
                <w:szCs w:val="24"/>
                <w:lang w:val="en-US" w:eastAsia="zh-CN"/>
              </w:rPr>
            </w:pPr>
          </w:p>
        </w:tc>
      </w:tr>
      <w:tr w14:paraId="34B1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4" w:type="dxa"/>
            <w:vAlign w:val="center"/>
          </w:tcPr>
          <w:p w14:paraId="09EE5592">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2073" w:type="dxa"/>
          </w:tcPr>
          <w:p w14:paraId="418DC068">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挠性接头</w:t>
            </w:r>
          </w:p>
        </w:tc>
        <w:tc>
          <w:tcPr>
            <w:tcW w:w="878" w:type="dxa"/>
          </w:tcPr>
          <w:p w14:paraId="547E4A77">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523" w:type="dxa"/>
          </w:tcPr>
          <w:p w14:paraId="5063BC2C">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橡胶</w:t>
            </w:r>
          </w:p>
        </w:tc>
        <w:tc>
          <w:tcPr>
            <w:tcW w:w="1776" w:type="dxa"/>
          </w:tcPr>
          <w:p w14:paraId="13680E8D">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DN400 PN10</w:t>
            </w:r>
          </w:p>
        </w:tc>
        <w:tc>
          <w:tcPr>
            <w:tcW w:w="1503" w:type="dxa"/>
          </w:tcPr>
          <w:p w14:paraId="49C269DB">
            <w:pPr>
              <w:spacing w:line="300" w:lineRule="auto"/>
              <w:jc w:val="center"/>
              <w:rPr>
                <w:rFonts w:hint="eastAsia" w:ascii="仿宋" w:hAnsi="仿宋" w:eastAsia="仿宋" w:cs="仿宋"/>
                <w:color w:val="auto"/>
                <w:sz w:val="24"/>
                <w:szCs w:val="24"/>
                <w:lang w:val="en-US" w:eastAsia="zh-CN"/>
              </w:rPr>
            </w:pPr>
          </w:p>
        </w:tc>
      </w:tr>
      <w:tr w14:paraId="1ABA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4" w:type="dxa"/>
            <w:vAlign w:val="center"/>
          </w:tcPr>
          <w:p w14:paraId="34237A89">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2073" w:type="dxa"/>
          </w:tcPr>
          <w:p w14:paraId="30B4F117">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止回阀</w:t>
            </w:r>
          </w:p>
        </w:tc>
        <w:tc>
          <w:tcPr>
            <w:tcW w:w="878" w:type="dxa"/>
          </w:tcPr>
          <w:p w14:paraId="14EF7233">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523" w:type="dxa"/>
          </w:tcPr>
          <w:p w14:paraId="18F71F50">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铸铁+环氧涂层</w:t>
            </w:r>
          </w:p>
        </w:tc>
        <w:tc>
          <w:tcPr>
            <w:tcW w:w="1776" w:type="dxa"/>
          </w:tcPr>
          <w:p w14:paraId="13DA5A5A">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DN400 PN10</w:t>
            </w:r>
          </w:p>
        </w:tc>
        <w:tc>
          <w:tcPr>
            <w:tcW w:w="1503" w:type="dxa"/>
          </w:tcPr>
          <w:p w14:paraId="76C89121">
            <w:pPr>
              <w:spacing w:line="300" w:lineRule="auto"/>
              <w:jc w:val="center"/>
              <w:rPr>
                <w:rFonts w:hint="eastAsia" w:ascii="仿宋" w:hAnsi="仿宋" w:eastAsia="仿宋" w:cs="仿宋"/>
                <w:color w:val="auto"/>
                <w:sz w:val="24"/>
                <w:szCs w:val="24"/>
                <w:lang w:val="en-US" w:eastAsia="zh-CN"/>
              </w:rPr>
            </w:pPr>
          </w:p>
        </w:tc>
      </w:tr>
      <w:tr w14:paraId="5E53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4" w:type="dxa"/>
            <w:vAlign w:val="center"/>
          </w:tcPr>
          <w:p w14:paraId="2000E74B">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2073" w:type="dxa"/>
          </w:tcPr>
          <w:p w14:paraId="2A168547">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挠性接头</w:t>
            </w:r>
          </w:p>
        </w:tc>
        <w:tc>
          <w:tcPr>
            <w:tcW w:w="878" w:type="dxa"/>
          </w:tcPr>
          <w:p w14:paraId="2770E84D">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523" w:type="dxa"/>
          </w:tcPr>
          <w:p w14:paraId="69054D6D">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橡胶</w:t>
            </w:r>
          </w:p>
        </w:tc>
        <w:tc>
          <w:tcPr>
            <w:tcW w:w="1776" w:type="dxa"/>
          </w:tcPr>
          <w:p w14:paraId="7BD3FF1E">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DN400 PN10</w:t>
            </w:r>
          </w:p>
        </w:tc>
        <w:tc>
          <w:tcPr>
            <w:tcW w:w="1503" w:type="dxa"/>
          </w:tcPr>
          <w:p w14:paraId="0B777008">
            <w:pPr>
              <w:spacing w:line="300" w:lineRule="auto"/>
              <w:jc w:val="center"/>
              <w:rPr>
                <w:rFonts w:hint="eastAsia" w:ascii="仿宋" w:hAnsi="仿宋" w:eastAsia="仿宋" w:cs="仿宋"/>
                <w:color w:val="auto"/>
                <w:sz w:val="24"/>
                <w:szCs w:val="24"/>
                <w:lang w:val="en-US" w:eastAsia="zh-CN"/>
              </w:rPr>
            </w:pPr>
          </w:p>
        </w:tc>
      </w:tr>
      <w:tr w14:paraId="19B7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4" w:type="dxa"/>
            <w:vAlign w:val="center"/>
          </w:tcPr>
          <w:p w14:paraId="42228D65">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2073" w:type="dxa"/>
          </w:tcPr>
          <w:p w14:paraId="43DC0451">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闸阀</w:t>
            </w:r>
          </w:p>
        </w:tc>
        <w:tc>
          <w:tcPr>
            <w:tcW w:w="878" w:type="dxa"/>
          </w:tcPr>
          <w:p w14:paraId="117FE389">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523" w:type="dxa"/>
          </w:tcPr>
          <w:p w14:paraId="6D0F6D99">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铸铁+环氧涂层</w:t>
            </w:r>
          </w:p>
        </w:tc>
        <w:tc>
          <w:tcPr>
            <w:tcW w:w="1776" w:type="dxa"/>
          </w:tcPr>
          <w:p w14:paraId="55914EDD">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DN400 PN10</w:t>
            </w:r>
          </w:p>
        </w:tc>
        <w:tc>
          <w:tcPr>
            <w:tcW w:w="1503" w:type="dxa"/>
          </w:tcPr>
          <w:p w14:paraId="617A0793">
            <w:pPr>
              <w:spacing w:line="300" w:lineRule="auto"/>
              <w:jc w:val="center"/>
              <w:rPr>
                <w:rFonts w:hint="eastAsia" w:ascii="仿宋" w:hAnsi="仿宋" w:eastAsia="仿宋" w:cs="仿宋"/>
                <w:color w:val="auto"/>
                <w:sz w:val="24"/>
                <w:szCs w:val="24"/>
                <w:lang w:val="en-US" w:eastAsia="zh-CN"/>
              </w:rPr>
            </w:pPr>
          </w:p>
        </w:tc>
      </w:tr>
      <w:tr w14:paraId="0588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4" w:type="dxa"/>
          </w:tcPr>
          <w:p w14:paraId="43262796">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2073" w:type="dxa"/>
          </w:tcPr>
          <w:p w14:paraId="3CA5EE94">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电气控制柜</w:t>
            </w:r>
          </w:p>
        </w:tc>
        <w:tc>
          <w:tcPr>
            <w:tcW w:w="878" w:type="dxa"/>
          </w:tcPr>
          <w:p w14:paraId="065B7F9C">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523" w:type="dxa"/>
          </w:tcPr>
          <w:p w14:paraId="3F03F5D8">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KQK-YT-2*5.5 +2.2</w:t>
            </w:r>
          </w:p>
        </w:tc>
        <w:tc>
          <w:tcPr>
            <w:tcW w:w="1776" w:type="dxa"/>
          </w:tcPr>
          <w:p w14:paraId="581AB63B">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预留远程接口</w:t>
            </w:r>
          </w:p>
        </w:tc>
        <w:tc>
          <w:tcPr>
            <w:tcW w:w="1503" w:type="dxa"/>
          </w:tcPr>
          <w:p w14:paraId="3B6FAFA2">
            <w:pPr>
              <w:spacing w:line="300" w:lineRule="auto"/>
              <w:jc w:val="center"/>
              <w:rPr>
                <w:rFonts w:hint="eastAsia" w:ascii="仿宋" w:hAnsi="仿宋" w:eastAsia="仿宋" w:cs="仿宋"/>
                <w:color w:val="auto"/>
                <w:sz w:val="24"/>
                <w:szCs w:val="24"/>
                <w:lang w:val="en-US" w:eastAsia="zh-CN"/>
              </w:rPr>
            </w:pPr>
          </w:p>
        </w:tc>
      </w:tr>
      <w:tr w14:paraId="156F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4" w:type="dxa"/>
          </w:tcPr>
          <w:p w14:paraId="47B9CE87">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2073" w:type="dxa"/>
          </w:tcPr>
          <w:p w14:paraId="54032EE7">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通风管</w:t>
            </w:r>
          </w:p>
        </w:tc>
        <w:tc>
          <w:tcPr>
            <w:tcW w:w="878" w:type="dxa"/>
          </w:tcPr>
          <w:p w14:paraId="541CE11B">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2523" w:type="dxa"/>
          </w:tcPr>
          <w:p w14:paraId="168DEE1D">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SS304</w:t>
            </w:r>
          </w:p>
        </w:tc>
        <w:tc>
          <w:tcPr>
            <w:tcW w:w="1776" w:type="dxa"/>
          </w:tcPr>
          <w:p w14:paraId="3CF304BA">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DN150</w:t>
            </w:r>
          </w:p>
        </w:tc>
        <w:tc>
          <w:tcPr>
            <w:tcW w:w="1503" w:type="dxa"/>
          </w:tcPr>
          <w:p w14:paraId="3155362A">
            <w:pPr>
              <w:spacing w:line="300" w:lineRule="auto"/>
              <w:jc w:val="center"/>
              <w:rPr>
                <w:rFonts w:hint="eastAsia" w:ascii="仿宋" w:hAnsi="仿宋" w:eastAsia="仿宋" w:cs="仿宋"/>
                <w:color w:val="auto"/>
                <w:sz w:val="24"/>
                <w:szCs w:val="24"/>
                <w:lang w:val="en-US" w:eastAsia="zh-CN"/>
              </w:rPr>
            </w:pPr>
          </w:p>
        </w:tc>
      </w:tr>
      <w:tr w14:paraId="21FB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4" w:type="dxa"/>
          </w:tcPr>
          <w:p w14:paraId="57C982A8">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2073" w:type="dxa"/>
          </w:tcPr>
          <w:p w14:paraId="0270D57C">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安全格栅</w:t>
            </w:r>
          </w:p>
        </w:tc>
        <w:tc>
          <w:tcPr>
            <w:tcW w:w="878" w:type="dxa"/>
          </w:tcPr>
          <w:p w14:paraId="1F7EB027">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523" w:type="dxa"/>
          </w:tcPr>
          <w:p w14:paraId="3BC13ED9">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GRP格栅板+SS304</w:t>
            </w:r>
          </w:p>
        </w:tc>
        <w:tc>
          <w:tcPr>
            <w:tcW w:w="1776" w:type="dxa"/>
          </w:tcPr>
          <w:p w14:paraId="552BB80A">
            <w:pPr>
              <w:spacing w:line="300" w:lineRule="auto"/>
              <w:jc w:val="center"/>
              <w:rPr>
                <w:rFonts w:hint="eastAsia" w:ascii="仿宋" w:hAnsi="仿宋" w:eastAsia="仿宋" w:cs="仿宋"/>
                <w:color w:val="auto"/>
                <w:sz w:val="24"/>
                <w:szCs w:val="24"/>
                <w:lang w:val="en-US" w:eastAsia="zh-CN"/>
              </w:rPr>
            </w:pPr>
          </w:p>
        </w:tc>
        <w:tc>
          <w:tcPr>
            <w:tcW w:w="1503" w:type="dxa"/>
          </w:tcPr>
          <w:p w14:paraId="1D86823F">
            <w:pPr>
              <w:spacing w:line="300" w:lineRule="auto"/>
              <w:jc w:val="center"/>
              <w:rPr>
                <w:rFonts w:hint="eastAsia" w:ascii="仿宋" w:hAnsi="仿宋" w:eastAsia="仿宋" w:cs="仿宋"/>
                <w:color w:val="auto"/>
                <w:sz w:val="24"/>
                <w:szCs w:val="24"/>
                <w:lang w:val="en-US" w:eastAsia="zh-CN"/>
              </w:rPr>
            </w:pPr>
          </w:p>
        </w:tc>
      </w:tr>
      <w:tr w14:paraId="4F43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4" w:type="dxa"/>
          </w:tcPr>
          <w:p w14:paraId="43806F0F">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2073" w:type="dxa"/>
          </w:tcPr>
          <w:p w14:paraId="25D2D0ED">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井盖</w:t>
            </w:r>
          </w:p>
        </w:tc>
        <w:tc>
          <w:tcPr>
            <w:tcW w:w="878" w:type="dxa"/>
          </w:tcPr>
          <w:p w14:paraId="750612ED">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523" w:type="dxa"/>
          </w:tcPr>
          <w:p w14:paraId="00836696">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压花铝板</w:t>
            </w:r>
          </w:p>
        </w:tc>
        <w:tc>
          <w:tcPr>
            <w:tcW w:w="1776" w:type="dxa"/>
          </w:tcPr>
          <w:p w14:paraId="0DB94844">
            <w:pPr>
              <w:spacing w:line="300" w:lineRule="auto"/>
              <w:jc w:val="center"/>
              <w:rPr>
                <w:rFonts w:hint="eastAsia" w:ascii="仿宋" w:hAnsi="仿宋" w:eastAsia="仿宋" w:cs="仿宋"/>
                <w:color w:val="auto"/>
                <w:sz w:val="24"/>
                <w:szCs w:val="24"/>
                <w:lang w:val="en-US" w:eastAsia="zh-CN"/>
              </w:rPr>
            </w:pPr>
          </w:p>
        </w:tc>
        <w:tc>
          <w:tcPr>
            <w:tcW w:w="1503" w:type="dxa"/>
          </w:tcPr>
          <w:p w14:paraId="3012489F">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带气动弹簧</w:t>
            </w:r>
          </w:p>
        </w:tc>
      </w:tr>
      <w:tr w14:paraId="6D2C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4" w:type="dxa"/>
          </w:tcPr>
          <w:p w14:paraId="46664E43">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2073" w:type="dxa"/>
          </w:tcPr>
          <w:p w14:paraId="62CC2511">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格栅导轨</w:t>
            </w:r>
          </w:p>
        </w:tc>
        <w:tc>
          <w:tcPr>
            <w:tcW w:w="878" w:type="dxa"/>
          </w:tcPr>
          <w:p w14:paraId="5F044A86">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2523" w:type="dxa"/>
          </w:tcPr>
          <w:p w14:paraId="22F5FF3C">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SS304</w:t>
            </w:r>
          </w:p>
        </w:tc>
        <w:tc>
          <w:tcPr>
            <w:tcW w:w="1776" w:type="dxa"/>
          </w:tcPr>
          <w:p w14:paraId="2D53DA44">
            <w:pPr>
              <w:spacing w:line="300" w:lineRule="auto"/>
              <w:jc w:val="center"/>
              <w:rPr>
                <w:rFonts w:hint="eastAsia" w:ascii="仿宋" w:hAnsi="仿宋" w:eastAsia="仿宋" w:cs="仿宋"/>
                <w:color w:val="auto"/>
                <w:sz w:val="24"/>
                <w:szCs w:val="24"/>
                <w:lang w:val="en-US" w:eastAsia="zh-CN"/>
              </w:rPr>
            </w:pPr>
          </w:p>
        </w:tc>
        <w:tc>
          <w:tcPr>
            <w:tcW w:w="1503" w:type="dxa"/>
          </w:tcPr>
          <w:p w14:paraId="5BC71A0C">
            <w:pPr>
              <w:spacing w:line="300" w:lineRule="auto"/>
              <w:jc w:val="center"/>
              <w:rPr>
                <w:rFonts w:hint="eastAsia" w:ascii="仿宋" w:hAnsi="仿宋" w:eastAsia="仿宋" w:cs="仿宋"/>
                <w:color w:val="auto"/>
                <w:sz w:val="24"/>
                <w:szCs w:val="24"/>
                <w:lang w:val="en-US" w:eastAsia="zh-CN"/>
              </w:rPr>
            </w:pPr>
          </w:p>
        </w:tc>
      </w:tr>
      <w:tr w14:paraId="4CD6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4" w:type="dxa"/>
          </w:tcPr>
          <w:p w14:paraId="0918697C">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2073" w:type="dxa"/>
          </w:tcPr>
          <w:p w14:paraId="32FF4184">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爬梯</w:t>
            </w:r>
          </w:p>
        </w:tc>
        <w:tc>
          <w:tcPr>
            <w:tcW w:w="878" w:type="dxa"/>
          </w:tcPr>
          <w:p w14:paraId="38CED636">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523" w:type="dxa"/>
          </w:tcPr>
          <w:p w14:paraId="1F3EDEDC">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SS304</w:t>
            </w:r>
          </w:p>
        </w:tc>
        <w:tc>
          <w:tcPr>
            <w:tcW w:w="1776" w:type="dxa"/>
          </w:tcPr>
          <w:p w14:paraId="43398191">
            <w:pPr>
              <w:spacing w:line="300" w:lineRule="auto"/>
              <w:jc w:val="center"/>
              <w:rPr>
                <w:rFonts w:hint="eastAsia" w:ascii="仿宋" w:hAnsi="仿宋" w:eastAsia="仿宋" w:cs="仿宋"/>
                <w:color w:val="auto"/>
                <w:sz w:val="24"/>
                <w:szCs w:val="24"/>
                <w:lang w:val="en-US" w:eastAsia="zh-CN"/>
              </w:rPr>
            </w:pPr>
          </w:p>
        </w:tc>
        <w:tc>
          <w:tcPr>
            <w:tcW w:w="1503" w:type="dxa"/>
          </w:tcPr>
          <w:p w14:paraId="30F53FEB">
            <w:pPr>
              <w:spacing w:line="300" w:lineRule="auto"/>
              <w:jc w:val="center"/>
              <w:rPr>
                <w:rFonts w:hint="eastAsia" w:ascii="仿宋" w:hAnsi="仿宋" w:eastAsia="仿宋" w:cs="仿宋"/>
                <w:color w:val="auto"/>
                <w:sz w:val="24"/>
                <w:szCs w:val="24"/>
                <w:lang w:val="en-US" w:eastAsia="zh-CN"/>
              </w:rPr>
            </w:pPr>
          </w:p>
        </w:tc>
      </w:tr>
      <w:tr w14:paraId="2C6A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4" w:type="dxa"/>
          </w:tcPr>
          <w:p w14:paraId="54C968B7">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2073" w:type="dxa"/>
          </w:tcPr>
          <w:p w14:paraId="73CBFE6C">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粉碎格栅</w:t>
            </w:r>
          </w:p>
        </w:tc>
        <w:tc>
          <w:tcPr>
            <w:tcW w:w="878" w:type="dxa"/>
          </w:tcPr>
          <w:p w14:paraId="597A7DC7">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523" w:type="dxa"/>
          </w:tcPr>
          <w:p w14:paraId="41FB4BC9">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Q≥45m³/h  N=2.2kw</w:t>
            </w:r>
          </w:p>
        </w:tc>
        <w:tc>
          <w:tcPr>
            <w:tcW w:w="1776" w:type="dxa"/>
          </w:tcPr>
          <w:p w14:paraId="4552435E">
            <w:pPr>
              <w:spacing w:line="300" w:lineRule="auto"/>
              <w:jc w:val="center"/>
              <w:rPr>
                <w:rFonts w:hint="eastAsia" w:ascii="仿宋" w:hAnsi="仿宋" w:eastAsia="仿宋" w:cs="仿宋"/>
                <w:color w:val="auto"/>
                <w:sz w:val="24"/>
                <w:szCs w:val="24"/>
                <w:lang w:val="en-US" w:eastAsia="zh-CN"/>
              </w:rPr>
            </w:pPr>
          </w:p>
        </w:tc>
        <w:tc>
          <w:tcPr>
            <w:tcW w:w="1503" w:type="dxa"/>
          </w:tcPr>
          <w:p w14:paraId="359405CA">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KS-N60</w:t>
            </w:r>
          </w:p>
        </w:tc>
      </w:tr>
      <w:tr w14:paraId="5325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4" w:type="dxa"/>
          </w:tcPr>
          <w:p w14:paraId="2747052E">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2073" w:type="dxa"/>
          </w:tcPr>
          <w:p w14:paraId="690B40BC">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进水管</w:t>
            </w:r>
          </w:p>
        </w:tc>
        <w:tc>
          <w:tcPr>
            <w:tcW w:w="878" w:type="dxa"/>
          </w:tcPr>
          <w:p w14:paraId="5BF228E8">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523" w:type="dxa"/>
          </w:tcPr>
          <w:p w14:paraId="1F7C77A6">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GRP</w:t>
            </w:r>
          </w:p>
        </w:tc>
        <w:tc>
          <w:tcPr>
            <w:tcW w:w="1776" w:type="dxa"/>
          </w:tcPr>
          <w:p w14:paraId="7758AF57">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DN400 PN10</w:t>
            </w:r>
          </w:p>
        </w:tc>
        <w:tc>
          <w:tcPr>
            <w:tcW w:w="1503" w:type="dxa"/>
          </w:tcPr>
          <w:p w14:paraId="68A97656">
            <w:pPr>
              <w:spacing w:line="300" w:lineRule="auto"/>
              <w:jc w:val="center"/>
              <w:rPr>
                <w:rFonts w:hint="eastAsia" w:ascii="仿宋" w:hAnsi="仿宋" w:eastAsia="仿宋" w:cs="仿宋"/>
                <w:color w:val="auto"/>
                <w:sz w:val="24"/>
                <w:szCs w:val="24"/>
                <w:lang w:val="en-US" w:eastAsia="zh-CN"/>
              </w:rPr>
            </w:pPr>
          </w:p>
        </w:tc>
      </w:tr>
      <w:tr w14:paraId="7A57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4" w:type="dxa"/>
          </w:tcPr>
          <w:p w14:paraId="60619961">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2073" w:type="dxa"/>
          </w:tcPr>
          <w:p w14:paraId="2A6C090A">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进水管挠性接头</w:t>
            </w:r>
          </w:p>
        </w:tc>
        <w:tc>
          <w:tcPr>
            <w:tcW w:w="878" w:type="dxa"/>
          </w:tcPr>
          <w:p w14:paraId="6E8F3075">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523" w:type="dxa"/>
          </w:tcPr>
          <w:p w14:paraId="545E8CDA">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橡胶</w:t>
            </w:r>
          </w:p>
        </w:tc>
        <w:tc>
          <w:tcPr>
            <w:tcW w:w="1776" w:type="dxa"/>
          </w:tcPr>
          <w:p w14:paraId="3B4ED6BB">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DN400 PN10</w:t>
            </w:r>
          </w:p>
        </w:tc>
        <w:tc>
          <w:tcPr>
            <w:tcW w:w="1503" w:type="dxa"/>
          </w:tcPr>
          <w:p w14:paraId="186BEC58">
            <w:pPr>
              <w:spacing w:line="300" w:lineRule="auto"/>
              <w:jc w:val="center"/>
              <w:rPr>
                <w:rFonts w:hint="eastAsia" w:ascii="仿宋" w:hAnsi="仿宋" w:eastAsia="仿宋" w:cs="仿宋"/>
                <w:color w:val="auto"/>
                <w:sz w:val="24"/>
                <w:szCs w:val="24"/>
                <w:lang w:val="en-US" w:eastAsia="zh-CN"/>
              </w:rPr>
            </w:pPr>
          </w:p>
        </w:tc>
      </w:tr>
      <w:tr w14:paraId="358A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4" w:type="dxa"/>
          </w:tcPr>
          <w:p w14:paraId="5A50EFF2">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p>
        </w:tc>
        <w:tc>
          <w:tcPr>
            <w:tcW w:w="2073" w:type="dxa"/>
          </w:tcPr>
          <w:p w14:paraId="456FB651">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泵站筒体</w:t>
            </w:r>
          </w:p>
        </w:tc>
        <w:tc>
          <w:tcPr>
            <w:tcW w:w="878" w:type="dxa"/>
          </w:tcPr>
          <w:p w14:paraId="152D3BEB">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523" w:type="dxa"/>
          </w:tcPr>
          <w:p w14:paraId="4B8E814E">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GRP</w:t>
            </w:r>
          </w:p>
        </w:tc>
        <w:tc>
          <w:tcPr>
            <w:tcW w:w="1776" w:type="dxa"/>
          </w:tcPr>
          <w:p w14:paraId="227B052A">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Ф4200x6290mm</w:t>
            </w:r>
          </w:p>
        </w:tc>
        <w:tc>
          <w:tcPr>
            <w:tcW w:w="1503" w:type="dxa"/>
          </w:tcPr>
          <w:p w14:paraId="3ED2DA00">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有效容积20立方米</w:t>
            </w:r>
          </w:p>
        </w:tc>
      </w:tr>
      <w:tr w14:paraId="541A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34" w:type="dxa"/>
          </w:tcPr>
          <w:p w14:paraId="622625B5">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2073" w:type="dxa"/>
          </w:tcPr>
          <w:p w14:paraId="3A6F1F4C">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离子除臭设备</w:t>
            </w:r>
          </w:p>
        </w:tc>
        <w:tc>
          <w:tcPr>
            <w:tcW w:w="878" w:type="dxa"/>
          </w:tcPr>
          <w:p w14:paraId="70D50C3E">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523" w:type="dxa"/>
          </w:tcPr>
          <w:p w14:paraId="09D0BCA2">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风量600m³/h N=0.65kw</w:t>
            </w:r>
          </w:p>
        </w:tc>
        <w:tc>
          <w:tcPr>
            <w:tcW w:w="1776" w:type="dxa"/>
          </w:tcPr>
          <w:p w14:paraId="1550A89D">
            <w:pPr>
              <w:spacing w:line="300" w:lineRule="auto"/>
              <w:jc w:val="center"/>
              <w:rPr>
                <w:rFonts w:hint="eastAsia" w:ascii="仿宋" w:hAnsi="仿宋" w:eastAsia="仿宋" w:cs="仿宋"/>
                <w:color w:val="auto"/>
                <w:sz w:val="24"/>
                <w:szCs w:val="24"/>
                <w:lang w:val="en-US" w:eastAsia="zh-CN"/>
              </w:rPr>
            </w:pPr>
          </w:p>
        </w:tc>
        <w:tc>
          <w:tcPr>
            <w:tcW w:w="1503" w:type="dxa"/>
          </w:tcPr>
          <w:p w14:paraId="78BB7CFB">
            <w:pPr>
              <w:spacing w:line="300" w:lineRule="auto"/>
              <w:jc w:val="center"/>
              <w:rPr>
                <w:rFonts w:hint="eastAsia" w:ascii="仿宋" w:hAnsi="仿宋" w:eastAsia="仿宋" w:cs="仿宋"/>
                <w:color w:val="auto"/>
                <w:sz w:val="24"/>
                <w:szCs w:val="24"/>
                <w:lang w:val="en-US" w:eastAsia="zh-CN"/>
              </w:rPr>
            </w:pPr>
          </w:p>
        </w:tc>
      </w:tr>
    </w:tbl>
    <w:p w14:paraId="640FEDD3">
      <w:pPr>
        <w:pStyle w:val="29"/>
        <w:rPr>
          <w:rFonts w:hint="eastAsia"/>
          <w:lang w:eastAsia="zh-CN"/>
        </w:rPr>
      </w:pPr>
    </w:p>
    <w:p w14:paraId="5884F216">
      <w:pPr>
        <w:rPr>
          <w:rFonts w:hint="eastAsia"/>
          <w:lang w:eastAsia="zh-CN"/>
        </w:rPr>
      </w:pPr>
    </w:p>
    <w:p w14:paraId="571704E0">
      <w:pPr>
        <w:pStyle w:val="21"/>
        <w:rPr>
          <w:rFonts w:hint="eastAsia"/>
          <w:lang w:eastAsia="zh-CN"/>
        </w:rPr>
      </w:pPr>
    </w:p>
    <w:p w14:paraId="4245C1B9">
      <w:pPr>
        <w:pStyle w:val="18"/>
        <w:rPr>
          <w:rFonts w:hint="eastAsia"/>
          <w:lang w:eastAsia="zh-CN"/>
        </w:rPr>
      </w:pPr>
    </w:p>
    <w:p w14:paraId="31CF0E76">
      <w:pPr>
        <w:keepNext w:val="0"/>
        <w:keepLines w:val="0"/>
        <w:pageBreakBefore w:val="0"/>
        <w:numPr>
          <w:ilvl w:val="0"/>
          <w:numId w:val="0"/>
        </w:numPr>
        <w:shd w:val="clear" w:color="auto" w:fill="auto"/>
        <w:kinsoku/>
        <w:wordWrap/>
        <w:overflowPunct/>
        <w:topLinePunct w:val="0"/>
        <w:autoSpaceDE/>
        <w:autoSpaceDN/>
        <w:bidi w:val="0"/>
        <w:adjustRightInd/>
        <w:snapToGrid/>
        <w:spacing w:line="440" w:lineRule="exact"/>
        <w:ind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一体化预制泵站（φ4200*5430）</w:t>
      </w:r>
      <w:r>
        <w:rPr>
          <w:rFonts w:hint="eastAsia" w:ascii="宋体" w:hAnsi="宋体" w:eastAsia="宋体" w:cs="宋体"/>
          <w:b/>
          <w:bCs/>
          <w:color w:val="auto"/>
          <w:sz w:val="21"/>
          <w:szCs w:val="21"/>
          <w:highlight w:val="none"/>
          <w:lang w:eastAsia="zh-CN"/>
        </w:rPr>
        <w:t>具体设备参数</w:t>
      </w:r>
      <w:r>
        <w:rPr>
          <w:rFonts w:hint="eastAsia" w:ascii="宋体" w:hAnsi="宋体" w:cs="宋体"/>
          <w:b/>
          <w:bCs/>
          <w:color w:val="auto"/>
          <w:sz w:val="21"/>
          <w:szCs w:val="21"/>
          <w:highlight w:val="none"/>
          <w:lang w:val="en-US" w:eastAsia="zh-CN"/>
        </w:rPr>
        <w:t>:</w:t>
      </w:r>
    </w:p>
    <w:tbl>
      <w:tblPr>
        <w:tblStyle w:val="24"/>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2170"/>
        <w:gridCol w:w="878"/>
        <w:gridCol w:w="2523"/>
        <w:gridCol w:w="1776"/>
        <w:gridCol w:w="1440"/>
      </w:tblGrid>
      <w:tr w14:paraId="75C6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1" w:type="dxa"/>
          </w:tcPr>
          <w:p w14:paraId="796F48B7">
            <w:pPr>
              <w:spacing w:line="30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编号</w:t>
            </w:r>
          </w:p>
        </w:tc>
        <w:tc>
          <w:tcPr>
            <w:tcW w:w="2170" w:type="dxa"/>
          </w:tcPr>
          <w:p w14:paraId="056736E8">
            <w:pPr>
              <w:spacing w:line="30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878" w:type="dxa"/>
          </w:tcPr>
          <w:p w14:paraId="2B3CBA8E">
            <w:pPr>
              <w:spacing w:line="30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数量</w:t>
            </w:r>
          </w:p>
        </w:tc>
        <w:tc>
          <w:tcPr>
            <w:tcW w:w="2523" w:type="dxa"/>
          </w:tcPr>
          <w:p w14:paraId="78532B6B">
            <w:pPr>
              <w:spacing w:line="30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材料</w:t>
            </w:r>
          </w:p>
        </w:tc>
        <w:tc>
          <w:tcPr>
            <w:tcW w:w="1776" w:type="dxa"/>
          </w:tcPr>
          <w:p w14:paraId="16F15992">
            <w:pPr>
              <w:spacing w:line="30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规格</w:t>
            </w:r>
          </w:p>
        </w:tc>
        <w:tc>
          <w:tcPr>
            <w:tcW w:w="1440" w:type="dxa"/>
          </w:tcPr>
          <w:p w14:paraId="0B16AD1D">
            <w:pPr>
              <w:spacing w:line="30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w:t>
            </w:r>
          </w:p>
        </w:tc>
      </w:tr>
      <w:tr w14:paraId="485C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1" w:type="dxa"/>
            <w:vAlign w:val="center"/>
          </w:tcPr>
          <w:p w14:paraId="11305069">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170" w:type="dxa"/>
          </w:tcPr>
          <w:p w14:paraId="1A5B896A">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切割式水泵</w:t>
            </w:r>
          </w:p>
        </w:tc>
        <w:tc>
          <w:tcPr>
            <w:tcW w:w="878" w:type="dxa"/>
          </w:tcPr>
          <w:p w14:paraId="48078362">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523" w:type="dxa"/>
          </w:tcPr>
          <w:p w14:paraId="0D8F0E55">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Q=170m³/h H=10mN=15kw</w:t>
            </w:r>
          </w:p>
        </w:tc>
        <w:tc>
          <w:tcPr>
            <w:tcW w:w="1776" w:type="dxa"/>
          </w:tcPr>
          <w:p w14:paraId="5319B9AA">
            <w:pPr>
              <w:spacing w:line="300" w:lineRule="auto"/>
              <w:jc w:val="center"/>
              <w:rPr>
                <w:rFonts w:hint="eastAsia" w:ascii="仿宋" w:hAnsi="仿宋" w:eastAsia="仿宋" w:cs="仿宋"/>
                <w:color w:val="auto"/>
                <w:sz w:val="24"/>
                <w:szCs w:val="24"/>
                <w:lang w:val="en-US" w:eastAsia="zh-CN"/>
              </w:rPr>
            </w:pPr>
          </w:p>
        </w:tc>
        <w:tc>
          <w:tcPr>
            <w:tcW w:w="1440" w:type="dxa"/>
          </w:tcPr>
          <w:p w14:paraId="254359E8">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两用一备</w:t>
            </w:r>
          </w:p>
        </w:tc>
      </w:tr>
      <w:tr w14:paraId="001A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1" w:type="dxa"/>
            <w:vAlign w:val="center"/>
          </w:tcPr>
          <w:p w14:paraId="53BD70C5">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2170" w:type="dxa"/>
          </w:tcPr>
          <w:p w14:paraId="34EA8323">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自耦底座</w:t>
            </w:r>
          </w:p>
        </w:tc>
        <w:tc>
          <w:tcPr>
            <w:tcW w:w="878" w:type="dxa"/>
          </w:tcPr>
          <w:p w14:paraId="3BCE5217">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523" w:type="dxa"/>
          </w:tcPr>
          <w:p w14:paraId="5524BCD4">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HT200</w:t>
            </w:r>
          </w:p>
        </w:tc>
        <w:tc>
          <w:tcPr>
            <w:tcW w:w="1776" w:type="dxa"/>
          </w:tcPr>
          <w:p w14:paraId="58927A97">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按管径</w:t>
            </w:r>
          </w:p>
        </w:tc>
        <w:tc>
          <w:tcPr>
            <w:tcW w:w="1440" w:type="dxa"/>
          </w:tcPr>
          <w:p w14:paraId="2AE3F90D">
            <w:pPr>
              <w:spacing w:line="300" w:lineRule="auto"/>
              <w:jc w:val="center"/>
              <w:rPr>
                <w:rFonts w:hint="eastAsia" w:ascii="仿宋" w:hAnsi="仿宋" w:eastAsia="仿宋" w:cs="仿宋"/>
                <w:color w:val="auto"/>
                <w:sz w:val="24"/>
                <w:szCs w:val="24"/>
                <w:lang w:val="en-US" w:eastAsia="zh-CN"/>
              </w:rPr>
            </w:pPr>
          </w:p>
        </w:tc>
      </w:tr>
      <w:tr w14:paraId="693D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1" w:type="dxa"/>
            <w:vAlign w:val="center"/>
          </w:tcPr>
          <w:p w14:paraId="246CF2B2">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170" w:type="dxa"/>
          </w:tcPr>
          <w:p w14:paraId="08598370">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水泵导轨</w:t>
            </w:r>
          </w:p>
        </w:tc>
        <w:tc>
          <w:tcPr>
            <w:tcW w:w="878" w:type="dxa"/>
          </w:tcPr>
          <w:p w14:paraId="15F9DF35">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2523" w:type="dxa"/>
          </w:tcPr>
          <w:p w14:paraId="751CCD8F">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SS304</w:t>
            </w:r>
          </w:p>
        </w:tc>
        <w:tc>
          <w:tcPr>
            <w:tcW w:w="1776" w:type="dxa"/>
          </w:tcPr>
          <w:p w14:paraId="4A86F699">
            <w:pPr>
              <w:spacing w:line="300" w:lineRule="auto"/>
              <w:jc w:val="center"/>
              <w:rPr>
                <w:rFonts w:hint="eastAsia" w:ascii="仿宋" w:hAnsi="仿宋" w:eastAsia="仿宋" w:cs="仿宋"/>
                <w:color w:val="auto"/>
                <w:sz w:val="24"/>
                <w:szCs w:val="24"/>
                <w:lang w:val="en-US" w:eastAsia="zh-CN"/>
              </w:rPr>
            </w:pPr>
          </w:p>
        </w:tc>
        <w:tc>
          <w:tcPr>
            <w:tcW w:w="1440" w:type="dxa"/>
          </w:tcPr>
          <w:p w14:paraId="258A0A4A">
            <w:pPr>
              <w:spacing w:line="300" w:lineRule="auto"/>
              <w:jc w:val="center"/>
              <w:rPr>
                <w:rFonts w:hint="eastAsia" w:ascii="仿宋" w:hAnsi="仿宋" w:eastAsia="仿宋" w:cs="仿宋"/>
                <w:color w:val="auto"/>
                <w:sz w:val="24"/>
                <w:szCs w:val="24"/>
                <w:lang w:val="en-US" w:eastAsia="zh-CN"/>
              </w:rPr>
            </w:pPr>
          </w:p>
        </w:tc>
      </w:tr>
      <w:tr w14:paraId="14CE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1" w:type="dxa"/>
            <w:vAlign w:val="center"/>
          </w:tcPr>
          <w:p w14:paraId="4915F5DF">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2170" w:type="dxa"/>
          </w:tcPr>
          <w:p w14:paraId="425E25A7">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液位传感器保护管</w:t>
            </w:r>
          </w:p>
        </w:tc>
        <w:tc>
          <w:tcPr>
            <w:tcW w:w="878" w:type="dxa"/>
          </w:tcPr>
          <w:p w14:paraId="60EC5B27">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523" w:type="dxa"/>
          </w:tcPr>
          <w:p w14:paraId="74DB8A4B">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陶瓷液位计,GRP管</w:t>
            </w:r>
          </w:p>
        </w:tc>
        <w:tc>
          <w:tcPr>
            <w:tcW w:w="1776" w:type="dxa"/>
          </w:tcPr>
          <w:p w14:paraId="1E15D59F">
            <w:pPr>
              <w:spacing w:line="300" w:lineRule="auto"/>
              <w:jc w:val="center"/>
              <w:rPr>
                <w:rFonts w:hint="eastAsia" w:ascii="仿宋" w:hAnsi="仿宋" w:eastAsia="仿宋" w:cs="仿宋"/>
                <w:color w:val="auto"/>
                <w:sz w:val="24"/>
                <w:szCs w:val="24"/>
                <w:lang w:val="en-US" w:eastAsia="zh-CN"/>
              </w:rPr>
            </w:pPr>
          </w:p>
        </w:tc>
        <w:tc>
          <w:tcPr>
            <w:tcW w:w="1440" w:type="dxa"/>
          </w:tcPr>
          <w:p w14:paraId="278F482A">
            <w:pPr>
              <w:spacing w:line="300" w:lineRule="auto"/>
              <w:jc w:val="center"/>
              <w:rPr>
                <w:rFonts w:hint="eastAsia" w:ascii="仿宋" w:hAnsi="仿宋" w:eastAsia="仿宋" w:cs="仿宋"/>
                <w:color w:val="auto"/>
                <w:sz w:val="24"/>
                <w:szCs w:val="24"/>
                <w:lang w:val="en-US" w:eastAsia="zh-CN"/>
              </w:rPr>
            </w:pPr>
          </w:p>
        </w:tc>
      </w:tr>
      <w:tr w14:paraId="17E9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1" w:type="dxa"/>
            <w:vAlign w:val="center"/>
          </w:tcPr>
          <w:p w14:paraId="560393BD">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2170" w:type="dxa"/>
          </w:tcPr>
          <w:p w14:paraId="4BE4416E">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压力管道</w:t>
            </w:r>
          </w:p>
        </w:tc>
        <w:tc>
          <w:tcPr>
            <w:tcW w:w="878" w:type="dxa"/>
          </w:tcPr>
          <w:p w14:paraId="7E2CDCEB">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523" w:type="dxa"/>
          </w:tcPr>
          <w:p w14:paraId="2BA7A340">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SS304</w:t>
            </w:r>
          </w:p>
        </w:tc>
        <w:tc>
          <w:tcPr>
            <w:tcW w:w="1776" w:type="dxa"/>
          </w:tcPr>
          <w:p w14:paraId="2BA25629">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DN400 PN10</w:t>
            </w:r>
          </w:p>
        </w:tc>
        <w:tc>
          <w:tcPr>
            <w:tcW w:w="1440" w:type="dxa"/>
          </w:tcPr>
          <w:p w14:paraId="3D7416D2">
            <w:pPr>
              <w:spacing w:line="300" w:lineRule="auto"/>
              <w:jc w:val="center"/>
              <w:rPr>
                <w:rFonts w:hint="eastAsia" w:ascii="仿宋" w:hAnsi="仿宋" w:eastAsia="仿宋" w:cs="仿宋"/>
                <w:color w:val="auto"/>
                <w:sz w:val="24"/>
                <w:szCs w:val="24"/>
                <w:lang w:val="en-US" w:eastAsia="zh-CN"/>
              </w:rPr>
            </w:pPr>
          </w:p>
        </w:tc>
      </w:tr>
      <w:tr w14:paraId="7790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1" w:type="dxa"/>
            <w:vAlign w:val="center"/>
          </w:tcPr>
          <w:p w14:paraId="61F08FD5">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2170" w:type="dxa"/>
          </w:tcPr>
          <w:p w14:paraId="2F8EDF8C">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挠性接头</w:t>
            </w:r>
          </w:p>
        </w:tc>
        <w:tc>
          <w:tcPr>
            <w:tcW w:w="878" w:type="dxa"/>
          </w:tcPr>
          <w:p w14:paraId="72E7A82F">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523" w:type="dxa"/>
          </w:tcPr>
          <w:p w14:paraId="2422ADD1">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橡胶</w:t>
            </w:r>
          </w:p>
        </w:tc>
        <w:tc>
          <w:tcPr>
            <w:tcW w:w="1776" w:type="dxa"/>
          </w:tcPr>
          <w:p w14:paraId="65E8B964">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DN400 PN10</w:t>
            </w:r>
          </w:p>
        </w:tc>
        <w:tc>
          <w:tcPr>
            <w:tcW w:w="1440" w:type="dxa"/>
          </w:tcPr>
          <w:p w14:paraId="2AD52561">
            <w:pPr>
              <w:spacing w:line="300" w:lineRule="auto"/>
              <w:jc w:val="center"/>
              <w:rPr>
                <w:rFonts w:hint="eastAsia" w:ascii="仿宋" w:hAnsi="仿宋" w:eastAsia="仿宋" w:cs="仿宋"/>
                <w:color w:val="auto"/>
                <w:sz w:val="24"/>
                <w:szCs w:val="24"/>
                <w:lang w:val="en-US" w:eastAsia="zh-CN"/>
              </w:rPr>
            </w:pPr>
          </w:p>
        </w:tc>
      </w:tr>
      <w:tr w14:paraId="0A98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1" w:type="dxa"/>
            <w:vAlign w:val="center"/>
          </w:tcPr>
          <w:p w14:paraId="64B52792">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2170" w:type="dxa"/>
          </w:tcPr>
          <w:p w14:paraId="2FC6451E">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止回阀</w:t>
            </w:r>
          </w:p>
        </w:tc>
        <w:tc>
          <w:tcPr>
            <w:tcW w:w="878" w:type="dxa"/>
          </w:tcPr>
          <w:p w14:paraId="70EF7EEC">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523" w:type="dxa"/>
          </w:tcPr>
          <w:p w14:paraId="5C2A9CC0">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铸铁+环氧涂层</w:t>
            </w:r>
          </w:p>
        </w:tc>
        <w:tc>
          <w:tcPr>
            <w:tcW w:w="1776" w:type="dxa"/>
          </w:tcPr>
          <w:p w14:paraId="7375A8EE">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DN400 PN10</w:t>
            </w:r>
          </w:p>
        </w:tc>
        <w:tc>
          <w:tcPr>
            <w:tcW w:w="1440" w:type="dxa"/>
          </w:tcPr>
          <w:p w14:paraId="77037D18">
            <w:pPr>
              <w:spacing w:line="300" w:lineRule="auto"/>
              <w:jc w:val="center"/>
              <w:rPr>
                <w:rFonts w:hint="eastAsia" w:ascii="仿宋" w:hAnsi="仿宋" w:eastAsia="仿宋" w:cs="仿宋"/>
                <w:color w:val="auto"/>
                <w:sz w:val="24"/>
                <w:szCs w:val="24"/>
                <w:lang w:val="en-US" w:eastAsia="zh-CN"/>
              </w:rPr>
            </w:pPr>
          </w:p>
        </w:tc>
      </w:tr>
      <w:tr w14:paraId="5E77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1" w:type="dxa"/>
            <w:vAlign w:val="center"/>
          </w:tcPr>
          <w:p w14:paraId="3CA12A43">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2170" w:type="dxa"/>
          </w:tcPr>
          <w:p w14:paraId="4B2A138B">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挠性接头</w:t>
            </w:r>
          </w:p>
        </w:tc>
        <w:tc>
          <w:tcPr>
            <w:tcW w:w="878" w:type="dxa"/>
          </w:tcPr>
          <w:p w14:paraId="75279CDB">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523" w:type="dxa"/>
          </w:tcPr>
          <w:p w14:paraId="6BBC8219">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橡胶</w:t>
            </w:r>
          </w:p>
        </w:tc>
        <w:tc>
          <w:tcPr>
            <w:tcW w:w="1776" w:type="dxa"/>
          </w:tcPr>
          <w:p w14:paraId="658C79D3">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DN400 PN10</w:t>
            </w:r>
          </w:p>
        </w:tc>
        <w:tc>
          <w:tcPr>
            <w:tcW w:w="1440" w:type="dxa"/>
          </w:tcPr>
          <w:p w14:paraId="22B11E44">
            <w:pPr>
              <w:spacing w:line="300" w:lineRule="auto"/>
              <w:jc w:val="center"/>
              <w:rPr>
                <w:rFonts w:hint="eastAsia" w:ascii="仿宋" w:hAnsi="仿宋" w:eastAsia="仿宋" w:cs="仿宋"/>
                <w:color w:val="auto"/>
                <w:sz w:val="24"/>
                <w:szCs w:val="24"/>
                <w:lang w:val="en-US" w:eastAsia="zh-CN"/>
              </w:rPr>
            </w:pPr>
          </w:p>
        </w:tc>
      </w:tr>
      <w:tr w14:paraId="7743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1" w:type="dxa"/>
            <w:vAlign w:val="center"/>
          </w:tcPr>
          <w:p w14:paraId="2B2BFE28">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2170" w:type="dxa"/>
          </w:tcPr>
          <w:p w14:paraId="44C375E3">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闸阀</w:t>
            </w:r>
          </w:p>
        </w:tc>
        <w:tc>
          <w:tcPr>
            <w:tcW w:w="878" w:type="dxa"/>
          </w:tcPr>
          <w:p w14:paraId="103C5A3E">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523" w:type="dxa"/>
          </w:tcPr>
          <w:p w14:paraId="17F6E085">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铸铁+环氧涂层</w:t>
            </w:r>
          </w:p>
        </w:tc>
        <w:tc>
          <w:tcPr>
            <w:tcW w:w="1776" w:type="dxa"/>
          </w:tcPr>
          <w:p w14:paraId="122F864D">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DN400 PN10</w:t>
            </w:r>
          </w:p>
        </w:tc>
        <w:tc>
          <w:tcPr>
            <w:tcW w:w="1440" w:type="dxa"/>
          </w:tcPr>
          <w:p w14:paraId="3345C35F">
            <w:pPr>
              <w:spacing w:line="300" w:lineRule="auto"/>
              <w:jc w:val="center"/>
              <w:rPr>
                <w:rFonts w:hint="eastAsia" w:ascii="仿宋" w:hAnsi="仿宋" w:eastAsia="仿宋" w:cs="仿宋"/>
                <w:color w:val="auto"/>
                <w:sz w:val="24"/>
                <w:szCs w:val="24"/>
                <w:lang w:val="en-US" w:eastAsia="zh-CN"/>
              </w:rPr>
            </w:pPr>
          </w:p>
        </w:tc>
      </w:tr>
      <w:tr w14:paraId="1B10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1" w:type="dxa"/>
          </w:tcPr>
          <w:p w14:paraId="05F7B1D8">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2170" w:type="dxa"/>
          </w:tcPr>
          <w:p w14:paraId="21FAF246">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电气控制柜</w:t>
            </w:r>
          </w:p>
        </w:tc>
        <w:tc>
          <w:tcPr>
            <w:tcW w:w="878" w:type="dxa"/>
          </w:tcPr>
          <w:p w14:paraId="1DD1FF77">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523" w:type="dxa"/>
          </w:tcPr>
          <w:p w14:paraId="1E1253CA">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KQK-YT-2*5.5 +2.2</w:t>
            </w:r>
          </w:p>
        </w:tc>
        <w:tc>
          <w:tcPr>
            <w:tcW w:w="1776" w:type="dxa"/>
          </w:tcPr>
          <w:p w14:paraId="73543C02">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预留远程接口</w:t>
            </w:r>
          </w:p>
        </w:tc>
        <w:tc>
          <w:tcPr>
            <w:tcW w:w="1440" w:type="dxa"/>
          </w:tcPr>
          <w:p w14:paraId="1E157C05">
            <w:pPr>
              <w:spacing w:line="300" w:lineRule="auto"/>
              <w:jc w:val="center"/>
              <w:rPr>
                <w:rFonts w:hint="eastAsia" w:ascii="仿宋" w:hAnsi="仿宋" w:eastAsia="仿宋" w:cs="仿宋"/>
                <w:color w:val="auto"/>
                <w:sz w:val="24"/>
                <w:szCs w:val="24"/>
                <w:lang w:val="en-US" w:eastAsia="zh-CN"/>
              </w:rPr>
            </w:pPr>
          </w:p>
        </w:tc>
      </w:tr>
      <w:tr w14:paraId="7D05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1" w:type="dxa"/>
          </w:tcPr>
          <w:p w14:paraId="790C5446">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2170" w:type="dxa"/>
          </w:tcPr>
          <w:p w14:paraId="742F4AE1">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通风管</w:t>
            </w:r>
          </w:p>
        </w:tc>
        <w:tc>
          <w:tcPr>
            <w:tcW w:w="878" w:type="dxa"/>
          </w:tcPr>
          <w:p w14:paraId="39D7A9DF">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2523" w:type="dxa"/>
          </w:tcPr>
          <w:p w14:paraId="320F1C81">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SS304</w:t>
            </w:r>
          </w:p>
        </w:tc>
        <w:tc>
          <w:tcPr>
            <w:tcW w:w="1776" w:type="dxa"/>
          </w:tcPr>
          <w:p w14:paraId="46045561">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DN150</w:t>
            </w:r>
          </w:p>
        </w:tc>
        <w:tc>
          <w:tcPr>
            <w:tcW w:w="1440" w:type="dxa"/>
          </w:tcPr>
          <w:p w14:paraId="3C2AB9BA">
            <w:pPr>
              <w:spacing w:line="300" w:lineRule="auto"/>
              <w:jc w:val="center"/>
              <w:rPr>
                <w:rFonts w:hint="eastAsia" w:ascii="仿宋" w:hAnsi="仿宋" w:eastAsia="仿宋" w:cs="仿宋"/>
                <w:color w:val="auto"/>
                <w:sz w:val="24"/>
                <w:szCs w:val="24"/>
                <w:lang w:val="en-US" w:eastAsia="zh-CN"/>
              </w:rPr>
            </w:pPr>
          </w:p>
        </w:tc>
      </w:tr>
      <w:tr w14:paraId="7444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1" w:type="dxa"/>
          </w:tcPr>
          <w:p w14:paraId="0751DF61">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2170" w:type="dxa"/>
          </w:tcPr>
          <w:p w14:paraId="2D2E35F3">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安全格栅</w:t>
            </w:r>
          </w:p>
        </w:tc>
        <w:tc>
          <w:tcPr>
            <w:tcW w:w="878" w:type="dxa"/>
          </w:tcPr>
          <w:p w14:paraId="37493735">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523" w:type="dxa"/>
          </w:tcPr>
          <w:p w14:paraId="08550075">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GRP格栅板+SS304</w:t>
            </w:r>
          </w:p>
        </w:tc>
        <w:tc>
          <w:tcPr>
            <w:tcW w:w="1776" w:type="dxa"/>
          </w:tcPr>
          <w:p w14:paraId="097698C7">
            <w:pPr>
              <w:spacing w:line="300" w:lineRule="auto"/>
              <w:jc w:val="center"/>
              <w:rPr>
                <w:rFonts w:hint="eastAsia" w:ascii="仿宋" w:hAnsi="仿宋" w:eastAsia="仿宋" w:cs="仿宋"/>
                <w:color w:val="auto"/>
                <w:sz w:val="24"/>
                <w:szCs w:val="24"/>
                <w:lang w:val="en-US" w:eastAsia="zh-CN"/>
              </w:rPr>
            </w:pPr>
          </w:p>
        </w:tc>
        <w:tc>
          <w:tcPr>
            <w:tcW w:w="1440" w:type="dxa"/>
          </w:tcPr>
          <w:p w14:paraId="69953A78">
            <w:pPr>
              <w:spacing w:line="300" w:lineRule="auto"/>
              <w:jc w:val="center"/>
              <w:rPr>
                <w:rFonts w:hint="eastAsia" w:ascii="仿宋" w:hAnsi="仿宋" w:eastAsia="仿宋" w:cs="仿宋"/>
                <w:color w:val="auto"/>
                <w:sz w:val="24"/>
                <w:szCs w:val="24"/>
                <w:lang w:val="en-US" w:eastAsia="zh-CN"/>
              </w:rPr>
            </w:pPr>
          </w:p>
        </w:tc>
      </w:tr>
      <w:tr w14:paraId="7039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1" w:type="dxa"/>
          </w:tcPr>
          <w:p w14:paraId="41C7C6E4">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2170" w:type="dxa"/>
          </w:tcPr>
          <w:p w14:paraId="31864FB1">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井盖</w:t>
            </w:r>
          </w:p>
        </w:tc>
        <w:tc>
          <w:tcPr>
            <w:tcW w:w="878" w:type="dxa"/>
          </w:tcPr>
          <w:p w14:paraId="065A72B6">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523" w:type="dxa"/>
          </w:tcPr>
          <w:p w14:paraId="0CD9D84F">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压花铝板</w:t>
            </w:r>
          </w:p>
        </w:tc>
        <w:tc>
          <w:tcPr>
            <w:tcW w:w="1776" w:type="dxa"/>
          </w:tcPr>
          <w:p w14:paraId="2B9247D5">
            <w:pPr>
              <w:spacing w:line="300" w:lineRule="auto"/>
              <w:jc w:val="center"/>
              <w:rPr>
                <w:rFonts w:hint="eastAsia" w:ascii="仿宋" w:hAnsi="仿宋" w:eastAsia="仿宋" w:cs="仿宋"/>
                <w:color w:val="auto"/>
                <w:sz w:val="24"/>
                <w:szCs w:val="24"/>
                <w:lang w:val="en-US" w:eastAsia="zh-CN"/>
              </w:rPr>
            </w:pPr>
          </w:p>
        </w:tc>
        <w:tc>
          <w:tcPr>
            <w:tcW w:w="1440" w:type="dxa"/>
          </w:tcPr>
          <w:p w14:paraId="51368057">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带气动弹簧</w:t>
            </w:r>
          </w:p>
        </w:tc>
      </w:tr>
      <w:tr w14:paraId="76C2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1" w:type="dxa"/>
          </w:tcPr>
          <w:p w14:paraId="206B908C">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2170" w:type="dxa"/>
          </w:tcPr>
          <w:p w14:paraId="53AA1759">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格栅导轨</w:t>
            </w:r>
          </w:p>
        </w:tc>
        <w:tc>
          <w:tcPr>
            <w:tcW w:w="878" w:type="dxa"/>
          </w:tcPr>
          <w:p w14:paraId="28FD736E">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2523" w:type="dxa"/>
          </w:tcPr>
          <w:p w14:paraId="3D483B2C">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SS304</w:t>
            </w:r>
          </w:p>
        </w:tc>
        <w:tc>
          <w:tcPr>
            <w:tcW w:w="1776" w:type="dxa"/>
          </w:tcPr>
          <w:p w14:paraId="10AC2372">
            <w:pPr>
              <w:spacing w:line="300" w:lineRule="auto"/>
              <w:jc w:val="center"/>
              <w:rPr>
                <w:rFonts w:hint="eastAsia" w:ascii="仿宋" w:hAnsi="仿宋" w:eastAsia="仿宋" w:cs="仿宋"/>
                <w:color w:val="auto"/>
                <w:sz w:val="24"/>
                <w:szCs w:val="24"/>
                <w:lang w:val="en-US" w:eastAsia="zh-CN"/>
              </w:rPr>
            </w:pPr>
          </w:p>
        </w:tc>
        <w:tc>
          <w:tcPr>
            <w:tcW w:w="1440" w:type="dxa"/>
          </w:tcPr>
          <w:p w14:paraId="5D66DB60">
            <w:pPr>
              <w:spacing w:line="300" w:lineRule="auto"/>
              <w:jc w:val="center"/>
              <w:rPr>
                <w:rFonts w:hint="eastAsia" w:ascii="仿宋" w:hAnsi="仿宋" w:eastAsia="仿宋" w:cs="仿宋"/>
                <w:color w:val="auto"/>
                <w:sz w:val="24"/>
                <w:szCs w:val="24"/>
                <w:lang w:val="en-US" w:eastAsia="zh-CN"/>
              </w:rPr>
            </w:pPr>
          </w:p>
        </w:tc>
      </w:tr>
      <w:tr w14:paraId="4482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31" w:type="dxa"/>
          </w:tcPr>
          <w:p w14:paraId="288BF4AA">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2170" w:type="dxa"/>
          </w:tcPr>
          <w:p w14:paraId="7193790C">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爬梯</w:t>
            </w:r>
          </w:p>
        </w:tc>
        <w:tc>
          <w:tcPr>
            <w:tcW w:w="878" w:type="dxa"/>
          </w:tcPr>
          <w:p w14:paraId="18DF48CF">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523" w:type="dxa"/>
          </w:tcPr>
          <w:p w14:paraId="562D247D">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SS304</w:t>
            </w:r>
          </w:p>
        </w:tc>
        <w:tc>
          <w:tcPr>
            <w:tcW w:w="1776" w:type="dxa"/>
          </w:tcPr>
          <w:p w14:paraId="2E4E4F9F">
            <w:pPr>
              <w:spacing w:line="300" w:lineRule="auto"/>
              <w:jc w:val="center"/>
              <w:rPr>
                <w:rFonts w:hint="eastAsia" w:ascii="仿宋" w:hAnsi="仿宋" w:eastAsia="仿宋" w:cs="仿宋"/>
                <w:color w:val="auto"/>
                <w:sz w:val="24"/>
                <w:szCs w:val="24"/>
                <w:lang w:val="en-US" w:eastAsia="zh-CN"/>
              </w:rPr>
            </w:pPr>
          </w:p>
        </w:tc>
        <w:tc>
          <w:tcPr>
            <w:tcW w:w="1440" w:type="dxa"/>
          </w:tcPr>
          <w:p w14:paraId="09C81D1A">
            <w:pPr>
              <w:spacing w:line="300" w:lineRule="auto"/>
              <w:jc w:val="center"/>
              <w:rPr>
                <w:rFonts w:hint="eastAsia" w:ascii="仿宋" w:hAnsi="仿宋" w:eastAsia="仿宋" w:cs="仿宋"/>
                <w:color w:val="auto"/>
                <w:sz w:val="24"/>
                <w:szCs w:val="24"/>
                <w:lang w:val="en-US" w:eastAsia="zh-CN"/>
              </w:rPr>
            </w:pPr>
          </w:p>
        </w:tc>
      </w:tr>
      <w:tr w14:paraId="6CE1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1" w:type="dxa"/>
          </w:tcPr>
          <w:p w14:paraId="540CBAEB">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2170" w:type="dxa"/>
          </w:tcPr>
          <w:p w14:paraId="59ED39FB">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粉碎格栅</w:t>
            </w:r>
          </w:p>
        </w:tc>
        <w:tc>
          <w:tcPr>
            <w:tcW w:w="878" w:type="dxa"/>
          </w:tcPr>
          <w:p w14:paraId="0F71243F">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523" w:type="dxa"/>
          </w:tcPr>
          <w:p w14:paraId="05334704">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Q≥45m³/h  N=2.2kw</w:t>
            </w:r>
          </w:p>
        </w:tc>
        <w:tc>
          <w:tcPr>
            <w:tcW w:w="1776" w:type="dxa"/>
          </w:tcPr>
          <w:p w14:paraId="553D3952">
            <w:pPr>
              <w:spacing w:line="300" w:lineRule="auto"/>
              <w:jc w:val="center"/>
              <w:rPr>
                <w:rFonts w:hint="eastAsia" w:ascii="仿宋" w:hAnsi="仿宋" w:eastAsia="仿宋" w:cs="仿宋"/>
                <w:color w:val="auto"/>
                <w:sz w:val="24"/>
                <w:szCs w:val="24"/>
                <w:lang w:val="en-US" w:eastAsia="zh-CN"/>
              </w:rPr>
            </w:pPr>
          </w:p>
        </w:tc>
        <w:tc>
          <w:tcPr>
            <w:tcW w:w="1440" w:type="dxa"/>
          </w:tcPr>
          <w:p w14:paraId="450FF7BA">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KS-N60</w:t>
            </w:r>
          </w:p>
        </w:tc>
      </w:tr>
      <w:tr w14:paraId="2733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1" w:type="dxa"/>
          </w:tcPr>
          <w:p w14:paraId="42207E9E">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2170" w:type="dxa"/>
          </w:tcPr>
          <w:p w14:paraId="2AA54EAF">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进水管</w:t>
            </w:r>
          </w:p>
        </w:tc>
        <w:tc>
          <w:tcPr>
            <w:tcW w:w="878" w:type="dxa"/>
          </w:tcPr>
          <w:p w14:paraId="378B97B8">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523" w:type="dxa"/>
          </w:tcPr>
          <w:p w14:paraId="42317050">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CRP</w:t>
            </w:r>
          </w:p>
        </w:tc>
        <w:tc>
          <w:tcPr>
            <w:tcW w:w="1776" w:type="dxa"/>
          </w:tcPr>
          <w:p w14:paraId="686BBC68">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DN400 PN10</w:t>
            </w:r>
          </w:p>
        </w:tc>
        <w:tc>
          <w:tcPr>
            <w:tcW w:w="1440" w:type="dxa"/>
          </w:tcPr>
          <w:p w14:paraId="4ADF3F05">
            <w:pPr>
              <w:spacing w:line="300" w:lineRule="auto"/>
              <w:jc w:val="center"/>
              <w:rPr>
                <w:rFonts w:hint="eastAsia" w:ascii="仿宋" w:hAnsi="仿宋" w:eastAsia="仿宋" w:cs="仿宋"/>
                <w:color w:val="auto"/>
                <w:sz w:val="24"/>
                <w:szCs w:val="24"/>
                <w:lang w:val="en-US" w:eastAsia="zh-CN"/>
              </w:rPr>
            </w:pPr>
          </w:p>
        </w:tc>
      </w:tr>
      <w:tr w14:paraId="6C90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1" w:type="dxa"/>
          </w:tcPr>
          <w:p w14:paraId="592A7118">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2170" w:type="dxa"/>
          </w:tcPr>
          <w:p w14:paraId="1957B726">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进水管挠性接头</w:t>
            </w:r>
          </w:p>
        </w:tc>
        <w:tc>
          <w:tcPr>
            <w:tcW w:w="878" w:type="dxa"/>
          </w:tcPr>
          <w:p w14:paraId="48A0140A">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523" w:type="dxa"/>
          </w:tcPr>
          <w:p w14:paraId="08A6A0DA">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橡胶</w:t>
            </w:r>
          </w:p>
        </w:tc>
        <w:tc>
          <w:tcPr>
            <w:tcW w:w="1776" w:type="dxa"/>
          </w:tcPr>
          <w:p w14:paraId="7A1246BA">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DN400 PN10</w:t>
            </w:r>
          </w:p>
        </w:tc>
        <w:tc>
          <w:tcPr>
            <w:tcW w:w="1440" w:type="dxa"/>
          </w:tcPr>
          <w:p w14:paraId="7A50AAB4">
            <w:pPr>
              <w:spacing w:line="300" w:lineRule="auto"/>
              <w:jc w:val="center"/>
              <w:rPr>
                <w:rFonts w:hint="eastAsia" w:ascii="仿宋" w:hAnsi="仿宋" w:eastAsia="仿宋" w:cs="仿宋"/>
                <w:color w:val="auto"/>
                <w:sz w:val="24"/>
                <w:szCs w:val="24"/>
                <w:lang w:val="en-US" w:eastAsia="zh-CN"/>
              </w:rPr>
            </w:pPr>
          </w:p>
        </w:tc>
      </w:tr>
      <w:tr w14:paraId="1530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1" w:type="dxa"/>
          </w:tcPr>
          <w:p w14:paraId="2E91248D">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p>
        </w:tc>
        <w:tc>
          <w:tcPr>
            <w:tcW w:w="2170" w:type="dxa"/>
          </w:tcPr>
          <w:p w14:paraId="10402419">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泵站筒体</w:t>
            </w:r>
          </w:p>
        </w:tc>
        <w:tc>
          <w:tcPr>
            <w:tcW w:w="878" w:type="dxa"/>
          </w:tcPr>
          <w:p w14:paraId="670DE115">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523" w:type="dxa"/>
          </w:tcPr>
          <w:p w14:paraId="1570C50D">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GRP</w:t>
            </w:r>
          </w:p>
        </w:tc>
        <w:tc>
          <w:tcPr>
            <w:tcW w:w="1776" w:type="dxa"/>
          </w:tcPr>
          <w:p w14:paraId="466FFC0C">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Ф4200*5430mm</w:t>
            </w:r>
          </w:p>
        </w:tc>
        <w:tc>
          <w:tcPr>
            <w:tcW w:w="1440" w:type="dxa"/>
          </w:tcPr>
          <w:p w14:paraId="16ED6991">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有效容积20立方米</w:t>
            </w:r>
          </w:p>
        </w:tc>
      </w:tr>
      <w:tr w14:paraId="0C08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31" w:type="dxa"/>
          </w:tcPr>
          <w:p w14:paraId="55D6DB7B">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2170" w:type="dxa"/>
          </w:tcPr>
          <w:p w14:paraId="4C1085A2">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离子除臭设备</w:t>
            </w:r>
          </w:p>
        </w:tc>
        <w:tc>
          <w:tcPr>
            <w:tcW w:w="878" w:type="dxa"/>
          </w:tcPr>
          <w:p w14:paraId="65559748">
            <w:pPr>
              <w:spacing w:line="30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523" w:type="dxa"/>
          </w:tcPr>
          <w:p w14:paraId="63091B6C">
            <w:pPr>
              <w:spacing w:line="30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风量600m³/h N=0.65kw</w:t>
            </w:r>
          </w:p>
        </w:tc>
        <w:tc>
          <w:tcPr>
            <w:tcW w:w="1776" w:type="dxa"/>
          </w:tcPr>
          <w:p w14:paraId="0C60E318">
            <w:pPr>
              <w:spacing w:line="300" w:lineRule="auto"/>
              <w:jc w:val="center"/>
              <w:rPr>
                <w:rFonts w:hint="eastAsia" w:ascii="仿宋" w:hAnsi="仿宋" w:eastAsia="仿宋" w:cs="仿宋"/>
                <w:color w:val="auto"/>
                <w:sz w:val="24"/>
                <w:szCs w:val="24"/>
                <w:lang w:val="en-US" w:eastAsia="zh-CN"/>
              </w:rPr>
            </w:pPr>
          </w:p>
        </w:tc>
        <w:tc>
          <w:tcPr>
            <w:tcW w:w="1440" w:type="dxa"/>
          </w:tcPr>
          <w:p w14:paraId="41F7310E">
            <w:pPr>
              <w:spacing w:line="300" w:lineRule="auto"/>
              <w:jc w:val="center"/>
              <w:rPr>
                <w:rFonts w:hint="eastAsia" w:ascii="仿宋" w:hAnsi="仿宋" w:eastAsia="仿宋" w:cs="仿宋"/>
                <w:color w:val="auto"/>
                <w:sz w:val="24"/>
                <w:szCs w:val="24"/>
                <w:lang w:val="en-US" w:eastAsia="zh-CN"/>
              </w:rPr>
            </w:pPr>
          </w:p>
        </w:tc>
      </w:tr>
    </w:tbl>
    <w:p w14:paraId="467763B8">
      <w:pPr>
        <w:spacing w:line="400" w:lineRule="exact"/>
        <w:rPr>
          <w:rFonts w:hint="eastAsia"/>
          <w:color w:val="auto"/>
          <w:sz w:val="24"/>
          <w:szCs w:val="24"/>
          <w:highlight w:val="none"/>
        </w:rPr>
      </w:pPr>
      <w:bookmarkStart w:id="31" w:name="_Toc15058"/>
      <w:r>
        <w:rPr>
          <w:rFonts w:hint="eastAsia"/>
          <w:color w:val="auto"/>
          <w:sz w:val="24"/>
          <w:szCs w:val="24"/>
          <w:highlight w:val="none"/>
        </w:rPr>
        <w:t>泵站总体要求:</w:t>
      </w:r>
    </w:p>
    <w:p w14:paraId="67A7733C">
      <w:pPr>
        <w:spacing w:line="400" w:lineRule="exact"/>
        <w:ind w:firstLine="480" w:firstLineChars="200"/>
        <w:rPr>
          <w:rFonts w:hint="default" w:eastAsia="宋体"/>
          <w:b/>
          <w:bCs/>
          <w:color w:val="FF0000"/>
          <w:sz w:val="24"/>
          <w:szCs w:val="24"/>
          <w:highlight w:val="none"/>
          <w:lang w:val="en-US" w:eastAsia="zh-CN"/>
        </w:rPr>
      </w:pPr>
      <w:r>
        <w:rPr>
          <w:rFonts w:hint="eastAsia"/>
          <w:color w:val="auto"/>
          <w:sz w:val="24"/>
          <w:szCs w:val="24"/>
          <w:highlight w:val="none"/>
          <w:lang w:val="en-US" w:eastAsia="zh-CN"/>
        </w:rPr>
        <w:t>1</w:t>
      </w:r>
      <w:r>
        <w:rPr>
          <w:rFonts w:hint="eastAsia"/>
          <w:color w:val="auto"/>
          <w:sz w:val="24"/>
          <w:szCs w:val="24"/>
          <w:highlight w:val="none"/>
        </w:rPr>
        <w:t>、一体化污水泵站为交钥匙工程，一体化预制式泵站的水泵必须为全新的并且在工厂整体组装完成的</w:t>
      </w:r>
      <w:r>
        <w:rPr>
          <w:rFonts w:hint="eastAsia"/>
          <w:color w:val="auto"/>
          <w:sz w:val="24"/>
          <w:szCs w:val="24"/>
          <w:highlight w:val="none"/>
          <w:lang w:val="en-US" w:eastAsia="zh-CN"/>
        </w:rPr>
        <w:t>。</w:t>
      </w:r>
      <w:r>
        <w:rPr>
          <w:rFonts w:hint="eastAsia"/>
          <w:color w:val="auto"/>
          <w:sz w:val="24"/>
          <w:szCs w:val="24"/>
          <w:highlight w:val="none"/>
        </w:rPr>
        <w:t>泵站主体由井筒、潜水泵、粉碎型格栅、管道、阀</w:t>
      </w:r>
      <w:r>
        <w:rPr>
          <w:rFonts w:hint="eastAsia"/>
          <w:color w:val="auto"/>
          <w:sz w:val="24"/>
          <w:szCs w:val="24"/>
          <w:highlight w:val="none"/>
          <w:lang w:val="en-US" w:eastAsia="zh-CN"/>
        </w:rPr>
        <w:t>门、液位传感器、控制系统、除臭设备等部件组成。供应商提供运输、装卸、调试和售后服务。设备安装前的抽水、清淤及封堵等相关辅助工作及由此产生的费用均由供应商自行负责。</w:t>
      </w:r>
    </w:p>
    <w:p w14:paraId="2EA6DC63">
      <w:pPr>
        <w:spacing w:line="400" w:lineRule="exact"/>
        <w:ind w:firstLine="480" w:firstLineChars="200"/>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w:t>
      </w:r>
      <w:r>
        <w:rPr>
          <w:rFonts w:hint="eastAsia"/>
          <w:color w:val="auto"/>
          <w:sz w:val="24"/>
          <w:szCs w:val="24"/>
          <w:highlight w:val="none"/>
          <w:lang w:eastAsia="zh-CN"/>
        </w:rPr>
        <w:t>参考</w:t>
      </w:r>
      <w:r>
        <w:rPr>
          <w:rFonts w:hint="eastAsia"/>
          <w:color w:val="auto"/>
          <w:sz w:val="24"/>
          <w:szCs w:val="24"/>
          <w:highlight w:val="none"/>
        </w:rPr>
        <w:t>品牌:</w:t>
      </w:r>
    </w:p>
    <w:p w14:paraId="4863CA47">
      <w:pPr>
        <w:spacing w:line="400" w:lineRule="exact"/>
        <w:ind w:firstLine="480" w:firstLineChars="200"/>
        <w:rPr>
          <w:rFonts w:hint="eastAsia"/>
          <w:color w:val="auto"/>
          <w:sz w:val="24"/>
          <w:szCs w:val="24"/>
          <w:highlight w:val="none"/>
        </w:rPr>
      </w:pPr>
      <w:r>
        <w:rPr>
          <w:rFonts w:hint="eastAsia"/>
          <w:color w:val="auto"/>
          <w:sz w:val="24"/>
          <w:szCs w:val="24"/>
          <w:highlight w:val="none"/>
          <w:lang w:val="en-US" w:eastAsia="zh-CN"/>
        </w:rPr>
        <w:t>一体化预制泵站</w:t>
      </w:r>
      <w:r>
        <w:rPr>
          <w:rFonts w:hint="eastAsia"/>
          <w:color w:val="auto"/>
          <w:sz w:val="24"/>
          <w:szCs w:val="24"/>
          <w:highlight w:val="none"/>
        </w:rPr>
        <w:t>:上海凯泉、上海熊猫、上海</w:t>
      </w:r>
      <w:r>
        <w:rPr>
          <w:rFonts w:hint="eastAsia"/>
          <w:color w:val="auto"/>
          <w:sz w:val="24"/>
          <w:szCs w:val="24"/>
          <w:highlight w:val="none"/>
          <w:lang w:val="en-US" w:eastAsia="zh-CN"/>
        </w:rPr>
        <w:t>弛</w:t>
      </w:r>
      <w:r>
        <w:rPr>
          <w:rFonts w:hint="eastAsia"/>
          <w:color w:val="auto"/>
          <w:sz w:val="24"/>
          <w:szCs w:val="24"/>
          <w:highlight w:val="none"/>
        </w:rPr>
        <w:t>泉；</w:t>
      </w:r>
    </w:p>
    <w:p w14:paraId="3FB44846">
      <w:pPr>
        <w:numPr>
          <w:ilvl w:val="0"/>
          <w:numId w:val="4"/>
        </w:numPr>
        <w:spacing w:line="400" w:lineRule="exact"/>
        <w:ind w:firstLine="480" w:firstLineChars="200"/>
        <w:rPr>
          <w:rFonts w:hint="eastAsia"/>
          <w:color w:val="auto"/>
          <w:sz w:val="24"/>
          <w:szCs w:val="24"/>
          <w:highlight w:val="none"/>
        </w:rPr>
      </w:pPr>
      <w:r>
        <w:rPr>
          <w:rFonts w:hint="eastAsia"/>
          <w:color w:val="auto"/>
          <w:sz w:val="24"/>
          <w:szCs w:val="24"/>
          <w:highlight w:val="none"/>
        </w:rPr>
        <w:t>投标产品非参考品牌的，必须在产品质量和性能上与参考品牌同档次或优于参考品牌</w:t>
      </w:r>
      <w:r>
        <w:rPr>
          <w:rFonts w:hint="eastAsia"/>
          <w:color w:val="auto"/>
          <w:sz w:val="24"/>
          <w:szCs w:val="24"/>
          <w:highlight w:val="none"/>
          <w:lang w:eastAsia="zh-CN"/>
        </w:rPr>
        <w:t>、</w:t>
      </w:r>
      <w:r>
        <w:rPr>
          <w:rFonts w:hint="eastAsia"/>
          <w:color w:val="auto"/>
          <w:sz w:val="24"/>
          <w:szCs w:val="24"/>
          <w:highlight w:val="none"/>
          <w:lang w:val="en-US" w:eastAsia="zh-CN"/>
        </w:rPr>
        <w:t>并提供相应证明材料</w:t>
      </w:r>
      <w:r>
        <w:rPr>
          <w:rFonts w:hint="eastAsia"/>
          <w:color w:val="auto"/>
          <w:sz w:val="24"/>
          <w:szCs w:val="24"/>
          <w:highlight w:val="none"/>
        </w:rPr>
        <w:t>。欢迎其他能满足本项目技术需求或性能与参考品牌相当的产品参与。</w:t>
      </w:r>
    </w:p>
    <w:p w14:paraId="27B8E92F">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456" w:hanging="482" w:hangingChars="200"/>
        <w:jc w:val="left"/>
        <w:textAlignment w:val="auto"/>
        <w:rPr>
          <w:rFonts w:hint="eastAsia" w:ascii="宋体" w:hAnsi="宋体" w:cs="宋体"/>
          <w:b/>
          <w:bCs/>
          <w:color w:val="auto"/>
          <w:sz w:val="24"/>
          <w:szCs w:val="24"/>
          <w:highlight w:val="none"/>
        </w:rPr>
      </w:pPr>
      <w:bookmarkStart w:id="32" w:name="OLE_LINK21"/>
      <w:r>
        <w:rPr>
          <w:rFonts w:hint="eastAsia" w:ascii="宋体" w:hAnsi="宋体" w:cs="宋体"/>
          <w:b/>
          <w:bCs/>
          <w:color w:val="auto"/>
          <w:sz w:val="24"/>
          <w:szCs w:val="24"/>
          <w:highlight w:val="none"/>
        </w:rPr>
        <w:t xml:space="preserve">技术要求 </w:t>
      </w:r>
    </w:p>
    <w:bookmarkEnd w:id="32"/>
    <w:p w14:paraId="1358AC2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19" w:leftChars="9" w:firstLine="560" w:firstLineChars="200"/>
        <w:jc w:val="left"/>
        <w:textAlignment w:val="auto"/>
        <w:rPr>
          <w:rFonts w:hint="default"/>
          <w:color w:val="auto"/>
          <w:sz w:val="24"/>
          <w:szCs w:val="24"/>
          <w:highlight w:val="none"/>
          <w:lang w:val="en-US"/>
        </w:rPr>
      </w:pPr>
      <w:r>
        <w:rPr>
          <w:rFonts w:hint="eastAsia" w:ascii="微软雅黑" w:hAnsi="微软雅黑" w:eastAsia="微软雅黑" w:cs="微软雅黑"/>
          <w:color w:val="auto"/>
          <w:kern w:val="0"/>
          <w:sz w:val="28"/>
          <w:szCs w:val="28"/>
          <w:lang w:eastAsia="zh-CN"/>
        </w:rPr>
        <w:t>★</w:t>
      </w:r>
      <w:r>
        <w:rPr>
          <w:rFonts w:hint="eastAsia"/>
          <w:color w:val="auto"/>
          <w:sz w:val="24"/>
          <w:szCs w:val="24"/>
          <w:highlight w:val="none"/>
          <w:lang w:val="en-US" w:eastAsia="zh-CN"/>
        </w:rPr>
        <w:t>一体化泵站</w:t>
      </w:r>
      <w:r>
        <w:rPr>
          <w:rFonts w:hint="eastAsia"/>
          <w:color w:val="auto"/>
          <w:sz w:val="24"/>
          <w:szCs w:val="24"/>
          <w:highlight w:val="none"/>
        </w:rPr>
        <w:t>潜污泵采用自耦立式湿式安装，水泵和进水</w:t>
      </w:r>
      <w:r>
        <w:rPr>
          <w:rFonts w:hint="eastAsia"/>
          <w:color w:val="auto"/>
          <w:sz w:val="24"/>
          <w:szCs w:val="24"/>
          <w:highlight w:val="none"/>
          <w:lang w:val="en-US" w:eastAsia="zh-CN"/>
        </w:rPr>
        <w:t>管</w:t>
      </w:r>
      <w:r>
        <w:rPr>
          <w:rFonts w:hint="eastAsia"/>
          <w:color w:val="auto"/>
          <w:sz w:val="24"/>
          <w:szCs w:val="24"/>
          <w:highlight w:val="none"/>
        </w:rPr>
        <w:t>集成在同一个井筒内，带内部维修平台和地面智能化控制系统，必须在运输前进行预装和工厂测试，使现场安装时间最小化，提高系统可靠性。</w:t>
      </w:r>
      <w:r>
        <w:rPr>
          <w:rFonts w:hint="eastAsia"/>
          <w:color w:val="auto"/>
          <w:sz w:val="24"/>
          <w:szCs w:val="24"/>
          <w:highlight w:val="none"/>
          <w:lang w:val="en-US" w:eastAsia="zh-CN"/>
        </w:rPr>
        <w:t>投标人或所投产品制造商需提供国家认可的第三方权威检测机构出具的《一体化预制泵站》检验报告</w:t>
      </w:r>
      <w:bookmarkStart w:id="33" w:name="OLE_LINK4"/>
      <w:r>
        <w:rPr>
          <w:rFonts w:hint="eastAsia"/>
          <w:color w:val="auto"/>
          <w:sz w:val="24"/>
          <w:szCs w:val="24"/>
          <w:highlight w:val="none"/>
          <w:lang w:val="en-US" w:eastAsia="zh-CN"/>
        </w:rPr>
        <w:t>复印件加盖公章。</w:t>
      </w:r>
      <w:bookmarkEnd w:id="33"/>
    </w:p>
    <w:p w14:paraId="6BBEBD63">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1、防滑顶盖</w:t>
      </w:r>
      <w:r>
        <w:rPr>
          <w:rFonts w:hint="eastAsia" w:ascii="宋体" w:hAnsi="宋体" w:cs="宋体"/>
          <w:b/>
          <w:bCs/>
          <w:color w:val="auto"/>
          <w:sz w:val="24"/>
          <w:szCs w:val="24"/>
          <w:highlight w:val="none"/>
          <w:lang w:val="en-US" w:eastAsia="zh-CN"/>
        </w:rPr>
        <w:t>及上盖</w:t>
      </w:r>
    </w:p>
    <w:p w14:paraId="5AEF148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sz w:val="22"/>
          <w:szCs w:val="22"/>
        </w:rPr>
      </w:pPr>
      <w:r>
        <w:rPr>
          <w:rFonts w:hint="eastAsia"/>
          <w:color w:val="auto"/>
          <w:sz w:val="24"/>
          <w:szCs w:val="24"/>
          <w:highlight w:val="none"/>
          <w:lang w:val="en-US" w:eastAsia="zh-CN"/>
        </w:rPr>
        <w:t>用铝合金制成，带安全格栅、通风排气管和扶手。加装防盗安全锁和加装气动弹簧，可轻松打开。同时顶盖采用防紫外线防护板，防止长时间裸露在阳光下产生老化</w:t>
      </w:r>
      <w:r>
        <w:rPr>
          <w:rFonts w:hint="eastAsia" w:ascii="宋体" w:hAnsi="宋体"/>
          <w:sz w:val="22"/>
          <w:szCs w:val="22"/>
        </w:rPr>
        <w:t>。</w:t>
      </w:r>
    </w:p>
    <w:p w14:paraId="7234B8B9">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firstLine="482" w:firstLineChars="200"/>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rPr>
        <w:t>玻璃钢筒体</w:t>
      </w:r>
      <w:r>
        <w:rPr>
          <w:rFonts w:hint="eastAsia" w:ascii="宋体" w:hAnsi="宋体" w:cs="宋体"/>
          <w:color w:val="auto"/>
          <w:sz w:val="24"/>
          <w:szCs w:val="24"/>
          <w:highlight w:val="none"/>
        </w:rPr>
        <w:t xml:space="preserve">  </w:t>
      </w:r>
    </w:p>
    <w:p w14:paraId="1CD9B3CD">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color w:val="auto"/>
          <w:sz w:val="24"/>
          <w:szCs w:val="24"/>
          <w:highlight w:val="none"/>
          <w:lang w:val="en-US" w:eastAsia="zh-CN"/>
        </w:rPr>
      </w:pPr>
      <w:r>
        <w:rPr>
          <w:rFonts w:hint="eastAsia" w:ascii="微软雅黑" w:hAnsi="微软雅黑" w:eastAsia="微软雅黑" w:cs="微软雅黑"/>
          <w:color w:val="auto"/>
          <w:kern w:val="0"/>
          <w:sz w:val="28"/>
          <w:szCs w:val="28"/>
          <w:lang w:eastAsia="zh-CN"/>
        </w:rPr>
        <w:t>★</w:t>
      </w:r>
      <w:r>
        <w:rPr>
          <w:rFonts w:hint="eastAsia"/>
          <w:color w:val="auto"/>
          <w:sz w:val="24"/>
          <w:szCs w:val="24"/>
          <w:highlight w:val="none"/>
          <w:lang w:val="en-US" w:eastAsia="zh-CN"/>
        </w:rPr>
        <w:t>GRP井筒（含筒盖、筒身、CFD底座）需采用计算机控制整体缠绕，一次成型工艺，井筒采用不饱和树脂及无碱A级玻璃纤维，其中玻璃纤维含量不低于75%，井筒制作无夹砂，不夹重晶石粉等添加物。筒体强度影响泵站的安全和使用寿命，其刚度需经过FEA（计算有限元分析Finite Element Analysis）技术校核。投标人或所投产品制造商需提供国家认可的第三方权威检测机构出具的《一体化泵站FEA强度有限元分析报告》复印件加盖公章。测试项目需包含各种工况下的最大等效应力及形变量等内容。</w:t>
      </w:r>
    </w:p>
    <w:p w14:paraId="6DA52008">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color w:val="auto"/>
          <w:sz w:val="24"/>
          <w:szCs w:val="24"/>
          <w:highlight w:val="none"/>
          <w:lang w:val="en-US" w:eastAsia="zh-CN"/>
        </w:rPr>
      </w:pPr>
      <w:r>
        <w:rPr>
          <w:rFonts w:hint="eastAsia" w:ascii="微软雅黑" w:hAnsi="微软雅黑" w:eastAsia="微软雅黑" w:cs="微软雅黑"/>
          <w:color w:val="auto"/>
          <w:kern w:val="0"/>
          <w:sz w:val="28"/>
          <w:szCs w:val="28"/>
          <w:lang w:eastAsia="zh-CN"/>
        </w:rPr>
        <w:t>★</w:t>
      </w:r>
      <w:r>
        <w:rPr>
          <w:rFonts w:hint="eastAsia"/>
          <w:color w:val="auto"/>
          <w:sz w:val="24"/>
          <w:szCs w:val="24"/>
          <w:highlight w:val="none"/>
          <w:lang w:val="en-US" w:eastAsia="zh-CN"/>
        </w:rPr>
        <w:t>筒体的结构与厚度应满足要求，出厂前进行防渗漏试验，确保100%无泄漏。投标人或所投产品制造商需提供国家认可的第三方权威检测机构出具的《玻璃钢》检测报告或证明文件复印件加盖公章，检测项目至少需包含：巴氏硬度、轴向抗压强度、</w:t>
      </w:r>
      <w:r>
        <w:rPr>
          <w:rFonts w:hint="eastAsia"/>
          <w:color w:val="auto"/>
          <w:sz w:val="24"/>
          <w:szCs w:val="24"/>
          <w:highlight w:val="none"/>
          <w:lang w:val="zh-CN" w:eastAsia="zh-CN"/>
        </w:rPr>
        <w:t>环向</w:t>
      </w:r>
      <w:r>
        <w:rPr>
          <w:rFonts w:hint="eastAsia"/>
          <w:color w:val="auto"/>
          <w:sz w:val="24"/>
          <w:szCs w:val="24"/>
          <w:highlight w:val="none"/>
          <w:lang w:val="en-US" w:eastAsia="zh-CN"/>
        </w:rPr>
        <w:t>拉伸强度</w:t>
      </w:r>
      <w:r>
        <w:rPr>
          <w:rFonts w:hint="eastAsia"/>
          <w:color w:val="auto"/>
          <w:sz w:val="24"/>
          <w:szCs w:val="24"/>
          <w:highlight w:val="none"/>
          <w:lang w:val="zh-CN" w:eastAsia="zh-CN"/>
        </w:rPr>
        <w:t>、轴向</w:t>
      </w:r>
      <w:r>
        <w:rPr>
          <w:rFonts w:hint="eastAsia"/>
          <w:color w:val="auto"/>
          <w:sz w:val="24"/>
          <w:szCs w:val="24"/>
          <w:highlight w:val="none"/>
          <w:lang w:val="en-US" w:eastAsia="zh-CN"/>
        </w:rPr>
        <w:t>拉升</w:t>
      </w:r>
      <w:r>
        <w:rPr>
          <w:rFonts w:hint="eastAsia"/>
          <w:color w:val="auto"/>
          <w:sz w:val="24"/>
          <w:szCs w:val="24"/>
          <w:highlight w:val="none"/>
          <w:lang w:val="zh-CN" w:eastAsia="zh-CN"/>
        </w:rPr>
        <w:t>强度、</w:t>
      </w:r>
      <w:r>
        <w:rPr>
          <w:rFonts w:hint="eastAsia"/>
          <w:color w:val="auto"/>
          <w:sz w:val="24"/>
          <w:szCs w:val="24"/>
          <w:highlight w:val="none"/>
          <w:lang w:val="en-US" w:eastAsia="zh-CN"/>
        </w:rPr>
        <w:t>环向弯曲强度、轴向弯曲强度等参数。</w:t>
      </w:r>
    </w:p>
    <w:p w14:paraId="204AD2B1">
      <w:pPr>
        <w:pStyle w:val="8"/>
        <w:spacing w:line="400" w:lineRule="exact"/>
        <w:ind w:firstLine="482" w:firstLineChars="200"/>
        <w:contextualSpacing/>
        <w:jc w:val="left"/>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3、井筒智能底部设计</w:t>
      </w:r>
    </w:p>
    <w:p w14:paraId="2B194C2F">
      <w:pPr>
        <w:keepNext w:val="0"/>
        <w:keepLines w:val="0"/>
        <w:pageBreakBefore w:val="0"/>
        <w:widowControl w:val="0"/>
        <w:kinsoku/>
        <w:wordWrap/>
        <w:overflowPunct/>
        <w:topLinePunct w:val="0"/>
        <w:autoSpaceDE/>
        <w:autoSpaceDN/>
        <w:bidi w:val="0"/>
        <w:adjustRightInd/>
        <w:snapToGrid/>
        <w:spacing w:line="380" w:lineRule="exact"/>
        <w:ind w:firstLine="630" w:firstLineChars="225"/>
        <w:textAlignment w:val="auto"/>
        <w:rPr>
          <w:rFonts w:hint="eastAsia"/>
          <w:color w:val="auto"/>
          <w:sz w:val="24"/>
          <w:szCs w:val="24"/>
          <w:highlight w:val="none"/>
          <w:lang w:val="en-US" w:eastAsia="zh-CN"/>
        </w:rPr>
      </w:pPr>
      <w:r>
        <w:rPr>
          <w:rFonts w:hint="eastAsia" w:ascii="微软雅黑" w:hAnsi="微软雅黑" w:eastAsia="微软雅黑" w:cs="微软雅黑"/>
          <w:color w:val="auto"/>
          <w:kern w:val="0"/>
          <w:sz w:val="28"/>
          <w:szCs w:val="28"/>
          <w:lang w:eastAsia="zh-CN"/>
        </w:rPr>
        <w:t>★</w:t>
      </w:r>
      <w:r>
        <w:rPr>
          <w:rFonts w:hint="eastAsia"/>
          <w:color w:val="auto"/>
          <w:sz w:val="24"/>
          <w:szCs w:val="24"/>
          <w:highlight w:val="none"/>
          <w:lang w:val="en-US" w:eastAsia="zh-CN"/>
        </w:rPr>
        <w:t>经CFD（计算机流体动力学Computational Fluid Dynamics）特殊设计的预制地埋式一体化泵站智能化底部采用部分下凹式结构，可抵抗地下水的压力而不变形，同时只允许少量的污水停留在泵坑，当泵再次启动时，泵出口的高压水向进口底部喷射，从而达到自清洁的效果，免除了人工清淤。</w:t>
      </w:r>
      <w:bookmarkStart w:id="34" w:name="OLE_LINK7"/>
      <w:bookmarkStart w:id="35" w:name="OLE_LINK5"/>
      <w:r>
        <w:rPr>
          <w:rFonts w:hint="eastAsia"/>
          <w:color w:val="auto"/>
          <w:sz w:val="24"/>
          <w:szCs w:val="24"/>
          <w:highlight w:val="none"/>
          <w:lang w:val="en-US" w:eastAsia="zh-CN"/>
        </w:rPr>
        <w:t>投标人或所投产品制造商需提供国家认可的第三方权威检测机构出具的《一体化预制泵站自动清池CFD流体动力学分析报告</w:t>
      </w:r>
      <w:bookmarkEnd w:id="34"/>
      <w:r>
        <w:rPr>
          <w:rFonts w:hint="eastAsia"/>
          <w:color w:val="auto"/>
          <w:sz w:val="24"/>
          <w:szCs w:val="24"/>
          <w:highlight w:val="none"/>
          <w:lang w:val="en-US" w:eastAsia="zh-CN"/>
        </w:rPr>
        <w:t>》复印件加盖公章。</w:t>
      </w:r>
      <w:bookmarkEnd w:id="35"/>
    </w:p>
    <w:p w14:paraId="481AC0C7">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、吊耳</w:t>
      </w:r>
    </w:p>
    <w:p w14:paraId="26E58F45">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筒体外必须安装4个预制吊耳，易于安装。</w:t>
      </w:r>
    </w:p>
    <w:p w14:paraId="052BBC49">
      <w:pPr>
        <w:keepNext w:val="0"/>
        <w:keepLines w:val="0"/>
        <w:pageBreakBefore w:val="0"/>
        <w:widowControl w:val="0"/>
        <w:tabs>
          <w:tab w:val="left" w:pos="370"/>
        </w:tabs>
        <w:kinsoku/>
        <w:wordWrap/>
        <w:overflowPunct/>
        <w:topLinePunct w:val="0"/>
        <w:autoSpaceDE/>
        <w:autoSpaceDN/>
        <w:bidi w:val="0"/>
        <w:adjustRightInd/>
        <w:snapToGrid/>
        <w:spacing w:line="38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、泵站内管路系统</w:t>
      </w:r>
    </w:p>
    <w:p w14:paraId="3F27E058">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泵站内压力管道、出水管接头及法兰片均采用不锈钢SS304材质。</w:t>
      </w:r>
    </w:p>
    <w:p w14:paraId="605A456E">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6</w:t>
      </w:r>
      <w:r>
        <w:rPr>
          <w:rFonts w:hint="eastAsia" w:ascii="宋体" w:hAnsi="宋体" w:cs="宋体"/>
          <w:b/>
          <w:color w:val="auto"/>
          <w:sz w:val="24"/>
          <w:szCs w:val="24"/>
          <w:highlight w:val="none"/>
        </w:rPr>
        <w:t>、潜污泵技术特性</w:t>
      </w:r>
    </w:p>
    <w:p w14:paraId="4F31A246">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采用立式潜水离心式切割潜污泵，可提升自动藕合式安装，切割叶轮型式。水泵与潜水电机直联成一个整体。每台潜水泵能在全浸没或潜水电机露出液面的条件下连续工作，同时能适应于连续运行、间歇运行和长期停止状态后恢复运行。潜水离心式切割排污泵能自由地通过固体颗粒，以及切割长纤维类物质。</w:t>
      </w:r>
    </w:p>
    <w:p w14:paraId="5BDA7B31">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bookmarkStart w:id="434" w:name="_GoBack"/>
      <w:bookmarkEnd w:id="434"/>
      <w:r>
        <w:rPr>
          <w:rFonts w:hint="eastAsia"/>
          <w:color w:val="auto"/>
          <w:sz w:val="24"/>
          <w:szCs w:val="24"/>
          <w:highlight w:val="none"/>
          <w:lang w:val="en-US" w:eastAsia="zh-CN"/>
        </w:rPr>
        <w:t>a、泵壳（体）</w:t>
      </w:r>
    </w:p>
    <w:p w14:paraId="3D56014F">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泵壳有足够的厚度承受所有的负荷，包括静压试验压力以及连续工作压力。静压试验压力为额定扬程的1.5倍。在规定的试验压力下，泵的任一部分不会变形或出现变形的迹象以及其它缺陷。</w:t>
      </w:r>
    </w:p>
    <w:p w14:paraId="4A4A3F4D">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b、泵叶轮</w:t>
      </w:r>
    </w:p>
    <w:p w14:paraId="5B8E8EFA">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切割式潜污泵叶轮的切割刀片，将进入泵体的污水中的长纤维、固体颗粒、袋状物等杂质进行切割、撕裂，使其变成较小的碎片，然后再将这些经过处理的污水和碎片一起抽送出去，防止杂质堵塞管道和泵体，确保污水的顺畅排放。泵叶轮经过加工和表面热喷涂处理后，喷涂至少150微米厚度的防腐涂层。</w:t>
      </w:r>
    </w:p>
    <w:p w14:paraId="617DDA52">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c、泵密封</w:t>
      </w:r>
    </w:p>
    <w:p w14:paraId="609D495A">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①泵轴密封</w:t>
      </w:r>
    </w:p>
    <w:p w14:paraId="4D569C5C">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机械密封选用优质机械密封，泵轴配备机械密封系统，以防止水从电泵下部沿主轴向上泄漏。水泵轴下端必须设机械密封防砂装置，使机械密封的使用寿命大大提高。机械密封装置在油室内运行，密封接触面在常速条件下通过液压作用来润滑。泵轴采用双端面机械密封系统或两道单端面机械密封，上机械密封为石墨/碳化硅材质，下机械密封采用高硬度、强耐磨的碳化硅材料。机械密封在泵与电机之间的油室内进行，密封配合面在常速条件下通过液压作用来润滑。</w:t>
      </w:r>
    </w:p>
    <w:p w14:paraId="1EC47410">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每台泵的轴封系统必须配备密封油室，油室的设计有一定空间以容纳由于温度变化而引起膨胀的油量。 </w:t>
      </w:r>
    </w:p>
    <w:p w14:paraId="211471AC">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②接合表面的密封</w:t>
      </w:r>
    </w:p>
    <w:p w14:paraId="1C789715">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要求水封的接触面都作机械加工和放置丁腈橡胶O形密封圈，靠加工面之间的配合，使O型圈受压达到密封目的。</w:t>
      </w:r>
    </w:p>
    <w:p w14:paraId="744EBF43">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rPr>
        <w:t>、 粉碎性格栅</w:t>
      </w:r>
    </w:p>
    <w:p w14:paraId="0F419C65">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粉碎型格栅包括：切割刀片、垫片、轴、转鼓柵网、轴承和密封圈、侧栏、底座、机壳、减速机和IP68两栖防爆电机。粉碎机为双刀辊设计，刀辊能在干/湿条件下运行。切割刀片和垫片为单片分离式，刀片更换时可以单片更换，以满足备品备件最小量。在满足断续浸泡冷却下粉碎型格栅能每日24小时连续运转，驱动装置设过载保护密封件为集装式机械密封。密封面为碳化钨/碳化钨，多弹簧支承密封面。轴承为深槽球型轴承机构。轴承为深槽球型轴承可以满足预制泵站内的使用要求。</w:t>
      </w:r>
      <w:r>
        <w:rPr>
          <w:rFonts w:hint="eastAsia"/>
          <w:color w:val="auto"/>
          <w:sz w:val="24"/>
          <w:szCs w:val="24"/>
          <w:highlight w:val="none"/>
          <w:lang w:val="en-US" w:eastAsia="zh-CN"/>
        </w:rPr>
        <w:tab/>
      </w:r>
    </w:p>
    <w:p w14:paraId="2871DC6A">
      <w:pPr>
        <w:spacing w:line="500" w:lineRule="exact"/>
        <w:rPr>
          <w:rFonts w:ascii="宋体" w:hAnsi="宋体"/>
          <w:b/>
          <w:bCs/>
          <w:color w:val="000000"/>
          <w:sz w:val="22"/>
          <w:szCs w:val="22"/>
        </w:rPr>
      </w:pPr>
      <w:r>
        <w:rPr>
          <w:rFonts w:hint="eastAsia" w:ascii="宋体" w:hAnsi="宋体"/>
          <w:sz w:val="22"/>
          <w:szCs w:val="22"/>
          <w:lang w:val="en-US" w:eastAsia="zh-CN"/>
        </w:rPr>
        <w:t xml:space="preserve">    </w:t>
      </w:r>
      <w:r>
        <w:rPr>
          <w:rFonts w:hint="eastAsia" w:ascii="宋体" w:hAnsi="宋体"/>
          <w:b/>
          <w:bCs/>
          <w:sz w:val="22"/>
          <w:szCs w:val="22"/>
          <w:lang w:val="en-US" w:eastAsia="zh-CN"/>
        </w:rPr>
        <w:t>8、</w:t>
      </w:r>
      <w:r>
        <w:rPr>
          <w:rFonts w:hint="eastAsia" w:ascii="宋体" w:hAnsi="宋体"/>
          <w:b/>
          <w:bCs/>
          <w:color w:val="000000"/>
          <w:sz w:val="22"/>
          <w:szCs w:val="22"/>
        </w:rPr>
        <w:t>阀门</w:t>
      </w:r>
      <w:r>
        <w:rPr>
          <w:rFonts w:hint="eastAsia" w:ascii="宋体" w:hAnsi="宋体"/>
          <w:b/>
          <w:bCs/>
          <w:color w:val="000000"/>
          <w:sz w:val="22"/>
          <w:szCs w:val="22"/>
          <w:lang w:eastAsia="zh-CN"/>
        </w:rPr>
        <w:t>、</w:t>
      </w:r>
      <w:r>
        <w:rPr>
          <w:rFonts w:hint="eastAsia" w:ascii="宋体" w:hAnsi="宋体"/>
          <w:b/>
          <w:bCs/>
          <w:color w:val="000000"/>
          <w:sz w:val="22"/>
          <w:szCs w:val="22"/>
        </w:rPr>
        <w:t>止回阀+闸阀</w:t>
      </w:r>
    </w:p>
    <w:p w14:paraId="20AF43F6">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阀门具有良好的密封性，操作轻便，维护简单便利，使用寿命长的特点。止回阀采用全橡胶止回阀，关闭行程小，水头损失小，不易集堆杂物，维修简便，适合污水系统，连接方式均为法兰连接。</w:t>
      </w:r>
    </w:p>
    <w:p w14:paraId="129B7304">
      <w:pPr>
        <w:snapToGrid w:val="0"/>
        <w:spacing w:line="500" w:lineRule="exact"/>
        <w:rPr>
          <w:rFonts w:ascii="宋体" w:hAnsi="宋体"/>
          <w:b/>
          <w:bCs/>
          <w:color w:val="000000"/>
          <w:sz w:val="22"/>
          <w:szCs w:val="22"/>
        </w:rPr>
      </w:pPr>
      <w:r>
        <w:rPr>
          <w:rFonts w:hint="eastAsia" w:ascii="宋体" w:hAnsi="宋体"/>
          <w:b/>
          <w:bCs/>
          <w:color w:val="000000"/>
          <w:sz w:val="22"/>
          <w:szCs w:val="22"/>
        </w:rPr>
        <w:t xml:space="preserve">    </w:t>
      </w:r>
      <w:r>
        <w:rPr>
          <w:rFonts w:hint="eastAsia" w:ascii="宋体" w:hAnsi="宋体"/>
          <w:b/>
          <w:bCs/>
          <w:color w:val="000000"/>
          <w:sz w:val="22"/>
          <w:szCs w:val="22"/>
          <w:lang w:val="en-US" w:eastAsia="zh-CN"/>
        </w:rPr>
        <w:t>9、</w:t>
      </w:r>
      <w:r>
        <w:rPr>
          <w:rFonts w:hint="eastAsia" w:ascii="宋体" w:hAnsi="宋体"/>
          <w:b/>
          <w:bCs/>
          <w:color w:val="000000"/>
          <w:sz w:val="22"/>
          <w:szCs w:val="22"/>
        </w:rPr>
        <w:t>液位传感器</w:t>
      </w:r>
    </w:p>
    <w:p w14:paraId="0073FCA5">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泵站配套液位传感器和冗余浮球的双重保护配合专用监测继电器和远程通讯系统，实现泵站内液位自动控制运行。</w:t>
      </w:r>
    </w:p>
    <w:p w14:paraId="0C087A35">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10</w:t>
      </w:r>
      <w:r>
        <w:rPr>
          <w:rFonts w:hint="eastAsia" w:ascii="宋体" w:hAnsi="宋体" w:cs="宋体"/>
          <w:b/>
          <w:color w:val="auto"/>
          <w:sz w:val="24"/>
          <w:szCs w:val="24"/>
          <w:highlight w:val="none"/>
        </w:rPr>
        <w:t>、泵站</w:t>
      </w:r>
      <w:r>
        <w:rPr>
          <w:rFonts w:hint="eastAsia" w:ascii="宋体" w:hAnsi="宋体" w:cs="宋体"/>
          <w:b/>
          <w:color w:val="auto"/>
          <w:sz w:val="24"/>
          <w:szCs w:val="24"/>
          <w:highlight w:val="none"/>
          <w:lang w:val="en-US" w:eastAsia="zh-CN"/>
        </w:rPr>
        <w:t>远程监控平台</w:t>
      </w:r>
    </w:p>
    <w:p w14:paraId="5783AD06">
      <w:pPr>
        <w:keepNext w:val="0"/>
        <w:keepLines w:val="0"/>
        <w:pageBreakBefore w:val="0"/>
        <w:widowControl w:val="0"/>
        <w:kinsoku/>
        <w:wordWrap/>
        <w:overflowPunct/>
        <w:topLinePunct w:val="0"/>
        <w:autoSpaceDE/>
        <w:autoSpaceDN/>
        <w:bidi w:val="0"/>
        <w:adjustRightInd/>
        <w:snapToGrid/>
        <w:spacing w:line="380" w:lineRule="exact"/>
        <w:ind w:firstLine="630" w:firstLineChars="225"/>
        <w:textAlignment w:val="auto"/>
        <w:rPr>
          <w:rFonts w:hint="eastAsia"/>
          <w:color w:val="auto"/>
          <w:sz w:val="24"/>
          <w:szCs w:val="24"/>
          <w:highlight w:val="none"/>
          <w:lang w:val="en-US" w:eastAsia="zh-CN"/>
        </w:rPr>
      </w:pPr>
      <w:r>
        <w:rPr>
          <w:rFonts w:hint="eastAsia" w:ascii="微软雅黑" w:hAnsi="微软雅黑" w:eastAsia="微软雅黑" w:cs="微软雅黑"/>
          <w:color w:val="auto"/>
          <w:kern w:val="0"/>
          <w:sz w:val="28"/>
          <w:szCs w:val="28"/>
          <w:lang w:eastAsia="zh-CN"/>
        </w:rPr>
        <w:t>★</w:t>
      </w:r>
      <w:r>
        <w:rPr>
          <w:rFonts w:hint="eastAsia"/>
          <w:color w:val="auto"/>
          <w:sz w:val="24"/>
          <w:szCs w:val="24"/>
          <w:highlight w:val="none"/>
          <w:lang w:val="en-US" w:eastAsia="zh-CN"/>
        </w:rPr>
        <w:t>本次招标的一体化泵站需配备远程控制平台</w:t>
      </w:r>
      <w:bookmarkStart w:id="36" w:name="OLE_LINK20"/>
      <w:r>
        <w:rPr>
          <w:rFonts w:hint="eastAsia"/>
          <w:color w:val="auto"/>
          <w:sz w:val="24"/>
          <w:szCs w:val="24"/>
          <w:highlight w:val="none"/>
          <w:lang w:val="en-US" w:eastAsia="zh-CN"/>
        </w:rPr>
        <w:t>，投标人或</w:t>
      </w:r>
      <w:bookmarkEnd w:id="36"/>
      <w:r>
        <w:rPr>
          <w:rFonts w:hint="eastAsia"/>
          <w:color w:val="auto"/>
          <w:sz w:val="24"/>
          <w:szCs w:val="24"/>
          <w:highlight w:val="none"/>
          <w:lang w:val="en-US" w:eastAsia="zh-CN"/>
        </w:rPr>
        <w:t>所投产品制造商需提供投标品牌泵站远程监控平台工信部备案网址及《一体化预制泵站远程监控系统》计算机软件著作权登记证书。远程监控功能要求如下：</w:t>
      </w:r>
    </w:p>
    <w:p w14:paraId="76FEA8C0">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a、数据采集与传输：能够实时采集泵站生产数据、排水设施数据及主要设备状态数据，包括但不限于水位、控制模式、流量、设备的启停状态、运行时间等，并通过可靠的通信方式将数据准确传输至监控中心。</w:t>
      </w:r>
    </w:p>
    <w:p w14:paraId="1C2D754E">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b、设备控制：支持对泵站内各类设备，如水泵、液位计等进行远程控制，可接收远程下达的控制指令，实现设备的启动、停止、调节等操作，确保泵站设备按照预定的工艺流程运行，以满足泵站运行的环境需求。</w:t>
      </w:r>
    </w:p>
    <w:p w14:paraId="18955457">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c、报警功能：具备完善的报警机制，当采集的数据超出预设的正常范围，如压力、液位等生产工艺参数越限时，能及时发出报警信号。重要报警事件应采用声光报警方式，引起监控人员的高度关注。报警信号应能准确传输至监控中心及相关人员的移动终端。</w:t>
      </w:r>
    </w:p>
    <w:p w14:paraId="6DB99DE1">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d、数据存储与管理：对采集的数据与发送的指令进行详细记录与长期储存，储存时间应满足相关规定和实际使用要求。能够分类记录泵站的各种数据信息，生成泵站生产运行报表、操作记录表、设备运行记录表、各类事件/事故记录统计表等报表。具备原始数据防修改及数据备份的手段，确保数据的真实性和完整性，以便后续查询、分析和追溯。</w:t>
      </w:r>
    </w:p>
    <w:p w14:paraId="0232E52F">
      <w:pPr>
        <w:keepNext w:val="0"/>
        <w:keepLines w:val="0"/>
        <w:pageBreakBefore w:val="0"/>
        <w:widowControl w:val="0"/>
        <w:numPr>
          <w:ilvl w:val="0"/>
          <w:numId w:val="7"/>
        </w:numPr>
        <w:kinsoku/>
        <w:wordWrap/>
        <w:overflowPunct/>
        <w:topLinePunct w:val="0"/>
        <w:autoSpaceDE/>
        <w:autoSpaceDN/>
        <w:bidi w:val="0"/>
        <w:adjustRightInd/>
        <w:snapToGrid/>
        <w:spacing w:line="380" w:lineRule="exact"/>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一体化预制泵站</w:t>
      </w:r>
      <w:r>
        <w:rPr>
          <w:rFonts w:hint="eastAsia" w:ascii="宋体" w:hAnsi="宋体" w:cs="宋体"/>
          <w:b/>
          <w:bCs/>
          <w:color w:val="auto"/>
          <w:sz w:val="24"/>
          <w:szCs w:val="24"/>
          <w:highlight w:val="none"/>
        </w:rPr>
        <w:t>控制柜</w:t>
      </w:r>
    </w:p>
    <w:p w14:paraId="09FA49FE">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功能</w:t>
      </w:r>
    </w:p>
    <w:p w14:paraId="6808164A">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①轮换控制</w:t>
      </w:r>
    </w:p>
    <w:p w14:paraId="7806CB30">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水泵根据液位计（4-20mA）采集的多点液位信号，自动启动停止，轮换运行。</w:t>
      </w:r>
    </w:p>
    <w:p w14:paraId="5B2BDEB2">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②液位控制</w:t>
      </w:r>
    </w:p>
    <w:p w14:paraId="6BFF9127">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泵站必须标准配置静液位差液位计以保证泵站根据液位计的反馈信号自动启动、停止。</w:t>
      </w:r>
    </w:p>
    <w:p w14:paraId="79124CE6">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③移动4G网络通信及远程控制功能</w:t>
      </w:r>
    </w:p>
    <w:p w14:paraId="60C62689">
      <w:pPr>
        <w:keepNext w:val="0"/>
        <w:keepLines w:val="0"/>
        <w:pageBreakBefore w:val="0"/>
        <w:widowControl w:val="0"/>
        <w:kinsoku/>
        <w:wordWrap/>
        <w:overflowPunct/>
        <w:topLinePunct w:val="0"/>
        <w:autoSpaceDE/>
        <w:autoSpaceDN/>
        <w:bidi w:val="0"/>
        <w:adjustRightInd/>
        <w:snapToGrid/>
        <w:spacing w:line="380" w:lineRule="exact"/>
        <w:ind w:firstLine="630" w:firstLineChars="225"/>
        <w:textAlignment w:val="auto"/>
        <w:rPr>
          <w:rFonts w:hint="eastAsia"/>
          <w:color w:val="auto"/>
          <w:sz w:val="24"/>
          <w:szCs w:val="24"/>
          <w:highlight w:val="none"/>
          <w:lang w:val="en-US" w:eastAsia="zh-CN"/>
        </w:rPr>
      </w:pPr>
      <w:r>
        <w:rPr>
          <w:rFonts w:hint="eastAsia" w:ascii="微软雅黑" w:hAnsi="微软雅黑" w:eastAsia="微软雅黑" w:cs="微软雅黑"/>
          <w:color w:val="auto"/>
          <w:kern w:val="0"/>
          <w:sz w:val="28"/>
          <w:szCs w:val="28"/>
          <w:lang w:eastAsia="zh-CN"/>
        </w:rPr>
        <w:t>★</w:t>
      </w:r>
      <w:r>
        <w:rPr>
          <w:rFonts w:hint="eastAsia"/>
          <w:color w:val="auto"/>
          <w:sz w:val="24"/>
          <w:szCs w:val="24"/>
          <w:highlight w:val="none"/>
          <w:lang w:val="en-US" w:eastAsia="zh-CN"/>
        </w:rPr>
        <w:t>必须配置3G/4G调制解调器，通过中国移动网络及Internet，以Modbus-RTU/TCP, 或DNP3协议传输泵站数据至中控室。可在中控室中实现水泵启动、停止、复位等操作功能。投标人需提供所投产品检测报告中需包含远程监控在线平台的性能及功能描述等材料说明。</w:t>
      </w:r>
    </w:p>
    <w:p w14:paraId="3147EF94">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④防雷保护</w:t>
      </w:r>
    </w:p>
    <w:p w14:paraId="142F83A6">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户外水泵控制柜应设有进线电源浪涌保护，GPRS调制解调器及液位计也应设有防雷保护功能，防止雷击导致泵站及通信无法正常工作。</w:t>
      </w:r>
    </w:p>
    <w:p w14:paraId="7071FBDC">
      <w:pPr>
        <w:keepNext w:val="0"/>
        <w:keepLines w:val="0"/>
        <w:pageBreakBefore w:val="0"/>
        <w:widowControl w:val="0"/>
        <w:kinsoku/>
        <w:wordWrap/>
        <w:overflowPunct/>
        <w:topLinePunct w:val="0"/>
        <w:autoSpaceDE/>
        <w:autoSpaceDN/>
        <w:bidi w:val="0"/>
        <w:adjustRightInd/>
        <w:snapToGrid/>
        <w:spacing w:line="380" w:lineRule="exact"/>
        <w:ind w:firstLine="630" w:firstLineChars="225"/>
        <w:textAlignment w:val="auto"/>
        <w:rPr>
          <w:rFonts w:hint="default"/>
          <w:color w:val="auto"/>
          <w:sz w:val="24"/>
          <w:szCs w:val="24"/>
          <w:highlight w:val="none"/>
          <w:lang w:val="en-US" w:eastAsia="zh-CN"/>
        </w:rPr>
      </w:pPr>
      <w:r>
        <w:rPr>
          <w:rFonts w:hint="eastAsia" w:ascii="微软雅黑" w:hAnsi="微软雅黑" w:eastAsia="微软雅黑" w:cs="微软雅黑"/>
          <w:color w:val="auto"/>
          <w:kern w:val="0"/>
          <w:sz w:val="28"/>
          <w:szCs w:val="28"/>
          <w:lang w:eastAsia="zh-CN"/>
        </w:rPr>
        <w:t>★</w:t>
      </w:r>
      <w:r>
        <w:rPr>
          <w:rFonts w:hint="eastAsia" w:ascii="微软雅黑" w:hAnsi="微软雅黑" w:eastAsia="微软雅黑" w:cs="微软雅黑"/>
          <w:color w:val="auto"/>
          <w:kern w:val="0"/>
          <w:sz w:val="28"/>
          <w:szCs w:val="28"/>
          <w:lang w:eastAsia="zh-CN"/>
        </w:rPr>
        <w:fldChar w:fldCharType="begin"/>
      </w:r>
      <w:r>
        <w:rPr>
          <w:rFonts w:hint="eastAsia" w:ascii="微软雅黑" w:hAnsi="微软雅黑" w:eastAsia="微软雅黑" w:cs="微软雅黑"/>
          <w:color w:val="auto"/>
          <w:kern w:val="0"/>
          <w:sz w:val="28"/>
          <w:szCs w:val="28"/>
          <w:lang w:eastAsia="zh-CN"/>
        </w:rPr>
        <w:instrText xml:space="preserve"> = 5 \* GB3 \* MERGEFORMAT </w:instrText>
      </w:r>
      <w:r>
        <w:rPr>
          <w:rFonts w:hint="eastAsia" w:ascii="微软雅黑" w:hAnsi="微软雅黑" w:eastAsia="微软雅黑" w:cs="微软雅黑"/>
          <w:color w:val="auto"/>
          <w:kern w:val="0"/>
          <w:sz w:val="28"/>
          <w:szCs w:val="28"/>
          <w:lang w:eastAsia="zh-CN"/>
        </w:rPr>
        <w:fldChar w:fldCharType="separate"/>
      </w:r>
      <w:r>
        <w:rPr>
          <w:color w:val="auto"/>
        </w:rPr>
        <w:t>⑤</w:t>
      </w:r>
      <w:r>
        <w:rPr>
          <w:rFonts w:hint="eastAsia" w:ascii="微软雅黑" w:hAnsi="微软雅黑" w:eastAsia="微软雅黑" w:cs="微软雅黑"/>
          <w:color w:val="auto"/>
          <w:kern w:val="0"/>
          <w:sz w:val="28"/>
          <w:szCs w:val="28"/>
          <w:lang w:eastAsia="zh-CN"/>
        </w:rPr>
        <w:fldChar w:fldCharType="end"/>
      </w:r>
      <w:r>
        <w:rPr>
          <w:rFonts w:hint="eastAsia"/>
          <w:color w:val="auto"/>
          <w:sz w:val="24"/>
          <w:szCs w:val="24"/>
          <w:highlight w:val="none"/>
          <w:lang w:val="en-US" w:eastAsia="zh-CN"/>
        </w:rPr>
        <w:t>安全性：防护等级</w:t>
      </w:r>
    </w:p>
    <w:p w14:paraId="2630F718">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一体化泵站控制柜的防护等级应满足户外运行过程中的防水和防尘要求。投标人或产品制造商需提供控制柜检测报告且在检验项目中需包含防尘试验和防水试验。</w:t>
      </w:r>
    </w:p>
    <w:bookmarkEnd w:id="31"/>
    <w:p w14:paraId="207B1784">
      <w:pPr>
        <w:shd w:val="clear"/>
        <w:adjustRightInd w:val="0"/>
        <w:snapToGrid w:val="0"/>
        <w:spacing w:line="360" w:lineRule="auto"/>
        <w:ind w:firstLine="361" w:firstLineChars="15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11</w:t>
      </w:r>
      <w:r>
        <w:rPr>
          <w:rFonts w:hint="eastAsia" w:asciiTheme="minorEastAsia" w:hAnsiTheme="minorEastAsia" w:eastAsiaTheme="minorEastAsia" w:cstheme="minorEastAsia"/>
          <w:b/>
          <w:bCs/>
          <w:color w:val="auto"/>
          <w:kern w:val="0"/>
          <w:sz w:val="24"/>
          <w:highlight w:val="none"/>
        </w:rPr>
        <w:t>、离子除臭设备</w:t>
      </w:r>
    </w:p>
    <w:p w14:paraId="690866D3">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（1）  离子氧除臭系统对H2S、NH3等气体的去除率达到85%以上，对其它VOC气体的去除率能够达到75%以上。</w:t>
      </w:r>
    </w:p>
    <w:p w14:paraId="7B5D5A11">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（2）离子氧除臭系统在额定600m3/h风量下可连续工作，主机寿命10年以上，离子管寿命可达20000小时。离子除臭设备在运转时无异常噪声，离子除臭设备操作时在其一米半径范围内产生的噪声≤70dB。</w:t>
      </w:r>
    </w:p>
    <w:p w14:paraId="445C286F">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（3）设备材料环保，耐腐蚀，除臭设备箱体采用全不锈钢304材料制作。防护等级按GB/T 49422-1993中的规定，完全满足IP55防护等级。</w:t>
      </w:r>
    </w:p>
    <w:p w14:paraId="3B538228">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（4）设备运行稳定，抗冲击负荷能力强。设备停止运行、检修或更换易损件时，在2小时内恢复并正常使用。</w:t>
      </w:r>
    </w:p>
    <w:p w14:paraId="311A71C6">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（5）离子除臭系统无任何易造成或可能造成二次污染的材料或化学药剂，处理后无废水或其他任何二次污染。</w:t>
      </w:r>
    </w:p>
    <w:p w14:paraId="6AD34AE8">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（6）离子除臭系统在任何季节、任何气候条件下都能够完全满足除臭设备处理效果的要求。</w:t>
      </w:r>
    </w:p>
    <w:p w14:paraId="24763FB1">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（7）风机内置于除臭设备，使整个系统保持负压状态，防止臭气外泄。</w:t>
      </w:r>
    </w:p>
    <w:p w14:paraId="08A5914D">
      <w:pPr>
        <w:keepNext w:val="0"/>
        <w:keepLines w:val="0"/>
        <w:pageBreakBefore w:val="0"/>
        <w:widowControl w:val="0"/>
        <w:kinsoku/>
        <w:wordWrap/>
        <w:overflowPunct/>
        <w:topLinePunct w:val="0"/>
        <w:autoSpaceDE/>
        <w:autoSpaceDN/>
        <w:bidi w:val="0"/>
        <w:adjustRightInd/>
        <w:snapToGrid/>
        <w:spacing w:line="380" w:lineRule="exact"/>
        <w:ind w:firstLine="540" w:firstLineChars="225"/>
        <w:textAlignment w:val="auto"/>
        <w:rPr>
          <w:rFonts w:hint="eastAsia"/>
          <w:color w:val="auto"/>
          <w:sz w:val="24"/>
          <w:szCs w:val="24"/>
          <w:highlight w:val="none"/>
          <w:lang w:val="en-US" w:eastAsia="zh-CN"/>
        </w:rPr>
      </w:pPr>
      <w:r>
        <w:rPr>
          <w:rFonts w:hint="eastAsia"/>
          <w:color w:val="auto"/>
          <w:sz w:val="24"/>
          <w:szCs w:val="24"/>
          <w:highlight w:val="none"/>
          <w:lang w:val="en-US" w:eastAsia="zh-CN"/>
        </w:rPr>
        <w:t>（8）设备一体化设计，结构紧凑，也可采用模块化灵活拼接，适用于现场安装。</w:t>
      </w:r>
    </w:p>
    <w:p w14:paraId="09E00425">
      <w:pPr>
        <w:numPr>
          <w:ilvl w:val="0"/>
          <w:numId w:val="5"/>
        </w:numPr>
        <w:shd w:val="clear"/>
        <w:adjustRightInd w:val="0"/>
        <w:snapToGrid w:val="0"/>
        <w:spacing w:line="360" w:lineRule="auto"/>
        <w:ind w:left="482" w:leftChars="0" w:hanging="482" w:hangingChars="200"/>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设备安装调试</w:t>
      </w:r>
    </w:p>
    <w:p w14:paraId="08E8C4E3">
      <w:pPr>
        <w:numPr>
          <w:ilvl w:val="0"/>
          <w:numId w:val="0"/>
        </w:numPr>
        <w:shd w:val="clear"/>
        <w:adjustRightInd w:val="0"/>
        <w:snapToGrid w:val="0"/>
        <w:spacing w:line="360" w:lineRule="auto"/>
        <w:ind w:leftChars="-200" w:firstLine="723" w:firstLineChars="300"/>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1、服务要求</w:t>
      </w:r>
    </w:p>
    <w:p w14:paraId="5B581929">
      <w:pPr>
        <w:adjustRightInd w:val="0"/>
        <w:snapToGrid w:val="0"/>
        <w:spacing w:line="360" w:lineRule="auto"/>
        <w:ind w:firstLine="440" w:firstLineChars="200"/>
        <w:rPr>
          <w:rFonts w:ascii="宋体" w:eastAsia="宋体"/>
          <w:b w:val="0"/>
          <w:bCs w:val="0"/>
          <w:color w:val="auto"/>
          <w:sz w:val="22"/>
        </w:rPr>
      </w:pPr>
      <w:r>
        <w:rPr>
          <w:rFonts w:ascii="宋体" w:eastAsia="宋体"/>
          <w:b w:val="0"/>
          <w:bCs w:val="0"/>
          <w:color w:val="auto"/>
          <w:sz w:val="22"/>
        </w:rPr>
        <w:t>1</w:t>
      </w:r>
      <w:r>
        <w:rPr>
          <w:rFonts w:hint="eastAsia" w:ascii="宋体" w:eastAsia="宋体"/>
          <w:b w:val="0"/>
          <w:bCs w:val="0"/>
          <w:color w:val="auto"/>
          <w:sz w:val="22"/>
        </w:rPr>
        <w:t>）</w:t>
      </w:r>
      <w:r>
        <w:rPr>
          <w:rFonts w:ascii="宋体" w:eastAsia="宋体"/>
          <w:b w:val="0"/>
          <w:bCs w:val="0"/>
          <w:color w:val="auto"/>
          <w:sz w:val="22"/>
        </w:rPr>
        <w:t>中标人的工程范围</w:t>
      </w:r>
    </w:p>
    <w:p w14:paraId="2027BD2D">
      <w:pPr>
        <w:adjustRightInd w:val="0"/>
        <w:snapToGrid w:val="0"/>
        <w:spacing w:line="360" w:lineRule="auto"/>
        <w:ind w:firstLine="440" w:firstLineChars="200"/>
        <w:rPr>
          <w:rFonts w:hint="eastAsia" w:ascii="宋体" w:eastAsia="宋体"/>
          <w:b w:val="0"/>
          <w:bCs w:val="0"/>
          <w:color w:val="auto"/>
          <w:sz w:val="22"/>
        </w:rPr>
      </w:pPr>
      <w:r>
        <w:rPr>
          <w:rFonts w:hint="eastAsia" w:ascii="宋体" w:eastAsia="宋体"/>
          <w:b w:val="0"/>
          <w:bCs w:val="0"/>
          <w:color w:val="auto"/>
          <w:sz w:val="22"/>
        </w:rPr>
        <w:t>本项目包括但不局限于以下内容：提供材料、设备供货、二次搬运、安装、调试、竣工验收、相关技术培训、技术服务以及售后服务的工作。按工作顺序提交所需的无论其是否被明细列在合同文件中的所有资料，资料必须符合本技术规格书的要求。</w:t>
      </w:r>
    </w:p>
    <w:p w14:paraId="080832A4">
      <w:pPr>
        <w:adjustRightInd w:val="0"/>
        <w:snapToGrid w:val="0"/>
        <w:spacing w:line="360" w:lineRule="auto"/>
        <w:ind w:firstLine="440" w:firstLineChars="200"/>
        <w:rPr>
          <w:rFonts w:ascii="宋体" w:eastAsia="宋体"/>
          <w:b w:val="0"/>
          <w:bCs w:val="0"/>
          <w:color w:val="auto"/>
          <w:sz w:val="22"/>
          <w:highlight w:val="none"/>
        </w:rPr>
      </w:pPr>
      <w:r>
        <w:rPr>
          <w:rFonts w:ascii="宋体" w:eastAsia="宋体"/>
          <w:b w:val="0"/>
          <w:bCs w:val="0"/>
          <w:color w:val="auto"/>
          <w:sz w:val="22"/>
          <w:highlight w:val="none"/>
        </w:rPr>
        <w:t>2</w:t>
      </w:r>
      <w:r>
        <w:rPr>
          <w:rFonts w:hint="eastAsia" w:ascii="宋体" w:eastAsia="宋体"/>
          <w:b w:val="0"/>
          <w:bCs w:val="0"/>
          <w:color w:val="auto"/>
          <w:sz w:val="22"/>
          <w:highlight w:val="none"/>
        </w:rPr>
        <w:t>）</w:t>
      </w:r>
      <w:r>
        <w:rPr>
          <w:rFonts w:ascii="宋体" w:eastAsia="宋体"/>
          <w:b w:val="0"/>
          <w:bCs w:val="0"/>
          <w:color w:val="auto"/>
          <w:sz w:val="22"/>
          <w:highlight w:val="none"/>
        </w:rPr>
        <w:t>设备及相关资料的提供</w:t>
      </w:r>
    </w:p>
    <w:p w14:paraId="344E9A96">
      <w:pPr>
        <w:adjustRightInd w:val="0"/>
        <w:snapToGrid w:val="0"/>
        <w:spacing w:line="360" w:lineRule="auto"/>
        <w:ind w:firstLine="440" w:firstLineChars="200"/>
        <w:rPr>
          <w:rFonts w:ascii="宋体" w:eastAsia="宋体"/>
          <w:b w:val="0"/>
          <w:bCs w:val="0"/>
          <w:color w:val="auto"/>
          <w:sz w:val="22"/>
        </w:rPr>
      </w:pPr>
      <w:r>
        <w:rPr>
          <w:rFonts w:hint="eastAsia" w:ascii="宋体" w:eastAsia="宋体"/>
          <w:b w:val="0"/>
          <w:bCs w:val="0"/>
          <w:color w:val="auto"/>
          <w:sz w:val="22"/>
        </w:rPr>
        <w:t>提供的设备须包括以下服务工作但不仅限于以下：</w:t>
      </w:r>
    </w:p>
    <w:p w14:paraId="3FB5D4C3">
      <w:pPr>
        <w:adjustRightInd w:val="0"/>
        <w:snapToGrid w:val="0"/>
        <w:spacing w:line="360" w:lineRule="auto"/>
        <w:ind w:firstLine="440" w:firstLineChars="200"/>
        <w:rPr>
          <w:rFonts w:ascii="宋体" w:eastAsia="宋体"/>
          <w:b w:val="0"/>
          <w:bCs w:val="0"/>
          <w:color w:val="auto"/>
          <w:sz w:val="22"/>
        </w:rPr>
      </w:pPr>
      <w:r>
        <w:rPr>
          <w:rFonts w:hint="eastAsia" w:ascii="宋体"/>
          <w:b w:val="0"/>
          <w:bCs w:val="0"/>
          <w:color w:val="auto"/>
          <w:sz w:val="22"/>
          <w:lang w:val="en-US" w:eastAsia="zh-CN"/>
        </w:rPr>
        <w:t>a</w:t>
      </w:r>
      <w:r>
        <w:rPr>
          <w:rFonts w:hint="eastAsia" w:ascii="宋体" w:eastAsia="宋体"/>
          <w:b w:val="0"/>
          <w:bCs w:val="0"/>
          <w:color w:val="auto"/>
          <w:sz w:val="22"/>
        </w:rPr>
        <w:t>.</w:t>
      </w:r>
      <w:r>
        <w:rPr>
          <w:rFonts w:ascii="宋体" w:eastAsia="宋体"/>
          <w:b w:val="0"/>
          <w:bCs w:val="0"/>
          <w:color w:val="auto"/>
          <w:sz w:val="22"/>
        </w:rPr>
        <w:t>提供详细构造图、设备样本和使用操作说明书；</w:t>
      </w:r>
    </w:p>
    <w:p w14:paraId="61407093">
      <w:pPr>
        <w:adjustRightInd w:val="0"/>
        <w:snapToGrid w:val="0"/>
        <w:spacing w:line="360" w:lineRule="auto"/>
        <w:ind w:firstLine="440" w:firstLineChars="200"/>
        <w:rPr>
          <w:rFonts w:ascii="宋体" w:eastAsia="宋体"/>
          <w:b w:val="0"/>
          <w:bCs w:val="0"/>
          <w:color w:val="auto"/>
          <w:sz w:val="22"/>
        </w:rPr>
      </w:pPr>
      <w:r>
        <w:rPr>
          <w:rFonts w:hint="eastAsia" w:ascii="宋体"/>
          <w:b w:val="0"/>
          <w:bCs w:val="0"/>
          <w:color w:val="auto"/>
          <w:sz w:val="22"/>
          <w:lang w:val="en-US" w:eastAsia="zh-CN"/>
        </w:rPr>
        <w:t>b</w:t>
      </w:r>
      <w:r>
        <w:rPr>
          <w:rFonts w:hint="eastAsia" w:ascii="宋体" w:eastAsia="宋体"/>
          <w:b w:val="0"/>
          <w:bCs w:val="0"/>
          <w:color w:val="auto"/>
          <w:sz w:val="22"/>
        </w:rPr>
        <w:t>.</w:t>
      </w:r>
      <w:r>
        <w:rPr>
          <w:rFonts w:ascii="宋体" w:eastAsia="宋体"/>
          <w:b w:val="0"/>
          <w:bCs w:val="0"/>
          <w:color w:val="auto"/>
          <w:sz w:val="22"/>
        </w:rPr>
        <w:t xml:space="preserve">按招标人认可的方案和材料进行加工、制造、供货； </w:t>
      </w:r>
    </w:p>
    <w:p w14:paraId="13840846">
      <w:pPr>
        <w:adjustRightInd w:val="0"/>
        <w:snapToGrid w:val="0"/>
        <w:spacing w:line="360" w:lineRule="auto"/>
        <w:ind w:firstLine="440" w:firstLineChars="200"/>
        <w:rPr>
          <w:rFonts w:ascii="宋体" w:eastAsia="宋体"/>
          <w:b w:val="0"/>
          <w:bCs w:val="0"/>
          <w:color w:val="auto"/>
          <w:sz w:val="22"/>
        </w:rPr>
      </w:pPr>
      <w:r>
        <w:rPr>
          <w:rFonts w:hint="eastAsia" w:ascii="宋体"/>
          <w:b w:val="0"/>
          <w:bCs w:val="0"/>
          <w:color w:val="auto"/>
          <w:sz w:val="22"/>
          <w:lang w:val="en-US" w:eastAsia="zh-CN"/>
        </w:rPr>
        <w:t>c</w:t>
      </w:r>
      <w:r>
        <w:rPr>
          <w:rFonts w:hint="eastAsia" w:ascii="宋体" w:eastAsia="宋体"/>
          <w:b w:val="0"/>
          <w:bCs w:val="0"/>
          <w:color w:val="auto"/>
          <w:sz w:val="22"/>
        </w:rPr>
        <w:t>.</w:t>
      </w:r>
      <w:r>
        <w:rPr>
          <w:rFonts w:ascii="宋体" w:eastAsia="宋体"/>
          <w:b w:val="0"/>
          <w:bCs w:val="0"/>
          <w:color w:val="auto"/>
          <w:sz w:val="22"/>
        </w:rPr>
        <w:t>投标人须提供设备的详细成套供货清单。</w:t>
      </w:r>
    </w:p>
    <w:p w14:paraId="3996048C">
      <w:pPr>
        <w:adjustRightInd w:val="0"/>
        <w:snapToGrid w:val="0"/>
        <w:spacing w:line="360" w:lineRule="auto"/>
        <w:ind w:firstLine="440" w:firstLineChars="200"/>
        <w:rPr>
          <w:rFonts w:ascii="宋体" w:eastAsia="宋体"/>
          <w:b w:val="0"/>
          <w:bCs w:val="0"/>
          <w:color w:val="auto"/>
          <w:sz w:val="22"/>
        </w:rPr>
      </w:pPr>
      <w:r>
        <w:rPr>
          <w:rFonts w:hint="eastAsia" w:ascii="宋体"/>
          <w:b w:val="0"/>
          <w:bCs w:val="0"/>
          <w:color w:val="auto"/>
          <w:sz w:val="22"/>
          <w:lang w:val="en-US" w:eastAsia="zh-CN"/>
        </w:rPr>
        <w:t>3</w:t>
      </w:r>
      <w:r>
        <w:rPr>
          <w:rFonts w:hint="eastAsia" w:ascii="宋体" w:eastAsia="宋体"/>
          <w:b w:val="0"/>
          <w:bCs w:val="0"/>
          <w:color w:val="auto"/>
          <w:sz w:val="22"/>
        </w:rPr>
        <w:t>）</w:t>
      </w:r>
      <w:r>
        <w:rPr>
          <w:rFonts w:ascii="宋体" w:eastAsia="宋体"/>
          <w:b w:val="0"/>
          <w:bCs w:val="0"/>
          <w:color w:val="auto"/>
          <w:sz w:val="22"/>
        </w:rPr>
        <w:t>设备的测试和试运行</w:t>
      </w:r>
    </w:p>
    <w:p w14:paraId="4964F0AE">
      <w:pPr>
        <w:adjustRightInd w:val="0"/>
        <w:snapToGrid w:val="0"/>
        <w:spacing w:line="360" w:lineRule="auto"/>
        <w:ind w:firstLine="440" w:firstLineChars="200"/>
        <w:rPr>
          <w:rFonts w:ascii="宋体" w:eastAsia="宋体"/>
          <w:b w:val="0"/>
          <w:bCs w:val="0"/>
          <w:color w:val="auto"/>
          <w:sz w:val="22"/>
        </w:rPr>
      </w:pPr>
      <w:r>
        <w:rPr>
          <w:rFonts w:hint="eastAsia" w:ascii="宋体" w:eastAsia="宋体"/>
          <w:b w:val="0"/>
          <w:bCs w:val="0"/>
          <w:color w:val="auto"/>
          <w:sz w:val="22"/>
        </w:rPr>
        <w:t>a.</w:t>
      </w:r>
      <w:r>
        <w:rPr>
          <w:rFonts w:ascii="宋体" w:eastAsia="宋体"/>
          <w:b w:val="0"/>
          <w:bCs w:val="0"/>
          <w:color w:val="auto"/>
          <w:sz w:val="22"/>
        </w:rPr>
        <w:t>工具、材料、仪器设备和劳务人员：投标人应派有丰富工作经验的工程师在现场负责测试和调试，以检测其设计、制造、运行效果等。并提供所有测试和调试所需的工具、材料、仪器和劳务人员。</w:t>
      </w:r>
    </w:p>
    <w:p w14:paraId="01B10F7B">
      <w:pPr>
        <w:adjustRightInd w:val="0"/>
        <w:snapToGrid w:val="0"/>
        <w:spacing w:line="360" w:lineRule="auto"/>
        <w:ind w:firstLine="440" w:firstLineChars="200"/>
        <w:rPr>
          <w:rFonts w:ascii="宋体" w:eastAsia="宋体"/>
          <w:b w:val="0"/>
          <w:bCs w:val="0"/>
          <w:color w:val="auto"/>
          <w:sz w:val="22"/>
        </w:rPr>
      </w:pPr>
      <w:r>
        <w:rPr>
          <w:rFonts w:hint="eastAsia" w:ascii="宋体" w:eastAsia="宋体"/>
          <w:b w:val="0"/>
          <w:bCs w:val="0"/>
          <w:color w:val="auto"/>
          <w:sz w:val="22"/>
        </w:rPr>
        <w:t>b.</w:t>
      </w:r>
      <w:r>
        <w:rPr>
          <w:rFonts w:ascii="宋体" w:eastAsia="宋体"/>
          <w:b w:val="0"/>
          <w:bCs w:val="0"/>
          <w:color w:val="auto"/>
          <w:sz w:val="22"/>
        </w:rPr>
        <w:t>程序和表格：投标人须提交测试和调试方法及记录表格给招标人。</w:t>
      </w:r>
    </w:p>
    <w:p w14:paraId="0B4FFE7D">
      <w:pPr>
        <w:adjustRightInd w:val="0"/>
        <w:snapToGrid w:val="0"/>
        <w:spacing w:line="360" w:lineRule="auto"/>
        <w:ind w:firstLine="440" w:firstLineChars="200"/>
        <w:rPr>
          <w:rFonts w:ascii="宋体" w:eastAsia="宋体"/>
          <w:b w:val="0"/>
          <w:bCs w:val="0"/>
          <w:color w:val="auto"/>
          <w:sz w:val="22"/>
        </w:rPr>
      </w:pPr>
      <w:r>
        <w:rPr>
          <w:rFonts w:hint="eastAsia" w:ascii="宋体" w:eastAsia="宋体"/>
          <w:b w:val="0"/>
          <w:bCs w:val="0"/>
          <w:color w:val="auto"/>
          <w:sz w:val="22"/>
        </w:rPr>
        <w:t>c.</w:t>
      </w:r>
      <w:r>
        <w:rPr>
          <w:rFonts w:ascii="宋体" w:eastAsia="宋体"/>
          <w:b w:val="0"/>
          <w:bCs w:val="0"/>
          <w:color w:val="auto"/>
          <w:sz w:val="22"/>
        </w:rPr>
        <w:t>测试：部分或全部测试需根据实际情况在安装期内或后进行。</w:t>
      </w:r>
    </w:p>
    <w:p w14:paraId="51549E1C">
      <w:pPr>
        <w:adjustRightInd w:val="0"/>
        <w:snapToGrid w:val="0"/>
        <w:spacing w:line="360" w:lineRule="auto"/>
        <w:ind w:firstLine="440" w:firstLineChars="200"/>
        <w:rPr>
          <w:rFonts w:ascii="宋体" w:eastAsia="宋体"/>
          <w:b w:val="0"/>
          <w:bCs w:val="0"/>
          <w:color w:val="auto"/>
          <w:sz w:val="22"/>
        </w:rPr>
      </w:pPr>
      <w:r>
        <w:rPr>
          <w:rFonts w:hint="eastAsia" w:ascii="宋体" w:eastAsia="宋体"/>
          <w:b w:val="0"/>
          <w:bCs w:val="0"/>
          <w:color w:val="auto"/>
          <w:sz w:val="22"/>
        </w:rPr>
        <w:t>d.</w:t>
      </w:r>
      <w:r>
        <w:rPr>
          <w:rFonts w:ascii="宋体" w:eastAsia="宋体"/>
          <w:b w:val="0"/>
          <w:bCs w:val="0"/>
          <w:color w:val="auto"/>
          <w:sz w:val="22"/>
        </w:rPr>
        <w:t>试运行：设备试运行应在有关部门及招标人有关人员的监督下进行。</w:t>
      </w:r>
    </w:p>
    <w:p w14:paraId="3DA66B62">
      <w:pPr>
        <w:adjustRightInd w:val="0"/>
        <w:snapToGrid w:val="0"/>
        <w:spacing w:line="360" w:lineRule="auto"/>
        <w:ind w:firstLine="440" w:firstLineChars="200"/>
        <w:rPr>
          <w:rFonts w:ascii="宋体" w:eastAsia="宋体"/>
          <w:b w:val="0"/>
          <w:bCs w:val="0"/>
          <w:color w:val="auto"/>
          <w:sz w:val="22"/>
        </w:rPr>
      </w:pPr>
      <w:r>
        <w:rPr>
          <w:rFonts w:hint="eastAsia" w:ascii="宋体"/>
          <w:b w:val="0"/>
          <w:bCs w:val="0"/>
          <w:color w:val="auto"/>
          <w:sz w:val="22"/>
          <w:lang w:val="en-US" w:eastAsia="zh-CN"/>
        </w:rPr>
        <w:t>4</w:t>
      </w:r>
      <w:r>
        <w:rPr>
          <w:rFonts w:hint="eastAsia" w:ascii="宋体" w:eastAsia="宋体"/>
          <w:b w:val="0"/>
          <w:bCs w:val="0"/>
          <w:color w:val="auto"/>
          <w:sz w:val="22"/>
        </w:rPr>
        <w:t>）</w:t>
      </w:r>
      <w:r>
        <w:rPr>
          <w:rFonts w:ascii="宋体" w:eastAsia="宋体"/>
          <w:b w:val="0"/>
          <w:bCs w:val="0"/>
          <w:color w:val="auto"/>
          <w:sz w:val="22"/>
        </w:rPr>
        <w:t>设备验收</w:t>
      </w:r>
    </w:p>
    <w:p w14:paraId="09743959">
      <w:pPr>
        <w:adjustRightInd w:val="0"/>
        <w:snapToGrid w:val="0"/>
        <w:spacing w:line="360" w:lineRule="auto"/>
        <w:ind w:firstLine="440" w:firstLineChars="200"/>
        <w:rPr>
          <w:rFonts w:ascii="宋体" w:eastAsia="宋体"/>
          <w:b w:val="0"/>
          <w:bCs w:val="0"/>
          <w:color w:val="auto"/>
          <w:sz w:val="22"/>
        </w:rPr>
      </w:pPr>
      <w:r>
        <w:rPr>
          <w:rFonts w:hint="eastAsia" w:ascii="宋体" w:eastAsia="宋体"/>
          <w:b w:val="0"/>
          <w:bCs w:val="0"/>
          <w:color w:val="auto"/>
          <w:sz w:val="22"/>
        </w:rPr>
        <w:t>验收合格条件：</w:t>
      </w:r>
    </w:p>
    <w:p w14:paraId="53524685">
      <w:pPr>
        <w:adjustRightInd w:val="0"/>
        <w:snapToGrid w:val="0"/>
        <w:spacing w:line="360" w:lineRule="auto"/>
        <w:ind w:firstLine="440" w:firstLineChars="200"/>
        <w:rPr>
          <w:rFonts w:ascii="宋体" w:eastAsia="宋体"/>
          <w:b w:val="0"/>
          <w:bCs w:val="0"/>
          <w:color w:val="auto"/>
          <w:sz w:val="22"/>
        </w:rPr>
      </w:pPr>
      <w:r>
        <w:rPr>
          <w:rFonts w:hint="eastAsia" w:ascii="宋体" w:eastAsia="宋体"/>
          <w:b w:val="0"/>
          <w:bCs w:val="0"/>
          <w:color w:val="auto"/>
          <w:sz w:val="22"/>
        </w:rPr>
        <w:t>a.</w:t>
      </w:r>
      <w:r>
        <w:rPr>
          <w:rFonts w:ascii="宋体" w:eastAsia="宋体"/>
          <w:b w:val="0"/>
          <w:bCs w:val="0"/>
          <w:color w:val="auto"/>
          <w:sz w:val="22"/>
        </w:rPr>
        <w:t>运行结果符合产品标准和技术规格书及合同要求。</w:t>
      </w:r>
    </w:p>
    <w:p w14:paraId="12084599">
      <w:pPr>
        <w:adjustRightInd w:val="0"/>
        <w:snapToGrid w:val="0"/>
        <w:spacing w:line="360" w:lineRule="auto"/>
        <w:ind w:firstLine="440" w:firstLineChars="200"/>
        <w:rPr>
          <w:rFonts w:ascii="宋体" w:eastAsia="宋体"/>
          <w:b w:val="0"/>
          <w:bCs w:val="0"/>
          <w:color w:val="auto"/>
          <w:sz w:val="22"/>
        </w:rPr>
      </w:pPr>
      <w:r>
        <w:rPr>
          <w:rFonts w:hint="eastAsia" w:ascii="宋体"/>
          <w:b w:val="0"/>
          <w:bCs w:val="0"/>
          <w:color w:val="auto"/>
          <w:sz w:val="22"/>
          <w:lang w:val="en-US" w:eastAsia="zh-CN"/>
        </w:rPr>
        <w:t>b</w:t>
      </w:r>
      <w:r>
        <w:rPr>
          <w:rFonts w:hint="eastAsia" w:ascii="宋体" w:eastAsia="宋体"/>
          <w:b w:val="0"/>
          <w:bCs w:val="0"/>
          <w:color w:val="auto"/>
          <w:sz w:val="22"/>
        </w:rPr>
        <w:t>.</w:t>
      </w:r>
      <w:r>
        <w:rPr>
          <w:rFonts w:ascii="宋体" w:eastAsia="宋体"/>
          <w:b w:val="0"/>
          <w:bCs w:val="0"/>
          <w:color w:val="auto"/>
          <w:sz w:val="22"/>
        </w:rPr>
        <w:t>所有合同中规定的货物、材料和技术文件都已提交。</w:t>
      </w:r>
    </w:p>
    <w:p w14:paraId="77527420">
      <w:pPr>
        <w:adjustRightInd w:val="0"/>
        <w:snapToGrid w:val="0"/>
        <w:spacing w:line="360" w:lineRule="auto"/>
        <w:ind w:firstLine="440" w:firstLineChars="200"/>
        <w:rPr>
          <w:rFonts w:ascii="宋体" w:eastAsia="宋体"/>
          <w:b w:val="0"/>
          <w:bCs w:val="0"/>
          <w:color w:val="auto"/>
          <w:sz w:val="22"/>
        </w:rPr>
      </w:pPr>
      <w:r>
        <w:rPr>
          <w:rFonts w:hint="eastAsia" w:ascii="宋体"/>
          <w:b w:val="0"/>
          <w:bCs w:val="0"/>
          <w:color w:val="auto"/>
          <w:sz w:val="22"/>
          <w:lang w:val="en-US" w:eastAsia="zh-CN"/>
        </w:rPr>
        <w:t>c</w:t>
      </w:r>
      <w:r>
        <w:rPr>
          <w:rFonts w:hint="eastAsia" w:ascii="宋体" w:eastAsia="宋体"/>
          <w:b w:val="0"/>
          <w:bCs w:val="0"/>
          <w:color w:val="auto"/>
          <w:sz w:val="22"/>
        </w:rPr>
        <w:t>.</w:t>
      </w:r>
      <w:r>
        <w:rPr>
          <w:rFonts w:ascii="宋体" w:eastAsia="宋体"/>
          <w:b w:val="0"/>
          <w:bCs w:val="0"/>
          <w:color w:val="auto"/>
          <w:sz w:val="22"/>
        </w:rPr>
        <w:t>设备在交由招标人使用之前己通过有关部门及业主的验收并得到使用证书。</w:t>
      </w:r>
    </w:p>
    <w:p w14:paraId="19B7986D">
      <w:pPr>
        <w:adjustRightInd w:val="0"/>
        <w:snapToGrid w:val="0"/>
        <w:spacing w:line="360" w:lineRule="auto"/>
        <w:ind w:firstLine="440" w:firstLineChars="200"/>
        <w:rPr>
          <w:rFonts w:ascii="宋体" w:eastAsia="宋体"/>
          <w:b w:val="0"/>
          <w:bCs w:val="0"/>
          <w:color w:val="auto"/>
          <w:sz w:val="22"/>
        </w:rPr>
      </w:pPr>
      <w:r>
        <w:rPr>
          <w:rFonts w:hint="eastAsia" w:ascii="宋体"/>
          <w:b w:val="0"/>
          <w:bCs w:val="0"/>
          <w:color w:val="auto"/>
          <w:sz w:val="22"/>
          <w:lang w:val="en-US" w:eastAsia="zh-CN"/>
        </w:rPr>
        <w:t>5</w:t>
      </w:r>
      <w:r>
        <w:rPr>
          <w:rFonts w:hint="eastAsia" w:ascii="宋体" w:eastAsia="宋体"/>
          <w:b w:val="0"/>
          <w:bCs w:val="0"/>
          <w:color w:val="auto"/>
          <w:sz w:val="22"/>
        </w:rPr>
        <w:t>）</w:t>
      </w:r>
      <w:r>
        <w:rPr>
          <w:rFonts w:ascii="宋体" w:eastAsia="宋体"/>
          <w:b w:val="0"/>
          <w:bCs w:val="0"/>
          <w:color w:val="auto"/>
          <w:sz w:val="22"/>
        </w:rPr>
        <w:t>技术培训</w:t>
      </w:r>
    </w:p>
    <w:p w14:paraId="7E9BB7B0">
      <w:pPr>
        <w:adjustRightInd w:val="0"/>
        <w:snapToGrid w:val="0"/>
        <w:spacing w:line="360" w:lineRule="auto"/>
        <w:ind w:firstLine="440" w:firstLineChars="200"/>
        <w:rPr>
          <w:rFonts w:ascii="宋体" w:eastAsia="宋体"/>
          <w:b w:val="0"/>
          <w:bCs w:val="0"/>
          <w:color w:val="auto"/>
          <w:sz w:val="22"/>
          <w:highlight w:val="none"/>
        </w:rPr>
      </w:pPr>
      <w:r>
        <w:rPr>
          <w:rFonts w:ascii="宋体" w:eastAsia="宋体"/>
          <w:b w:val="0"/>
          <w:bCs w:val="0"/>
          <w:color w:val="auto"/>
          <w:sz w:val="22"/>
          <w:highlight w:val="none"/>
        </w:rPr>
        <w:t>中标人须对招标人的技术人员、维修人员及操作人员进行免费培训。投标人须在投标文件中提供详细的培训计划，包括培训内容、培训时间等。</w:t>
      </w:r>
    </w:p>
    <w:p w14:paraId="010D309E">
      <w:pPr>
        <w:adjustRightInd w:val="0"/>
        <w:snapToGrid w:val="0"/>
        <w:spacing w:line="360" w:lineRule="auto"/>
        <w:ind w:firstLine="440" w:firstLineChars="200"/>
        <w:rPr>
          <w:rFonts w:ascii="宋体" w:eastAsia="宋体"/>
          <w:b w:val="0"/>
          <w:bCs w:val="0"/>
          <w:color w:val="auto"/>
          <w:sz w:val="22"/>
        </w:rPr>
      </w:pPr>
      <w:r>
        <w:rPr>
          <w:rFonts w:hint="eastAsia" w:ascii="宋体"/>
          <w:b w:val="0"/>
          <w:bCs w:val="0"/>
          <w:color w:val="auto"/>
          <w:sz w:val="22"/>
          <w:lang w:val="en-US" w:eastAsia="zh-CN"/>
        </w:rPr>
        <w:t>6</w:t>
      </w:r>
      <w:r>
        <w:rPr>
          <w:rFonts w:hint="eastAsia" w:ascii="宋体" w:eastAsia="宋体"/>
          <w:b w:val="0"/>
          <w:bCs w:val="0"/>
          <w:color w:val="auto"/>
          <w:sz w:val="22"/>
        </w:rPr>
        <w:t>）</w:t>
      </w:r>
      <w:r>
        <w:rPr>
          <w:rFonts w:ascii="宋体" w:eastAsia="宋体"/>
          <w:b w:val="0"/>
          <w:bCs w:val="0"/>
          <w:color w:val="auto"/>
          <w:sz w:val="22"/>
        </w:rPr>
        <w:t>售后服务</w:t>
      </w:r>
    </w:p>
    <w:p w14:paraId="6CDE651A">
      <w:pPr>
        <w:adjustRightInd w:val="0"/>
        <w:snapToGrid w:val="0"/>
        <w:spacing w:line="360" w:lineRule="auto"/>
        <w:ind w:firstLine="440" w:firstLineChars="200"/>
        <w:rPr>
          <w:rFonts w:ascii="宋体" w:eastAsia="宋体"/>
          <w:b w:val="0"/>
          <w:bCs w:val="0"/>
          <w:color w:val="auto"/>
          <w:sz w:val="22"/>
        </w:rPr>
      </w:pPr>
      <w:r>
        <w:rPr>
          <w:rFonts w:hint="eastAsia" w:ascii="宋体" w:eastAsia="宋体"/>
          <w:b w:val="0"/>
          <w:bCs w:val="0"/>
          <w:color w:val="auto"/>
          <w:sz w:val="22"/>
        </w:rPr>
        <w:t>a.</w:t>
      </w:r>
      <w:r>
        <w:rPr>
          <w:rFonts w:ascii="宋体" w:eastAsia="宋体"/>
          <w:b w:val="0"/>
          <w:bCs w:val="0"/>
          <w:color w:val="auto"/>
          <w:sz w:val="22"/>
        </w:rPr>
        <w:t>维修人员接到维修电话后须尽快赶到现场。维修点需提供足够的备件以适应维修需求。投标人须在投标文件中说明维修点地址，以及接到故障通知后几小时内响应。</w:t>
      </w:r>
    </w:p>
    <w:p w14:paraId="74D640BD">
      <w:pPr>
        <w:adjustRightInd w:val="0"/>
        <w:snapToGrid w:val="0"/>
        <w:spacing w:line="360" w:lineRule="auto"/>
        <w:ind w:firstLine="440" w:firstLineChars="200"/>
        <w:rPr>
          <w:rFonts w:ascii="宋体" w:eastAsia="宋体"/>
          <w:b w:val="0"/>
          <w:bCs w:val="0"/>
          <w:color w:val="auto"/>
          <w:sz w:val="22"/>
        </w:rPr>
      </w:pPr>
      <w:r>
        <w:rPr>
          <w:rFonts w:hint="eastAsia" w:ascii="宋体" w:eastAsia="宋体"/>
          <w:b w:val="0"/>
          <w:bCs w:val="0"/>
          <w:color w:val="auto"/>
          <w:sz w:val="22"/>
        </w:rPr>
        <w:t>b.</w:t>
      </w:r>
      <w:r>
        <w:rPr>
          <w:rFonts w:ascii="宋体" w:eastAsia="宋体"/>
          <w:b w:val="0"/>
          <w:bCs w:val="0"/>
          <w:color w:val="auto"/>
          <w:sz w:val="22"/>
        </w:rPr>
        <w:t>投标人须对合同中规定的整套设备正式使用后提供至少 2年的质保期。</w:t>
      </w:r>
    </w:p>
    <w:p w14:paraId="379FDA35">
      <w:pPr>
        <w:adjustRightInd w:val="0"/>
        <w:snapToGrid w:val="0"/>
        <w:spacing w:line="360" w:lineRule="auto"/>
        <w:ind w:firstLine="440" w:firstLineChars="200"/>
        <w:rPr>
          <w:rFonts w:ascii="宋体" w:eastAsia="宋体"/>
          <w:b w:val="0"/>
          <w:bCs w:val="0"/>
          <w:color w:val="auto"/>
          <w:sz w:val="22"/>
        </w:rPr>
      </w:pPr>
      <w:r>
        <w:rPr>
          <w:rFonts w:hint="eastAsia" w:ascii="宋体" w:eastAsia="宋体"/>
          <w:b w:val="0"/>
          <w:bCs w:val="0"/>
          <w:color w:val="auto"/>
          <w:sz w:val="22"/>
        </w:rPr>
        <w:t>c.</w:t>
      </w:r>
      <w:r>
        <w:rPr>
          <w:rFonts w:ascii="宋体" w:eastAsia="宋体"/>
          <w:b w:val="0"/>
          <w:bCs w:val="0"/>
          <w:color w:val="auto"/>
          <w:sz w:val="22"/>
        </w:rPr>
        <w:t>在质保期内的工作应包括对所有设备常规检查、调整和润滑。具体的操作程序和内容须在投标时说明。</w:t>
      </w:r>
    </w:p>
    <w:p w14:paraId="259CF1C3">
      <w:pPr>
        <w:adjustRightInd w:val="0"/>
        <w:snapToGrid w:val="0"/>
        <w:spacing w:line="360" w:lineRule="auto"/>
        <w:ind w:firstLine="440" w:firstLineChars="200"/>
        <w:rPr>
          <w:rFonts w:ascii="宋体" w:eastAsia="宋体"/>
          <w:b w:val="0"/>
          <w:bCs w:val="0"/>
          <w:color w:val="auto"/>
          <w:sz w:val="22"/>
        </w:rPr>
      </w:pPr>
      <w:r>
        <w:rPr>
          <w:rFonts w:hint="eastAsia" w:ascii="宋体" w:eastAsia="宋体"/>
          <w:b w:val="0"/>
          <w:bCs w:val="0"/>
          <w:color w:val="auto"/>
          <w:sz w:val="22"/>
        </w:rPr>
        <w:t>d.</w:t>
      </w:r>
      <w:r>
        <w:rPr>
          <w:rFonts w:ascii="宋体" w:eastAsia="宋体"/>
          <w:b w:val="0"/>
          <w:bCs w:val="0"/>
          <w:color w:val="auto"/>
          <w:sz w:val="22"/>
        </w:rPr>
        <w:t>在质保期结束时，须由专业工程师对设备进行另一次测试，任何故障须由投标人自费解决并取得招标人的同意。解决后，投标人需一式两份报告给招标人，包括故障原因，解决措施，完成修理所费时间及恢复正常运行日期。</w:t>
      </w:r>
    </w:p>
    <w:p w14:paraId="5BE5BFC2">
      <w:pPr>
        <w:adjustRightInd w:val="0"/>
        <w:snapToGrid w:val="0"/>
        <w:spacing w:line="360" w:lineRule="auto"/>
        <w:ind w:firstLine="440" w:firstLineChars="200"/>
        <w:rPr>
          <w:rFonts w:ascii="宋体" w:eastAsia="宋体"/>
          <w:b w:val="0"/>
          <w:bCs w:val="0"/>
          <w:color w:val="auto"/>
          <w:sz w:val="22"/>
        </w:rPr>
      </w:pPr>
      <w:r>
        <w:rPr>
          <w:rFonts w:hint="eastAsia" w:ascii="宋体"/>
          <w:b w:val="0"/>
          <w:bCs w:val="0"/>
          <w:color w:val="auto"/>
          <w:sz w:val="22"/>
          <w:lang w:val="en-US" w:eastAsia="zh-CN"/>
        </w:rPr>
        <w:t>7</w:t>
      </w:r>
      <w:r>
        <w:rPr>
          <w:rFonts w:hint="eastAsia" w:ascii="宋体" w:eastAsia="宋体"/>
          <w:b w:val="0"/>
          <w:bCs w:val="0"/>
          <w:color w:val="auto"/>
          <w:sz w:val="22"/>
        </w:rPr>
        <w:t>）</w:t>
      </w:r>
      <w:r>
        <w:rPr>
          <w:rFonts w:ascii="宋体" w:eastAsia="宋体"/>
          <w:b w:val="0"/>
          <w:bCs w:val="0"/>
          <w:color w:val="auto"/>
          <w:sz w:val="22"/>
        </w:rPr>
        <w:t>所需提供资料</w:t>
      </w:r>
    </w:p>
    <w:p w14:paraId="0B62044F">
      <w:pPr>
        <w:adjustRightInd w:val="0"/>
        <w:snapToGrid w:val="0"/>
        <w:spacing w:line="360" w:lineRule="auto"/>
        <w:ind w:firstLine="440" w:firstLineChars="200"/>
        <w:rPr>
          <w:rFonts w:ascii="宋体" w:eastAsia="宋体"/>
          <w:b w:val="0"/>
          <w:bCs w:val="0"/>
          <w:color w:val="auto"/>
          <w:sz w:val="22"/>
        </w:rPr>
      </w:pPr>
      <w:r>
        <w:rPr>
          <w:rFonts w:hint="eastAsia" w:ascii="宋体" w:eastAsia="宋体"/>
          <w:b w:val="0"/>
          <w:bCs w:val="0"/>
          <w:color w:val="auto"/>
          <w:sz w:val="22"/>
        </w:rPr>
        <w:t>a.</w:t>
      </w:r>
      <w:r>
        <w:rPr>
          <w:rFonts w:ascii="宋体" w:eastAsia="宋体"/>
          <w:b w:val="0"/>
          <w:bCs w:val="0"/>
          <w:color w:val="auto"/>
          <w:sz w:val="22"/>
        </w:rPr>
        <w:t>一般要求</w:t>
      </w:r>
    </w:p>
    <w:p w14:paraId="3A9B0151">
      <w:pPr>
        <w:adjustRightInd w:val="0"/>
        <w:snapToGrid w:val="0"/>
        <w:spacing w:line="360" w:lineRule="auto"/>
        <w:ind w:firstLine="440" w:firstLineChars="200"/>
        <w:rPr>
          <w:rFonts w:ascii="宋体" w:eastAsia="宋体"/>
          <w:b w:val="0"/>
          <w:bCs w:val="0"/>
          <w:color w:val="auto"/>
          <w:sz w:val="22"/>
        </w:rPr>
      </w:pPr>
      <w:r>
        <w:rPr>
          <w:rFonts w:ascii="宋体" w:eastAsia="宋体"/>
          <w:b w:val="0"/>
          <w:bCs w:val="0"/>
          <w:color w:val="auto"/>
          <w:sz w:val="22"/>
        </w:rPr>
        <w:t>提交的图纸文件应使用国家法定单位制，并清楚、完整。</w:t>
      </w:r>
    </w:p>
    <w:p w14:paraId="2A7BFADF">
      <w:pPr>
        <w:adjustRightInd w:val="0"/>
        <w:snapToGrid w:val="0"/>
        <w:spacing w:line="360" w:lineRule="auto"/>
        <w:ind w:firstLine="440" w:firstLineChars="200"/>
        <w:rPr>
          <w:rFonts w:ascii="宋体" w:eastAsia="宋体"/>
          <w:b w:val="0"/>
          <w:bCs w:val="0"/>
          <w:color w:val="auto"/>
          <w:sz w:val="22"/>
        </w:rPr>
      </w:pPr>
      <w:r>
        <w:rPr>
          <w:rFonts w:ascii="宋体" w:eastAsia="宋体"/>
          <w:b w:val="0"/>
          <w:bCs w:val="0"/>
          <w:color w:val="auto"/>
          <w:sz w:val="22"/>
        </w:rPr>
        <w:t>只有由招标人认可的图纸及相关文件允许应用在工程实施过程中，如出现任何修改须得到招标人批准。</w:t>
      </w:r>
    </w:p>
    <w:p w14:paraId="0CE8A3D2">
      <w:pPr>
        <w:adjustRightInd w:val="0"/>
        <w:snapToGrid w:val="0"/>
        <w:spacing w:line="360" w:lineRule="auto"/>
        <w:ind w:firstLine="440" w:firstLineChars="200"/>
        <w:rPr>
          <w:rFonts w:ascii="宋体" w:eastAsia="宋体"/>
          <w:b w:val="0"/>
          <w:bCs w:val="0"/>
          <w:color w:val="auto"/>
          <w:sz w:val="22"/>
        </w:rPr>
      </w:pPr>
      <w:r>
        <w:rPr>
          <w:rFonts w:ascii="宋体" w:eastAsia="宋体"/>
          <w:b w:val="0"/>
          <w:bCs w:val="0"/>
          <w:color w:val="auto"/>
          <w:sz w:val="22"/>
        </w:rPr>
        <w:t xml:space="preserve">投标人设计图纸及技术文件在取得招标人认可后，并不会以任何方式减少投标人对合同执行的责任和义务。 </w:t>
      </w:r>
    </w:p>
    <w:p w14:paraId="771D43A9">
      <w:pPr>
        <w:adjustRightInd w:val="0"/>
        <w:snapToGrid w:val="0"/>
        <w:spacing w:line="360" w:lineRule="auto"/>
        <w:ind w:firstLine="440" w:firstLineChars="200"/>
        <w:rPr>
          <w:rFonts w:ascii="宋体" w:eastAsia="宋体"/>
          <w:b w:val="0"/>
          <w:bCs w:val="0"/>
          <w:color w:val="auto"/>
          <w:sz w:val="22"/>
        </w:rPr>
      </w:pPr>
      <w:r>
        <w:rPr>
          <w:rFonts w:ascii="宋体" w:eastAsia="宋体"/>
          <w:b w:val="0"/>
          <w:bCs w:val="0"/>
          <w:color w:val="auto"/>
          <w:sz w:val="22"/>
        </w:rPr>
        <w:t>投标人应对合同中提供的设备的主要部件建立质量保证计划。</w:t>
      </w:r>
    </w:p>
    <w:p w14:paraId="6FB1A06D">
      <w:pPr>
        <w:adjustRightInd w:val="0"/>
        <w:snapToGrid w:val="0"/>
        <w:spacing w:line="360" w:lineRule="auto"/>
        <w:ind w:firstLine="440" w:firstLineChars="200"/>
        <w:rPr>
          <w:rFonts w:ascii="宋体" w:eastAsia="宋体"/>
          <w:b w:val="0"/>
          <w:bCs w:val="0"/>
          <w:color w:val="auto"/>
          <w:sz w:val="22"/>
        </w:rPr>
      </w:pPr>
      <w:r>
        <w:rPr>
          <w:rFonts w:hint="eastAsia" w:ascii="宋体" w:eastAsia="宋体"/>
          <w:b w:val="0"/>
          <w:bCs w:val="0"/>
          <w:color w:val="auto"/>
          <w:sz w:val="22"/>
        </w:rPr>
        <w:t>b.</w:t>
      </w:r>
      <w:r>
        <w:rPr>
          <w:rFonts w:ascii="宋体" w:eastAsia="宋体"/>
          <w:b w:val="0"/>
          <w:bCs w:val="0"/>
          <w:color w:val="auto"/>
          <w:sz w:val="22"/>
        </w:rPr>
        <w:t>文件及资料的提交</w:t>
      </w:r>
    </w:p>
    <w:p w14:paraId="4C96C30B">
      <w:pPr>
        <w:adjustRightInd w:val="0"/>
        <w:snapToGrid w:val="0"/>
        <w:spacing w:line="360" w:lineRule="auto"/>
        <w:ind w:firstLine="440" w:firstLineChars="200"/>
        <w:rPr>
          <w:rFonts w:ascii="宋体" w:eastAsia="宋体"/>
          <w:b w:val="0"/>
          <w:bCs w:val="0"/>
          <w:color w:val="auto"/>
          <w:sz w:val="22"/>
        </w:rPr>
      </w:pPr>
      <w:r>
        <w:rPr>
          <w:rFonts w:ascii="宋体" w:eastAsia="宋体"/>
          <w:b w:val="0"/>
          <w:bCs w:val="0"/>
          <w:color w:val="auto"/>
          <w:sz w:val="22"/>
        </w:rPr>
        <w:t>投标过程中投标人应根据招标书提出的设计条件、技术要求、供货范围、保证条件等提供完整的标书文件和图纸资料。</w:t>
      </w:r>
    </w:p>
    <w:p w14:paraId="34E6C2FC">
      <w:pPr>
        <w:adjustRightInd w:val="0"/>
        <w:snapToGrid w:val="0"/>
        <w:spacing w:line="360" w:lineRule="auto"/>
        <w:ind w:firstLine="440" w:firstLineChars="200"/>
        <w:rPr>
          <w:rFonts w:ascii="宋体" w:eastAsia="宋体"/>
          <w:b w:val="0"/>
          <w:bCs w:val="0"/>
          <w:color w:val="auto"/>
          <w:sz w:val="22"/>
        </w:rPr>
      </w:pPr>
      <w:r>
        <w:rPr>
          <w:rFonts w:ascii="宋体" w:eastAsia="宋体"/>
          <w:b w:val="0"/>
          <w:bCs w:val="0"/>
          <w:color w:val="auto"/>
          <w:sz w:val="22"/>
        </w:rPr>
        <w:t>技术协议与合同签定后提交的资料：</w:t>
      </w:r>
    </w:p>
    <w:p w14:paraId="0CC27A57">
      <w:pPr>
        <w:adjustRightInd w:val="0"/>
        <w:snapToGrid w:val="0"/>
        <w:spacing w:line="360" w:lineRule="auto"/>
        <w:ind w:firstLine="440" w:firstLineChars="200"/>
        <w:rPr>
          <w:rFonts w:ascii="宋体" w:eastAsia="宋体"/>
          <w:b w:val="0"/>
          <w:bCs w:val="0"/>
          <w:color w:val="auto"/>
          <w:sz w:val="22"/>
        </w:rPr>
      </w:pPr>
      <w:r>
        <w:rPr>
          <w:rFonts w:hint="eastAsia" w:ascii="宋体" w:eastAsia="宋体"/>
          <w:b w:val="0"/>
          <w:bCs w:val="0"/>
          <w:color w:val="auto"/>
          <w:sz w:val="22"/>
        </w:rPr>
        <w:t>b.1</w:t>
      </w:r>
      <w:r>
        <w:rPr>
          <w:rFonts w:ascii="宋体" w:eastAsia="宋体"/>
          <w:b w:val="0"/>
          <w:bCs w:val="0"/>
          <w:color w:val="auto"/>
          <w:sz w:val="22"/>
        </w:rPr>
        <w:t>招标方与中标人签订合同后，中标人须按建设进度要求提供下列资料：</w:t>
      </w:r>
    </w:p>
    <w:p w14:paraId="45995971">
      <w:pPr>
        <w:adjustRightInd w:val="0"/>
        <w:snapToGrid w:val="0"/>
        <w:spacing w:line="360" w:lineRule="auto"/>
        <w:ind w:firstLine="440" w:firstLineChars="200"/>
        <w:rPr>
          <w:rFonts w:ascii="宋体" w:eastAsia="宋体"/>
          <w:b w:val="0"/>
          <w:bCs w:val="0"/>
          <w:color w:val="auto"/>
          <w:sz w:val="22"/>
        </w:rPr>
      </w:pPr>
      <w:r>
        <w:rPr>
          <w:rFonts w:ascii="宋体" w:eastAsia="宋体"/>
          <w:b w:val="0"/>
          <w:bCs w:val="0"/>
          <w:color w:val="auto"/>
          <w:sz w:val="22"/>
        </w:rPr>
        <w:t>•</w:t>
      </w:r>
      <w:r>
        <w:rPr>
          <w:rFonts w:ascii="宋体" w:eastAsia="宋体"/>
          <w:b w:val="0"/>
          <w:bCs w:val="0"/>
          <w:color w:val="auto"/>
          <w:sz w:val="22"/>
        </w:rPr>
        <w:tab/>
      </w:r>
      <w:r>
        <w:rPr>
          <w:rFonts w:ascii="宋体" w:eastAsia="宋体"/>
          <w:b w:val="0"/>
          <w:bCs w:val="0"/>
          <w:color w:val="auto"/>
          <w:sz w:val="22"/>
        </w:rPr>
        <w:t>系统图；</w:t>
      </w:r>
    </w:p>
    <w:p w14:paraId="2CF5766E">
      <w:pPr>
        <w:adjustRightInd w:val="0"/>
        <w:snapToGrid w:val="0"/>
        <w:spacing w:line="360" w:lineRule="auto"/>
        <w:ind w:firstLine="440" w:firstLineChars="200"/>
        <w:rPr>
          <w:rFonts w:ascii="宋体" w:eastAsia="宋体"/>
          <w:b w:val="0"/>
          <w:bCs w:val="0"/>
          <w:color w:val="auto"/>
          <w:sz w:val="22"/>
        </w:rPr>
      </w:pPr>
      <w:r>
        <w:rPr>
          <w:rFonts w:ascii="宋体" w:eastAsia="宋体"/>
          <w:b w:val="0"/>
          <w:bCs w:val="0"/>
          <w:color w:val="auto"/>
          <w:sz w:val="22"/>
        </w:rPr>
        <w:t>•</w:t>
      </w:r>
      <w:r>
        <w:rPr>
          <w:rFonts w:ascii="宋体" w:eastAsia="宋体"/>
          <w:b w:val="0"/>
          <w:bCs w:val="0"/>
          <w:color w:val="auto"/>
          <w:sz w:val="22"/>
        </w:rPr>
        <w:tab/>
      </w:r>
      <w:r>
        <w:rPr>
          <w:rFonts w:ascii="宋体" w:eastAsia="宋体"/>
          <w:b w:val="0"/>
          <w:bCs w:val="0"/>
          <w:color w:val="auto"/>
          <w:sz w:val="22"/>
        </w:rPr>
        <w:t>电路图；</w:t>
      </w:r>
    </w:p>
    <w:p w14:paraId="557EC2CF">
      <w:pPr>
        <w:adjustRightInd w:val="0"/>
        <w:snapToGrid w:val="0"/>
        <w:spacing w:line="360" w:lineRule="auto"/>
        <w:ind w:firstLine="440" w:firstLineChars="200"/>
        <w:rPr>
          <w:rFonts w:ascii="宋体" w:eastAsia="宋体"/>
          <w:b w:val="0"/>
          <w:bCs w:val="0"/>
          <w:color w:val="auto"/>
          <w:sz w:val="22"/>
        </w:rPr>
      </w:pPr>
      <w:r>
        <w:rPr>
          <w:rFonts w:ascii="宋体" w:eastAsia="宋体"/>
          <w:b w:val="0"/>
          <w:bCs w:val="0"/>
          <w:color w:val="auto"/>
          <w:sz w:val="22"/>
        </w:rPr>
        <w:t>•</w:t>
      </w:r>
      <w:r>
        <w:rPr>
          <w:rFonts w:ascii="宋体" w:eastAsia="宋体"/>
          <w:b w:val="0"/>
          <w:bCs w:val="0"/>
          <w:color w:val="auto"/>
          <w:sz w:val="22"/>
        </w:rPr>
        <w:tab/>
      </w:r>
      <w:r>
        <w:rPr>
          <w:rFonts w:ascii="宋体" w:eastAsia="宋体"/>
          <w:b w:val="0"/>
          <w:bCs w:val="0"/>
          <w:color w:val="auto"/>
          <w:sz w:val="22"/>
        </w:rPr>
        <w:t>接线图；</w:t>
      </w:r>
    </w:p>
    <w:p w14:paraId="77CD5AB7">
      <w:pPr>
        <w:adjustRightInd w:val="0"/>
        <w:snapToGrid w:val="0"/>
        <w:spacing w:line="360" w:lineRule="auto"/>
        <w:ind w:firstLine="440" w:firstLineChars="200"/>
        <w:rPr>
          <w:rFonts w:ascii="宋体" w:eastAsia="宋体"/>
          <w:b w:val="0"/>
          <w:bCs w:val="0"/>
          <w:color w:val="auto"/>
          <w:sz w:val="22"/>
        </w:rPr>
      </w:pPr>
      <w:r>
        <w:rPr>
          <w:rFonts w:ascii="宋体" w:eastAsia="宋体"/>
          <w:b w:val="0"/>
          <w:bCs w:val="0"/>
          <w:color w:val="auto"/>
          <w:sz w:val="22"/>
        </w:rPr>
        <w:t>•</w:t>
      </w:r>
      <w:r>
        <w:rPr>
          <w:rFonts w:ascii="宋体" w:eastAsia="宋体"/>
          <w:b w:val="0"/>
          <w:bCs w:val="0"/>
          <w:color w:val="auto"/>
          <w:sz w:val="22"/>
        </w:rPr>
        <w:tab/>
      </w:r>
      <w:r>
        <w:rPr>
          <w:rFonts w:ascii="宋体" w:eastAsia="宋体"/>
          <w:b w:val="0"/>
          <w:bCs w:val="0"/>
          <w:color w:val="auto"/>
          <w:sz w:val="22"/>
        </w:rPr>
        <w:t>招标人认为有必要提供的其他文件和技术资料。</w:t>
      </w:r>
    </w:p>
    <w:p w14:paraId="05AA1D88">
      <w:pPr>
        <w:adjustRightInd w:val="0"/>
        <w:snapToGrid w:val="0"/>
        <w:spacing w:line="360" w:lineRule="auto"/>
        <w:ind w:firstLine="440" w:firstLineChars="200"/>
        <w:rPr>
          <w:rFonts w:ascii="宋体" w:eastAsia="宋体"/>
          <w:b w:val="0"/>
          <w:bCs w:val="0"/>
          <w:color w:val="auto"/>
          <w:sz w:val="22"/>
        </w:rPr>
      </w:pPr>
      <w:r>
        <w:rPr>
          <w:rFonts w:hint="eastAsia" w:ascii="宋体" w:eastAsia="宋体"/>
          <w:b w:val="0"/>
          <w:bCs w:val="0"/>
          <w:color w:val="auto"/>
          <w:sz w:val="22"/>
        </w:rPr>
        <w:t>b.2</w:t>
      </w:r>
      <w:r>
        <w:rPr>
          <w:rFonts w:ascii="宋体" w:eastAsia="宋体"/>
          <w:b w:val="0"/>
          <w:bCs w:val="0"/>
          <w:color w:val="auto"/>
          <w:sz w:val="22"/>
        </w:rPr>
        <w:t>设计图纸要求：</w:t>
      </w:r>
    </w:p>
    <w:p w14:paraId="602AFC66">
      <w:pPr>
        <w:adjustRightInd w:val="0"/>
        <w:snapToGrid w:val="0"/>
        <w:spacing w:line="360" w:lineRule="auto"/>
        <w:ind w:firstLine="440" w:firstLineChars="200"/>
        <w:rPr>
          <w:rFonts w:ascii="宋体" w:eastAsia="宋体"/>
          <w:b w:val="0"/>
          <w:bCs w:val="0"/>
          <w:color w:val="auto"/>
          <w:sz w:val="22"/>
        </w:rPr>
      </w:pPr>
      <w:r>
        <w:rPr>
          <w:rFonts w:ascii="宋体" w:eastAsia="宋体"/>
          <w:b w:val="0"/>
          <w:bCs w:val="0"/>
          <w:color w:val="auto"/>
          <w:sz w:val="22"/>
        </w:rPr>
        <w:t>•</w:t>
      </w:r>
      <w:r>
        <w:rPr>
          <w:rFonts w:ascii="宋体" w:eastAsia="宋体"/>
          <w:b w:val="0"/>
          <w:bCs w:val="0"/>
          <w:color w:val="auto"/>
          <w:sz w:val="22"/>
        </w:rPr>
        <w:tab/>
      </w:r>
      <w:r>
        <w:rPr>
          <w:rFonts w:ascii="宋体" w:eastAsia="宋体"/>
          <w:b w:val="0"/>
          <w:bCs w:val="0"/>
          <w:color w:val="auto"/>
          <w:sz w:val="22"/>
        </w:rPr>
        <w:t>图纸一式四份需交审查并认可。</w:t>
      </w:r>
    </w:p>
    <w:p w14:paraId="58E24323">
      <w:pPr>
        <w:adjustRightInd w:val="0"/>
        <w:snapToGrid w:val="0"/>
        <w:spacing w:line="360" w:lineRule="auto"/>
        <w:ind w:firstLine="440" w:firstLineChars="200"/>
        <w:rPr>
          <w:rFonts w:ascii="宋体" w:eastAsia="宋体"/>
          <w:b w:val="0"/>
          <w:bCs w:val="0"/>
          <w:color w:val="auto"/>
          <w:sz w:val="22"/>
        </w:rPr>
      </w:pPr>
      <w:r>
        <w:rPr>
          <w:rFonts w:ascii="宋体" w:eastAsia="宋体"/>
          <w:b w:val="0"/>
          <w:bCs w:val="0"/>
          <w:color w:val="auto"/>
          <w:sz w:val="22"/>
        </w:rPr>
        <w:t>•</w:t>
      </w:r>
      <w:r>
        <w:rPr>
          <w:rFonts w:ascii="宋体" w:eastAsia="宋体"/>
          <w:b w:val="0"/>
          <w:bCs w:val="0"/>
          <w:color w:val="auto"/>
          <w:sz w:val="22"/>
        </w:rPr>
        <w:tab/>
      </w:r>
      <w:r>
        <w:rPr>
          <w:rFonts w:ascii="宋体" w:eastAsia="宋体"/>
          <w:b w:val="0"/>
          <w:bCs w:val="0"/>
          <w:color w:val="auto"/>
          <w:sz w:val="22"/>
        </w:rPr>
        <w:t>如果有任何图纸未被认可，须由投标人按招标人建议做好修改并再次送审直到认可。</w:t>
      </w:r>
    </w:p>
    <w:p w14:paraId="6682A1C7">
      <w:pPr>
        <w:adjustRightInd w:val="0"/>
        <w:snapToGrid w:val="0"/>
        <w:spacing w:line="360" w:lineRule="auto"/>
        <w:ind w:firstLine="440" w:firstLineChars="200"/>
        <w:rPr>
          <w:rFonts w:ascii="宋体" w:eastAsia="宋体"/>
          <w:b w:val="0"/>
          <w:bCs w:val="0"/>
          <w:color w:val="auto"/>
          <w:sz w:val="22"/>
        </w:rPr>
      </w:pPr>
      <w:r>
        <w:rPr>
          <w:rFonts w:hint="eastAsia" w:ascii="宋体" w:eastAsia="宋体"/>
          <w:b w:val="0"/>
          <w:bCs w:val="0"/>
          <w:color w:val="auto"/>
          <w:sz w:val="22"/>
        </w:rPr>
        <w:t>每本手册应包括下列基本材料：</w:t>
      </w:r>
    </w:p>
    <w:p w14:paraId="30B1CABE">
      <w:pPr>
        <w:adjustRightInd w:val="0"/>
        <w:snapToGrid w:val="0"/>
        <w:spacing w:line="360" w:lineRule="auto"/>
        <w:ind w:firstLine="440" w:firstLineChars="200"/>
        <w:rPr>
          <w:rFonts w:ascii="宋体" w:eastAsia="宋体"/>
          <w:b w:val="0"/>
          <w:bCs w:val="0"/>
          <w:color w:val="auto"/>
          <w:sz w:val="22"/>
        </w:rPr>
      </w:pPr>
      <w:r>
        <w:rPr>
          <w:rFonts w:ascii="宋体" w:eastAsia="宋体"/>
          <w:b w:val="0"/>
          <w:bCs w:val="0"/>
          <w:color w:val="auto"/>
          <w:sz w:val="22"/>
        </w:rPr>
        <w:t>•</w:t>
      </w:r>
      <w:r>
        <w:rPr>
          <w:rFonts w:ascii="宋体" w:eastAsia="宋体"/>
          <w:b w:val="0"/>
          <w:bCs w:val="0"/>
          <w:color w:val="auto"/>
          <w:sz w:val="22"/>
        </w:rPr>
        <w:tab/>
      </w:r>
      <w:r>
        <w:rPr>
          <w:rFonts w:ascii="宋体" w:eastAsia="宋体"/>
          <w:b w:val="0"/>
          <w:bCs w:val="0"/>
          <w:color w:val="auto"/>
          <w:sz w:val="22"/>
        </w:rPr>
        <w:t>所有设备规格和详细操作说明。</w:t>
      </w:r>
    </w:p>
    <w:p w14:paraId="6821196F">
      <w:pPr>
        <w:adjustRightInd w:val="0"/>
        <w:snapToGrid w:val="0"/>
        <w:spacing w:line="360" w:lineRule="auto"/>
        <w:ind w:firstLine="440" w:firstLineChars="200"/>
        <w:rPr>
          <w:rFonts w:ascii="宋体" w:eastAsia="宋体"/>
          <w:b w:val="0"/>
          <w:bCs w:val="0"/>
          <w:color w:val="auto"/>
          <w:sz w:val="22"/>
        </w:rPr>
      </w:pPr>
      <w:r>
        <w:rPr>
          <w:rFonts w:ascii="宋体" w:eastAsia="宋体"/>
          <w:b w:val="0"/>
          <w:bCs w:val="0"/>
          <w:color w:val="auto"/>
          <w:sz w:val="22"/>
        </w:rPr>
        <w:t>•</w:t>
      </w:r>
      <w:r>
        <w:rPr>
          <w:rFonts w:ascii="宋体" w:eastAsia="宋体"/>
          <w:b w:val="0"/>
          <w:bCs w:val="0"/>
          <w:color w:val="auto"/>
          <w:sz w:val="22"/>
        </w:rPr>
        <w:tab/>
      </w:r>
      <w:r>
        <w:rPr>
          <w:rFonts w:ascii="宋体" w:eastAsia="宋体"/>
          <w:b w:val="0"/>
          <w:bCs w:val="0"/>
          <w:color w:val="auto"/>
          <w:sz w:val="22"/>
        </w:rPr>
        <w:t>主要部件常见故障说明，包括零部件图和总图，说明书应包括备件清单、操作和维修方法。</w:t>
      </w:r>
    </w:p>
    <w:p w14:paraId="716EC173">
      <w:pPr>
        <w:adjustRightInd w:val="0"/>
        <w:snapToGrid w:val="0"/>
        <w:spacing w:line="360" w:lineRule="auto"/>
        <w:ind w:firstLine="442" w:firstLineChars="200"/>
        <w:rPr>
          <w:rFonts w:ascii="宋体" w:eastAsia="宋体"/>
          <w:b/>
          <w:bCs/>
          <w:color w:val="auto"/>
          <w:sz w:val="22"/>
        </w:rPr>
      </w:pPr>
      <w:r>
        <w:rPr>
          <w:rFonts w:hint="eastAsia" w:ascii="宋体"/>
          <w:b/>
          <w:bCs/>
          <w:color w:val="auto"/>
          <w:sz w:val="22"/>
          <w:lang w:val="en-US" w:eastAsia="zh-CN"/>
        </w:rPr>
        <w:t>8</w:t>
      </w:r>
      <w:r>
        <w:rPr>
          <w:rFonts w:hint="eastAsia" w:ascii="宋体" w:eastAsia="宋体"/>
          <w:b/>
          <w:bCs/>
          <w:color w:val="auto"/>
          <w:sz w:val="22"/>
        </w:rPr>
        <w:t>）</w:t>
      </w:r>
      <w:r>
        <w:rPr>
          <w:rFonts w:ascii="宋体" w:eastAsia="宋体"/>
          <w:b/>
          <w:bCs/>
          <w:color w:val="auto"/>
          <w:sz w:val="22"/>
        </w:rPr>
        <w:t>中标方项目服务期间发生的所有安全责任事故，由中标单位负全部责任。</w:t>
      </w:r>
    </w:p>
    <w:p w14:paraId="7C2BA80E">
      <w:pPr>
        <w:adjustRightInd w:val="0"/>
        <w:snapToGrid w:val="0"/>
        <w:spacing w:line="360" w:lineRule="auto"/>
        <w:ind w:firstLine="440" w:firstLineChars="200"/>
        <w:rPr>
          <w:rFonts w:ascii="宋体" w:eastAsia="宋体"/>
          <w:b w:val="0"/>
          <w:bCs w:val="0"/>
          <w:color w:val="auto"/>
          <w:sz w:val="22"/>
        </w:rPr>
      </w:pPr>
      <w:r>
        <w:rPr>
          <w:rFonts w:hint="eastAsia" w:ascii="宋体"/>
          <w:b w:val="0"/>
          <w:bCs w:val="0"/>
          <w:color w:val="auto"/>
          <w:sz w:val="22"/>
          <w:lang w:val="en-US" w:eastAsia="zh-CN"/>
        </w:rPr>
        <w:t>9</w:t>
      </w:r>
      <w:r>
        <w:rPr>
          <w:rFonts w:hint="eastAsia" w:ascii="宋体" w:eastAsia="宋体"/>
          <w:b w:val="0"/>
          <w:bCs w:val="0"/>
          <w:color w:val="auto"/>
          <w:sz w:val="22"/>
        </w:rPr>
        <w:t>）</w:t>
      </w:r>
      <w:r>
        <w:rPr>
          <w:rFonts w:ascii="宋体" w:eastAsia="宋体"/>
          <w:b w:val="0"/>
          <w:bCs w:val="0"/>
          <w:color w:val="auto"/>
          <w:sz w:val="22"/>
        </w:rPr>
        <w:t>本项目不得分包和转包。一经发现立即取消中标资格，作违约处理，并承担由此引起的一切经济损失。</w:t>
      </w:r>
    </w:p>
    <w:p w14:paraId="3CC4DADA">
      <w:pPr>
        <w:adjustRightInd w:val="0"/>
        <w:snapToGrid w:val="0"/>
        <w:spacing w:line="360" w:lineRule="auto"/>
        <w:ind w:firstLine="440" w:firstLineChars="200"/>
        <w:rPr>
          <w:rFonts w:ascii="宋体" w:eastAsia="宋体"/>
          <w:b w:val="0"/>
          <w:bCs w:val="0"/>
          <w:color w:val="auto"/>
          <w:sz w:val="22"/>
        </w:rPr>
      </w:pPr>
      <w:r>
        <w:rPr>
          <w:rFonts w:ascii="宋体" w:eastAsia="宋体"/>
          <w:b w:val="0"/>
          <w:bCs w:val="0"/>
          <w:color w:val="auto"/>
          <w:sz w:val="22"/>
        </w:rPr>
        <w:t>1</w:t>
      </w:r>
      <w:r>
        <w:rPr>
          <w:rFonts w:hint="eastAsia" w:ascii="宋体"/>
          <w:b w:val="0"/>
          <w:bCs w:val="0"/>
          <w:color w:val="auto"/>
          <w:sz w:val="22"/>
          <w:lang w:val="en-US" w:eastAsia="zh-CN"/>
        </w:rPr>
        <w:t>0</w:t>
      </w:r>
      <w:r>
        <w:rPr>
          <w:rFonts w:hint="eastAsia" w:ascii="宋体" w:eastAsia="宋体"/>
          <w:b w:val="0"/>
          <w:bCs w:val="0"/>
          <w:color w:val="auto"/>
          <w:sz w:val="22"/>
        </w:rPr>
        <w:t>）</w:t>
      </w:r>
      <w:r>
        <w:rPr>
          <w:rFonts w:ascii="宋体" w:eastAsia="宋体"/>
          <w:b w:val="0"/>
          <w:bCs w:val="0"/>
          <w:color w:val="auto"/>
          <w:sz w:val="22"/>
        </w:rPr>
        <w:t xml:space="preserve">本次招标由投标人进行报价。在进行报价时，投标单位须充分考虑本项目的特殊性和不可预见性在内的所有为完成本项目由此引起的费用等所需的各项应有费用。招标范围包含的所有内容的价格一次性包干。 </w:t>
      </w:r>
    </w:p>
    <w:p w14:paraId="27298FE8">
      <w:pPr>
        <w:adjustRightInd w:val="0"/>
        <w:snapToGrid w:val="0"/>
        <w:spacing w:line="360" w:lineRule="auto"/>
        <w:ind w:firstLine="440" w:firstLineChars="200"/>
        <w:rPr>
          <w:rFonts w:hint="eastAsia" w:ascii="宋体" w:eastAsia="宋体"/>
          <w:b w:val="0"/>
          <w:bCs w:val="0"/>
          <w:color w:val="auto"/>
          <w:sz w:val="22"/>
        </w:rPr>
      </w:pPr>
      <w:r>
        <w:rPr>
          <w:rFonts w:ascii="宋体" w:eastAsia="宋体"/>
          <w:b w:val="0"/>
          <w:bCs w:val="0"/>
          <w:color w:val="auto"/>
          <w:sz w:val="22"/>
        </w:rPr>
        <w:t>1</w:t>
      </w:r>
      <w:r>
        <w:rPr>
          <w:rFonts w:hint="eastAsia" w:ascii="宋体"/>
          <w:b w:val="0"/>
          <w:bCs w:val="0"/>
          <w:color w:val="auto"/>
          <w:sz w:val="22"/>
          <w:lang w:val="en-US" w:eastAsia="zh-CN"/>
        </w:rPr>
        <w:t>1</w:t>
      </w:r>
      <w:r>
        <w:rPr>
          <w:rFonts w:hint="eastAsia" w:ascii="宋体" w:eastAsia="宋体"/>
          <w:b w:val="0"/>
          <w:bCs w:val="0"/>
          <w:color w:val="auto"/>
          <w:sz w:val="22"/>
        </w:rPr>
        <w:t>）</w:t>
      </w:r>
      <w:r>
        <w:rPr>
          <w:rFonts w:ascii="宋体" w:eastAsia="宋体"/>
          <w:b w:val="0"/>
          <w:bCs w:val="0"/>
          <w:color w:val="auto"/>
          <w:sz w:val="22"/>
        </w:rPr>
        <w:t>中标人应严格按已确认的施工技术方案组织施工，并无条件地接受招标人对项目质量的监督和管理。对于招标人的意见需无条件相应。</w:t>
      </w:r>
    </w:p>
    <w:p w14:paraId="4DCD8B27">
      <w:pPr>
        <w:pStyle w:val="18"/>
        <w:rPr>
          <w:rFonts w:hint="eastAsia"/>
          <w:lang w:eastAsia="zh-CN"/>
        </w:rPr>
      </w:pPr>
    </w:p>
    <w:p w14:paraId="69695DBB">
      <w:pPr>
        <w:rPr>
          <w:rFonts w:hint="eastAsia"/>
          <w:lang w:eastAsia="zh-CN"/>
        </w:rPr>
      </w:pPr>
    </w:p>
    <w:p w14:paraId="0FFA4F9A">
      <w:pPr>
        <w:pStyle w:val="21"/>
        <w:rPr>
          <w:rFonts w:hint="eastAsia"/>
          <w:lang w:eastAsia="zh-CN"/>
        </w:rPr>
      </w:pPr>
    </w:p>
    <w:p w14:paraId="4F8202F0">
      <w:pPr>
        <w:pStyle w:val="18"/>
        <w:rPr>
          <w:rFonts w:hint="eastAsia"/>
          <w:lang w:eastAsia="zh-CN"/>
        </w:rPr>
      </w:pPr>
    </w:p>
    <w:p w14:paraId="0F1CC2B0">
      <w:pPr>
        <w:rPr>
          <w:rFonts w:hint="eastAsia"/>
          <w:lang w:eastAsia="zh-CN"/>
        </w:rPr>
      </w:pPr>
    </w:p>
    <w:p w14:paraId="3E1E2E25">
      <w:pPr>
        <w:pStyle w:val="21"/>
        <w:rPr>
          <w:rFonts w:hint="eastAsia"/>
          <w:lang w:eastAsia="zh-CN"/>
        </w:rPr>
      </w:pPr>
    </w:p>
    <w:p w14:paraId="05F7FE6A">
      <w:pPr>
        <w:pStyle w:val="18"/>
        <w:rPr>
          <w:rFonts w:hint="eastAsia"/>
          <w:lang w:eastAsia="zh-CN"/>
        </w:rPr>
      </w:pPr>
    </w:p>
    <w:p w14:paraId="31D1EF8C">
      <w:pPr>
        <w:pStyle w:val="18"/>
        <w:rPr>
          <w:rFonts w:hint="eastAsia"/>
          <w:lang w:eastAsia="zh-CN"/>
        </w:rPr>
      </w:pPr>
    </w:p>
    <w:p w14:paraId="788B1114">
      <w:pPr>
        <w:rPr>
          <w:rFonts w:hint="eastAsia"/>
          <w:lang w:eastAsia="zh-CN"/>
        </w:rPr>
      </w:pPr>
    </w:p>
    <w:p w14:paraId="14FF3089">
      <w:pPr>
        <w:pStyle w:val="21"/>
        <w:rPr>
          <w:rFonts w:hint="eastAsia"/>
          <w:lang w:eastAsia="zh-CN"/>
        </w:rPr>
      </w:pPr>
    </w:p>
    <w:p w14:paraId="12893ED5">
      <w:pPr>
        <w:pStyle w:val="18"/>
        <w:rPr>
          <w:rFonts w:hint="eastAsia"/>
          <w:lang w:eastAsia="zh-CN"/>
        </w:rPr>
      </w:pPr>
    </w:p>
    <w:p w14:paraId="14758A10">
      <w:pPr>
        <w:rPr>
          <w:rFonts w:hint="eastAsia"/>
          <w:lang w:eastAsia="zh-CN"/>
        </w:rPr>
      </w:pPr>
    </w:p>
    <w:p w14:paraId="058CAE7E">
      <w:pPr>
        <w:pStyle w:val="21"/>
        <w:rPr>
          <w:rFonts w:hint="eastAsia"/>
          <w:lang w:eastAsia="zh-CN"/>
        </w:rPr>
      </w:pPr>
    </w:p>
    <w:p w14:paraId="237283A9">
      <w:pPr>
        <w:pStyle w:val="18"/>
        <w:rPr>
          <w:rFonts w:hint="eastAsia"/>
          <w:lang w:eastAsia="zh-CN"/>
        </w:rPr>
      </w:pPr>
    </w:p>
    <w:p w14:paraId="52FA538A">
      <w:pPr>
        <w:rPr>
          <w:rFonts w:hint="eastAsia"/>
          <w:lang w:eastAsia="zh-CN"/>
        </w:rPr>
      </w:pPr>
    </w:p>
    <w:p w14:paraId="34DE2236">
      <w:pPr>
        <w:pStyle w:val="21"/>
        <w:rPr>
          <w:rFonts w:hint="eastAsia"/>
          <w:lang w:eastAsia="zh-CN"/>
        </w:rPr>
      </w:pPr>
    </w:p>
    <w:p w14:paraId="1B2CFA08">
      <w:pPr>
        <w:pStyle w:val="18"/>
        <w:rPr>
          <w:rFonts w:hint="eastAsia"/>
          <w:lang w:eastAsia="zh-CN"/>
        </w:rPr>
      </w:pPr>
    </w:p>
    <w:p w14:paraId="112FB410">
      <w:pPr>
        <w:pStyle w:val="18"/>
        <w:ind w:left="0" w:leftChars="0" w:firstLine="0" w:firstLineChars="0"/>
        <w:rPr>
          <w:rFonts w:hint="eastAsia"/>
          <w:lang w:eastAsia="zh-CN"/>
        </w:rPr>
      </w:pPr>
    </w:p>
    <w:p w14:paraId="236A3A11">
      <w:pPr>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、商务要求</w:t>
      </w:r>
    </w:p>
    <w:tbl>
      <w:tblPr>
        <w:tblStyle w:val="23"/>
        <w:tblW w:w="9440" w:type="dxa"/>
        <w:tblInd w:w="-4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0"/>
        <w:gridCol w:w="7530"/>
      </w:tblGrid>
      <w:tr w14:paraId="0092B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0" w:type="dxa"/>
            <w:tcBorders>
              <w:top w:val="single" w:color="auto" w:sz="4" w:space="0"/>
              <w:bottom w:val="single" w:color="auto" w:sz="4" w:space="0"/>
              <w:right w:val="single" w:color="auto" w:sz="4" w:space="0"/>
            </w:tcBorders>
            <w:vAlign w:val="center"/>
          </w:tcPr>
          <w:p w14:paraId="4E73C570">
            <w:pPr>
              <w:spacing w:line="30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w:t>
            </w:r>
          </w:p>
        </w:tc>
        <w:tc>
          <w:tcPr>
            <w:tcW w:w="7530" w:type="dxa"/>
            <w:tcBorders>
              <w:top w:val="single" w:color="auto" w:sz="4" w:space="0"/>
              <w:left w:val="single" w:color="auto" w:sz="4" w:space="0"/>
              <w:bottom w:val="single" w:color="auto" w:sz="4" w:space="0"/>
            </w:tcBorders>
            <w:vAlign w:val="center"/>
          </w:tcPr>
          <w:p w14:paraId="3D859EC0">
            <w:pPr>
              <w:spacing w:line="30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要 求</w:t>
            </w:r>
          </w:p>
        </w:tc>
      </w:tr>
      <w:tr w14:paraId="124D5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1910" w:type="dxa"/>
            <w:tcBorders>
              <w:top w:val="single" w:color="auto" w:sz="4" w:space="0"/>
              <w:bottom w:val="single" w:color="auto" w:sz="4" w:space="0"/>
              <w:right w:val="single" w:color="auto" w:sz="4" w:space="0"/>
            </w:tcBorders>
            <w:vAlign w:val="center"/>
          </w:tcPr>
          <w:p w14:paraId="51D7E0A7">
            <w:pPr>
              <w:spacing w:line="30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w:t>
            </w:r>
          </w:p>
        </w:tc>
        <w:tc>
          <w:tcPr>
            <w:tcW w:w="7530" w:type="dxa"/>
            <w:tcBorders>
              <w:top w:val="single" w:color="auto" w:sz="4" w:space="0"/>
              <w:left w:val="single" w:color="auto" w:sz="4" w:space="0"/>
              <w:bottom w:val="single" w:color="auto" w:sz="4" w:space="0"/>
            </w:tcBorders>
            <w:vAlign w:val="center"/>
          </w:tcPr>
          <w:p w14:paraId="1525FC77">
            <w:pPr>
              <w:spacing w:line="30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质保期：自验收合格之日起2年，被更换的零部件质保期从更换之日起计2年。</w:t>
            </w:r>
          </w:p>
        </w:tc>
      </w:tr>
      <w:tr w14:paraId="17B9A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910" w:type="dxa"/>
            <w:tcBorders>
              <w:top w:val="single" w:color="auto" w:sz="4" w:space="0"/>
              <w:bottom w:val="single" w:color="auto" w:sz="4" w:space="0"/>
              <w:right w:val="single" w:color="auto" w:sz="4" w:space="0"/>
            </w:tcBorders>
            <w:vAlign w:val="center"/>
          </w:tcPr>
          <w:p w14:paraId="4608C76D">
            <w:pPr>
              <w:spacing w:line="30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售后服务期</w:t>
            </w:r>
          </w:p>
        </w:tc>
        <w:tc>
          <w:tcPr>
            <w:tcW w:w="7530" w:type="dxa"/>
            <w:tcBorders>
              <w:top w:val="single" w:color="auto" w:sz="4" w:space="0"/>
              <w:left w:val="single" w:color="auto" w:sz="4" w:space="0"/>
              <w:bottom w:val="single" w:color="auto" w:sz="4" w:space="0"/>
            </w:tcBorders>
            <w:vAlign w:val="center"/>
          </w:tcPr>
          <w:p w14:paraId="0F32AFC5">
            <w:pPr>
              <w:spacing w:line="30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等同于质保期，在期限内免费提供</w:t>
            </w:r>
            <w:r>
              <w:rPr>
                <w:rFonts w:hint="eastAsia" w:ascii="仿宋" w:hAnsi="仿宋" w:eastAsia="仿宋" w:cs="仿宋"/>
                <w:color w:val="auto"/>
                <w:sz w:val="24"/>
                <w:szCs w:val="24"/>
                <w:highlight w:val="none"/>
              </w:rPr>
              <w:t>正常使用所必需的备品备件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辅助材料、人员服务和检查、维护、保养等</w:t>
            </w:r>
            <w:r>
              <w:rPr>
                <w:rFonts w:hint="eastAsia" w:ascii="仿宋" w:hAnsi="仿宋" w:eastAsia="仿宋" w:cs="仿宋"/>
                <w:color w:val="auto"/>
                <w:sz w:val="24"/>
                <w:szCs w:val="24"/>
                <w:highlight w:val="none"/>
                <w:lang w:eastAsia="zh-CN"/>
              </w:rPr>
              <w:t>。</w:t>
            </w:r>
          </w:p>
        </w:tc>
      </w:tr>
      <w:tr w14:paraId="0FAB2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910" w:type="dxa"/>
            <w:tcBorders>
              <w:top w:val="single" w:color="auto" w:sz="4" w:space="0"/>
              <w:bottom w:val="single" w:color="auto" w:sz="4" w:space="0"/>
              <w:right w:val="single" w:color="auto" w:sz="4" w:space="0"/>
            </w:tcBorders>
            <w:vAlign w:val="center"/>
          </w:tcPr>
          <w:p w14:paraId="0C432F30">
            <w:pPr>
              <w:spacing w:line="30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供货期</w:t>
            </w:r>
          </w:p>
        </w:tc>
        <w:tc>
          <w:tcPr>
            <w:tcW w:w="7530" w:type="dxa"/>
            <w:tcBorders>
              <w:top w:val="single" w:color="auto" w:sz="4" w:space="0"/>
              <w:left w:val="single" w:color="auto" w:sz="4" w:space="0"/>
              <w:bottom w:val="single" w:color="auto" w:sz="4" w:space="0"/>
            </w:tcBorders>
            <w:vAlign w:val="center"/>
          </w:tcPr>
          <w:p w14:paraId="71C3E71B">
            <w:pPr>
              <w:spacing w:line="30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工期配合</w:t>
            </w:r>
            <w:r>
              <w:rPr>
                <w:rFonts w:hint="eastAsia" w:ascii="仿宋" w:hAnsi="仿宋" w:eastAsia="仿宋" w:cs="仿宋"/>
                <w:color w:val="auto"/>
                <w:sz w:val="24"/>
                <w:szCs w:val="24"/>
                <w:highlight w:val="none"/>
              </w:rPr>
              <w:t>“S312北仑至嵊州公路奉化区鄞州界至下陈段拓宽工程（沿海中线奉化段)Ⅱ标段 ”</w:t>
            </w:r>
            <w:r>
              <w:rPr>
                <w:rFonts w:hint="eastAsia" w:ascii="仿宋" w:hAnsi="仿宋" w:eastAsia="仿宋" w:cs="仿宋"/>
                <w:color w:val="auto"/>
                <w:sz w:val="24"/>
                <w:szCs w:val="24"/>
                <w:highlight w:val="none"/>
                <w:lang w:eastAsia="zh-CN"/>
              </w:rPr>
              <w:t>污水主干管施工，</w:t>
            </w:r>
            <w:r>
              <w:rPr>
                <w:rFonts w:hint="eastAsia" w:ascii="仿宋" w:hAnsi="仿宋" w:eastAsia="仿宋" w:cs="仿宋"/>
                <w:color w:val="auto"/>
                <w:sz w:val="24"/>
                <w:szCs w:val="24"/>
                <w:highlight w:val="none"/>
              </w:rPr>
              <w:t>如在规定的时间内由于中标供应商的原因不能完成的，投标商承担由此给用户造成的损失</w:t>
            </w:r>
            <w:r>
              <w:rPr>
                <w:rFonts w:hint="eastAsia" w:ascii="仿宋" w:hAnsi="仿宋" w:eastAsia="仿宋" w:cs="仿宋"/>
                <w:color w:val="auto"/>
                <w:sz w:val="24"/>
                <w:szCs w:val="24"/>
                <w:highlight w:val="none"/>
                <w:lang w:eastAsia="zh-CN"/>
              </w:rPr>
              <w:t>。</w:t>
            </w:r>
          </w:p>
        </w:tc>
      </w:tr>
      <w:tr w14:paraId="56ECC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1910" w:type="dxa"/>
            <w:tcBorders>
              <w:top w:val="single" w:color="auto" w:sz="4" w:space="0"/>
              <w:bottom w:val="single" w:color="auto" w:sz="4" w:space="0"/>
              <w:right w:val="single" w:color="auto" w:sz="4" w:space="0"/>
            </w:tcBorders>
            <w:vAlign w:val="center"/>
          </w:tcPr>
          <w:p w14:paraId="50A9D3A4">
            <w:pPr>
              <w:spacing w:line="30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w:t>
            </w:r>
          </w:p>
        </w:tc>
        <w:tc>
          <w:tcPr>
            <w:tcW w:w="7530" w:type="dxa"/>
            <w:tcBorders>
              <w:top w:val="single" w:color="auto" w:sz="4" w:space="0"/>
              <w:left w:val="single" w:color="auto" w:sz="4" w:space="0"/>
              <w:bottom w:val="single" w:color="auto" w:sz="4" w:space="0"/>
            </w:tcBorders>
            <w:vAlign w:val="center"/>
          </w:tcPr>
          <w:p w14:paraId="6D0C4E9C">
            <w:pPr>
              <w:spacing w:line="30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履约保证金形式：电汇或银行保函或保险公司保函</w:t>
            </w:r>
          </w:p>
          <w:p w14:paraId="0AD1985A">
            <w:pPr>
              <w:spacing w:line="30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履约保证金的收取及退还：按合同总金额的2.5%计收，合同履行完毕（验收合格并交付使用）后5日内无息退还。</w:t>
            </w:r>
          </w:p>
        </w:tc>
      </w:tr>
      <w:tr w14:paraId="3E7CC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4" w:hRule="atLeast"/>
        </w:trPr>
        <w:tc>
          <w:tcPr>
            <w:tcW w:w="1910" w:type="dxa"/>
            <w:tcBorders>
              <w:top w:val="single" w:color="auto" w:sz="4" w:space="0"/>
              <w:bottom w:val="single" w:color="auto" w:sz="4" w:space="0"/>
              <w:right w:val="single" w:color="auto" w:sz="4" w:space="0"/>
            </w:tcBorders>
            <w:vAlign w:val="center"/>
          </w:tcPr>
          <w:p w14:paraId="5DEEE923">
            <w:pPr>
              <w:spacing w:line="30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付款条件</w:t>
            </w:r>
          </w:p>
        </w:tc>
        <w:tc>
          <w:tcPr>
            <w:tcW w:w="7530" w:type="dxa"/>
            <w:tcBorders>
              <w:top w:val="single" w:color="auto" w:sz="4" w:space="0"/>
              <w:left w:val="single" w:color="auto" w:sz="4" w:space="0"/>
              <w:bottom w:val="single" w:color="auto" w:sz="4" w:space="0"/>
            </w:tcBorders>
            <w:vAlign w:val="center"/>
          </w:tcPr>
          <w:p w14:paraId="0A7C3F83">
            <w:pPr>
              <w:spacing w:line="30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生效后七个工作日内支付合同价的10%作为预付款；主要设备到现场并安装完成后七个工作日内支付至合同价的50％；项目验收合格后七个工作日支付至合同价的80％；结算终审完成后支付至审定价的97.5%,（支付该款项时，乙方需提供该项目全额增值税专用发票）；余款在质保期满后付清。</w:t>
            </w:r>
          </w:p>
          <w:p w14:paraId="2BCFD630">
            <w:pPr>
              <w:spacing w:line="30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甲方支付预付款前，乙方需开具预付款同等金额的增值税专票；</w:t>
            </w:r>
          </w:p>
        </w:tc>
      </w:tr>
      <w:tr w14:paraId="7EF1C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1910" w:type="dxa"/>
            <w:tcBorders>
              <w:top w:val="single" w:color="auto" w:sz="4" w:space="0"/>
              <w:bottom w:val="single" w:color="auto" w:sz="4" w:space="0"/>
              <w:right w:val="single" w:color="auto" w:sz="4" w:space="0"/>
            </w:tcBorders>
            <w:vAlign w:val="center"/>
          </w:tcPr>
          <w:p w14:paraId="02309E8F">
            <w:pPr>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合同终止</w:t>
            </w:r>
          </w:p>
        </w:tc>
        <w:tc>
          <w:tcPr>
            <w:tcW w:w="7530" w:type="dxa"/>
            <w:tcBorders>
              <w:top w:val="single" w:color="auto" w:sz="4" w:space="0"/>
              <w:left w:val="single" w:color="auto" w:sz="4" w:space="0"/>
              <w:bottom w:val="single" w:color="auto" w:sz="4" w:space="0"/>
            </w:tcBorders>
            <w:vAlign w:val="center"/>
          </w:tcPr>
          <w:p w14:paraId="6AE6CD5C">
            <w:pPr>
              <w:spacing w:line="30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1）未能使合同货物达到合同附件规定的技术性能和指标的；</w:t>
            </w:r>
          </w:p>
          <w:p w14:paraId="4B0B514E">
            <w:pPr>
              <w:spacing w:line="30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2）未能在合同规定的期限（或采购人同意延长的最终期限）内完成的；</w:t>
            </w:r>
          </w:p>
          <w:p w14:paraId="1BE1D249">
            <w:pPr>
              <w:spacing w:line="30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3）未能履行合同规定的其它义务。</w:t>
            </w:r>
          </w:p>
        </w:tc>
      </w:tr>
      <w:tr w14:paraId="1BEED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1910" w:type="dxa"/>
            <w:tcBorders>
              <w:top w:val="single" w:color="auto" w:sz="4" w:space="0"/>
              <w:bottom w:val="single" w:color="auto" w:sz="4" w:space="0"/>
              <w:right w:val="single" w:color="auto" w:sz="4" w:space="0"/>
            </w:tcBorders>
            <w:vAlign w:val="center"/>
          </w:tcPr>
          <w:p w14:paraId="6A78750F">
            <w:pPr>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验收要求</w:t>
            </w:r>
          </w:p>
        </w:tc>
        <w:tc>
          <w:tcPr>
            <w:tcW w:w="7530" w:type="dxa"/>
            <w:tcBorders>
              <w:top w:val="single" w:color="auto" w:sz="4" w:space="0"/>
              <w:left w:val="single" w:color="auto" w:sz="4" w:space="0"/>
              <w:bottom w:val="single" w:color="auto" w:sz="4" w:space="0"/>
            </w:tcBorders>
            <w:vAlign w:val="center"/>
          </w:tcPr>
          <w:p w14:paraId="57D442E7">
            <w:pPr>
              <w:spacing w:line="30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对中标人各项指标进行核对，如经校对发现与标书要求或投标文件不一致，则本项目作为验收不合格，采购人将不支付全额货款，投标单位将承担一切后果与责任。</w:t>
            </w:r>
          </w:p>
        </w:tc>
      </w:tr>
      <w:tr w14:paraId="469138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1910" w:type="dxa"/>
            <w:tcBorders>
              <w:top w:val="single" w:color="auto" w:sz="4" w:space="0"/>
              <w:bottom w:val="single" w:color="auto" w:sz="4" w:space="0"/>
              <w:right w:val="single" w:color="auto" w:sz="4" w:space="0"/>
            </w:tcBorders>
            <w:vAlign w:val="center"/>
          </w:tcPr>
          <w:p w14:paraId="5D307DCA">
            <w:pPr>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质量要求</w:t>
            </w:r>
          </w:p>
        </w:tc>
        <w:tc>
          <w:tcPr>
            <w:tcW w:w="7530" w:type="dxa"/>
            <w:tcBorders>
              <w:top w:val="single" w:color="auto" w:sz="4" w:space="0"/>
              <w:left w:val="single" w:color="auto" w:sz="4" w:space="0"/>
              <w:bottom w:val="single" w:color="auto" w:sz="4" w:space="0"/>
            </w:tcBorders>
            <w:vAlign w:val="center"/>
          </w:tcPr>
          <w:p w14:paraId="7D857563">
            <w:pPr>
              <w:spacing w:line="30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投标人保证所供的商品必须是出厂原装合格产品,如发生所供的商品与合同不符,采购人有权拒收或退货,由此产生的一切责任和后果由投标人承担。质保期自验收合格之日起计。</w:t>
            </w:r>
          </w:p>
        </w:tc>
      </w:tr>
      <w:tr w14:paraId="47BEA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1910" w:type="dxa"/>
            <w:tcBorders>
              <w:top w:val="single" w:color="auto" w:sz="4" w:space="0"/>
              <w:bottom w:val="single" w:color="auto" w:sz="4" w:space="0"/>
              <w:right w:val="single" w:color="auto" w:sz="4" w:space="0"/>
            </w:tcBorders>
            <w:vAlign w:val="center"/>
          </w:tcPr>
          <w:p w14:paraId="3F3019B8">
            <w:pPr>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售后技术</w:t>
            </w:r>
          </w:p>
          <w:p w14:paraId="0B03BAC2">
            <w:pPr>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服务要求</w:t>
            </w:r>
          </w:p>
        </w:tc>
        <w:tc>
          <w:tcPr>
            <w:tcW w:w="7530" w:type="dxa"/>
            <w:tcBorders>
              <w:top w:val="single" w:color="auto" w:sz="4" w:space="0"/>
              <w:left w:val="single" w:color="auto" w:sz="4" w:space="0"/>
              <w:bottom w:val="single" w:color="auto" w:sz="4" w:space="0"/>
            </w:tcBorders>
            <w:vAlign w:val="center"/>
          </w:tcPr>
          <w:p w14:paraId="2EDF2312">
            <w:pPr>
              <w:spacing w:line="30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1）售出之日起7日内，主机出现性能故障的，用户可以选择退货、换货或者修理。  </w:t>
            </w:r>
          </w:p>
          <w:p w14:paraId="4D1762A6">
            <w:pPr>
              <w:spacing w:line="30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2）主机出现性能故障，经三次修理，仍不能正常使用的，凭三包证中的维修记录，免费更换同型号同规格的主机。 </w:t>
            </w:r>
          </w:p>
          <w:p w14:paraId="6CAC70A8">
            <w:pPr>
              <w:spacing w:line="30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3）自送修之日起超过60日未修好的，凭发货票和三包凭证中修理者提供的维修记录，免费更换同型号同规格的主机。</w:t>
            </w:r>
          </w:p>
        </w:tc>
      </w:tr>
    </w:tbl>
    <w:p w14:paraId="16752B8F">
      <w:pPr>
        <w:snapToGrid w:val="0"/>
        <w:spacing w:line="240" w:lineRule="auto"/>
        <w:jc w:val="center"/>
        <w:outlineLvl w:val="0"/>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 xml:space="preserve">第四部分   </w:t>
      </w:r>
      <w:bookmarkStart w:id="37" w:name="_Toc184310275"/>
      <w:bookmarkEnd w:id="37"/>
      <w:bookmarkStart w:id="38" w:name="_Toc184310324"/>
      <w:bookmarkEnd w:id="38"/>
      <w:bookmarkStart w:id="39" w:name="_Toc184314456"/>
      <w:bookmarkEnd w:id="39"/>
      <w:bookmarkStart w:id="40" w:name="_Toc184308056"/>
      <w:bookmarkEnd w:id="40"/>
      <w:bookmarkStart w:id="41" w:name="_Toc184313281"/>
      <w:bookmarkEnd w:id="41"/>
      <w:bookmarkStart w:id="42" w:name="_Toc184313295"/>
      <w:bookmarkEnd w:id="42"/>
      <w:bookmarkStart w:id="43" w:name="_Toc184310318"/>
      <w:bookmarkEnd w:id="43"/>
      <w:bookmarkStart w:id="44" w:name="_Toc184308094"/>
      <w:bookmarkEnd w:id="44"/>
      <w:bookmarkStart w:id="45" w:name="_Toc184313239"/>
      <w:bookmarkEnd w:id="45"/>
      <w:bookmarkStart w:id="46" w:name="_Toc184313306"/>
      <w:bookmarkEnd w:id="46"/>
      <w:bookmarkStart w:id="47" w:name="_Toc184313241"/>
      <w:bookmarkEnd w:id="47"/>
      <w:bookmarkStart w:id="48" w:name="_Toc184313291"/>
      <w:bookmarkEnd w:id="48"/>
      <w:bookmarkStart w:id="49" w:name="_Toc184313299"/>
      <w:bookmarkEnd w:id="49"/>
      <w:bookmarkStart w:id="50" w:name="_Toc184314427"/>
      <w:bookmarkEnd w:id="50"/>
      <w:bookmarkStart w:id="51" w:name="_Toc184313256"/>
      <w:bookmarkEnd w:id="51"/>
      <w:bookmarkStart w:id="52" w:name="_Toc184312097"/>
      <w:bookmarkEnd w:id="52"/>
      <w:bookmarkStart w:id="53" w:name="_Toc184310288"/>
      <w:bookmarkEnd w:id="53"/>
      <w:bookmarkStart w:id="54" w:name="_Toc184308039"/>
      <w:bookmarkEnd w:id="54"/>
      <w:bookmarkStart w:id="55" w:name="_Toc184308040"/>
      <w:bookmarkEnd w:id="55"/>
      <w:bookmarkStart w:id="56" w:name="_Toc184314466"/>
      <w:bookmarkEnd w:id="56"/>
      <w:bookmarkStart w:id="57" w:name="_Toc184308090"/>
      <w:bookmarkEnd w:id="57"/>
      <w:bookmarkStart w:id="58" w:name="_Toc184312105"/>
      <w:bookmarkEnd w:id="58"/>
      <w:bookmarkStart w:id="59" w:name="_Toc184312129"/>
      <w:bookmarkEnd w:id="59"/>
      <w:bookmarkStart w:id="60" w:name="_Toc184310286"/>
      <w:bookmarkEnd w:id="60"/>
      <w:bookmarkStart w:id="61" w:name="_Toc184314430"/>
      <w:bookmarkEnd w:id="61"/>
      <w:bookmarkStart w:id="62" w:name="_Toc184313297"/>
      <w:bookmarkEnd w:id="62"/>
      <w:bookmarkStart w:id="63" w:name="_Toc184314462"/>
      <w:bookmarkEnd w:id="63"/>
      <w:bookmarkStart w:id="64" w:name="_Toc184310332"/>
      <w:bookmarkEnd w:id="64"/>
      <w:bookmarkStart w:id="65" w:name="_Toc184310310"/>
      <w:bookmarkEnd w:id="65"/>
      <w:bookmarkStart w:id="66" w:name="_Toc184310340"/>
      <w:bookmarkEnd w:id="66"/>
      <w:bookmarkStart w:id="67" w:name="_Toc184312126"/>
      <w:bookmarkEnd w:id="67"/>
      <w:bookmarkStart w:id="68" w:name="_Toc184312112"/>
      <w:bookmarkEnd w:id="68"/>
      <w:bookmarkStart w:id="69" w:name="_Toc184314449"/>
      <w:bookmarkEnd w:id="69"/>
      <w:bookmarkStart w:id="70" w:name="_Toc184312119"/>
      <w:bookmarkEnd w:id="70"/>
      <w:bookmarkStart w:id="71" w:name="_Toc184312125"/>
      <w:bookmarkEnd w:id="71"/>
      <w:bookmarkStart w:id="72" w:name="_Toc184310325"/>
      <w:bookmarkEnd w:id="72"/>
      <w:bookmarkStart w:id="73" w:name="_Toc184312121"/>
      <w:bookmarkEnd w:id="73"/>
      <w:bookmarkStart w:id="74" w:name="_Toc184312081"/>
      <w:bookmarkEnd w:id="74"/>
      <w:bookmarkStart w:id="75" w:name="_Toc184312104"/>
      <w:bookmarkEnd w:id="75"/>
      <w:bookmarkStart w:id="76" w:name="_Toc184314454"/>
      <w:bookmarkEnd w:id="76"/>
      <w:bookmarkStart w:id="77" w:name="_Toc184310278"/>
      <w:bookmarkEnd w:id="77"/>
      <w:bookmarkStart w:id="78" w:name="_Toc184313243"/>
      <w:bookmarkEnd w:id="78"/>
      <w:bookmarkStart w:id="79" w:name="_Toc184314452"/>
      <w:bookmarkEnd w:id="79"/>
      <w:bookmarkStart w:id="80" w:name="_Toc184314473"/>
      <w:bookmarkEnd w:id="80"/>
      <w:bookmarkStart w:id="81" w:name="_Toc184312122"/>
      <w:bookmarkEnd w:id="81"/>
      <w:bookmarkStart w:id="82" w:name="_Toc184314448"/>
      <w:bookmarkEnd w:id="82"/>
      <w:bookmarkStart w:id="83" w:name="_Toc184314432"/>
      <w:bookmarkEnd w:id="83"/>
      <w:bookmarkStart w:id="84" w:name="_Toc184310301"/>
      <w:bookmarkEnd w:id="84"/>
      <w:bookmarkStart w:id="85" w:name="_Toc184312127"/>
      <w:bookmarkEnd w:id="85"/>
      <w:bookmarkStart w:id="86" w:name="_Toc184308072"/>
      <w:bookmarkEnd w:id="86"/>
      <w:bookmarkStart w:id="87" w:name="_Toc184310322"/>
      <w:bookmarkEnd w:id="87"/>
      <w:bookmarkStart w:id="88" w:name="_Toc184308069"/>
      <w:bookmarkEnd w:id="88"/>
      <w:bookmarkStart w:id="89" w:name="_Toc184310279"/>
      <w:bookmarkEnd w:id="89"/>
      <w:bookmarkStart w:id="90" w:name="_Toc184310323"/>
      <w:bookmarkEnd w:id="90"/>
      <w:bookmarkStart w:id="91" w:name="_Toc184308079"/>
      <w:bookmarkEnd w:id="91"/>
      <w:bookmarkStart w:id="92" w:name="_Toc184310309"/>
      <w:bookmarkEnd w:id="92"/>
      <w:bookmarkStart w:id="93" w:name="_Toc184310320"/>
      <w:bookmarkEnd w:id="93"/>
      <w:bookmarkStart w:id="94" w:name="_Toc184308045"/>
      <w:bookmarkEnd w:id="94"/>
      <w:bookmarkStart w:id="95" w:name="_Toc184308038"/>
      <w:bookmarkEnd w:id="95"/>
      <w:bookmarkStart w:id="96" w:name="_Toc184310316"/>
      <w:bookmarkEnd w:id="96"/>
      <w:bookmarkStart w:id="97" w:name="_Toc184313260"/>
      <w:bookmarkEnd w:id="97"/>
      <w:bookmarkStart w:id="98" w:name="_Toc184312089"/>
      <w:bookmarkEnd w:id="98"/>
      <w:bookmarkStart w:id="99" w:name="_Toc184314475"/>
      <w:bookmarkEnd w:id="99"/>
      <w:bookmarkStart w:id="100" w:name="_Toc184310289"/>
      <w:bookmarkEnd w:id="100"/>
      <w:bookmarkStart w:id="101" w:name="_Toc184310281"/>
      <w:bookmarkEnd w:id="101"/>
      <w:bookmarkStart w:id="102" w:name="_Toc184308061"/>
      <w:bookmarkEnd w:id="102"/>
      <w:bookmarkStart w:id="103" w:name="_Toc184312118"/>
      <w:bookmarkEnd w:id="103"/>
      <w:bookmarkStart w:id="104" w:name="_Toc184314410"/>
      <w:bookmarkEnd w:id="104"/>
      <w:bookmarkStart w:id="105" w:name="_Toc184313270"/>
      <w:bookmarkEnd w:id="105"/>
      <w:bookmarkStart w:id="106" w:name="_Toc184312138"/>
      <w:bookmarkEnd w:id="106"/>
      <w:bookmarkStart w:id="107" w:name="_Toc184314447"/>
      <w:bookmarkEnd w:id="107"/>
      <w:bookmarkStart w:id="108" w:name="_Toc184314446"/>
      <w:bookmarkEnd w:id="108"/>
      <w:bookmarkStart w:id="109" w:name="_Toc184312133"/>
      <w:bookmarkEnd w:id="109"/>
      <w:bookmarkStart w:id="110" w:name="_Toc184308095"/>
      <w:bookmarkEnd w:id="110"/>
      <w:bookmarkStart w:id="111" w:name="_Toc184314424"/>
      <w:bookmarkEnd w:id="111"/>
      <w:bookmarkStart w:id="112" w:name="_Toc184312132"/>
      <w:bookmarkEnd w:id="112"/>
      <w:bookmarkStart w:id="113" w:name="_Toc184314433"/>
      <w:bookmarkEnd w:id="113"/>
      <w:bookmarkStart w:id="114" w:name="_Toc184314477"/>
      <w:bookmarkEnd w:id="114"/>
      <w:bookmarkStart w:id="115" w:name="_Toc184308085"/>
      <w:bookmarkEnd w:id="115"/>
      <w:bookmarkStart w:id="116" w:name="_Toc184313309"/>
      <w:bookmarkEnd w:id="116"/>
      <w:bookmarkStart w:id="117" w:name="_Toc184314465"/>
      <w:bookmarkEnd w:id="117"/>
      <w:bookmarkStart w:id="118" w:name="_Toc184314411"/>
      <w:bookmarkEnd w:id="118"/>
      <w:bookmarkStart w:id="119" w:name="_Toc184310273"/>
      <w:bookmarkEnd w:id="119"/>
      <w:bookmarkStart w:id="120" w:name="_Toc184308106"/>
      <w:bookmarkEnd w:id="120"/>
      <w:bookmarkStart w:id="121" w:name="_Toc184310344"/>
      <w:bookmarkEnd w:id="121"/>
      <w:bookmarkStart w:id="122" w:name="_Toc184312130"/>
      <w:bookmarkEnd w:id="122"/>
      <w:bookmarkStart w:id="123" w:name="_Toc184310294"/>
      <w:bookmarkEnd w:id="123"/>
      <w:bookmarkStart w:id="124" w:name="_Toc184312136"/>
      <w:bookmarkEnd w:id="124"/>
      <w:bookmarkStart w:id="125" w:name="_Toc184313245"/>
      <w:bookmarkEnd w:id="125"/>
      <w:bookmarkStart w:id="126" w:name="_Toc184314445"/>
      <w:bookmarkEnd w:id="126"/>
      <w:bookmarkStart w:id="127" w:name="_Toc184313274"/>
      <w:bookmarkEnd w:id="127"/>
      <w:bookmarkStart w:id="128" w:name="_Toc184312101"/>
      <w:bookmarkEnd w:id="128"/>
      <w:bookmarkStart w:id="129" w:name="_Toc184314443"/>
      <w:bookmarkEnd w:id="129"/>
      <w:bookmarkStart w:id="130" w:name="_Toc184308078"/>
      <w:bookmarkEnd w:id="130"/>
      <w:bookmarkStart w:id="131" w:name="_Toc184313250"/>
      <w:bookmarkEnd w:id="131"/>
      <w:bookmarkStart w:id="132" w:name="_Toc184313308"/>
      <w:bookmarkEnd w:id="132"/>
      <w:bookmarkStart w:id="133" w:name="_Toc184310331"/>
      <w:bookmarkEnd w:id="133"/>
      <w:bookmarkStart w:id="134" w:name="_Toc184314469"/>
      <w:bookmarkEnd w:id="134"/>
      <w:bookmarkStart w:id="135" w:name="_Toc184314460"/>
      <w:bookmarkEnd w:id="135"/>
      <w:bookmarkStart w:id="136" w:name="_Toc184312095"/>
      <w:bookmarkEnd w:id="136"/>
      <w:bookmarkStart w:id="137" w:name="_Toc184308043"/>
      <w:bookmarkEnd w:id="137"/>
      <w:bookmarkStart w:id="138" w:name="_Toc184314482"/>
      <w:bookmarkEnd w:id="138"/>
      <w:bookmarkStart w:id="139" w:name="_Toc184314481"/>
      <w:bookmarkEnd w:id="139"/>
      <w:bookmarkStart w:id="140" w:name="_Toc184314455"/>
      <w:bookmarkEnd w:id="140"/>
      <w:bookmarkStart w:id="141" w:name="_Toc184312096"/>
      <w:bookmarkEnd w:id="141"/>
      <w:bookmarkStart w:id="142" w:name="_Toc184310333"/>
      <w:bookmarkEnd w:id="142"/>
      <w:bookmarkStart w:id="143" w:name="_Toc184313305"/>
      <w:bookmarkEnd w:id="143"/>
      <w:bookmarkStart w:id="144" w:name="_Toc184312083"/>
      <w:bookmarkEnd w:id="144"/>
      <w:bookmarkStart w:id="145" w:name="_Toc184308037"/>
      <w:bookmarkEnd w:id="145"/>
      <w:bookmarkStart w:id="146" w:name="_Toc184308067"/>
      <w:bookmarkEnd w:id="146"/>
      <w:bookmarkStart w:id="147" w:name="_Toc184313293"/>
      <w:bookmarkEnd w:id="147"/>
      <w:bookmarkStart w:id="148" w:name="_Toc184313303"/>
      <w:bookmarkEnd w:id="148"/>
      <w:bookmarkStart w:id="149" w:name="_Toc184314437"/>
      <w:bookmarkEnd w:id="149"/>
      <w:bookmarkStart w:id="150" w:name="_Toc184308101"/>
      <w:bookmarkEnd w:id="150"/>
      <w:bookmarkStart w:id="151" w:name="_Toc184310287"/>
      <w:bookmarkEnd w:id="151"/>
      <w:bookmarkStart w:id="152" w:name="_Toc184312099"/>
      <w:bookmarkEnd w:id="152"/>
      <w:bookmarkStart w:id="153" w:name="_Toc184308104"/>
      <w:bookmarkEnd w:id="153"/>
      <w:bookmarkStart w:id="154" w:name="_Toc184312082"/>
      <w:bookmarkEnd w:id="154"/>
      <w:bookmarkStart w:id="155" w:name="_Toc184313249"/>
      <w:bookmarkEnd w:id="155"/>
      <w:bookmarkStart w:id="156" w:name="_Toc184308048"/>
      <w:bookmarkEnd w:id="156"/>
      <w:bookmarkStart w:id="157" w:name="_Toc184310307"/>
      <w:bookmarkEnd w:id="157"/>
      <w:bookmarkStart w:id="158" w:name="_Toc184314421"/>
      <w:bookmarkEnd w:id="158"/>
      <w:bookmarkStart w:id="159" w:name="_Toc184310312"/>
      <w:bookmarkEnd w:id="159"/>
      <w:bookmarkStart w:id="160" w:name="_Toc184313271"/>
      <w:bookmarkEnd w:id="160"/>
      <w:bookmarkStart w:id="161" w:name="_Toc184308054"/>
      <w:bookmarkEnd w:id="161"/>
      <w:bookmarkStart w:id="162" w:name="_Toc184308096"/>
      <w:bookmarkEnd w:id="162"/>
      <w:bookmarkStart w:id="163" w:name="_Toc184308059"/>
      <w:bookmarkEnd w:id="163"/>
      <w:bookmarkStart w:id="164" w:name="_Toc184314423"/>
      <w:bookmarkEnd w:id="164"/>
      <w:bookmarkStart w:id="165" w:name="_Toc184312134"/>
      <w:bookmarkEnd w:id="165"/>
      <w:bookmarkStart w:id="166" w:name="_Toc184310291"/>
      <w:bookmarkEnd w:id="166"/>
      <w:bookmarkStart w:id="167" w:name="_Toc184313288"/>
      <w:bookmarkEnd w:id="167"/>
      <w:bookmarkStart w:id="168" w:name="_Toc184310304"/>
      <w:bookmarkEnd w:id="168"/>
      <w:bookmarkStart w:id="169" w:name="_Toc184314438"/>
      <w:bookmarkEnd w:id="169"/>
      <w:bookmarkStart w:id="170" w:name="_Toc184314440"/>
      <w:bookmarkEnd w:id="170"/>
      <w:bookmarkStart w:id="171" w:name="_Toc184310300"/>
      <w:bookmarkEnd w:id="171"/>
      <w:bookmarkStart w:id="172" w:name="_Toc184314457"/>
      <w:bookmarkEnd w:id="172"/>
      <w:bookmarkStart w:id="173" w:name="_Toc184312078"/>
      <w:bookmarkEnd w:id="173"/>
      <w:bookmarkStart w:id="174" w:name="_Toc184312116"/>
      <w:bookmarkEnd w:id="174"/>
      <w:bookmarkStart w:id="175" w:name="_Toc184312135"/>
      <w:bookmarkEnd w:id="175"/>
      <w:bookmarkStart w:id="176" w:name="_Toc184308107"/>
      <w:bookmarkEnd w:id="176"/>
      <w:bookmarkStart w:id="177" w:name="_Toc184308087"/>
      <w:bookmarkEnd w:id="177"/>
      <w:bookmarkStart w:id="178" w:name="_Toc184308050"/>
      <w:bookmarkEnd w:id="178"/>
      <w:bookmarkStart w:id="179" w:name="_Toc184310297"/>
      <w:bookmarkEnd w:id="179"/>
      <w:bookmarkStart w:id="180" w:name="_Toc184314413"/>
      <w:bookmarkEnd w:id="180"/>
      <w:bookmarkStart w:id="181" w:name="_Toc184314428"/>
      <w:bookmarkEnd w:id="181"/>
      <w:bookmarkStart w:id="182" w:name="_Toc184313265"/>
      <w:bookmarkEnd w:id="182"/>
      <w:bookmarkStart w:id="183" w:name="_Toc184314415"/>
      <w:bookmarkEnd w:id="183"/>
      <w:bookmarkStart w:id="184" w:name="_Toc184310328"/>
      <w:bookmarkEnd w:id="184"/>
      <w:bookmarkStart w:id="185" w:name="_Toc184313258"/>
      <w:bookmarkEnd w:id="185"/>
      <w:bookmarkStart w:id="186" w:name="_Toc184312128"/>
      <w:bookmarkEnd w:id="186"/>
      <w:bookmarkStart w:id="187" w:name="_Toc184308065"/>
      <w:bookmarkEnd w:id="187"/>
      <w:bookmarkStart w:id="188" w:name="_Toc184313310"/>
      <w:bookmarkEnd w:id="188"/>
      <w:bookmarkStart w:id="189" w:name="_Toc184314472"/>
      <w:bookmarkEnd w:id="189"/>
      <w:bookmarkStart w:id="190" w:name="_Toc184314468"/>
      <w:bookmarkEnd w:id="190"/>
      <w:bookmarkStart w:id="191" w:name="_Toc184314474"/>
      <w:bookmarkEnd w:id="191"/>
      <w:bookmarkStart w:id="192" w:name="_Toc184313292"/>
      <w:bookmarkEnd w:id="192"/>
      <w:bookmarkStart w:id="193" w:name="_Toc184312100"/>
      <w:bookmarkEnd w:id="193"/>
      <w:bookmarkStart w:id="194" w:name="_Toc184312074"/>
      <w:bookmarkEnd w:id="194"/>
      <w:bookmarkStart w:id="195" w:name="_Toc184313290"/>
      <w:bookmarkEnd w:id="195"/>
      <w:bookmarkStart w:id="196" w:name="_Toc184312137"/>
      <w:bookmarkEnd w:id="196"/>
      <w:bookmarkStart w:id="197" w:name="_Toc184308091"/>
      <w:bookmarkEnd w:id="197"/>
      <w:bookmarkStart w:id="198" w:name="_Toc184308058"/>
      <w:bookmarkEnd w:id="198"/>
      <w:bookmarkStart w:id="199" w:name="_Toc184308060"/>
      <w:bookmarkEnd w:id="199"/>
      <w:bookmarkStart w:id="200" w:name="_Toc184313242"/>
      <w:bookmarkEnd w:id="200"/>
      <w:bookmarkStart w:id="201" w:name="_Toc184314467"/>
      <w:bookmarkEnd w:id="201"/>
      <w:bookmarkStart w:id="202" w:name="_Toc184308055"/>
      <w:bookmarkEnd w:id="202"/>
      <w:bookmarkStart w:id="203" w:name="_Toc184310296"/>
      <w:bookmarkEnd w:id="203"/>
      <w:bookmarkStart w:id="204" w:name="_Toc184310295"/>
      <w:bookmarkEnd w:id="204"/>
      <w:bookmarkStart w:id="205" w:name="_Toc184310343"/>
      <w:bookmarkEnd w:id="205"/>
      <w:bookmarkStart w:id="206" w:name="_Toc184308052"/>
      <w:bookmarkEnd w:id="206"/>
      <w:bookmarkStart w:id="207" w:name="_Toc184312109"/>
      <w:bookmarkEnd w:id="207"/>
      <w:bookmarkStart w:id="208" w:name="_Toc184313246"/>
      <w:bookmarkEnd w:id="208"/>
      <w:bookmarkStart w:id="209" w:name="_Toc184310314"/>
      <w:bookmarkEnd w:id="209"/>
      <w:bookmarkStart w:id="210" w:name="_Toc184310293"/>
      <w:bookmarkEnd w:id="210"/>
      <w:bookmarkStart w:id="211" w:name="_Toc184312092"/>
      <w:bookmarkEnd w:id="211"/>
      <w:bookmarkStart w:id="212" w:name="_Toc184313257"/>
      <w:bookmarkEnd w:id="212"/>
      <w:bookmarkStart w:id="213" w:name="_Toc184312076"/>
      <w:bookmarkEnd w:id="213"/>
      <w:bookmarkStart w:id="214" w:name="_Toc184308047"/>
      <w:bookmarkEnd w:id="214"/>
      <w:bookmarkStart w:id="215" w:name="_Toc184310274"/>
      <w:bookmarkEnd w:id="215"/>
      <w:bookmarkStart w:id="216" w:name="_Toc184313266"/>
      <w:bookmarkEnd w:id="216"/>
      <w:bookmarkStart w:id="217" w:name="_Toc184314412"/>
      <w:bookmarkEnd w:id="217"/>
      <w:bookmarkStart w:id="218" w:name="_Toc184308089"/>
      <w:bookmarkEnd w:id="218"/>
      <w:bookmarkStart w:id="219" w:name="_Toc184308102"/>
      <w:bookmarkEnd w:id="219"/>
      <w:bookmarkStart w:id="220" w:name="_Toc184314464"/>
      <w:bookmarkEnd w:id="220"/>
      <w:bookmarkStart w:id="221" w:name="_Toc184310313"/>
      <w:bookmarkEnd w:id="221"/>
      <w:bookmarkStart w:id="222" w:name="_Toc184314416"/>
      <w:bookmarkEnd w:id="222"/>
      <w:bookmarkStart w:id="223" w:name="_Toc184312068"/>
      <w:bookmarkEnd w:id="223"/>
      <w:bookmarkStart w:id="224" w:name="_Toc184313307"/>
      <w:bookmarkEnd w:id="224"/>
      <w:bookmarkStart w:id="225" w:name="_Toc184312088"/>
      <w:bookmarkEnd w:id="225"/>
      <w:bookmarkStart w:id="226" w:name="_Toc184310305"/>
      <w:bookmarkEnd w:id="226"/>
      <w:bookmarkStart w:id="227" w:name="_Toc184312103"/>
      <w:bookmarkEnd w:id="227"/>
      <w:bookmarkStart w:id="228" w:name="_Toc184312117"/>
      <w:bookmarkEnd w:id="228"/>
      <w:bookmarkStart w:id="229" w:name="_Toc184312069"/>
      <w:bookmarkEnd w:id="229"/>
      <w:bookmarkStart w:id="230" w:name="_Toc184312094"/>
      <w:bookmarkEnd w:id="230"/>
      <w:bookmarkStart w:id="231" w:name="_Toc184313276"/>
      <w:bookmarkEnd w:id="231"/>
      <w:bookmarkStart w:id="232" w:name="_Toc184313269"/>
      <w:bookmarkEnd w:id="232"/>
      <w:bookmarkStart w:id="233" w:name="_Toc184308099"/>
      <w:bookmarkEnd w:id="233"/>
      <w:bookmarkStart w:id="234" w:name="_Toc184308083"/>
      <w:bookmarkEnd w:id="234"/>
      <w:bookmarkStart w:id="235" w:name="_Toc184312110"/>
      <w:bookmarkEnd w:id="235"/>
      <w:bookmarkStart w:id="236" w:name="_Toc184310334"/>
      <w:bookmarkEnd w:id="236"/>
      <w:bookmarkStart w:id="237" w:name="_Toc184310277"/>
      <w:bookmarkEnd w:id="237"/>
      <w:bookmarkStart w:id="238" w:name="_Toc184308076"/>
      <w:bookmarkEnd w:id="238"/>
      <w:bookmarkStart w:id="239" w:name="_Toc184308064"/>
      <w:bookmarkEnd w:id="239"/>
      <w:bookmarkStart w:id="240" w:name="_Toc184308063"/>
      <w:bookmarkEnd w:id="240"/>
      <w:bookmarkStart w:id="241" w:name="_Toc184310306"/>
      <w:bookmarkEnd w:id="241"/>
      <w:bookmarkStart w:id="242" w:name="_Toc184308044"/>
      <w:bookmarkEnd w:id="242"/>
      <w:bookmarkStart w:id="243" w:name="_Toc184312111"/>
      <w:bookmarkEnd w:id="243"/>
      <w:bookmarkStart w:id="244" w:name="_Toc184313283"/>
      <w:bookmarkEnd w:id="244"/>
      <w:bookmarkStart w:id="245" w:name="_Toc184308092"/>
      <w:bookmarkEnd w:id="245"/>
      <w:bookmarkStart w:id="246" w:name="_Toc184312085"/>
      <w:bookmarkEnd w:id="246"/>
      <w:bookmarkStart w:id="247" w:name="_Toc184312079"/>
      <w:bookmarkEnd w:id="247"/>
      <w:bookmarkStart w:id="248" w:name="_Toc184313284"/>
      <w:bookmarkEnd w:id="248"/>
      <w:bookmarkStart w:id="249" w:name="_Toc184313280"/>
      <w:bookmarkEnd w:id="249"/>
      <w:bookmarkStart w:id="250" w:name="_Toc184312139"/>
      <w:bookmarkEnd w:id="250"/>
      <w:bookmarkStart w:id="251" w:name="_Toc184312075"/>
      <w:bookmarkEnd w:id="251"/>
      <w:bookmarkStart w:id="252" w:name="_Toc184313252"/>
      <w:bookmarkEnd w:id="252"/>
      <w:bookmarkStart w:id="253" w:name="_Toc184308093"/>
      <w:bookmarkEnd w:id="253"/>
      <w:bookmarkStart w:id="254" w:name="_Toc184312086"/>
      <w:bookmarkEnd w:id="254"/>
      <w:bookmarkStart w:id="255" w:name="_Toc184312131"/>
      <w:bookmarkEnd w:id="255"/>
      <w:bookmarkStart w:id="256" w:name="_Toc184310319"/>
      <w:bookmarkEnd w:id="256"/>
      <w:bookmarkStart w:id="257" w:name="_Toc184308049"/>
      <w:bookmarkEnd w:id="257"/>
      <w:bookmarkStart w:id="258" w:name="_Toc184312087"/>
      <w:bookmarkEnd w:id="258"/>
      <w:bookmarkStart w:id="259" w:name="_Toc184312073"/>
      <w:bookmarkEnd w:id="259"/>
      <w:bookmarkStart w:id="260" w:name="_Toc184312102"/>
      <w:bookmarkEnd w:id="260"/>
      <w:bookmarkStart w:id="261" w:name="_Toc184314417"/>
      <w:bookmarkEnd w:id="261"/>
      <w:bookmarkStart w:id="262" w:name="_Toc184308066"/>
      <w:bookmarkEnd w:id="262"/>
      <w:bookmarkStart w:id="263" w:name="_Toc184313279"/>
      <w:bookmarkEnd w:id="263"/>
      <w:bookmarkStart w:id="264" w:name="_Toc184308086"/>
      <w:bookmarkEnd w:id="264"/>
      <w:bookmarkStart w:id="265" w:name="_Toc184312072"/>
      <w:bookmarkEnd w:id="265"/>
      <w:bookmarkStart w:id="266" w:name="_Toc184314431"/>
      <w:bookmarkEnd w:id="266"/>
      <w:bookmarkStart w:id="267" w:name="_Toc184313278"/>
      <w:bookmarkEnd w:id="267"/>
      <w:bookmarkStart w:id="268" w:name="_Toc184313286"/>
      <w:bookmarkEnd w:id="268"/>
      <w:bookmarkStart w:id="269" w:name="_Toc184310283"/>
      <w:bookmarkEnd w:id="269"/>
      <w:bookmarkStart w:id="270" w:name="_Toc184313277"/>
      <w:bookmarkEnd w:id="270"/>
      <w:bookmarkStart w:id="271" w:name="_Toc184310329"/>
      <w:bookmarkEnd w:id="271"/>
      <w:bookmarkStart w:id="272" w:name="_Toc184313301"/>
      <w:bookmarkEnd w:id="272"/>
      <w:bookmarkStart w:id="273" w:name="_Toc184313264"/>
      <w:bookmarkEnd w:id="273"/>
      <w:bookmarkStart w:id="274" w:name="_Toc184313289"/>
      <w:bookmarkEnd w:id="274"/>
      <w:bookmarkStart w:id="275" w:name="_Toc184313261"/>
      <w:bookmarkEnd w:id="275"/>
      <w:bookmarkStart w:id="276" w:name="_Toc184310341"/>
      <w:bookmarkEnd w:id="276"/>
      <w:bookmarkStart w:id="277" w:name="_Toc184313294"/>
      <w:bookmarkEnd w:id="277"/>
      <w:bookmarkStart w:id="278" w:name="_Toc184310326"/>
      <w:bookmarkEnd w:id="278"/>
      <w:bookmarkStart w:id="279" w:name="_Toc184313247"/>
      <w:bookmarkEnd w:id="279"/>
      <w:bookmarkStart w:id="280" w:name="_Toc184308036"/>
      <w:bookmarkEnd w:id="280"/>
      <w:bookmarkStart w:id="281" w:name="_Toc184308057"/>
      <w:bookmarkEnd w:id="281"/>
      <w:bookmarkStart w:id="282" w:name="_Toc184312120"/>
      <w:bookmarkEnd w:id="282"/>
      <w:bookmarkStart w:id="283" w:name="_Toc184310315"/>
      <w:bookmarkEnd w:id="283"/>
      <w:bookmarkStart w:id="284" w:name="_Toc184310282"/>
      <w:bookmarkEnd w:id="284"/>
      <w:bookmarkStart w:id="285" w:name="_Toc184310272"/>
      <w:bookmarkEnd w:id="285"/>
      <w:bookmarkStart w:id="286" w:name="_Toc184313248"/>
      <w:bookmarkEnd w:id="286"/>
      <w:bookmarkStart w:id="287" w:name="_Toc184313300"/>
      <w:bookmarkEnd w:id="287"/>
      <w:bookmarkStart w:id="288" w:name="_Toc184314470"/>
      <w:bookmarkEnd w:id="288"/>
      <w:bookmarkStart w:id="289" w:name="_Toc184313272"/>
      <w:bookmarkEnd w:id="289"/>
      <w:bookmarkStart w:id="290" w:name="_Toc184314453"/>
      <w:bookmarkEnd w:id="290"/>
      <w:bookmarkStart w:id="291" w:name="_Toc184314418"/>
      <w:bookmarkEnd w:id="291"/>
      <w:bookmarkStart w:id="292" w:name="_Toc184310321"/>
      <w:bookmarkEnd w:id="292"/>
      <w:bookmarkStart w:id="293" w:name="_Toc184310285"/>
      <w:bookmarkEnd w:id="293"/>
      <w:bookmarkStart w:id="294" w:name="_Toc184312123"/>
      <w:bookmarkEnd w:id="294"/>
      <w:bookmarkStart w:id="295" w:name="_Toc184310299"/>
      <w:bookmarkEnd w:id="295"/>
      <w:bookmarkStart w:id="296" w:name="_Toc184313267"/>
      <w:bookmarkEnd w:id="296"/>
      <w:bookmarkStart w:id="297" w:name="_Toc184308075"/>
      <w:bookmarkEnd w:id="297"/>
      <w:bookmarkStart w:id="298" w:name="_Toc184313285"/>
      <w:bookmarkEnd w:id="298"/>
      <w:bookmarkStart w:id="299" w:name="_Toc184312098"/>
      <w:bookmarkEnd w:id="299"/>
      <w:bookmarkStart w:id="300" w:name="_Toc184310339"/>
      <w:bookmarkEnd w:id="300"/>
      <w:bookmarkStart w:id="301" w:name="_Toc184314459"/>
      <w:bookmarkEnd w:id="301"/>
      <w:bookmarkStart w:id="302" w:name="_Toc184313240"/>
      <w:bookmarkEnd w:id="302"/>
      <w:bookmarkStart w:id="303" w:name="_Toc184314420"/>
      <w:bookmarkEnd w:id="303"/>
      <w:bookmarkStart w:id="304" w:name="_Toc184312067"/>
      <w:bookmarkEnd w:id="304"/>
      <w:bookmarkStart w:id="305" w:name="_Toc184314414"/>
      <w:bookmarkEnd w:id="305"/>
      <w:bookmarkStart w:id="306" w:name="_Toc184310317"/>
      <w:bookmarkEnd w:id="306"/>
      <w:bookmarkStart w:id="307" w:name="_Toc184314471"/>
      <w:bookmarkEnd w:id="307"/>
      <w:bookmarkStart w:id="308" w:name="_Toc184308084"/>
      <w:bookmarkEnd w:id="308"/>
      <w:bookmarkStart w:id="309" w:name="_Toc184314444"/>
      <w:bookmarkEnd w:id="309"/>
      <w:bookmarkStart w:id="310" w:name="_Toc184314450"/>
      <w:bookmarkEnd w:id="310"/>
      <w:bookmarkStart w:id="311" w:name="_Toc184313287"/>
      <w:bookmarkEnd w:id="311"/>
      <w:bookmarkStart w:id="312" w:name="_Toc184312077"/>
      <w:bookmarkEnd w:id="312"/>
      <w:bookmarkStart w:id="313" w:name="_Toc184310330"/>
      <w:bookmarkEnd w:id="313"/>
      <w:bookmarkStart w:id="314" w:name="_Toc184313254"/>
      <w:bookmarkEnd w:id="314"/>
      <w:bookmarkStart w:id="315" w:name="_Toc184312124"/>
      <w:bookmarkEnd w:id="315"/>
      <w:bookmarkStart w:id="316" w:name="_Toc184314479"/>
      <w:bookmarkEnd w:id="316"/>
      <w:bookmarkStart w:id="317" w:name="_Toc184308081"/>
      <w:bookmarkEnd w:id="317"/>
      <w:bookmarkStart w:id="318" w:name="_Toc184312093"/>
      <w:bookmarkEnd w:id="318"/>
      <w:bookmarkStart w:id="319" w:name="_Toc184310337"/>
      <w:bookmarkEnd w:id="319"/>
      <w:bookmarkStart w:id="320" w:name="_Toc184314429"/>
      <w:bookmarkEnd w:id="320"/>
      <w:bookmarkStart w:id="321" w:name="_Toc184308105"/>
      <w:bookmarkEnd w:id="321"/>
      <w:bookmarkStart w:id="322" w:name="_Toc184312084"/>
      <w:bookmarkEnd w:id="322"/>
      <w:bookmarkStart w:id="323" w:name="_Toc184314442"/>
      <w:bookmarkEnd w:id="323"/>
      <w:bookmarkStart w:id="324" w:name="_Toc184308041"/>
      <w:bookmarkEnd w:id="324"/>
      <w:bookmarkStart w:id="325" w:name="_Toc184310292"/>
      <w:bookmarkEnd w:id="325"/>
      <w:bookmarkStart w:id="326" w:name="_Toc184308042"/>
      <w:bookmarkEnd w:id="326"/>
      <w:bookmarkStart w:id="327" w:name="_Toc184308077"/>
      <w:bookmarkEnd w:id="327"/>
      <w:bookmarkStart w:id="328" w:name="_Toc184312071"/>
      <w:bookmarkEnd w:id="328"/>
      <w:bookmarkStart w:id="329" w:name="_Toc184314419"/>
      <w:bookmarkEnd w:id="329"/>
      <w:bookmarkStart w:id="330" w:name="_Toc184312115"/>
      <w:bookmarkEnd w:id="330"/>
      <w:bookmarkStart w:id="331" w:name="_Toc184312090"/>
      <w:bookmarkEnd w:id="331"/>
      <w:bookmarkStart w:id="332" w:name="_Toc184308071"/>
      <w:bookmarkEnd w:id="332"/>
      <w:bookmarkStart w:id="333" w:name="_Toc184308046"/>
      <w:bookmarkEnd w:id="333"/>
      <w:bookmarkStart w:id="334" w:name="_Toc184308053"/>
      <w:bookmarkEnd w:id="334"/>
      <w:bookmarkStart w:id="335" w:name="_Toc184314434"/>
      <w:bookmarkEnd w:id="335"/>
      <w:bookmarkStart w:id="336" w:name="_Toc184314439"/>
      <w:bookmarkEnd w:id="336"/>
      <w:bookmarkStart w:id="337" w:name="_Toc184313296"/>
      <w:bookmarkEnd w:id="337"/>
      <w:bookmarkStart w:id="338" w:name="_Toc184313263"/>
      <w:bookmarkEnd w:id="338"/>
      <w:bookmarkStart w:id="339" w:name="_Toc184312114"/>
      <w:bookmarkEnd w:id="339"/>
      <w:bookmarkStart w:id="340" w:name="_Toc184314478"/>
      <w:bookmarkEnd w:id="340"/>
      <w:bookmarkStart w:id="341" w:name="_Toc184310280"/>
      <w:bookmarkEnd w:id="341"/>
      <w:bookmarkStart w:id="342" w:name="_Toc184313253"/>
      <w:bookmarkEnd w:id="342"/>
      <w:bookmarkStart w:id="343" w:name="_Toc184308073"/>
      <w:bookmarkEnd w:id="343"/>
      <w:bookmarkStart w:id="344" w:name="_Toc184312080"/>
      <w:bookmarkEnd w:id="344"/>
      <w:bookmarkStart w:id="345" w:name="_Toc184313268"/>
      <w:bookmarkEnd w:id="345"/>
      <w:bookmarkStart w:id="346" w:name="_Toc184313255"/>
      <w:bookmarkEnd w:id="346"/>
      <w:bookmarkStart w:id="347" w:name="_Toc184314441"/>
      <w:bookmarkEnd w:id="347"/>
      <w:bookmarkStart w:id="348" w:name="_Toc184314436"/>
      <w:bookmarkEnd w:id="348"/>
      <w:bookmarkStart w:id="349" w:name="_Toc184308088"/>
      <w:bookmarkEnd w:id="349"/>
      <w:bookmarkStart w:id="350" w:name="_Toc184312070"/>
      <w:bookmarkEnd w:id="350"/>
      <w:bookmarkStart w:id="351" w:name="_Toc184310311"/>
      <w:bookmarkEnd w:id="351"/>
      <w:bookmarkStart w:id="352" w:name="_Toc184314480"/>
      <w:bookmarkEnd w:id="352"/>
      <w:bookmarkStart w:id="353" w:name="_Toc184308100"/>
      <w:bookmarkEnd w:id="353"/>
      <w:bookmarkStart w:id="354" w:name="_Toc184310327"/>
      <w:bookmarkEnd w:id="354"/>
      <w:bookmarkStart w:id="355" w:name="_Toc184313298"/>
      <w:bookmarkEnd w:id="355"/>
      <w:bookmarkStart w:id="356" w:name="_Toc184310308"/>
      <w:bookmarkEnd w:id="356"/>
      <w:bookmarkStart w:id="357" w:name="_Toc184314426"/>
      <w:bookmarkEnd w:id="357"/>
      <w:bookmarkStart w:id="358" w:name="_Toc184308103"/>
      <w:bookmarkEnd w:id="358"/>
      <w:bookmarkStart w:id="359" w:name="_Toc184314451"/>
      <w:bookmarkEnd w:id="359"/>
      <w:bookmarkStart w:id="360" w:name="_Toc184310338"/>
      <w:bookmarkEnd w:id="360"/>
      <w:bookmarkStart w:id="361" w:name="_Toc184313304"/>
      <w:bookmarkEnd w:id="361"/>
      <w:bookmarkStart w:id="362" w:name="_Toc184313275"/>
      <w:bookmarkEnd w:id="362"/>
      <w:bookmarkStart w:id="363" w:name="_Toc184310335"/>
      <w:bookmarkEnd w:id="363"/>
      <w:bookmarkStart w:id="364" w:name="_Toc184308097"/>
      <w:bookmarkEnd w:id="364"/>
      <w:bookmarkStart w:id="365" w:name="_Toc184310303"/>
      <w:bookmarkEnd w:id="365"/>
      <w:bookmarkStart w:id="366" w:name="_Toc184310302"/>
      <w:bookmarkEnd w:id="366"/>
      <w:bookmarkStart w:id="367" w:name="_Toc184313251"/>
      <w:bookmarkEnd w:id="367"/>
      <w:bookmarkStart w:id="368" w:name="_Toc184313244"/>
      <w:bookmarkEnd w:id="368"/>
      <w:bookmarkStart w:id="369" w:name="_Toc184312107"/>
      <w:bookmarkEnd w:id="369"/>
      <w:bookmarkStart w:id="370" w:name="_Toc184308082"/>
      <w:bookmarkEnd w:id="370"/>
      <w:bookmarkStart w:id="371" w:name="_Toc184312106"/>
      <w:bookmarkEnd w:id="371"/>
      <w:bookmarkStart w:id="372" w:name="_Toc184312108"/>
      <w:bookmarkEnd w:id="372"/>
      <w:bookmarkStart w:id="373" w:name="_Toc184314461"/>
      <w:bookmarkEnd w:id="373"/>
      <w:bookmarkStart w:id="374" w:name="_Toc184313259"/>
      <w:bookmarkEnd w:id="374"/>
      <w:bookmarkStart w:id="375" w:name="_Toc184310342"/>
      <w:bookmarkEnd w:id="375"/>
      <w:bookmarkStart w:id="376" w:name="_Toc184313282"/>
      <w:bookmarkEnd w:id="376"/>
      <w:bookmarkStart w:id="377" w:name="_Toc184314435"/>
      <w:bookmarkEnd w:id="377"/>
      <w:bookmarkStart w:id="378" w:name="_Toc184308098"/>
      <w:bookmarkEnd w:id="378"/>
      <w:bookmarkStart w:id="379" w:name="_Toc184313302"/>
      <w:bookmarkEnd w:id="379"/>
      <w:bookmarkStart w:id="380" w:name="_Toc184313273"/>
      <w:bookmarkEnd w:id="380"/>
      <w:bookmarkStart w:id="381" w:name="_Toc184314463"/>
      <w:bookmarkEnd w:id="381"/>
      <w:bookmarkStart w:id="382" w:name="_Toc184310284"/>
      <w:bookmarkEnd w:id="382"/>
      <w:bookmarkStart w:id="383" w:name="_Toc184314476"/>
      <w:bookmarkEnd w:id="383"/>
      <w:bookmarkStart w:id="384" w:name="_Toc184310276"/>
      <w:bookmarkEnd w:id="384"/>
      <w:bookmarkStart w:id="385" w:name="_Toc184310336"/>
      <w:bookmarkEnd w:id="385"/>
      <w:bookmarkStart w:id="386" w:name="_Toc184314425"/>
      <w:bookmarkEnd w:id="386"/>
      <w:bookmarkStart w:id="387" w:name="_Toc184310298"/>
      <w:bookmarkEnd w:id="387"/>
      <w:bookmarkStart w:id="388" w:name="_Toc184312113"/>
      <w:bookmarkEnd w:id="388"/>
      <w:bookmarkStart w:id="389" w:name="_Toc184308051"/>
      <w:bookmarkEnd w:id="389"/>
      <w:bookmarkStart w:id="390" w:name="_Toc184308070"/>
      <w:bookmarkEnd w:id="390"/>
      <w:bookmarkStart w:id="391" w:name="_Toc184312091"/>
      <w:bookmarkEnd w:id="391"/>
      <w:bookmarkStart w:id="392" w:name="_Toc184314422"/>
      <w:bookmarkEnd w:id="392"/>
      <w:bookmarkStart w:id="393" w:name="_Toc184308068"/>
      <w:bookmarkEnd w:id="393"/>
      <w:bookmarkStart w:id="394" w:name="_Toc184313262"/>
      <w:bookmarkEnd w:id="394"/>
      <w:bookmarkStart w:id="395" w:name="_Toc184308080"/>
      <w:bookmarkEnd w:id="395"/>
      <w:bookmarkStart w:id="396" w:name="_Toc184308074"/>
      <w:bookmarkEnd w:id="396"/>
      <w:bookmarkStart w:id="397" w:name="_Toc184313238"/>
      <w:bookmarkEnd w:id="397"/>
      <w:bookmarkStart w:id="398" w:name="_Toc184310290"/>
      <w:bookmarkEnd w:id="398"/>
      <w:bookmarkStart w:id="399" w:name="_Toc184308062"/>
      <w:bookmarkEnd w:id="399"/>
      <w:bookmarkStart w:id="400" w:name="_Toc184308108"/>
      <w:bookmarkEnd w:id="400"/>
      <w:bookmarkStart w:id="401" w:name="_Toc184314458"/>
      <w:bookmarkEnd w:id="401"/>
      <w:r>
        <w:rPr>
          <w:rFonts w:hint="eastAsia" w:cs="仿宋" w:asciiTheme="majorEastAsia" w:hAnsiTheme="majorEastAsia" w:eastAsiaTheme="majorEastAsia"/>
          <w:b/>
          <w:color w:val="auto"/>
          <w:sz w:val="36"/>
          <w:szCs w:val="36"/>
        </w:rPr>
        <w:t>评标办法</w:t>
      </w:r>
    </w:p>
    <w:p w14:paraId="26829310">
      <w:pPr>
        <w:snapToGrid w:val="0"/>
        <w:spacing w:line="240" w:lineRule="auto"/>
        <w:jc w:val="center"/>
        <w:rPr>
          <w:rFonts w:ascii="宋体" w:hAnsi="宋体" w:eastAsia="宋体" w:cs="仿宋"/>
          <w:b/>
          <w:color w:val="auto"/>
          <w:sz w:val="32"/>
          <w:szCs w:val="20"/>
        </w:rPr>
      </w:pPr>
      <w:r>
        <w:rPr>
          <w:rFonts w:hint="eastAsia" w:ascii="宋体" w:hAnsi="宋体" w:eastAsia="宋体" w:cs="仿宋"/>
          <w:b/>
          <w:color w:val="auto"/>
          <w:sz w:val="32"/>
          <w:szCs w:val="20"/>
        </w:rPr>
        <w:t>评标办法前附表</w:t>
      </w:r>
    </w:p>
    <w:tbl>
      <w:tblPr>
        <w:tblStyle w:val="23"/>
        <w:tblW w:w="9414" w:type="dxa"/>
        <w:jc w:val="center"/>
        <w:tblLayout w:type="fixed"/>
        <w:tblCellMar>
          <w:top w:w="0" w:type="dxa"/>
          <w:left w:w="108" w:type="dxa"/>
          <w:bottom w:w="0" w:type="dxa"/>
          <w:right w:w="108" w:type="dxa"/>
        </w:tblCellMar>
      </w:tblPr>
      <w:tblGrid>
        <w:gridCol w:w="1064"/>
        <w:gridCol w:w="8350"/>
      </w:tblGrid>
      <w:tr w14:paraId="720CFFB6">
        <w:tblPrEx>
          <w:tblCellMar>
            <w:top w:w="0" w:type="dxa"/>
            <w:left w:w="108" w:type="dxa"/>
            <w:bottom w:w="0" w:type="dxa"/>
            <w:right w:w="108" w:type="dxa"/>
          </w:tblCellMar>
        </w:tblPrEx>
        <w:trPr>
          <w:trHeight w:val="448" w:hRule="atLeast"/>
          <w:jc w:val="center"/>
        </w:trPr>
        <w:tc>
          <w:tcPr>
            <w:tcW w:w="9414" w:type="dxa"/>
            <w:gridSpan w:val="2"/>
            <w:tcBorders>
              <w:top w:val="single" w:color="000000" w:sz="4" w:space="0"/>
              <w:left w:val="single" w:color="000000" w:sz="4" w:space="0"/>
              <w:bottom w:val="single" w:color="auto" w:sz="4" w:space="0"/>
              <w:right w:val="single" w:color="000000" w:sz="4" w:space="0"/>
            </w:tcBorders>
            <w:noWrap w:val="0"/>
            <w:vAlign w:val="center"/>
          </w:tcPr>
          <w:p w14:paraId="7BB5FBD2">
            <w:pPr>
              <w:shd w:val="clear" w:color="auto" w:fill="auto"/>
              <w:spacing w:line="360" w:lineRule="auto"/>
              <w:jc w:val="center"/>
              <w:rPr>
                <w:rFonts w:hint="eastAsia" w:ascii="仿宋" w:hAnsi="仿宋" w:eastAsia="仿宋" w:cs="仿宋"/>
                <w:color w:val="auto"/>
                <w:kern w:val="1"/>
                <w:sz w:val="24"/>
                <w:szCs w:val="24"/>
              </w:rPr>
            </w:pPr>
            <w:r>
              <w:rPr>
                <w:rFonts w:hint="eastAsia" w:ascii="仿宋" w:hAnsi="仿宋" w:eastAsia="仿宋" w:cs="仿宋"/>
                <w:b/>
                <w:bCs/>
                <w:color w:val="auto"/>
                <w:kern w:val="0"/>
                <w:sz w:val="24"/>
                <w:szCs w:val="24"/>
              </w:rPr>
              <w:t>评分标准</w:t>
            </w:r>
          </w:p>
        </w:tc>
      </w:tr>
      <w:tr w14:paraId="40F1EA53">
        <w:tblPrEx>
          <w:tblCellMar>
            <w:top w:w="0" w:type="dxa"/>
            <w:left w:w="108" w:type="dxa"/>
            <w:bottom w:w="0" w:type="dxa"/>
            <w:right w:w="108" w:type="dxa"/>
          </w:tblCellMar>
        </w:tblPrEx>
        <w:trPr>
          <w:jc w:val="center"/>
        </w:trPr>
        <w:tc>
          <w:tcPr>
            <w:tcW w:w="1064" w:type="dxa"/>
            <w:vMerge w:val="restart"/>
            <w:tcBorders>
              <w:top w:val="single" w:color="auto" w:sz="4" w:space="0"/>
              <w:left w:val="single" w:color="auto" w:sz="4" w:space="0"/>
              <w:right w:val="single" w:color="000000" w:sz="4" w:space="0"/>
            </w:tcBorders>
            <w:noWrap w:val="0"/>
            <w:vAlign w:val="center"/>
          </w:tcPr>
          <w:p w14:paraId="20A4171C">
            <w:pPr>
              <w:keepNext w:val="0"/>
              <w:keepLines w:val="0"/>
              <w:pageBreakBefore w:val="0"/>
              <w:widowControl w:val="0"/>
              <w:shd w:val="clear" w:color="auto" w:fill="auto"/>
              <w:tabs>
                <w:tab w:val="left" w:pos="0"/>
              </w:tabs>
              <w:kinsoku/>
              <w:wordWrap/>
              <w:overflowPunct/>
              <w:topLinePunct w:val="0"/>
              <w:autoSpaceDE/>
              <w:autoSpaceDN/>
              <w:bidi w:val="0"/>
              <w:adjustRightInd/>
              <w:spacing w:line="312"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商务技术分（</w:t>
            </w:r>
            <w:r>
              <w:rPr>
                <w:rFonts w:hint="eastAsia" w:ascii="仿宋" w:hAnsi="仿宋" w:eastAsia="仿宋" w:cs="仿宋"/>
                <w:color w:val="auto"/>
                <w:kern w:val="0"/>
                <w:sz w:val="24"/>
                <w:szCs w:val="24"/>
                <w:lang w:val="en-US" w:eastAsia="zh-CN"/>
              </w:rPr>
              <w:t>60</w:t>
            </w:r>
            <w:r>
              <w:rPr>
                <w:rFonts w:hint="eastAsia" w:ascii="仿宋" w:hAnsi="仿宋" w:eastAsia="仿宋" w:cs="仿宋"/>
                <w:color w:val="auto"/>
                <w:kern w:val="0"/>
                <w:sz w:val="24"/>
                <w:szCs w:val="24"/>
              </w:rPr>
              <w:t>分）</w:t>
            </w:r>
          </w:p>
        </w:tc>
        <w:tc>
          <w:tcPr>
            <w:tcW w:w="8350" w:type="dxa"/>
            <w:tcBorders>
              <w:top w:val="single" w:color="auto" w:sz="4" w:space="0"/>
              <w:left w:val="single" w:color="000000" w:sz="4" w:space="0"/>
              <w:bottom w:val="single" w:color="000000" w:sz="4" w:space="0"/>
              <w:right w:val="single" w:color="auto" w:sz="4" w:space="0"/>
            </w:tcBorders>
            <w:noWrap w:val="0"/>
            <w:vAlign w:val="center"/>
          </w:tcPr>
          <w:p w14:paraId="163574A8">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1、技术指标响应性（</w:t>
            </w:r>
            <w:r>
              <w:rPr>
                <w:rFonts w:hint="eastAsia" w:ascii="仿宋" w:hAnsi="仿宋" w:eastAsia="仿宋" w:cs="仿宋"/>
                <w:color w:val="auto"/>
                <w:kern w:val="0"/>
                <w:sz w:val="24"/>
                <w:szCs w:val="24"/>
                <w:lang w:val="en-US" w:eastAsia="zh-CN"/>
              </w:rPr>
              <w:t>16</w:t>
            </w:r>
            <w:r>
              <w:rPr>
                <w:rFonts w:hint="eastAsia" w:ascii="仿宋" w:hAnsi="仿宋" w:eastAsia="仿宋" w:cs="仿宋"/>
                <w:color w:val="auto"/>
                <w:kern w:val="0"/>
                <w:sz w:val="24"/>
                <w:szCs w:val="24"/>
                <w:lang w:eastAsia="zh-CN"/>
              </w:rPr>
              <w:t>分）：</w:t>
            </w:r>
          </w:p>
          <w:p w14:paraId="3AD0556F">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完全响应招标文件采购需求技术参数各项指标的得</w:t>
            </w:r>
            <w:r>
              <w:rPr>
                <w:rFonts w:hint="eastAsia" w:ascii="仿宋" w:hAnsi="仿宋" w:eastAsia="仿宋" w:cs="仿宋"/>
                <w:color w:val="auto"/>
                <w:kern w:val="0"/>
                <w:sz w:val="24"/>
                <w:szCs w:val="24"/>
                <w:lang w:val="en-US" w:eastAsia="zh-CN"/>
              </w:rPr>
              <w:t>16</w:t>
            </w:r>
            <w:r>
              <w:rPr>
                <w:rFonts w:hint="eastAsia" w:ascii="仿宋" w:hAnsi="仿宋" w:eastAsia="仿宋" w:cs="仿宋"/>
                <w:color w:val="auto"/>
                <w:kern w:val="0"/>
                <w:sz w:val="24"/>
                <w:szCs w:val="24"/>
                <w:lang w:eastAsia="zh-CN"/>
              </w:rPr>
              <w:t>分；偏离一条打</w:t>
            </w:r>
            <w:bookmarkStart w:id="402" w:name="OLE_LINK8"/>
            <w:r>
              <w:rPr>
                <w:rFonts w:hint="eastAsia"/>
                <w:color w:val="auto"/>
                <w:sz w:val="24"/>
                <w:szCs w:val="24"/>
                <w:highlight w:val="none"/>
              </w:rPr>
              <w:t>★</w:t>
            </w:r>
            <w:bookmarkEnd w:id="402"/>
            <w:r>
              <w:rPr>
                <w:rFonts w:hint="eastAsia" w:ascii="仿宋" w:hAnsi="仿宋" w:eastAsia="仿宋" w:cs="仿宋"/>
                <w:color w:val="auto"/>
                <w:kern w:val="0"/>
                <w:sz w:val="24"/>
                <w:szCs w:val="24"/>
                <w:lang w:eastAsia="zh-CN"/>
              </w:rPr>
              <w:t>号的技术指标每条扣</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lang w:eastAsia="zh-CN"/>
              </w:rPr>
              <w:t>分，扣完为止；负偏离任一带“▲”技术参数的作无效标处理。</w:t>
            </w:r>
          </w:p>
          <w:p w14:paraId="4F351AE6">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rPr>
            </w:pPr>
            <w:r>
              <w:rPr>
                <w:rFonts w:hint="eastAsia" w:ascii="仿宋" w:hAnsi="仿宋" w:eastAsia="仿宋" w:cs="仿宋"/>
                <w:color w:val="auto"/>
                <w:kern w:val="0"/>
                <w:sz w:val="24"/>
                <w:szCs w:val="24"/>
                <w:lang w:eastAsia="zh-CN"/>
              </w:rPr>
              <w:t>如要求提供检测报告或相关证明材料的，应按要求内容进行提供，否则按不满足或负偏离认定。</w:t>
            </w:r>
          </w:p>
        </w:tc>
      </w:tr>
      <w:tr w14:paraId="2745FB5A">
        <w:tblPrEx>
          <w:tblCellMar>
            <w:top w:w="0" w:type="dxa"/>
            <w:left w:w="108" w:type="dxa"/>
            <w:bottom w:w="0" w:type="dxa"/>
            <w:right w:w="108" w:type="dxa"/>
          </w:tblCellMar>
        </w:tblPrEx>
        <w:trPr>
          <w:jc w:val="center"/>
        </w:trPr>
        <w:tc>
          <w:tcPr>
            <w:tcW w:w="1064" w:type="dxa"/>
            <w:vMerge w:val="continue"/>
            <w:tcBorders>
              <w:left w:val="single" w:color="auto" w:sz="4" w:space="0"/>
              <w:right w:val="single" w:color="000000" w:sz="4" w:space="0"/>
            </w:tcBorders>
            <w:noWrap w:val="0"/>
            <w:vAlign w:val="center"/>
          </w:tcPr>
          <w:p w14:paraId="572E610C">
            <w:pPr>
              <w:keepNext w:val="0"/>
              <w:keepLines w:val="0"/>
              <w:pageBreakBefore w:val="0"/>
              <w:widowControl w:val="0"/>
              <w:shd w:val="clear" w:color="auto" w:fill="auto"/>
              <w:tabs>
                <w:tab w:val="left" w:pos="0"/>
              </w:tabs>
              <w:kinsoku/>
              <w:wordWrap/>
              <w:overflowPunct/>
              <w:topLinePunct w:val="0"/>
              <w:autoSpaceDE/>
              <w:autoSpaceDN/>
              <w:bidi w:val="0"/>
              <w:adjustRightInd/>
              <w:spacing w:line="312" w:lineRule="auto"/>
              <w:textAlignment w:val="auto"/>
              <w:rPr>
                <w:rFonts w:hint="eastAsia" w:ascii="仿宋" w:hAnsi="仿宋" w:eastAsia="仿宋" w:cs="仿宋"/>
                <w:color w:val="auto"/>
                <w:kern w:val="0"/>
                <w:sz w:val="24"/>
                <w:szCs w:val="24"/>
              </w:rPr>
            </w:pPr>
          </w:p>
        </w:tc>
        <w:tc>
          <w:tcPr>
            <w:tcW w:w="8350" w:type="dxa"/>
            <w:tcBorders>
              <w:top w:val="single" w:color="auto" w:sz="4" w:space="0"/>
              <w:left w:val="single" w:color="000000" w:sz="4" w:space="0"/>
              <w:bottom w:val="single" w:color="000000" w:sz="4" w:space="0"/>
              <w:right w:val="single" w:color="auto" w:sz="4" w:space="0"/>
            </w:tcBorders>
            <w:noWrap w:val="0"/>
            <w:vAlign w:val="center"/>
          </w:tcPr>
          <w:p w14:paraId="7631995F">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2、</w:t>
            </w:r>
            <w:r>
              <w:rPr>
                <w:rFonts w:hint="eastAsia" w:ascii="仿宋" w:hAnsi="仿宋" w:eastAsia="仿宋" w:cs="仿宋"/>
                <w:color w:val="auto"/>
                <w:kern w:val="0"/>
                <w:sz w:val="24"/>
                <w:szCs w:val="24"/>
                <w:lang w:val="en-US" w:eastAsia="zh-CN"/>
              </w:rPr>
              <w:t>潜污泵</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lang w:eastAsia="zh-CN"/>
              </w:rPr>
              <w:t>分）</w:t>
            </w:r>
          </w:p>
          <w:p w14:paraId="41D721D0">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在满足采购需求的基础上，对所投</w:t>
            </w:r>
            <w:r>
              <w:rPr>
                <w:rFonts w:hint="eastAsia" w:ascii="仿宋" w:hAnsi="仿宋" w:eastAsia="仿宋" w:cs="仿宋"/>
                <w:color w:val="auto"/>
                <w:kern w:val="0"/>
                <w:sz w:val="24"/>
                <w:szCs w:val="24"/>
                <w:lang w:val="en-US" w:eastAsia="zh-CN"/>
              </w:rPr>
              <w:t>潜污泵的电机、切割叶轮、轴承、机械密封等</w:t>
            </w:r>
            <w:r>
              <w:rPr>
                <w:rFonts w:hint="eastAsia" w:ascii="仿宋" w:hAnsi="仿宋" w:eastAsia="仿宋" w:cs="仿宋"/>
                <w:color w:val="auto"/>
                <w:kern w:val="0"/>
                <w:sz w:val="24"/>
                <w:szCs w:val="24"/>
                <w:lang w:eastAsia="zh-CN"/>
              </w:rPr>
              <w:t>材料</w:t>
            </w:r>
            <w:r>
              <w:rPr>
                <w:rFonts w:hint="eastAsia" w:ascii="仿宋" w:hAnsi="仿宋" w:eastAsia="仿宋" w:cs="仿宋"/>
                <w:color w:val="auto"/>
                <w:kern w:val="0"/>
                <w:sz w:val="24"/>
                <w:szCs w:val="24"/>
                <w:lang w:val="en-US" w:eastAsia="zh-CN"/>
              </w:rPr>
              <w:t>材质的选用</w:t>
            </w:r>
            <w:r>
              <w:rPr>
                <w:rFonts w:hint="eastAsia" w:ascii="仿宋" w:hAnsi="仿宋" w:eastAsia="仿宋" w:cs="仿宋"/>
                <w:color w:val="auto"/>
                <w:kern w:val="0"/>
                <w:sz w:val="24"/>
                <w:szCs w:val="24"/>
                <w:lang w:eastAsia="zh-CN"/>
              </w:rPr>
              <w:t>合理、优异的得</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lang w:eastAsia="zh-CN"/>
              </w:rPr>
              <w:t>分；与整体系统的配套、控制衔接良好的得</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lang w:eastAsia="zh-CN"/>
              </w:rPr>
              <w:t>分；以上内容有所欠缺的每项得</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lang w:eastAsia="zh-CN"/>
              </w:rPr>
              <w:t>分；未提供或提供不满足要求的不得分；</w:t>
            </w:r>
          </w:p>
          <w:p w14:paraId="4C9C8168">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lang w:eastAsia="zh-CN"/>
              </w:rPr>
            </w:pPr>
            <w:r>
              <w:rPr>
                <w:rFonts w:hint="eastAsia" w:ascii="仿宋" w:hAnsi="仿宋" w:eastAsia="仿宋" w:cs="仿宋"/>
                <w:color w:val="auto"/>
                <w:kern w:val="0"/>
                <w:sz w:val="24"/>
                <w:szCs w:val="24"/>
                <w:lang w:eastAsia="zh-CN"/>
              </w:rPr>
              <w:t>（上述评审项投标文件中提供详细产品配置情况、材料</w:t>
            </w:r>
            <w:r>
              <w:rPr>
                <w:rFonts w:hint="eastAsia" w:ascii="仿宋" w:hAnsi="仿宋" w:eastAsia="仿宋" w:cs="仿宋"/>
                <w:color w:val="auto"/>
                <w:kern w:val="0"/>
                <w:sz w:val="24"/>
                <w:szCs w:val="24"/>
                <w:lang w:val="en-US" w:eastAsia="zh-CN"/>
              </w:rPr>
              <w:t>材质等</w:t>
            </w:r>
            <w:r>
              <w:rPr>
                <w:rFonts w:hint="eastAsia" w:ascii="仿宋" w:hAnsi="仿宋" w:eastAsia="仿宋" w:cs="仿宋"/>
                <w:color w:val="auto"/>
                <w:kern w:val="0"/>
                <w:sz w:val="24"/>
                <w:szCs w:val="24"/>
                <w:lang w:eastAsia="zh-CN"/>
              </w:rPr>
              <w:t>资料介绍、性能及功能描述等材料说明。）</w:t>
            </w:r>
          </w:p>
        </w:tc>
      </w:tr>
      <w:tr w14:paraId="3534BC10">
        <w:tblPrEx>
          <w:tblCellMar>
            <w:top w:w="0" w:type="dxa"/>
            <w:left w:w="108" w:type="dxa"/>
            <w:bottom w:w="0" w:type="dxa"/>
            <w:right w:w="108" w:type="dxa"/>
          </w:tblCellMar>
        </w:tblPrEx>
        <w:trPr>
          <w:jc w:val="center"/>
        </w:trPr>
        <w:tc>
          <w:tcPr>
            <w:tcW w:w="1064" w:type="dxa"/>
            <w:vMerge w:val="continue"/>
            <w:tcBorders>
              <w:left w:val="single" w:color="auto" w:sz="4" w:space="0"/>
              <w:right w:val="single" w:color="000000" w:sz="4" w:space="0"/>
            </w:tcBorders>
            <w:noWrap w:val="0"/>
            <w:vAlign w:val="center"/>
          </w:tcPr>
          <w:p w14:paraId="54AEFB95">
            <w:pPr>
              <w:keepNext w:val="0"/>
              <w:keepLines w:val="0"/>
              <w:pageBreakBefore w:val="0"/>
              <w:widowControl w:val="0"/>
              <w:shd w:val="clear" w:color="auto" w:fill="auto"/>
              <w:tabs>
                <w:tab w:val="left" w:pos="0"/>
              </w:tabs>
              <w:kinsoku/>
              <w:wordWrap/>
              <w:overflowPunct/>
              <w:topLinePunct w:val="0"/>
              <w:autoSpaceDE/>
              <w:autoSpaceDN/>
              <w:bidi w:val="0"/>
              <w:adjustRightInd/>
              <w:spacing w:line="312" w:lineRule="auto"/>
              <w:textAlignment w:val="auto"/>
              <w:rPr>
                <w:rFonts w:hint="eastAsia" w:ascii="仿宋" w:hAnsi="仿宋" w:eastAsia="仿宋" w:cs="仿宋"/>
                <w:color w:val="auto"/>
                <w:kern w:val="0"/>
                <w:sz w:val="24"/>
                <w:szCs w:val="24"/>
              </w:rPr>
            </w:pPr>
          </w:p>
        </w:tc>
        <w:tc>
          <w:tcPr>
            <w:tcW w:w="8350" w:type="dxa"/>
            <w:tcBorders>
              <w:top w:val="single" w:color="000000" w:sz="4" w:space="0"/>
              <w:left w:val="single" w:color="000000" w:sz="4" w:space="0"/>
              <w:bottom w:val="single" w:color="000000" w:sz="4" w:space="0"/>
              <w:right w:val="single" w:color="auto" w:sz="4" w:space="0"/>
            </w:tcBorders>
            <w:noWrap w:val="0"/>
            <w:vAlign w:val="center"/>
          </w:tcPr>
          <w:p w14:paraId="4A1BB101">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0"/>
                <w:sz w:val="24"/>
                <w:szCs w:val="24"/>
                <w:lang w:eastAsia="zh-CN"/>
              </w:rPr>
            </w:pPr>
            <w:bookmarkStart w:id="403" w:name="OLE_LINK28"/>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eastAsia="zh-CN"/>
              </w:rPr>
              <w:t>、电气控制系统（</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lang w:eastAsia="zh-CN"/>
              </w:rPr>
              <w:t>分）</w:t>
            </w:r>
          </w:p>
          <w:p w14:paraId="0990F8E0">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在满足采购需求的基础上，对所投电气控制系统的材料设备选型合理的得1分；与整体系统的配套、控制衔接良好的得1分；以上内容有所欠缺的每项得0.5分；未提供或提供不满足要求的不得分。</w:t>
            </w:r>
            <w:bookmarkEnd w:id="403"/>
          </w:p>
          <w:p w14:paraId="2C3472CE">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lang w:eastAsia="zh-CN"/>
              </w:rPr>
            </w:pPr>
            <w:r>
              <w:rPr>
                <w:rFonts w:hint="eastAsia" w:ascii="仿宋" w:hAnsi="仿宋" w:eastAsia="仿宋" w:cs="仿宋"/>
                <w:color w:val="auto"/>
                <w:kern w:val="0"/>
                <w:sz w:val="24"/>
                <w:szCs w:val="24"/>
                <w:lang w:eastAsia="zh-CN"/>
              </w:rPr>
              <w:t>（上述评审项投标文件中提供详细产品配置情况、资料介绍、性能及功能描述等材料说明。）</w:t>
            </w:r>
          </w:p>
        </w:tc>
      </w:tr>
      <w:tr w14:paraId="730BE358">
        <w:tblPrEx>
          <w:tblCellMar>
            <w:top w:w="0" w:type="dxa"/>
            <w:left w:w="108" w:type="dxa"/>
            <w:bottom w:w="0" w:type="dxa"/>
            <w:right w:w="108" w:type="dxa"/>
          </w:tblCellMar>
        </w:tblPrEx>
        <w:trPr>
          <w:jc w:val="center"/>
        </w:trPr>
        <w:tc>
          <w:tcPr>
            <w:tcW w:w="1064" w:type="dxa"/>
            <w:vMerge w:val="continue"/>
            <w:tcBorders>
              <w:left w:val="single" w:color="auto" w:sz="4" w:space="0"/>
              <w:right w:val="single" w:color="000000" w:sz="4" w:space="0"/>
            </w:tcBorders>
            <w:noWrap w:val="0"/>
            <w:vAlign w:val="center"/>
          </w:tcPr>
          <w:p w14:paraId="5E967543">
            <w:pPr>
              <w:keepNext w:val="0"/>
              <w:keepLines w:val="0"/>
              <w:pageBreakBefore w:val="0"/>
              <w:widowControl w:val="0"/>
              <w:shd w:val="clear" w:color="auto" w:fill="auto"/>
              <w:tabs>
                <w:tab w:val="left" w:pos="0"/>
              </w:tabs>
              <w:kinsoku/>
              <w:wordWrap/>
              <w:overflowPunct/>
              <w:topLinePunct w:val="0"/>
              <w:autoSpaceDE/>
              <w:autoSpaceDN/>
              <w:bidi w:val="0"/>
              <w:adjustRightInd/>
              <w:spacing w:line="312" w:lineRule="auto"/>
              <w:textAlignment w:val="auto"/>
              <w:rPr>
                <w:rFonts w:hint="eastAsia" w:ascii="仿宋" w:hAnsi="仿宋" w:eastAsia="仿宋" w:cs="仿宋"/>
                <w:color w:val="auto"/>
                <w:kern w:val="0"/>
                <w:sz w:val="24"/>
                <w:szCs w:val="24"/>
              </w:rPr>
            </w:pPr>
          </w:p>
        </w:tc>
        <w:tc>
          <w:tcPr>
            <w:tcW w:w="8350" w:type="dxa"/>
            <w:tcBorders>
              <w:top w:val="single" w:color="000000" w:sz="4" w:space="0"/>
              <w:left w:val="single" w:color="000000" w:sz="4" w:space="0"/>
              <w:bottom w:val="single" w:color="000000" w:sz="4" w:space="0"/>
              <w:right w:val="single" w:color="auto" w:sz="4" w:space="0"/>
            </w:tcBorders>
            <w:noWrap w:val="0"/>
            <w:vAlign w:val="center"/>
          </w:tcPr>
          <w:p w14:paraId="7ACE6C2E">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lang w:eastAsia="zh-CN"/>
              </w:rPr>
              <w:t>、粉碎性格栅（</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lang w:eastAsia="zh-CN"/>
              </w:rPr>
              <w:t>分）</w:t>
            </w:r>
          </w:p>
          <w:p w14:paraId="5BD6D408">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在满足采购需求的基础上，对所投粉碎性格栅的材料设备选型合理的得1分；结构合理、粉碎效率高的得1分；以上内容有所欠缺的每项得0.5分；未提供或提供不满足要求的不得分。</w:t>
            </w:r>
          </w:p>
          <w:p w14:paraId="7F314CEB">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lang w:eastAsia="zh-CN"/>
              </w:rPr>
            </w:pPr>
            <w:r>
              <w:rPr>
                <w:rFonts w:hint="eastAsia" w:ascii="仿宋" w:hAnsi="仿宋" w:eastAsia="仿宋" w:cs="仿宋"/>
                <w:color w:val="auto"/>
                <w:kern w:val="0"/>
                <w:sz w:val="24"/>
                <w:szCs w:val="24"/>
                <w:lang w:eastAsia="zh-CN"/>
              </w:rPr>
              <w:t>（上述评审项投标文件中提供详细产品配置情况、资料介绍、性能及功能描述等材料说明。）</w:t>
            </w:r>
          </w:p>
        </w:tc>
      </w:tr>
      <w:tr w14:paraId="0093BA5F">
        <w:tblPrEx>
          <w:tblCellMar>
            <w:top w:w="0" w:type="dxa"/>
            <w:left w:w="108" w:type="dxa"/>
            <w:bottom w:w="0" w:type="dxa"/>
            <w:right w:w="108" w:type="dxa"/>
          </w:tblCellMar>
        </w:tblPrEx>
        <w:trPr>
          <w:jc w:val="center"/>
        </w:trPr>
        <w:tc>
          <w:tcPr>
            <w:tcW w:w="1064" w:type="dxa"/>
            <w:vMerge w:val="continue"/>
            <w:tcBorders>
              <w:left w:val="single" w:color="auto" w:sz="4" w:space="0"/>
              <w:right w:val="single" w:color="000000" w:sz="4" w:space="0"/>
            </w:tcBorders>
            <w:noWrap w:val="0"/>
            <w:vAlign w:val="center"/>
          </w:tcPr>
          <w:p w14:paraId="7CC45BDA">
            <w:pPr>
              <w:keepNext w:val="0"/>
              <w:keepLines w:val="0"/>
              <w:pageBreakBefore w:val="0"/>
              <w:widowControl w:val="0"/>
              <w:shd w:val="clear" w:color="auto" w:fill="auto"/>
              <w:tabs>
                <w:tab w:val="left" w:pos="0"/>
              </w:tabs>
              <w:kinsoku/>
              <w:wordWrap/>
              <w:overflowPunct/>
              <w:topLinePunct w:val="0"/>
              <w:autoSpaceDE/>
              <w:autoSpaceDN/>
              <w:bidi w:val="0"/>
              <w:adjustRightInd/>
              <w:spacing w:line="312" w:lineRule="auto"/>
              <w:textAlignment w:val="auto"/>
              <w:rPr>
                <w:rFonts w:hint="eastAsia" w:ascii="仿宋" w:hAnsi="仿宋" w:eastAsia="仿宋" w:cs="仿宋"/>
                <w:color w:val="auto"/>
                <w:kern w:val="0"/>
                <w:sz w:val="24"/>
                <w:szCs w:val="24"/>
              </w:rPr>
            </w:pPr>
          </w:p>
        </w:tc>
        <w:tc>
          <w:tcPr>
            <w:tcW w:w="8350" w:type="dxa"/>
            <w:tcBorders>
              <w:top w:val="single" w:color="000000" w:sz="4" w:space="0"/>
              <w:left w:val="single" w:color="000000" w:sz="4" w:space="0"/>
              <w:bottom w:val="single" w:color="000000" w:sz="4" w:space="0"/>
              <w:right w:val="single" w:color="auto" w:sz="4" w:space="0"/>
            </w:tcBorders>
            <w:noWrap w:val="0"/>
            <w:vAlign w:val="center"/>
          </w:tcPr>
          <w:p w14:paraId="57B8A582">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0"/>
                <w:sz w:val="24"/>
                <w:szCs w:val="24"/>
                <w:lang w:eastAsia="zh-CN"/>
              </w:rPr>
            </w:pPr>
            <w:bookmarkStart w:id="404" w:name="OLE_LINK27"/>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lang w:eastAsia="zh-CN"/>
              </w:rPr>
              <w:t>、离子除臭设备（</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lang w:eastAsia="zh-CN"/>
              </w:rPr>
              <w:t>分）</w:t>
            </w:r>
          </w:p>
          <w:bookmarkEnd w:id="404"/>
          <w:p w14:paraId="2EF294FB">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0"/>
                <w:sz w:val="24"/>
                <w:szCs w:val="24"/>
                <w:lang w:eastAsia="zh-CN"/>
              </w:rPr>
            </w:pPr>
            <w:bookmarkStart w:id="405" w:name="OLE_LINK29"/>
            <w:r>
              <w:rPr>
                <w:rFonts w:hint="eastAsia" w:ascii="仿宋" w:hAnsi="仿宋" w:eastAsia="仿宋" w:cs="仿宋"/>
                <w:color w:val="auto"/>
                <w:kern w:val="0"/>
                <w:sz w:val="24"/>
                <w:szCs w:val="24"/>
                <w:lang w:eastAsia="zh-CN"/>
              </w:rPr>
              <w:t>在满足采购需求的基础上，对所投离子除臭设备的材料设备选型合理的得1分；结构合理、除臭能力强的得1分；以上内容有所欠缺的每项得0.5分；未提供或提供不满足要求的不得分。</w:t>
            </w:r>
            <w:bookmarkEnd w:id="405"/>
          </w:p>
          <w:p w14:paraId="1A9D0505">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lang w:eastAsia="zh-CN"/>
              </w:rPr>
            </w:pPr>
            <w:r>
              <w:rPr>
                <w:rFonts w:hint="eastAsia" w:ascii="仿宋" w:hAnsi="仿宋" w:eastAsia="仿宋" w:cs="仿宋"/>
                <w:color w:val="auto"/>
                <w:kern w:val="0"/>
                <w:sz w:val="24"/>
                <w:szCs w:val="24"/>
                <w:lang w:eastAsia="zh-CN"/>
              </w:rPr>
              <w:t>（上述评审项投标文件中提供详细产品配置情况、资料介绍、性能及功能描述等材料说明。）</w:t>
            </w:r>
          </w:p>
        </w:tc>
      </w:tr>
      <w:tr w14:paraId="7CE729F3">
        <w:tblPrEx>
          <w:tblCellMar>
            <w:top w:w="0" w:type="dxa"/>
            <w:left w:w="108" w:type="dxa"/>
            <w:bottom w:w="0" w:type="dxa"/>
            <w:right w:w="108" w:type="dxa"/>
          </w:tblCellMar>
        </w:tblPrEx>
        <w:trPr>
          <w:jc w:val="center"/>
        </w:trPr>
        <w:tc>
          <w:tcPr>
            <w:tcW w:w="1064" w:type="dxa"/>
            <w:vMerge w:val="continue"/>
            <w:tcBorders>
              <w:left w:val="single" w:color="auto" w:sz="4" w:space="0"/>
              <w:right w:val="single" w:color="000000" w:sz="4" w:space="0"/>
            </w:tcBorders>
            <w:noWrap w:val="0"/>
            <w:vAlign w:val="center"/>
          </w:tcPr>
          <w:p w14:paraId="2916D73F">
            <w:pPr>
              <w:keepNext w:val="0"/>
              <w:keepLines w:val="0"/>
              <w:pageBreakBefore w:val="0"/>
              <w:widowControl w:val="0"/>
              <w:shd w:val="clear" w:color="auto" w:fill="auto"/>
              <w:tabs>
                <w:tab w:val="left" w:pos="0"/>
              </w:tabs>
              <w:kinsoku/>
              <w:wordWrap/>
              <w:overflowPunct/>
              <w:topLinePunct w:val="0"/>
              <w:autoSpaceDE/>
              <w:autoSpaceDN/>
              <w:bidi w:val="0"/>
              <w:adjustRightInd/>
              <w:spacing w:line="312" w:lineRule="auto"/>
              <w:textAlignment w:val="auto"/>
              <w:rPr>
                <w:rFonts w:hint="eastAsia" w:ascii="仿宋" w:hAnsi="仿宋" w:eastAsia="仿宋" w:cs="仿宋"/>
                <w:color w:val="auto"/>
                <w:kern w:val="0"/>
                <w:sz w:val="24"/>
                <w:szCs w:val="24"/>
              </w:rPr>
            </w:pPr>
          </w:p>
        </w:tc>
        <w:tc>
          <w:tcPr>
            <w:tcW w:w="8350" w:type="dxa"/>
            <w:tcBorders>
              <w:top w:val="single" w:color="000000" w:sz="4" w:space="0"/>
              <w:left w:val="single" w:color="000000" w:sz="4" w:space="0"/>
              <w:bottom w:val="single" w:color="000000" w:sz="4" w:space="0"/>
              <w:right w:val="single" w:color="auto" w:sz="4" w:space="0"/>
            </w:tcBorders>
            <w:noWrap w:val="0"/>
            <w:vAlign w:val="center"/>
          </w:tcPr>
          <w:p w14:paraId="5CB571F3">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lang w:eastAsia="zh-CN"/>
              </w:rPr>
              <w:t>重点、难点</w:t>
            </w:r>
            <w:r>
              <w:rPr>
                <w:rFonts w:hint="eastAsia" w:ascii="仿宋" w:hAnsi="仿宋" w:eastAsia="仿宋" w:cs="仿宋"/>
                <w:color w:val="auto"/>
                <w:kern w:val="0"/>
                <w:sz w:val="24"/>
                <w:szCs w:val="24"/>
                <w:lang w:val="en-US" w:eastAsia="zh-CN"/>
              </w:rPr>
              <w:t>分析及解决方法措施</w:t>
            </w:r>
            <w:r>
              <w:rPr>
                <w:rFonts w:hint="eastAsia" w:ascii="仿宋" w:hAnsi="仿宋" w:eastAsia="仿宋" w:cs="仿宋"/>
                <w:color w:val="auto"/>
                <w:kern w:val="0"/>
                <w:sz w:val="24"/>
                <w:szCs w:val="24"/>
                <w:lang w:eastAsia="zh-CN"/>
              </w:rPr>
              <w:t>进行评议（</w:t>
            </w:r>
            <w:r>
              <w:rPr>
                <w:rFonts w:hint="eastAsia" w:ascii="仿宋" w:hAnsi="仿宋" w:eastAsia="仿宋" w:cs="仿宋"/>
                <w:color w:val="auto"/>
                <w:kern w:val="0"/>
                <w:sz w:val="24"/>
                <w:szCs w:val="24"/>
                <w:lang w:val="en-US" w:eastAsia="zh-CN"/>
              </w:rPr>
              <w:t>4分</w:t>
            </w:r>
            <w:r>
              <w:rPr>
                <w:rFonts w:hint="eastAsia" w:ascii="仿宋" w:hAnsi="仿宋" w:eastAsia="仿宋" w:cs="仿宋"/>
                <w:color w:val="auto"/>
                <w:kern w:val="0"/>
                <w:sz w:val="24"/>
                <w:szCs w:val="24"/>
                <w:lang w:eastAsia="zh-CN"/>
              </w:rPr>
              <w:t>）</w:t>
            </w:r>
          </w:p>
          <w:p w14:paraId="278DA45C">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对</w:t>
            </w:r>
            <w:r>
              <w:rPr>
                <w:rFonts w:hint="eastAsia" w:ascii="仿宋" w:hAnsi="仿宋" w:eastAsia="仿宋" w:cs="仿宋"/>
                <w:color w:val="auto"/>
                <w:kern w:val="0"/>
                <w:sz w:val="24"/>
                <w:szCs w:val="24"/>
              </w:rPr>
              <w:t>项目</w:t>
            </w:r>
            <w:r>
              <w:rPr>
                <w:rFonts w:hint="eastAsia" w:ascii="仿宋" w:hAnsi="仿宋" w:eastAsia="仿宋" w:cs="仿宋"/>
                <w:color w:val="auto"/>
                <w:kern w:val="0"/>
                <w:sz w:val="24"/>
                <w:szCs w:val="24"/>
                <w:lang w:val="en-US" w:eastAsia="zh-CN"/>
              </w:rPr>
              <w:t>重点、难点</w:t>
            </w:r>
            <w:r>
              <w:rPr>
                <w:rFonts w:hint="eastAsia" w:ascii="仿宋" w:hAnsi="仿宋" w:eastAsia="仿宋" w:cs="仿宋"/>
                <w:color w:val="auto"/>
                <w:kern w:val="0"/>
                <w:sz w:val="24"/>
                <w:szCs w:val="24"/>
              </w:rPr>
              <w:t>分析</w:t>
            </w:r>
            <w:r>
              <w:rPr>
                <w:rFonts w:hint="eastAsia" w:ascii="仿宋" w:hAnsi="仿宋" w:eastAsia="仿宋" w:cs="仿宋"/>
                <w:color w:val="auto"/>
                <w:kern w:val="0"/>
                <w:sz w:val="24"/>
                <w:szCs w:val="24"/>
                <w:lang w:val="en-US" w:eastAsia="zh-CN"/>
              </w:rPr>
              <w:t>到位、</w:t>
            </w:r>
            <w:r>
              <w:rPr>
                <w:rFonts w:hint="eastAsia" w:ascii="仿宋" w:hAnsi="仿宋" w:eastAsia="仿宋" w:cs="仿宋"/>
                <w:color w:val="auto"/>
                <w:kern w:val="0"/>
                <w:sz w:val="24"/>
                <w:szCs w:val="24"/>
              </w:rPr>
              <w:t>理解深入，</w:t>
            </w:r>
            <w:r>
              <w:rPr>
                <w:rFonts w:hint="eastAsia" w:ascii="仿宋" w:hAnsi="仿宋" w:eastAsia="仿宋" w:cs="仿宋"/>
                <w:color w:val="auto"/>
                <w:kern w:val="0"/>
                <w:sz w:val="24"/>
                <w:szCs w:val="24"/>
                <w:lang w:eastAsia="zh-CN"/>
              </w:rPr>
              <w:t>能结合</w:t>
            </w:r>
            <w:r>
              <w:rPr>
                <w:rFonts w:hint="eastAsia" w:ascii="仿宋" w:hAnsi="仿宋" w:eastAsia="仿宋" w:cs="仿宋"/>
                <w:color w:val="auto"/>
                <w:kern w:val="0"/>
                <w:sz w:val="24"/>
                <w:szCs w:val="24"/>
              </w:rPr>
              <w:t>项目实际需求及</w:t>
            </w:r>
            <w:r>
              <w:rPr>
                <w:rFonts w:hint="eastAsia" w:ascii="仿宋" w:hAnsi="仿宋" w:eastAsia="仿宋" w:cs="仿宋"/>
                <w:color w:val="auto"/>
                <w:kern w:val="0"/>
                <w:sz w:val="24"/>
                <w:szCs w:val="24"/>
                <w:lang w:eastAsia="zh-CN"/>
              </w:rPr>
              <w:t>重难点</w:t>
            </w:r>
            <w:r>
              <w:rPr>
                <w:rFonts w:hint="eastAsia" w:ascii="仿宋" w:hAnsi="仿宋" w:eastAsia="仿宋" w:cs="仿宋"/>
                <w:color w:val="auto"/>
                <w:kern w:val="0"/>
                <w:sz w:val="24"/>
                <w:szCs w:val="24"/>
              </w:rPr>
              <w:t>分析</w:t>
            </w:r>
            <w:r>
              <w:rPr>
                <w:rFonts w:hint="eastAsia" w:ascii="仿宋" w:hAnsi="仿宋" w:eastAsia="仿宋" w:cs="仿宋"/>
                <w:color w:val="auto"/>
                <w:kern w:val="0"/>
                <w:sz w:val="24"/>
                <w:szCs w:val="24"/>
                <w:lang w:eastAsia="zh-CN"/>
              </w:rPr>
              <w:t>提供有效的解决方案的得</w:t>
            </w:r>
            <w:r>
              <w:rPr>
                <w:rFonts w:hint="eastAsia" w:ascii="仿宋" w:hAnsi="仿宋" w:eastAsia="仿宋" w:cs="仿宋"/>
                <w:color w:val="auto"/>
                <w:kern w:val="0"/>
                <w:sz w:val="24"/>
                <w:szCs w:val="24"/>
                <w:lang w:val="en-US" w:eastAsia="zh-CN"/>
              </w:rPr>
              <w:t>4分；对项目重点、难点分析简单，解决措施基本切合实际能满足本项目要求的</w:t>
            </w:r>
            <w:r>
              <w:rPr>
                <w:rFonts w:hint="eastAsia" w:ascii="仿宋" w:hAnsi="仿宋" w:eastAsia="仿宋" w:cs="仿宋"/>
                <w:color w:val="auto"/>
                <w:kern w:val="0"/>
                <w:sz w:val="24"/>
                <w:szCs w:val="24"/>
                <w:lang w:eastAsia="zh-CN"/>
              </w:rPr>
              <w:t>得</w:t>
            </w:r>
            <w:r>
              <w:rPr>
                <w:rFonts w:hint="eastAsia" w:ascii="仿宋" w:hAnsi="仿宋" w:eastAsia="仿宋" w:cs="仿宋"/>
                <w:color w:val="auto"/>
                <w:kern w:val="0"/>
                <w:sz w:val="24"/>
                <w:szCs w:val="24"/>
                <w:lang w:val="en-US" w:eastAsia="zh-CN"/>
              </w:rPr>
              <w:t>3分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对项目重点、难点</w:t>
            </w:r>
            <w:r>
              <w:rPr>
                <w:rFonts w:hint="eastAsia" w:ascii="仿宋" w:hAnsi="仿宋" w:eastAsia="仿宋" w:cs="仿宋"/>
                <w:color w:val="auto"/>
                <w:kern w:val="0"/>
                <w:sz w:val="24"/>
                <w:szCs w:val="24"/>
                <w:lang w:eastAsia="zh-CN"/>
              </w:rPr>
              <w:t>分析笼统未能提供有效的解决方案，有待完善改进的得</w:t>
            </w:r>
            <w:r>
              <w:rPr>
                <w:rFonts w:hint="eastAsia" w:ascii="仿宋" w:hAnsi="仿宋" w:eastAsia="仿宋" w:cs="仿宋"/>
                <w:color w:val="auto"/>
                <w:kern w:val="0"/>
                <w:sz w:val="24"/>
                <w:szCs w:val="24"/>
                <w:lang w:val="en-US" w:eastAsia="zh-CN"/>
              </w:rPr>
              <w:t>1分</w:t>
            </w:r>
            <w:r>
              <w:rPr>
                <w:rFonts w:hint="eastAsia" w:ascii="仿宋" w:hAnsi="仿宋" w:eastAsia="仿宋" w:cs="仿宋"/>
                <w:color w:val="auto"/>
                <w:kern w:val="0"/>
                <w:sz w:val="24"/>
                <w:szCs w:val="24"/>
                <w:lang w:eastAsia="zh-CN"/>
              </w:rPr>
              <w:t>。</w:t>
            </w:r>
          </w:p>
        </w:tc>
      </w:tr>
      <w:tr w14:paraId="6025DCA1">
        <w:tblPrEx>
          <w:tblCellMar>
            <w:top w:w="0" w:type="dxa"/>
            <w:left w:w="108" w:type="dxa"/>
            <w:bottom w:w="0" w:type="dxa"/>
            <w:right w:w="108" w:type="dxa"/>
          </w:tblCellMar>
        </w:tblPrEx>
        <w:trPr>
          <w:trHeight w:val="397" w:hRule="atLeast"/>
          <w:jc w:val="center"/>
        </w:trPr>
        <w:tc>
          <w:tcPr>
            <w:tcW w:w="1064" w:type="dxa"/>
            <w:vMerge w:val="continue"/>
            <w:tcBorders>
              <w:left w:val="single" w:color="auto" w:sz="4" w:space="0"/>
              <w:right w:val="single" w:color="000000" w:sz="4" w:space="0"/>
            </w:tcBorders>
            <w:noWrap w:val="0"/>
            <w:vAlign w:val="center"/>
          </w:tcPr>
          <w:p w14:paraId="622F2C1E">
            <w:pPr>
              <w:keepNext w:val="0"/>
              <w:keepLines w:val="0"/>
              <w:pageBreakBefore w:val="0"/>
              <w:widowControl w:val="0"/>
              <w:shd w:val="clear" w:color="auto" w:fill="auto"/>
              <w:tabs>
                <w:tab w:val="left" w:pos="0"/>
              </w:tabs>
              <w:kinsoku/>
              <w:wordWrap/>
              <w:overflowPunct/>
              <w:topLinePunct w:val="0"/>
              <w:autoSpaceDE/>
              <w:autoSpaceDN/>
              <w:bidi w:val="0"/>
              <w:adjustRightInd/>
              <w:spacing w:line="312" w:lineRule="auto"/>
              <w:textAlignment w:val="auto"/>
              <w:rPr>
                <w:rFonts w:hint="eastAsia" w:ascii="仿宋" w:hAnsi="仿宋" w:eastAsia="仿宋" w:cs="仿宋"/>
                <w:color w:val="auto"/>
                <w:kern w:val="0"/>
                <w:sz w:val="24"/>
                <w:szCs w:val="24"/>
              </w:rPr>
            </w:pPr>
          </w:p>
        </w:tc>
        <w:tc>
          <w:tcPr>
            <w:tcW w:w="8350" w:type="dxa"/>
            <w:tcBorders>
              <w:top w:val="single" w:color="000000" w:sz="4" w:space="0"/>
              <w:left w:val="single" w:color="000000" w:sz="4" w:space="0"/>
              <w:bottom w:val="single" w:color="000000" w:sz="4" w:space="0"/>
              <w:right w:val="single" w:color="auto" w:sz="4" w:space="0"/>
            </w:tcBorders>
            <w:noWrap w:val="0"/>
            <w:vAlign w:val="center"/>
          </w:tcPr>
          <w:p w14:paraId="1C38AD7F">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实施的</w:t>
            </w:r>
            <w:r>
              <w:rPr>
                <w:rFonts w:hint="eastAsia" w:ascii="仿宋" w:hAnsi="仿宋" w:eastAsia="仿宋" w:cs="仿宋"/>
                <w:color w:val="auto"/>
                <w:kern w:val="0"/>
                <w:sz w:val="24"/>
                <w:szCs w:val="24"/>
                <w:highlight w:val="none"/>
              </w:rPr>
              <w:t>质量保证措施（</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p w14:paraId="4D9B80AC">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highlight w:val="none"/>
                <w:lang w:val="en-US" w:eastAsia="zh-CN"/>
              </w:rPr>
              <w:t>提供详细的</w:t>
            </w:r>
            <w:r>
              <w:rPr>
                <w:rFonts w:hint="eastAsia" w:ascii="仿宋" w:hAnsi="仿宋" w:eastAsia="仿宋" w:cs="仿宋"/>
                <w:color w:val="auto"/>
                <w:kern w:val="0"/>
                <w:sz w:val="24"/>
                <w:szCs w:val="24"/>
                <w:highlight w:val="none"/>
              </w:rPr>
              <w:t>质量保证措施</w:t>
            </w:r>
            <w:r>
              <w:rPr>
                <w:rFonts w:hint="eastAsia" w:ascii="仿宋" w:hAnsi="仿宋" w:eastAsia="仿宋" w:cs="仿宋"/>
                <w:color w:val="auto"/>
                <w:kern w:val="0"/>
                <w:sz w:val="24"/>
                <w:szCs w:val="24"/>
                <w:highlight w:val="none"/>
                <w:lang w:val="en-US" w:eastAsia="zh-CN"/>
              </w:rPr>
              <w:t>的得</w:t>
            </w:r>
            <w:r>
              <w:rPr>
                <w:rFonts w:hint="eastAsia" w:ascii="仿宋" w:hAnsi="仿宋" w:eastAsia="仿宋" w:cs="仿宋"/>
                <w:color w:val="auto"/>
                <w:kern w:val="0"/>
                <w:sz w:val="24"/>
                <w:szCs w:val="24"/>
                <w:lang w:val="en-US" w:eastAsia="zh-CN"/>
              </w:rPr>
              <w:t>4分；能提供流程和工艺描述，及保障措施，能基本做到本项目涉及的处理要求及不违反相关环保要求等情况的得3分；相关措施简单、笼统，无详细具体的质量保证措施的的1分；</w:t>
            </w:r>
          </w:p>
        </w:tc>
      </w:tr>
      <w:tr w14:paraId="52434794">
        <w:tblPrEx>
          <w:tblCellMar>
            <w:top w:w="0" w:type="dxa"/>
            <w:left w:w="108" w:type="dxa"/>
            <w:bottom w:w="0" w:type="dxa"/>
            <w:right w:w="108" w:type="dxa"/>
          </w:tblCellMar>
        </w:tblPrEx>
        <w:trPr>
          <w:trHeight w:val="2400" w:hRule="atLeast"/>
          <w:jc w:val="center"/>
        </w:trPr>
        <w:tc>
          <w:tcPr>
            <w:tcW w:w="1064" w:type="dxa"/>
            <w:vMerge w:val="continue"/>
            <w:tcBorders>
              <w:left w:val="single" w:color="auto" w:sz="4" w:space="0"/>
              <w:right w:val="single" w:color="000000" w:sz="4" w:space="0"/>
            </w:tcBorders>
            <w:noWrap w:val="0"/>
            <w:vAlign w:val="center"/>
          </w:tcPr>
          <w:p w14:paraId="3F42A9E4">
            <w:pPr>
              <w:keepNext w:val="0"/>
              <w:keepLines w:val="0"/>
              <w:pageBreakBefore w:val="0"/>
              <w:widowControl w:val="0"/>
              <w:shd w:val="clear" w:color="auto" w:fill="auto"/>
              <w:tabs>
                <w:tab w:val="left" w:pos="0"/>
              </w:tabs>
              <w:kinsoku/>
              <w:wordWrap/>
              <w:overflowPunct/>
              <w:topLinePunct w:val="0"/>
              <w:autoSpaceDE/>
              <w:autoSpaceDN/>
              <w:bidi w:val="0"/>
              <w:adjustRightInd/>
              <w:spacing w:line="312" w:lineRule="auto"/>
              <w:textAlignment w:val="auto"/>
              <w:rPr>
                <w:rFonts w:hint="eastAsia" w:ascii="仿宋" w:hAnsi="仿宋" w:eastAsia="仿宋" w:cs="仿宋"/>
                <w:color w:val="auto"/>
                <w:kern w:val="0"/>
                <w:sz w:val="24"/>
                <w:szCs w:val="24"/>
              </w:rPr>
            </w:pPr>
          </w:p>
        </w:tc>
        <w:tc>
          <w:tcPr>
            <w:tcW w:w="8350" w:type="dxa"/>
            <w:tcBorders>
              <w:top w:val="single" w:color="000000" w:sz="4" w:space="0"/>
              <w:left w:val="single" w:color="000000" w:sz="4" w:space="0"/>
              <w:bottom w:val="single" w:color="000000" w:sz="4" w:space="0"/>
              <w:right w:val="single" w:color="auto" w:sz="4" w:space="0"/>
            </w:tcBorders>
            <w:noWrap w:val="0"/>
            <w:vAlign w:val="center"/>
          </w:tcPr>
          <w:p w14:paraId="46151F17">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8、</w:t>
            </w:r>
            <w:r>
              <w:rPr>
                <w:rFonts w:hint="eastAsia" w:ascii="仿宋" w:hAnsi="仿宋" w:eastAsia="仿宋" w:cs="仿宋"/>
                <w:color w:val="auto"/>
                <w:kern w:val="0"/>
                <w:sz w:val="24"/>
                <w:szCs w:val="24"/>
                <w:lang w:eastAsia="zh-CN"/>
              </w:rPr>
              <w:t>项目</w:t>
            </w:r>
            <w:r>
              <w:rPr>
                <w:rFonts w:hint="eastAsia" w:ascii="仿宋" w:hAnsi="仿宋" w:eastAsia="仿宋" w:cs="仿宋"/>
                <w:color w:val="auto"/>
                <w:kern w:val="0"/>
                <w:sz w:val="24"/>
                <w:szCs w:val="24"/>
                <w:lang w:val="en-US" w:eastAsia="zh-CN"/>
              </w:rPr>
              <w:t>计划进度</w:t>
            </w:r>
            <w:r>
              <w:rPr>
                <w:rFonts w:hint="eastAsia" w:ascii="仿宋" w:hAnsi="仿宋" w:eastAsia="仿宋" w:cs="仿宋"/>
                <w:color w:val="auto"/>
                <w:kern w:val="0"/>
                <w:sz w:val="24"/>
                <w:szCs w:val="24"/>
                <w:lang w:eastAsia="zh-CN"/>
              </w:rPr>
              <w:t>保证方案（</w:t>
            </w:r>
            <w:r>
              <w:rPr>
                <w:rFonts w:hint="eastAsia" w:ascii="仿宋" w:hAnsi="仿宋" w:eastAsia="仿宋" w:cs="仿宋"/>
                <w:color w:val="auto"/>
                <w:kern w:val="0"/>
                <w:sz w:val="24"/>
                <w:szCs w:val="24"/>
                <w:lang w:val="en-US" w:eastAsia="zh-CN"/>
              </w:rPr>
              <w:t>包括不仅限于供货期、交货方式、供货保障、项目整体进度保障等）</w:t>
            </w:r>
            <w:r>
              <w:rPr>
                <w:rFonts w:hint="eastAsia" w:ascii="仿宋" w:hAnsi="仿宋" w:eastAsia="仿宋" w:cs="仿宋"/>
                <w:color w:val="auto"/>
                <w:kern w:val="0"/>
                <w:sz w:val="24"/>
                <w:szCs w:val="24"/>
                <w:lang w:eastAsia="zh-CN"/>
              </w:rPr>
              <w:t>进行评议（</w:t>
            </w:r>
            <w:r>
              <w:rPr>
                <w:rFonts w:hint="eastAsia" w:ascii="仿宋" w:hAnsi="仿宋" w:eastAsia="仿宋" w:cs="仿宋"/>
                <w:color w:val="auto"/>
                <w:kern w:val="0"/>
                <w:sz w:val="24"/>
                <w:szCs w:val="24"/>
                <w:lang w:val="en-US" w:eastAsia="zh-CN"/>
              </w:rPr>
              <w:t>4分</w:t>
            </w:r>
            <w:r>
              <w:rPr>
                <w:rFonts w:hint="eastAsia" w:ascii="仿宋" w:hAnsi="仿宋" w:eastAsia="仿宋" w:cs="仿宋"/>
                <w:color w:val="auto"/>
                <w:kern w:val="0"/>
                <w:sz w:val="24"/>
                <w:szCs w:val="24"/>
                <w:lang w:eastAsia="zh-CN"/>
              </w:rPr>
              <w:t>）</w:t>
            </w:r>
          </w:p>
          <w:p w14:paraId="5690CD34">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供货期优于</w:t>
            </w:r>
            <w:r>
              <w:rPr>
                <w:rFonts w:hint="eastAsia" w:ascii="仿宋" w:hAnsi="仿宋" w:eastAsia="仿宋" w:cs="仿宋"/>
                <w:color w:val="auto"/>
                <w:kern w:val="0"/>
                <w:sz w:val="24"/>
                <w:szCs w:val="24"/>
              </w:rPr>
              <w:t>招标文件要求</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交货方式切合实际</w:t>
            </w:r>
            <w:r>
              <w:rPr>
                <w:rFonts w:hint="eastAsia" w:ascii="仿宋" w:hAnsi="仿宋" w:eastAsia="仿宋" w:cs="仿宋"/>
                <w:color w:val="auto"/>
                <w:kern w:val="0"/>
                <w:sz w:val="24"/>
                <w:szCs w:val="24"/>
                <w:lang w:eastAsia="zh-CN"/>
              </w:rPr>
              <w:t>需求、</w:t>
            </w:r>
            <w:r>
              <w:rPr>
                <w:rFonts w:hint="eastAsia" w:ascii="仿宋" w:hAnsi="仿宋" w:eastAsia="仿宋" w:cs="仿宋"/>
                <w:color w:val="auto"/>
                <w:kern w:val="0"/>
                <w:sz w:val="24"/>
                <w:szCs w:val="24"/>
              </w:rPr>
              <w:t>供货保障流程</w:t>
            </w:r>
            <w:r>
              <w:rPr>
                <w:rFonts w:hint="eastAsia" w:ascii="仿宋" w:hAnsi="仿宋" w:eastAsia="仿宋" w:cs="仿宋"/>
                <w:color w:val="auto"/>
                <w:kern w:val="0"/>
                <w:sz w:val="24"/>
                <w:szCs w:val="24"/>
                <w:lang w:eastAsia="zh-CN"/>
              </w:rPr>
              <w:t>设计合理，</w:t>
            </w:r>
            <w:r>
              <w:rPr>
                <w:rFonts w:hint="eastAsia" w:ascii="仿宋" w:hAnsi="仿宋" w:eastAsia="仿宋" w:cs="仿宋"/>
                <w:color w:val="auto"/>
                <w:kern w:val="0"/>
                <w:sz w:val="24"/>
                <w:szCs w:val="24"/>
              </w:rPr>
              <w:t>能完全控制好工期目标</w:t>
            </w:r>
            <w:r>
              <w:rPr>
                <w:rFonts w:hint="eastAsia" w:ascii="仿宋" w:hAnsi="仿宋" w:eastAsia="仿宋" w:cs="仿宋"/>
                <w:color w:val="auto"/>
                <w:kern w:val="0"/>
                <w:sz w:val="24"/>
                <w:szCs w:val="24"/>
                <w:lang w:val="en-US" w:eastAsia="zh-CN"/>
              </w:rPr>
              <w:t>或可提早完成项目建设</w:t>
            </w:r>
            <w:r>
              <w:rPr>
                <w:rFonts w:hint="eastAsia" w:ascii="仿宋" w:hAnsi="仿宋" w:eastAsia="仿宋" w:cs="仿宋"/>
                <w:color w:val="auto"/>
                <w:kern w:val="0"/>
                <w:sz w:val="24"/>
                <w:szCs w:val="24"/>
              </w:rPr>
              <w:t>的</w:t>
            </w:r>
            <w:r>
              <w:rPr>
                <w:rFonts w:hint="eastAsia" w:ascii="仿宋" w:hAnsi="仿宋" w:eastAsia="仿宋" w:cs="仿宋"/>
                <w:color w:val="auto"/>
                <w:kern w:val="0"/>
                <w:sz w:val="24"/>
                <w:szCs w:val="24"/>
                <w:lang w:val="en-US" w:eastAsia="zh-CN"/>
              </w:rPr>
              <w:t>4分</w:t>
            </w:r>
            <w:r>
              <w:rPr>
                <w:rFonts w:hint="eastAsia" w:ascii="仿宋" w:hAnsi="仿宋" w:eastAsia="仿宋" w:cs="仿宋"/>
                <w:color w:val="auto"/>
                <w:kern w:val="0"/>
                <w:sz w:val="24"/>
                <w:szCs w:val="24"/>
              </w:rPr>
              <w:t>；供货期限</w:t>
            </w:r>
            <w:r>
              <w:rPr>
                <w:rFonts w:hint="eastAsia" w:ascii="仿宋" w:hAnsi="仿宋" w:eastAsia="仿宋" w:cs="仿宋"/>
                <w:color w:val="auto"/>
                <w:kern w:val="0"/>
                <w:sz w:val="24"/>
                <w:szCs w:val="24"/>
                <w:lang w:eastAsia="zh-CN"/>
              </w:rPr>
              <w:t>满足</w:t>
            </w:r>
            <w:r>
              <w:rPr>
                <w:rFonts w:hint="eastAsia" w:ascii="仿宋" w:hAnsi="仿宋" w:eastAsia="仿宋" w:cs="仿宋"/>
                <w:color w:val="auto"/>
                <w:kern w:val="0"/>
                <w:sz w:val="24"/>
                <w:szCs w:val="24"/>
              </w:rPr>
              <w:t>招标文件要求</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交货方式有缺漏</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部分细节有待补充能在目标工期内完成的</w:t>
            </w:r>
            <w:r>
              <w:rPr>
                <w:rFonts w:hint="eastAsia" w:ascii="仿宋" w:hAnsi="仿宋" w:eastAsia="仿宋" w:cs="仿宋"/>
                <w:color w:val="auto"/>
                <w:kern w:val="0"/>
                <w:sz w:val="24"/>
                <w:szCs w:val="24"/>
                <w:lang w:eastAsia="zh-CN"/>
              </w:rPr>
              <w:t>得</w:t>
            </w:r>
            <w:r>
              <w:rPr>
                <w:rFonts w:hint="eastAsia" w:ascii="仿宋" w:hAnsi="仿宋" w:eastAsia="仿宋" w:cs="仿宋"/>
                <w:color w:val="auto"/>
                <w:kern w:val="0"/>
                <w:sz w:val="24"/>
                <w:szCs w:val="24"/>
                <w:lang w:val="en-US" w:eastAsia="zh-CN"/>
              </w:rPr>
              <w:t>3分</w:t>
            </w:r>
            <w:r>
              <w:rPr>
                <w:rFonts w:hint="eastAsia" w:ascii="仿宋" w:hAnsi="仿宋" w:eastAsia="仿宋" w:cs="仿宋"/>
                <w:color w:val="auto"/>
                <w:kern w:val="0"/>
                <w:sz w:val="24"/>
                <w:szCs w:val="24"/>
              </w:rPr>
              <w:t>；供货</w:t>
            </w:r>
            <w:r>
              <w:rPr>
                <w:rFonts w:hint="eastAsia" w:ascii="仿宋" w:hAnsi="仿宋" w:eastAsia="仿宋" w:cs="仿宋"/>
                <w:color w:val="auto"/>
                <w:kern w:val="0"/>
                <w:sz w:val="24"/>
                <w:szCs w:val="24"/>
                <w:lang w:eastAsia="zh-CN"/>
              </w:rPr>
              <w:t>方案基本满足</w:t>
            </w:r>
            <w:r>
              <w:rPr>
                <w:rFonts w:hint="eastAsia" w:ascii="仿宋" w:hAnsi="仿宋" w:eastAsia="仿宋" w:cs="仿宋"/>
                <w:color w:val="auto"/>
                <w:kern w:val="0"/>
                <w:sz w:val="24"/>
                <w:szCs w:val="24"/>
              </w:rPr>
              <w:t>招标文件要求</w:t>
            </w:r>
            <w:r>
              <w:rPr>
                <w:rFonts w:hint="eastAsia" w:ascii="仿宋" w:hAnsi="仿宋" w:eastAsia="仿宋" w:cs="仿宋"/>
                <w:color w:val="auto"/>
                <w:kern w:val="0"/>
                <w:sz w:val="24"/>
                <w:szCs w:val="24"/>
                <w:lang w:eastAsia="zh-CN"/>
              </w:rPr>
              <w:t>，但实际操作存在延迟交货风险，缺少保障的得</w:t>
            </w:r>
            <w:r>
              <w:rPr>
                <w:rFonts w:hint="eastAsia" w:ascii="仿宋" w:hAnsi="仿宋" w:eastAsia="仿宋" w:cs="仿宋"/>
                <w:color w:val="auto"/>
                <w:kern w:val="0"/>
                <w:sz w:val="24"/>
                <w:szCs w:val="24"/>
                <w:lang w:val="en-US" w:eastAsia="zh-CN"/>
              </w:rPr>
              <w:t>1分</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无相应内容的不得分</w:t>
            </w:r>
            <w:r>
              <w:rPr>
                <w:rFonts w:hint="eastAsia" w:ascii="仿宋" w:hAnsi="仿宋" w:eastAsia="仿宋" w:cs="仿宋"/>
                <w:color w:val="auto"/>
                <w:kern w:val="0"/>
                <w:sz w:val="24"/>
                <w:szCs w:val="24"/>
              </w:rPr>
              <w:t>。</w:t>
            </w:r>
          </w:p>
        </w:tc>
      </w:tr>
      <w:tr w14:paraId="74054C4B">
        <w:tblPrEx>
          <w:tblCellMar>
            <w:top w:w="0" w:type="dxa"/>
            <w:left w:w="108" w:type="dxa"/>
            <w:bottom w:w="0" w:type="dxa"/>
            <w:right w:w="108" w:type="dxa"/>
          </w:tblCellMar>
        </w:tblPrEx>
        <w:trPr>
          <w:jc w:val="center"/>
        </w:trPr>
        <w:tc>
          <w:tcPr>
            <w:tcW w:w="1064" w:type="dxa"/>
            <w:vMerge w:val="continue"/>
            <w:tcBorders>
              <w:left w:val="single" w:color="auto" w:sz="4" w:space="0"/>
              <w:right w:val="single" w:color="000000" w:sz="4" w:space="0"/>
            </w:tcBorders>
            <w:noWrap w:val="0"/>
            <w:vAlign w:val="center"/>
          </w:tcPr>
          <w:p w14:paraId="6D27FDF9">
            <w:pPr>
              <w:keepNext w:val="0"/>
              <w:keepLines w:val="0"/>
              <w:pageBreakBefore w:val="0"/>
              <w:widowControl w:val="0"/>
              <w:shd w:val="clear" w:color="auto" w:fill="auto"/>
              <w:tabs>
                <w:tab w:val="left" w:pos="0"/>
              </w:tabs>
              <w:kinsoku/>
              <w:wordWrap/>
              <w:overflowPunct/>
              <w:topLinePunct w:val="0"/>
              <w:autoSpaceDE/>
              <w:autoSpaceDN/>
              <w:bidi w:val="0"/>
              <w:adjustRightInd/>
              <w:spacing w:line="312" w:lineRule="auto"/>
              <w:textAlignment w:val="auto"/>
              <w:rPr>
                <w:rFonts w:hint="eastAsia" w:ascii="仿宋" w:hAnsi="仿宋" w:eastAsia="仿宋" w:cs="仿宋"/>
                <w:color w:val="auto"/>
                <w:kern w:val="0"/>
                <w:sz w:val="24"/>
                <w:szCs w:val="24"/>
              </w:rPr>
            </w:pPr>
          </w:p>
        </w:tc>
        <w:tc>
          <w:tcPr>
            <w:tcW w:w="8350" w:type="dxa"/>
            <w:tcBorders>
              <w:top w:val="single" w:color="000000" w:sz="4" w:space="0"/>
              <w:left w:val="single" w:color="000000" w:sz="4" w:space="0"/>
              <w:bottom w:val="single" w:color="000000" w:sz="4" w:space="0"/>
              <w:right w:val="single" w:color="auto" w:sz="4" w:space="0"/>
            </w:tcBorders>
            <w:noWrap w:val="0"/>
            <w:vAlign w:val="center"/>
          </w:tcPr>
          <w:p w14:paraId="0B257F08">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9、安装指导和调试方案（是否提供现场指导、现场技术服务人员操作经验等）进行评议</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4分</w:t>
            </w:r>
            <w:r>
              <w:rPr>
                <w:rFonts w:hint="eastAsia" w:ascii="仿宋" w:hAnsi="仿宋" w:eastAsia="仿宋" w:cs="仿宋"/>
                <w:color w:val="auto"/>
                <w:kern w:val="0"/>
                <w:sz w:val="24"/>
                <w:szCs w:val="24"/>
                <w:lang w:eastAsia="zh-CN"/>
              </w:rPr>
              <w:t>）</w:t>
            </w:r>
          </w:p>
          <w:p w14:paraId="4C1EA948">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能提供现场指导，现场调试确保达到试运行状态，实施步骤清晰、明确，技术服务人员专业性强，实际操作经验丰富的的4分；安装指导和调试方案方案简略，进度安排计划及工期保证计划满足招标文件要求，但存在瑕疵、部分细节有待补充，技术服务人员具有实际操作经验，基本能保证项目实施进度符合采购人要求的得2分；安装指导和调试方案不完整，有缺漏，基本满足招标文件要求，但实际操作存在影响设备延迟就位风险的得1分；</w:t>
            </w:r>
          </w:p>
        </w:tc>
      </w:tr>
      <w:tr w14:paraId="213B300C">
        <w:tblPrEx>
          <w:tblCellMar>
            <w:top w:w="0" w:type="dxa"/>
            <w:left w:w="108" w:type="dxa"/>
            <w:bottom w:w="0" w:type="dxa"/>
            <w:right w:w="108" w:type="dxa"/>
          </w:tblCellMar>
        </w:tblPrEx>
        <w:trPr>
          <w:jc w:val="center"/>
        </w:trPr>
        <w:tc>
          <w:tcPr>
            <w:tcW w:w="1064" w:type="dxa"/>
            <w:vMerge w:val="continue"/>
            <w:tcBorders>
              <w:left w:val="single" w:color="auto" w:sz="4" w:space="0"/>
              <w:right w:val="single" w:color="000000" w:sz="4" w:space="0"/>
            </w:tcBorders>
            <w:noWrap w:val="0"/>
            <w:vAlign w:val="center"/>
          </w:tcPr>
          <w:p w14:paraId="717BD603">
            <w:pPr>
              <w:keepNext w:val="0"/>
              <w:keepLines w:val="0"/>
              <w:pageBreakBefore w:val="0"/>
              <w:widowControl w:val="0"/>
              <w:shd w:val="clear" w:color="auto" w:fill="auto"/>
              <w:tabs>
                <w:tab w:val="left" w:pos="0"/>
              </w:tabs>
              <w:kinsoku/>
              <w:wordWrap/>
              <w:overflowPunct/>
              <w:topLinePunct w:val="0"/>
              <w:autoSpaceDE/>
              <w:autoSpaceDN/>
              <w:bidi w:val="0"/>
              <w:adjustRightInd/>
              <w:spacing w:line="312" w:lineRule="auto"/>
              <w:textAlignment w:val="auto"/>
              <w:rPr>
                <w:rFonts w:hint="eastAsia" w:ascii="仿宋" w:hAnsi="仿宋" w:eastAsia="仿宋" w:cs="仿宋"/>
                <w:color w:val="auto"/>
                <w:kern w:val="0"/>
                <w:sz w:val="24"/>
                <w:szCs w:val="24"/>
              </w:rPr>
            </w:pPr>
          </w:p>
        </w:tc>
        <w:tc>
          <w:tcPr>
            <w:tcW w:w="8350" w:type="dxa"/>
            <w:tcBorders>
              <w:top w:val="single" w:color="000000" w:sz="4" w:space="0"/>
              <w:left w:val="single" w:color="000000" w:sz="4" w:space="0"/>
              <w:bottom w:val="single" w:color="000000" w:sz="4" w:space="0"/>
              <w:right w:val="single" w:color="auto" w:sz="4" w:space="0"/>
            </w:tcBorders>
            <w:noWrap w:val="0"/>
            <w:vAlign w:val="center"/>
          </w:tcPr>
          <w:p w14:paraId="7173B7E1">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10、</w:t>
            </w:r>
            <w:r>
              <w:rPr>
                <w:rFonts w:hint="eastAsia" w:ascii="仿宋" w:hAnsi="仿宋" w:eastAsia="仿宋" w:cs="仿宋"/>
                <w:color w:val="auto"/>
                <w:kern w:val="0"/>
                <w:sz w:val="24"/>
                <w:szCs w:val="24"/>
                <w:lang w:eastAsia="zh-CN"/>
              </w:rPr>
              <w:t>试运行、验收方案</w:t>
            </w:r>
            <w:r>
              <w:rPr>
                <w:rFonts w:hint="eastAsia" w:ascii="仿宋" w:hAnsi="仿宋" w:eastAsia="仿宋" w:cs="仿宋"/>
                <w:color w:val="auto"/>
                <w:kern w:val="0"/>
                <w:sz w:val="24"/>
                <w:szCs w:val="24"/>
              </w:rPr>
              <w:t>进行评议（</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分）</w:t>
            </w:r>
          </w:p>
          <w:p w14:paraId="5E7C4845">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试运行、</w:t>
            </w:r>
            <w:r>
              <w:rPr>
                <w:rFonts w:hint="eastAsia" w:ascii="仿宋" w:hAnsi="仿宋" w:eastAsia="仿宋" w:cs="仿宋"/>
                <w:color w:val="auto"/>
                <w:kern w:val="0"/>
                <w:sz w:val="24"/>
                <w:szCs w:val="24"/>
                <w:lang w:val="en-US" w:eastAsia="zh-CN"/>
              </w:rPr>
              <w:t>验收</w:t>
            </w:r>
            <w:r>
              <w:rPr>
                <w:rFonts w:hint="eastAsia" w:ascii="仿宋" w:hAnsi="仿宋" w:eastAsia="仿宋" w:cs="仿宋"/>
                <w:color w:val="auto"/>
                <w:kern w:val="0"/>
                <w:sz w:val="24"/>
                <w:szCs w:val="24"/>
                <w:lang w:eastAsia="zh-CN"/>
              </w:rPr>
              <w:t>方案完整，能确保</w:t>
            </w:r>
            <w:r>
              <w:rPr>
                <w:rFonts w:hint="eastAsia" w:ascii="仿宋" w:hAnsi="仿宋" w:eastAsia="仿宋" w:cs="仿宋"/>
                <w:color w:val="auto"/>
                <w:kern w:val="0"/>
                <w:sz w:val="24"/>
                <w:szCs w:val="24"/>
              </w:rPr>
              <w:t>产品</w:t>
            </w:r>
            <w:r>
              <w:rPr>
                <w:rFonts w:hint="eastAsia" w:ascii="仿宋" w:hAnsi="仿宋" w:eastAsia="仿宋" w:cs="仿宋"/>
                <w:color w:val="auto"/>
                <w:kern w:val="0"/>
                <w:sz w:val="24"/>
                <w:szCs w:val="24"/>
                <w:lang w:eastAsia="zh-CN"/>
              </w:rPr>
              <w:t>通过</w:t>
            </w:r>
            <w:r>
              <w:rPr>
                <w:rFonts w:hint="eastAsia" w:ascii="仿宋" w:hAnsi="仿宋" w:eastAsia="仿宋" w:cs="仿宋"/>
                <w:color w:val="auto"/>
                <w:kern w:val="0"/>
                <w:sz w:val="24"/>
                <w:szCs w:val="24"/>
              </w:rPr>
              <w:t>验收</w:t>
            </w:r>
            <w:r>
              <w:rPr>
                <w:rFonts w:hint="eastAsia" w:ascii="仿宋" w:hAnsi="仿宋" w:eastAsia="仿宋" w:cs="仿宋"/>
                <w:color w:val="auto"/>
                <w:kern w:val="0"/>
                <w:sz w:val="24"/>
                <w:szCs w:val="24"/>
                <w:lang w:eastAsia="zh-CN"/>
              </w:rPr>
              <w:t>的得</w:t>
            </w:r>
            <w:r>
              <w:rPr>
                <w:rFonts w:hint="eastAsia" w:ascii="仿宋" w:hAnsi="仿宋" w:eastAsia="仿宋" w:cs="仿宋"/>
                <w:color w:val="auto"/>
                <w:kern w:val="0"/>
                <w:sz w:val="24"/>
                <w:szCs w:val="24"/>
                <w:lang w:val="en-US" w:eastAsia="zh-CN"/>
              </w:rPr>
              <w:t>4分；</w:t>
            </w:r>
            <w:r>
              <w:rPr>
                <w:rFonts w:hint="eastAsia" w:ascii="仿宋" w:hAnsi="仿宋" w:eastAsia="仿宋" w:cs="仿宋"/>
                <w:color w:val="auto"/>
                <w:kern w:val="0"/>
                <w:sz w:val="24"/>
                <w:szCs w:val="24"/>
                <w:lang w:eastAsia="zh-CN"/>
              </w:rPr>
              <w:t>试运行方案基本符合采购人行业需求，但内容笼统细节不完善，</w:t>
            </w:r>
            <w:r>
              <w:rPr>
                <w:rFonts w:hint="eastAsia" w:ascii="仿宋" w:hAnsi="仿宋" w:eastAsia="仿宋" w:cs="仿宋"/>
                <w:color w:val="auto"/>
                <w:kern w:val="0"/>
                <w:sz w:val="24"/>
                <w:szCs w:val="24"/>
              </w:rPr>
              <w:t>产品</w:t>
            </w:r>
            <w:r>
              <w:rPr>
                <w:rFonts w:hint="eastAsia" w:ascii="仿宋" w:hAnsi="仿宋" w:eastAsia="仿宋" w:cs="仿宋"/>
                <w:color w:val="auto"/>
                <w:kern w:val="0"/>
                <w:sz w:val="24"/>
                <w:szCs w:val="24"/>
                <w:lang w:eastAsia="zh-CN"/>
              </w:rPr>
              <w:t>通过</w:t>
            </w:r>
            <w:r>
              <w:rPr>
                <w:rFonts w:hint="eastAsia" w:ascii="仿宋" w:hAnsi="仿宋" w:eastAsia="仿宋" w:cs="仿宋"/>
                <w:color w:val="auto"/>
                <w:kern w:val="0"/>
                <w:sz w:val="24"/>
                <w:szCs w:val="24"/>
              </w:rPr>
              <w:t>验收方案</w:t>
            </w:r>
            <w:r>
              <w:rPr>
                <w:rFonts w:hint="eastAsia" w:ascii="仿宋" w:hAnsi="仿宋" w:eastAsia="仿宋" w:cs="仿宋"/>
                <w:color w:val="auto"/>
                <w:kern w:val="0"/>
                <w:sz w:val="24"/>
                <w:szCs w:val="24"/>
                <w:lang w:eastAsia="zh-CN"/>
              </w:rPr>
              <w:t>有待补充的得</w:t>
            </w:r>
            <w:r>
              <w:rPr>
                <w:rFonts w:hint="eastAsia" w:ascii="仿宋" w:hAnsi="仿宋" w:eastAsia="仿宋" w:cs="仿宋"/>
                <w:color w:val="auto"/>
                <w:kern w:val="0"/>
                <w:sz w:val="24"/>
                <w:szCs w:val="24"/>
                <w:lang w:val="en-US" w:eastAsia="zh-CN"/>
              </w:rPr>
              <w:t>3分；</w:t>
            </w:r>
            <w:r>
              <w:rPr>
                <w:rFonts w:hint="eastAsia" w:ascii="仿宋" w:hAnsi="仿宋" w:eastAsia="仿宋" w:cs="仿宋"/>
                <w:color w:val="auto"/>
                <w:kern w:val="0"/>
                <w:sz w:val="24"/>
                <w:szCs w:val="24"/>
              </w:rPr>
              <w:t>方案</w:t>
            </w:r>
            <w:r>
              <w:rPr>
                <w:rFonts w:hint="eastAsia" w:ascii="仿宋" w:hAnsi="仿宋" w:eastAsia="仿宋" w:cs="仿宋"/>
                <w:color w:val="auto"/>
                <w:kern w:val="0"/>
                <w:sz w:val="24"/>
                <w:szCs w:val="24"/>
                <w:lang w:eastAsia="zh-CN"/>
              </w:rPr>
              <w:t>不完整有缺漏的得</w:t>
            </w:r>
            <w:r>
              <w:rPr>
                <w:rFonts w:hint="eastAsia" w:ascii="仿宋" w:hAnsi="仿宋" w:eastAsia="仿宋" w:cs="仿宋"/>
                <w:color w:val="auto"/>
                <w:kern w:val="0"/>
                <w:sz w:val="24"/>
                <w:szCs w:val="24"/>
                <w:lang w:val="en-US" w:eastAsia="zh-CN"/>
              </w:rPr>
              <w:t>1分；</w:t>
            </w:r>
          </w:p>
        </w:tc>
      </w:tr>
      <w:tr w14:paraId="0ECA31B2">
        <w:tblPrEx>
          <w:tblCellMar>
            <w:top w:w="0" w:type="dxa"/>
            <w:left w:w="108" w:type="dxa"/>
            <w:bottom w:w="0" w:type="dxa"/>
            <w:right w:w="108" w:type="dxa"/>
          </w:tblCellMar>
        </w:tblPrEx>
        <w:trPr>
          <w:jc w:val="center"/>
        </w:trPr>
        <w:tc>
          <w:tcPr>
            <w:tcW w:w="1064" w:type="dxa"/>
            <w:vMerge w:val="continue"/>
            <w:tcBorders>
              <w:left w:val="single" w:color="auto" w:sz="4" w:space="0"/>
              <w:right w:val="single" w:color="000000" w:sz="4" w:space="0"/>
            </w:tcBorders>
            <w:noWrap w:val="0"/>
            <w:vAlign w:val="center"/>
          </w:tcPr>
          <w:p w14:paraId="0244770B">
            <w:pPr>
              <w:keepNext w:val="0"/>
              <w:keepLines w:val="0"/>
              <w:pageBreakBefore w:val="0"/>
              <w:widowControl w:val="0"/>
              <w:shd w:val="clear" w:color="auto" w:fill="auto"/>
              <w:tabs>
                <w:tab w:val="left" w:pos="0"/>
              </w:tabs>
              <w:kinsoku/>
              <w:wordWrap/>
              <w:overflowPunct/>
              <w:topLinePunct w:val="0"/>
              <w:autoSpaceDE/>
              <w:autoSpaceDN/>
              <w:bidi w:val="0"/>
              <w:adjustRightInd/>
              <w:spacing w:line="312" w:lineRule="auto"/>
              <w:textAlignment w:val="auto"/>
              <w:rPr>
                <w:rFonts w:hint="eastAsia" w:ascii="仿宋" w:hAnsi="仿宋" w:eastAsia="仿宋" w:cs="仿宋"/>
                <w:color w:val="auto"/>
                <w:kern w:val="0"/>
                <w:sz w:val="24"/>
                <w:szCs w:val="24"/>
              </w:rPr>
            </w:pPr>
          </w:p>
        </w:tc>
        <w:tc>
          <w:tcPr>
            <w:tcW w:w="8350" w:type="dxa"/>
            <w:tcBorders>
              <w:top w:val="single" w:color="000000" w:sz="4" w:space="0"/>
              <w:left w:val="single" w:color="000000" w:sz="4" w:space="0"/>
              <w:bottom w:val="single" w:color="000000" w:sz="4" w:space="0"/>
              <w:right w:val="single" w:color="auto" w:sz="4" w:space="0"/>
            </w:tcBorders>
            <w:noWrap w:val="0"/>
            <w:vAlign w:val="center"/>
          </w:tcPr>
          <w:p w14:paraId="4E7E27F5">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11、</w:t>
            </w:r>
            <w:r>
              <w:rPr>
                <w:rFonts w:hint="eastAsia" w:ascii="仿宋" w:hAnsi="仿宋" w:eastAsia="仿宋" w:cs="仿宋"/>
                <w:color w:val="auto"/>
                <w:kern w:val="0"/>
                <w:sz w:val="24"/>
                <w:szCs w:val="24"/>
              </w:rPr>
              <w:t>售后服务</w:t>
            </w:r>
            <w:r>
              <w:rPr>
                <w:rFonts w:hint="eastAsia" w:ascii="仿宋" w:hAnsi="仿宋" w:eastAsia="仿宋" w:cs="仿宋"/>
                <w:color w:val="auto"/>
                <w:kern w:val="0"/>
                <w:sz w:val="24"/>
                <w:szCs w:val="24"/>
                <w:lang w:eastAsia="zh-CN"/>
              </w:rPr>
              <w:t>方案及</w:t>
            </w:r>
            <w:r>
              <w:rPr>
                <w:rFonts w:hint="eastAsia" w:ascii="仿宋" w:hAnsi="仿宋" w:eastAsia="仿宋" w:cs="仿宋"/>
                <w:color w:val="auto"/>
                <w:kern w:val="0"/>
                <w:sz w:val="24"/>
                <w:szCs w:val="24"/>
              </w:rPr>
              <w:t>承诺</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应急方案、操作培训、保修范围、时间、售后服务人员配置等）</w:t>
            </w:r>
            <w:r>
              <w:rPr>
                <w:rFonts w:hint="eastAsia" w:ascii="仿宋" w:hAnsi="仿宋" w:eastAsia="仿宋" w:cs="仿宋"/>
                <w:color w:val="auto"/>
                <w:kern w:val="0"/>
                <w:sz w:val="24"/>
                <w:szCs w:val="24"/>
              </w:rPr>
              <w:t>进行评议（</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分）</w:t>
            </w:r>
          </w:p>
          <w:p w14:paraId="12609565">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方案完整合理、保修范围完全覆盖本项目内容、响应迅速、零配件的供应保障措施具体完整的得</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分；方案基本完整但有细节部分欠缺、保修范围完整、响应零配件不齐</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方案有待完善、技术人员实力略有欠缺，响应及时性较差，措施保障能基本满足项目采购需求</w:t>
            </w:r>
            <w:r>
              <w:rPr>
                <w:rFonts w:hint="eastAsia" w:ascii="仿宋" w:hAnsi="仿宋" w:eastAsia="仿宋" w:cs="仿宋"/>
                <w:color w:val="auto"/>
                <w:kern w:val="0"/>
                <w:sz w:val="24"/>
                <w:szCs w:val="24"/>
                <w:lang w:eastAsia="zh-CN"/>
              </w:rPr>
              <w:t>的</w:t>
            </w:r>
            <w:r>
              <w:rPr>
                <w:rFonts w:hint="eastAsia" w:ascii="仿宋" w:hAnsi="仿宋" w:eastAsia="仿宋" w:cs="仿宋"/>
                <w:color w:val="auto"/>
                <w:kern w:val="0"/>
                <w:sz w:val="24"/>
                <w:szCs w:val="24"/>
              </w:rPr>
              <w:t>得</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分；方案不完整、保修范围不全、无法提供零配件供应、措施保障有欠缺</w:t>
            </w:r>
            <w:r>
              <w:rPr>
                <w:rFonts w:hint="eastAsia" w:ascii="仿宋" w:hAnsi="仿宋" w:eastAsia="仿宋" w:cs="仿宋"/>
                <w:color w:val="auto"/>
                <w:kern w:val="0"/>
                <w:sz w:val="24"/>
                <w:szCs w:val="24"/>
                <w:lang w:val="en-US" w:eastAsia="zh-CN"/>
              </w:rPr>
              <w:t>的</w:t>
            </w:r>
            <w:r>
              <w:rPr>
                <w:rFonts w:hint="eastAsia" w:ascii="仿宋" w:hAnsi="仿宋" w:eastAsia="仿宋" w:cs="仿宋"/>
                <w:color w:val="auto"/>
                <w:kern w:val="0"/>
                <w:sz w:val="24"/>
                <w:szCs w:val="24"/>
              </w:rPr>
              <w:t>得1分。</w:t>
            </w:r>
          </w:p>
        </w:tc>
      </w:tr>
      <w:tr w14:paraId="0220DE83">
        <w:tblPrEx>
          <w:tblCellMar>
            <w:top w:w="0" w:type="dxa"/>
            <w:left w:w="108" w:type="dxa"/>
            <w:bottom w:w="0" w:type="dxa"/>
            <w:right w:w="108" w:type="dxa"/>
          </w:tblCellMar>
        </w:tblPrEx>
        <w:trPr>
          <w:jc w:val="center"/>
        </w:trPr>
        <w:tc>
          <w:tcPr>
            <w:tcW w:w="1064" w:type="dxa"/>
            <w:vMerge w:val="continue"/>
            <w:tcBorders>
              <w:left w:val="single" w:color="auto" w:sz="4" w:space="0"/>
              <w:right w:val="single" w:color="000000" w:sz="4" w:space="0"/>
            </w:tcBorders>
            <w:noWrap w:val="0"/>
            <w:vAlign w:val="center"/>
          </w:tcPr>
          <w:p w14:paraId="19C9502E">
            <w:pPr>
              <w:keepNext w:val="0"/>
              <w:keepLines w:val="0"/>
              <w:pageBreakBefore w:val="0"/>
              <w:widowControl w:val="0"/>
              <w:shd w:val="clear" w:color="auto" w:fill="auto"/>
              <w:tabs>
                <w:tab w:val="left" w:pos="0"/>
              </w:tabs>
              <w:kinsoku/>
              <w:wordWrap/>
              <w:overflowPunct/>
              <w:topLinePunct w:val="0"/>
              <w:autoSpaceDE/>
              <w:autoSpaceDN/>
              <w:bidi w:val="0"/>
              <w:adjustRightInd/>
              <w:spacing w:line="312" w:lineRule="auto"/>
              <w:textAlignment w:val="auto"/>
              <w:rPr>
                <w:rFonts w:hint="eastAsia" w:ascii="仿宋" w:hAnsi="仿宋" w:eastAsia="仿宋" w:cs="仿宋"/>
                <w:color w:val="auto"/>
                <w:kern w:val="0"/>
                <w:sz w:val="24"/>
                <w:szCs w:val="24"/>
              </w:rPr>
            </w:pPr>
          </w:p>
        </w:tc>
        <w:tc>
          <w:tcPr>
            <w:tcW w:w="8350" w:type="dxa"/>
            <w:tcBorders>
              <w:top w:val="single" w:color="000000" w:sz="4" w:space="0"/>
              <w:left w:val="single" w:color="000000" w:sz="4" w:space="0"/>
              <w:bottom w:val="single" w:color="000000" w:sz="4" w:space="0"/>
              <w:right w:val="single" w:color="auto" w:sz="4" w:space="0"/>
            </w:tcBorders>
            <w:noWrap w:val="0"/>
            <w:vAlign w:val="center"/>
          </w:tcPr>
          <w:p w14:paraId="4EA07D1E">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color w:val="auto"/>
                <w:kern w:val="0"/>
                <w:sz w:val="24"/>
                <w:szCs w:val="24"/>
              </w:rPr>
            </w:pPr>
            <w:r>
              <w:rPr>
                <w:rFonts w:hint="eastAsia" w:ascii="仿宋" w:hAnsi="仿宋" w:eastAsia="仿宋" w:cs="仿宋"/>
                <w:snapToGrid/>
                <w:color w:val="auto"/>
                <w:kern w:val="0"/>
                <w:sz w:val="24"/>
                <w:szCs w:val="24"/>
                <w:lang w:val="en-US" w:eastAsia="zh-CN" w:bidi="ar-SA"/>
              </w:rPr>
              <w:t>12、项目组人员（包括但不限于项目负责人、技术负责人等）安排方案的详尽齐全可实施性进行评议</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w:t>
            </w:r>
          </w:p>
          <w:p w14:paraId="2135F38D">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napToGrid/>
                <w:color w:val="auto"/>
                <w:kern w:val="0"/>
                <w:sz w:val="24"/>
                <w:szCs w:val="24"/>
                <w:lang w:val="en-US" w:eastAsia="zh-CN" w:bidi="ar-SA"/>
              </w:rPr>
            </w:pPr>
            <w:r>
              <w:rPr>
                <w:rFonts w:hint="eastAsia" w:ascii="仿宋" w:hAnsi="仿宋" w:eastAsia="仿宋" w:cs="仿宋"/>
                <w:snapToGrid/>
                <w:color w:val="auto"/>
                <w:kern w:val="0"/>
                <w:sz w:val="24"/>
                <w:szCs w:val="24"/>
                <w:lang w:val="en-US" w:eastAsia="zh-CN" w:bidi="ar-SA"/>
              </w:rPr>
              <w:t>包括但不限于人员的配备、人员资质能力、岗位设置、职责分工（打分2、1、0分）。</w:t>
            </w:r>
          </w:p>
          <w:p w14:paraId="52A7C4CB">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snapToGrid/>
                <w:color w:val="auto"/>
                <w:kern w:val="0"/>
                <w:sz w:val="24"/>
                <w:szCs w:val="24"/>
                <w:lang w:val="en-US" w:eastAsia="zh-CN" w:bidi="ar-SA"/>
              </w:rPr>
            </w:pPr>
            <w:r>
              <w:rPr>
                <w:rFonts w:hint="eastAsia" w:ascii="仿宋" w:hAnsi="仿宋" w:eastAsia="仿宋" w:cs="仿宋"/>
                <w:snapToGrid/>
                <w:color w:val="auto"/>
                <w:kern w:val="0"/>
                <w:sz w:val="24"/>
                <w:szCs w:val="24"/>
                <w:lang w:val="en-US" w:eastAsia="zh-CN" w:bidi="ar-SA"/>
              </w:rPr>
              <w:t>注：1）投标文件中提供团队人员的资质（资格）证书或其它证明材料扫描件，均加盖公章，以供评委评审。</w:t>
            </w:r>
          </w:p>
        </w:tc>
      </w:tr>
      <w:tr w14:paraId="705C9484">
        <w:tblPrEx>
          <w:tblCellMar>
            <w:top w:w="0" w:type="dxa"/>
            <w:left w:w="108" w:type="dxa"/>
            <w:bottom w:w="0" w:type="dxa"/>
            <w:right w:w="108" w:type="dxa"/>
          </w:tblCellMar>
        </w:tblPrEx>
        <w:trPr>
          <w:jc w:val="center"/>
        </w:trPr>
        <w:tc>
          <w:tcPr>
            <w:tcW w:w="1064" w:type="dxa"/>
            <w:vMerge w:val="continue"/>
            <w:tcBorders>
              <w:left w:val="single" w:color="auto" w:sz="4" w:space="0"/>
              <w:right w:val="single" w:color="000000" w:sz="4" w:space="0"/>
            </w:tcBorders>
            <w:noWrap w:val="0"/>
            <w:vAlign w:val="center"/>
          </w:tcPr>
          <w:p w14:paraId="278ECBEB">
            <w:pPr>
              <w:keepNext w:val="0"/>
              <w:keepLines w:val="0"/>
              <w:pageBreakBefore w:val="0"/>
              <w:widowControl w:val="0"/>
              <w:shd w:val="clear" w:color="auto" w:fill="auto"/>
              <w:tabs>
                <w:tab w:val="left" w:pos="0"/>
              </w:tabs>
              <w:kinsoku/>
              <w:wordWrap/>
              <w:overflowPunct/>
              <w:topLinePunct w:val="0"/>
              <w:autoSpaceDE/>
              <w:autoSpaceDN/>
              <w:bidi w:val="0"/>
              <w:adjustRightInd/>
              <w:spacing w:line="312" w:lineRule="auto"/>
              <w:textAlignment w:val="auto"/>
              <w:rPr>
                <w:rFonts w:hint="eastAsia" w:ascii="仿宋" w:hAnsi="仿宋" w:eastAsia="仿宋" w:cs="仿宋"/>
                <w:color w:val="auto"/>
                <w:kern w:val="0"/>
                <w:sz w:val="24"/>
                <w:szCs w:val="24"/>
              </w:rPr>
            </w:pPr>
          </w:p>
        </w:tc>
        <w:tc>
          <w:tcPr>
            <w:tcW w:w="8350" w:type="dxa"/>
            <w:tcBorders>
              <w:top w:val="single" w:color="000000" w:sz="4" w:space="0"/>
              <w:left w:val="single" w:color="000000" w:sz="4" w:space="0"/>
              <w:bottom w:val="single" w:color="000000" w:sz="4" w:space="0"/>
              <w:right w:val="single" w:color="auto" w:sz="4" w:space="0"/>
            </w:tcBorders>
            <w:noWrap w:val="0"/>
            <w:vAlign w:val="center"/>
          </w:tcPr>
          <w:p w14:paraId="39E36624">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snapToGrid/>
                <w:color w:val="auto"/>
                <w:kern w:val="0"/>
                <w:sz w:val="24"/>
                <w:szCs w:val="24"/>
                <w:lang w:val="en-US" w:eastAsia="zh-CN" w:bidi="ar-SA"/>
              </w:rPr>
            </w:pPr>
            <w:r>
              <w:rPr>
                <w:rFonts w:hint="eastAsia" w:ascii="仿宋" w:hAnsi="仿宋" w:eastAsia="仿宋" w:cs="仿宋"/>
                <w:snapToGrid/>
                <w:color w:val="auto"/>
                <w:kern w:val="0"/>
                <w:sz w:val="24"/>
                <w:szCs w:val="24"/>
                <w:lang w:val="en-US" w:eastAsia="zh-CN" w:bidi="ar-SA"/>
              </w:rPr>
              <w:t>13、质保期：在满足采购文件要求的质保期（2年）的基础上，每增加1年加1分（不足1年的不计分），最多得1分；</w:t>
            </w:r>
          </w:p>
        </w:tc>
      </w:tr>
      <w:tr w14:paraId="64BE5B4E">
        <w:tblPrEx>
          <w:tblCellMar>
            <w:top w:w="0" w:type="dxa"/>
            <w:left w:w="108" w:type="dxa"/>
            <w:bottom w:w="0" w:type="dxa"/>
            <w:right w:w="108" w:type="dxa"/>
          </w:tblCellMar>
        </w:tblPrEx>
        <w:trPr>
          <w:jc w:val="center"/>
        </w:trPr>
        <w:tc>
          <w:tcPr>
            <w:tcW w:w="1064" w:type="dxa"/>
            <w:vMerge w:val="continue"/>
            <w:tcBorders>
              <w:left w:val="single" w:color="auto" w:sz="4" w:space="0"/>
              <w:right w:val="single" w:color="000000" w:sz="4" w:space="0"/>
            </w:tcBorders>
            <w:noWrap w:val="0"/>
            <w:vAlign w:val="center"/>
          </w:tcPr>
          <w:p w14:paraId="300591BA">
            <w:pPr>
              <w:keepNext w:val="0"/>
              <w:keepLines w:val="0"/>
              <w:pageBreakBefore w:val="0"/>
              <w:widowControl w:val="0"/>
              <w:shd w:val="clear" w:color="auto" w:fill="auto"/>
              <w:tabs>
                <w:tab w:val="left" w:pos="0"/>
              </w:tabs>
              <w:kinsoku/>
              <w:wordWrap/>
              <w:overflowPunct/>
              <w:topLinePunct w:val="0"/>
              <w:autoSpaceDE/>
              <w:autoSpaceDN/>
              <w:bidi w:val="0"/>
              <w:adjustRightInd/>
              <w:spacing w:line="312" w:lineRule="auto"/>
              <w:textAlignment w:val="auto"/>
              <w:rPr>
                <w:rFonts w:hint="eastAsia" w:ascii="仿宋" w:hAnsi="仿宋" w:eastAsia="仿宋" w:cs="仿宋"/>
                <w:color w:val="auto"/>
                <w:kern w:val="0"/>
                <w:sz w:val="24"/>
                <w:szCs w:val="24"/>
              </w:rPr>
            </w:pPr>
          </w:p>
        </w:tc>
        <w:tc>
          <w:tcPr>
            <w:tcW w:w="8350"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3FD04AD">
            <w:pPr>
              <w:pStyle w:val="5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14、证书（3分）</w:t>
            </w:r>
          </w:p>
          <w:p w14:paraId="0F0A5C2A">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w:t>
            </w:r>
            <w:bookmarkStart w:id="406" w:name="OLE_LINK9"/>
            <w:r>
              <w:rPr>
                <w:rFonts w:hint="eastAsia" w:ascii="仿宋" w:hAnsi="仿宋" w:eastAsia="仿宋" w:cs="仿宋"/>
                <w:color w:val="auto"/>
                <w:kern w:val="0"/>
                <w:sz w:val="24"/>
                <w:szCs w:val="24"/>
                <w:lang w:val="en-US" w:eastAsia="zh-CN" w:bidi="ar-SA"/>
              </w:rPr>
              <w:t>投标人或所投产品制造商具有</w:t>
            </w:r>
            <w:bookmarkEnd w:id="406"/>
            <w:r>
              <w:rPr>
                <w:rFonts w:hint="eastAsia" w:ascii="仿宋" w:hAnsi="仿宋" w:eastAsia="仿宋" w:cs="仿宋"/>
                <w:color w:val="auto"/>
                <w:kern w:val="0"/>
                <w:sz w:val="24"/>
                <w:szCs w:val="24"/>
                <w:lang w:val="en-US" w:eastAsia="zh-CN" w:bidi="ar-SA"/>
              </w:rPr>
              <w:t>信息安全管理体系认证证书（认证范围含：一体化预制泵站、监控云平台）得0.5分；</w:t>
            </w:r>
          </w:p>
          <w:p w14:paraId="43E3B609">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w:t>
            </w:r>
            <w:bookmarkStart w:id="407" w:name="OLE_LINK10"/>
            <w:r>
              <w:rPr>
                <w:rFonts w:hint="eastAsia" w:ascii="仿宋" w:hAnsi="仿宋" w:eastAsia="仿宋" w:cs="仿宋"/>
                <w:color w:val="auto"/>
                <w:kern w:val="0"/>
                <w:sz w:val="24"/>
                <w:szCs w:val="24"/>
                <w:lang w:val="en-US" w:eastAsia="zh-CN" w:bidi="ar-SA"/>
              </w:rPr>
              <w:t>投标人或所投产品制造商具有</w:t>
            </w:r>
            <w:bookmarkEnd w:id="407"/>
            <w:r>
              <w:rPr>
                <w:rFonts w:hint="eastAsia" w:ascii="仿宋" w:hAnsi="仿宋" w:eastAsia="仿宋" w:cs="仿宋"/>
                <w:color w:val="auto"/>
                <w:kern w:val="0"/>
                <w:sz w:val="24"/>
                <w:szCs w:val="24"/>
                <w:lang w:val="en-US" w:eastAsia="zh-CN" w:bidi="ar-SA"/>
              </w:rPr>
              <w:t>知识产权管理体系认证证书（认证范围含：一体化预制泵站、监控云平台）得0.5分；</w:t>
            </w:r>
          </w:p>
          <w:p w14:paraId="50B7E5CB">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kern w:val="0"/>
                <w:sz w:val="24"/>
                <w:szCs w:val="24"/>
                <w:lang w:val="en-US" w:eastAsia="zh-CN" w:bidi="ar-SA"/>
              </w:rPr>
            </w:pPr>
            <w:bookmarkStart w:id="408" w:name="OLE_LINK19"/>
            <w:r>
              <w:rPr>
                <w:rFonts w:hint="eastAsia" w:ascii="仿宋" w:hAnsi="仿宋" w:eastAsia="仿宋" w:cs="仿宋"/>
                <w:color w:val="auto"/>
                <w:kern w:val="0"/>
                <w:sz w:val="24"/>
                <w:szCs w:val="24"/>
                <w:lang w:val="en-US" w:eastAsia="zh-CN" w:bidi="ar-SA"/>
              </w:rPr>
              <w:t>（3）投标人或所投产品制造商具备质量管理体系认证证书（认证范围含：</w:t>
            </w:r>
            <w:bookmarkStart w:id="409" w:name="OLE_LINK30"/>
            <w:r>
              <w:rPr>
                <w:rFonts w:hint="eastAsia" w:ascii="仿宋" w:hAnsi="仿宋" w:eastAsia="仿宋" w:cs="仿宋"/>
                <w:color w:val="auto"/>
                <w:kern w:val="0"/>
                <w:sz w:val="24"/>
                <w:szCs w:val="24"/>
                <w:lang w:val="en-US" w:eastAsia="zh-CN" w:bidi="ar-SA"/>
              </w:rPr>
              <w:t>一体化预制泵站、监控云平台</w:t>
            </w:r>
            <w:bookmarkEnd w:id="409"/>
            <w:r>
              <w:rPr>
                <w:rFonts w:hint="eastAsia" w:ascii="仿宋" w:hAnsi="仿宋" w:eastAsia="仿宋" w:cs="仿宋"/>
                <w:color w:val="auto"/>
                <w:kern w:val="0"/>
                <w:sz w:val="24"/>
                <w:szCs w:val="24"/>
                <w:lang w:val="en-US" w:eastAsia="zh-CN" w:bidi="ar-SA"/>
              </w:rPr>
              <w:t>）得0.5分。</w:t>
            </w:r>
          </w:p>
          <w:bookmarkEnd w:id="408"/>
          <w:p w14:paraId="55A81EE9">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（4）投标人或所投产品制造商具备环境管理体系认证证书（认证范围含：一体化预制泵站、监控云平台）得0.5分。</w:t>
            </w:r>
          </w:p>
          <w:p w14:paraId="1B938EF0">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（5）投标人或所投产品制造商具备职业健康安全管理体系认证证书（认证范围含：一体化预制泵站、监控云平台）得1分。</w:t>
            </w:r>
          </w:p>
          <w:p w14:paraId="499A8C8B">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color w:val="auto"/>
                <w:kern w:val="0"/>
                <w:sz w:val="24"/>
                <w:szCs w:val="24"/>
                <w:lang w:val="en-US" w:eastAsia="zh-CN" w:bidi="ar-SA"/>
              </w:rPr>
              <w:t>（投标文件中提供有效的证书复印件加盖供应商公章，否则不得分。）</w:t>
            </w:r>
          </w:p>
        </w:tc>
      </w:tr>
      <w:tr w14:paraId="691235C3">
        <w:tblPrEx>
          <w:tblCellMar>
            <w:top w:w="0" w:type="dxa"/>
            <w:left w:w="108" w:type="dxa"/>
            <w:bottom w:w="0" w:type="dxa"/>
            <w:right w:w="108" w:type="dxa"/>
          </w:tblCellMar>
        </w:tblPrEx>
        <w:trPr>
          <w:jc w:val="center"/>
        </w:trPr>
        <w:tc>
          <w:tcPr>
            <w:tcW w:w="1064" w:type="dxa"/>
            <w:vMerge w:val="continue"/>
            <w:tcBorders>
              <w:left w:val="single" w:color="auto" w:sz="4" w:space="0"/>
              <w:right w:val="single" w:color="000000" w:sz="4" w:space="0"/>
            </w:tcBorders>
            <w:noWrap w:val="0"/>
            <w:vAlign w:val="center"/>
          </w:tcPr>
          <w:p w14:paraId="381B814E">
            <w:pPr>
              <w:keepNext w:val="0"/>
              <w:keepLines w:val="0"/>
              <w:pageBreakBefore w:val="0"/>
              <w:widowControl w:val="0"/>
              <w:shd w:val="clear" w:color="auto" w:fill="auto"/>
              <w:tabs>
                <w:tab w:val="left" w:pos="0"/>
              </w:tabs>
              <w:kinsoku/>
              <w:wordWrap/>
              <w:overflowPunct/>
              <w:topLinePunct w:val="0"/>
              <w:autoSpaceDE/>
              <w:autoSpaceDN/>
              <w:bidi w:val="0"/>
              <w:adjustRightInd/>
              <w:spacing w:line="312" w:lineRule="auto"/>
              <w:textAlignment w:val="auto"/>
              <w:rPr>
                <w:rFonts w:hint="eastAsia" w:ascii="仿宋" w:hAnsi="仿宋" w:eastAsia="仿宋" w:cs="仿宋"/>
                <w:color w:val="auto"/>
                <w:kern w:val="0"/>
                <w:sz w:val="24"/>
                <w:szCs w:val="24"/>
              </w:rPr>
            </w:pPr>
          </w:p>
        </w:tc>
        <w:tc>
          <w:tcPr>
            <w:tcW w:w="8350"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A2ED2AD">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snapToGrid/>
                <w:color w:val="auto"/>
                <w:kern w:val="0"/>
                <w:sz w:val="24"/>
                <w:szCs w:val="24"/>
                <w:lang w:val="en-US" w:eastAsia="zh-CN" w:bidi="ar-SA"/>
              </w:rPr>
            </w:pPr>
            <w:r>
              <w:rPr>
                <w:rFonts w:hint="eastAsia" w:ascii="仿宋" w:hAnsi="仿宋" w:eastAsia="仿宋" w:cs="仿宋"/>
                <w:snapToGrid/>
                <w:color w:val="auto"/>
                <w:kern w:val="0"/>
                <w:sz w:val="24"/>
                <w:szCs w:val="24"/>
                <w:lang w:val="en-US" w:eastAsia="zh-CN" w:bidi="ar-SA"/>
              </w:rPr>
              <w:t>15、业绩（4分）：</w:t>
            </w:r>
          </w:p>
          <w:p w14:paraId="2A5450E0">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snapToGrid/>
                <w:color w:val="auto"/>
                <w:kern w:val="0"/>
                <w:sz w:val="24"/>
                <w:szCs w:val="24"/>
                <w:lang w:val="en-US" w:eastAsia="zh-CN" w:bidi="ar-SA"/>
              </w:rPr>
            </w:pPr>
            <w:r>
              <w:rPr>
                <w:rFonts w:hint="eastAsia" w:ascii="仿宋" w:hAnsi="仿宋" w:eastAsia="仿宋" w:cs="仿宋"/>
                <w:snapToGrid/>
                <w:color w:val="auto"/>
                <w:kern w:val="0"/>
                <w:sz w:val="24"/>
                <w:szCs w:val="24"/>
                <w:lang w:val="en-US" w:eastAsia="zh-CN" w:bidi="ar-SA"/>
              </w:rPr>
              <w:t>供应商自2022年1月1日（合同签订时间为准）至今供应商具有同类业绩的，每提供一项相关证明材料的得1分，满分4分。</w:t>
            </w:r>
          </w:p>
          <w:p w14:paraId="2F44F601">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snapToGrid/>
                <w:color w:val="auto"/>
                <w:kern w:val="0"/>
                <w:sz w:val="24"/>
                <w:szCs w:val="24"/>
                <w:lang w:val="en-US" w:eastAsia="zh-CN" w:bidi="ar-SA"/>
              </w:rPr>
            </w:pPr>
            <w:r>
              <w:rPr>
                <w:rFonts w:hint="eastAsia" w:ascii="仿宋" w:hAnsi="仿宋" w:eastAsia="仿宋" w:cs="仿宋"/>
                <w:snapToGrid/>
                <w:color w:val="auto"/>
                <w:kern w:val="0"/>
                <w:sz w:val="24"/>
                <w:szCs w:val="24"/>
                <w:lang w:val="en-US" w:eastAsia="zh-CN" w:bidi="ar-SA"/>
              </w:rPr>
              <w:t>（合同内容必须体现一体化泵站、往来发票及收款证明。不得缺少任意一项，否则不得分。同一用户不累计得分。）</w:t>
            </w:r>
          </w:p>
        </w:tc>
      </w:tr>
      <w:tr w14:paraId="66B1837E">
        <w:tblPrEx>
          <w:tblCellMar>
            <w:top w:w="0" w:type="dxa"/>
            <w:left w:w="108" w:type="dxa"/>
            <w:bottom w:w="0" w:type="dxa"/>
            <w:right w:w="108" w:type="dxa"/>
          </w:tblCellMar>
        </w:tblPrEx>
        <w:trPr>
          <w:trHeight w:val="378" w:hRule="atLeast"/>
          <w:jc w:val="center"/>
        </w:trPr>
        <w:tc>
          <w:tcPr>
            <w:tcW w:w="1064" w:type="dxa"/>
            <w:tcBorders>
              <w:top w:val="single" w:color="000000" w:sz="4" w:space="0"/>
              <w:left w:val="single" w:color="auto" w:sz="4" w:space="0"/>
              <w:bottom w:val="single" w:color="auto" w:sz="4" w:space="0"/>
              <w:right w:val="single" w:color="000000" w:sz="4" w:space="0"/>
            </w:tcBorders>
            <w:noWrap w:val="0"/>
            <w:vAlign w:val="center"/>
          </w:tcPr>
          <w:p w14:paraId="36DB0FB4">
            <w:pPr>
              <w:keepNext w:val="0"/>
              <w:keepLines w:val="0"/>
              <w:pageBreakBefore w:val="0"/>
              <w:widowControl w:val="0"/>
              <w:shd w:val="clear" w:color="auto" w:fill="auto"/>
              <w:tabs>
                <w:tab w:val="left" w:pos="0"/>
              </w:tabs>
              <w:kinsoku/>
              <w:wordWrap/>
              <w:overflowPunct/>
              <w:topLinePunct w:val="0"/>
              <w:autoSpaceDE/>
              <w:autoSpaceDN/>
              <w:bidi w:val="0"/>
              <w:adjustRightInd/>
              <w:spacing w:line="312"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报价</w:t>
            </w:r>
          </w:p>
          <w:p w14:paraId="7E69CEB2">
            <w:pPr>
              <w:keepNext w:val="0"/>
              <w:keepLines w:val="0"/>
              <w:pageBreakBefore w:val="0"/>
              <w:widowControl w:val="0"/>
              <w:shd w:val="clear" w:color="auto" w:fill="auto"/>
              <w:tabs>
                <w:tab w:val="left" w:pos="0"/>
              </w:tabs>
              <w:kinsoku/>
              <w:wordWrap/>
              <w:overflowPunct/>
              <w:topLinePunct w:val="0"/>
              <w:autoSpaceDE/>
              <w:autoSpaceDN/>
              <w:bidi w:val="0"/>
              <w:adjustRightInd/>
              <w:spacing w:line="312"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val="en-US" w:eastAsia="zh-CN"/>
              </w:rPr>
              <w:t>40</w:t>
            </w:r>
            <w:r>
              <w:rPr>
                <w:rFonts w:hint="eastAsia" w:ascii="仿宋" w:hAnsi="仿宋" w:eastAsia="仿宋" w:cs="仿宋"/>
                <w:color w:val="auto"/>
                <w:kern w:val="0"/>
                <w:sz w:val="24"/>
                <w:szCs w:val="24"/>
              </w:rPr>
              <w:t>分）</w:t>
            </w:r>
          </w:p>
        </w:tc>
        <w:tc>
          <w:tcPr>
            <w:tcW w:w="8350" w:type="dxa"/>
            <w:tcBorders>
              <w:top w:val="single" w:color="000000" w:sz="4" w:space="0"/>
              <w:left w:val="single" w:color="000000" w:sz="4" w:space="0"/>
              <w:bottom w:val="single" w:color="auto" w:sz="4" w:space="0"/>
              <w:right w:val="single" w:color="auto" w:sz="4" w:space="0"/>
            </w:tcBorders>
            <w:noWrap w:val="0"/>
            <w:vAlign w:val="center"/>
          </w:tcPr>
          <w:p w14:paraId="5CA73F34">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满足招标文件要求且参与评审价格最低为评标基准价，其价格分为满分，其余</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的价格分以下列公式计算：</w:t>
            </w:r>
          </w:p>
          <w:p w14:paraId="640718AF">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投标报价得分=（评标基准价/参与评审的价格）×价格权值×100</w:t>
            </w:r>
          </w:p>
          <w:p w14:paraId="0DF2D5DB">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312"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参与评审价格=投标价格×（1-价格折扣率）</w:t>
            </w:r>
          </w:p>
        </w:tc>
      </w:tr>
    </w:tbl>
    <w:p w14:paraId="3D87F0A6">
      <w:pPr>
        <w:pStyle w:val="45"/>
        <w:keepNext w:val="0"/>
        <w:keepLines w:val="0"/>
        <w:pageBreakBefore w:val="0"/>
        <w:widowControl w:val="0"/>
        <w:kinsoku/>
        <w:wordWrap/>
        <w:overflowPunct/>
        <w:topLinePunct w:val="0"/>
        <w:autoSpaceDE/>
        <w:autoSpaceDN/>
        <w:bidi w:val="0"/>
        <w:adjustRightInd/>
        <w:spacing w:before="0" w:line="240" w:lineRule="auto"/>
        <w:ind w:left="0" w:leftChars="0" w:firstLine="482" w:firstLineChars="200"/>
        <w:textAlignment w:val="auto"/>
        <w:rPr>
          <w:rFonts w:hint="eastAsia" w:ascii="宋体" w:hAnsi="宋体" w:eastAsia="宋体" w:cs="仿宋_GB2312"/>
          <w:color w:val="auto"/>
          <w:sz w:val="48"/>
          <w:szCs w:val="48"/>
          <w:highlight w:val="none"/>
        </w:rPr>
      </w:pPr>
      <w:r>
        <w:rPr>
          <w:rFonts w:hint="eastAsia" w:ascii="仿宋" w:hAnsi="仿宋" w:eastAsia="仿宋" w:cs="仿宋"/>
          <w:b/>
          <w:color w:val="auto"/>
          <w:sz w:val="24"/>
          <w:szCs w:val="24"/>
        </w:rPr>
        <w:t>备注：</w:t>
      </w:r>
      <w:r>
        <w:rPr>
          <w:rFonts w:hint="eastAsia" w:ascii="仿宋" w:hAnsi="仿宋" w:eastAsia="仿宋" w:cs="仿宋"/>
          <w:color w:val="auto"/>
          <w:kern w:val="0"/>
          <w:sz w:val="24"/>
          <w:szCs w:val="24"/>
          <w:lang w:val="zh-CN"/>
        </w:rPr>
        <w:t>供应商</w:t>
      </w:r>
      <w:r>
        <w:rPr>
          <w:rFonts w:hint="eastAsia" w:ascii="仿宋" w:hAnsi="仿宋" w:eastAsia="仿宋" w:cs="仿宋"/>
          <w:color w:val="auto"/>
          <w:sz w:val="24"/>
          <w:szCs w:val="24"/>
        </w:rPr>
        <w:t>编制投标文件（商务技术文件部分）时，建议按此目录（序号和内容）提供评标标准相应的商务技术资料。</w:t>
      </w:r>
    </w:p>
    <w:p w14:paraId="277146EE">
      <w:pPr>
        <w:snapToGrid w:val="0"/>
        <w:spacing w:line="240" w:lineRule="auto"/>
        <w:jc w:val="center"/>
        <w:rPr>
          <w:rFonts w:ascii="宋体" w:hAnsi="宋体" w:eastAsia="宋体" w:cs="仿宋"/>
          <w:b/>
          <w:color w:val="auto"/>
          <w:sz w:val="32"/>
          <w:szCs w:val="20"/>
        </w:rPr>
      </w:pPr>
    </w:p>
    <w:p w14:paraId="33AFC0DA">
      <w:pPr>
        <w:rPr>
          <w:rFonts w:hint="eastAsia" w:ascii="仿宋" w:hAnsi="仿宋" w:eastAsia="仿宋" w:cs="仿宋"/>
          <w:color w:val="auto"/>
          <w:sz w:val="24"/>
          <w:szCs w:val="24"/>
        </w:rPr>
      </w:pPr>
    </w:p>
    <w:p w14:paraId="741A27C7">
      <w:pPr>
        <w:pStyle w:val="45"/>
        <w:keepNext w:val="0"/>
        <w:keepLines w:val="0"/>
        <w:pageBreakBefore w:val="0"/>
        <w:widowControl w:val="0"/>
        <w:kinsoku/>
        <w:wordWrap/>
        <w:overflowPunct/>
        <w:topLinePunct w:val="0"/>
        <w:autoSpaceDE/>
        <w:autoSpaceDN/>
        <w:bidi w:val="0"/>
        <w:adjustRightInd/>
        <w:spacing w:before="0" w:line="240" w:lineRule="auto"/>
        <w:ind w:left="0" w:leftChars="0" w:firstLine="482" w:firstLineChars="200"/>
        <w:textAlignment w:val="auto"/>
        <w:rPr>
          <w:rFonts w:hint="eastAsia" w:ascii="宋体" w:hAnsi="宋体" w:eastAsia="宋体" w:cs="仿宋_GB2312"/>
          <w:color w:val="auto"/>
          <w:sz w:val="48"/>
          <w:szCs w:val="48"/>
          <w:highlight w:val="none"/>
        </w:rPr>
      </w:pPr>
      <w:r>
        <w:rPr>
          <w:rFonts w:hint="eastAsia" w:ascii="仿宋" w:hAnsi="仿宋" w:eastAsia="仿宋" w:cs="仿宋"/>
          <w:b/>
          <w:color w:val="auto"/>
          <w:sz w:val="24"/>
          <w:szCs w:val="24"/>
        </w:rPr>
        <w:t>备注：</w:t>
      </w:r>
      <w:r>
        <w:rPr>
          <w:rFonts w:hint="eastAsia" w:ascii="仿宋" w:hAnsi="仿宋" w:eastAsia="仿宋" w:cs="仿宋"/>
          <w:color w:val="auto"/>
          <w:kern w:val="0"/>
          <w:sz w:val="24"/>
          <w:szCs w:val="24"/>
          <w:lang w:val="zh-CN"/>
        </w:rPr>
        <w:t>供应商</w:t>
      </w:r>
      <w:r>
        <w:rPr>
          <w:rFonts w:hint="eastAsia" w:ascii="仿宋" w:hAnsi="仿宋" w:eastAsia="仿宋" w:cs="仿宋"/>
          <w:color w:val="auto"/>
          <w:sz w:val="24"/>
          <w:szCs w:val="24"/>
        </w:rPr>
        <w:t>编制投标文件（商务技术文件部分）时，建议按此目录（序号和内容）提供评标标准相应的商务技术资料。</w:t>
      </w:r>
    </w:p>
    <w:p w14:paraId="0E0B84C8">
      <w:pPr>
        <w:snapToGrid w:val="0"/>
        <w:spacing w:line="240" w:lineRule="auto"/>
        <w:jc w:val="center"/>
        <w:rPr>
          <w:rFonts w:ascii="宋体" w:hAnsi="宋体" w:eastAsia="宋体" w:cs="仿宋"/>
          <w:b/>
          <w:color w:val="auto"/>
          <w:sz w:val="32"/>
          <w:szCs w:val="20"/>
        </w:rPr>
      </w:pPr>
    </w:p>
    <w:p w14:paraId="726C9BDE">
      <w:pPr>
        <w:keepNext w:val="0"/>
        <w:keepLines w:val="0"/>
        <w:pageBreakBefore w:val="0"/>
        <w:widowControl w:val="0"/>
        <w:kinsoku/>
        <w:wordWrap/>
        <w:overflowPunct/>
        <w:topLinePunct w:val="0"/>
        <w:autoSpaceDE/>
        <w:autoSpaceDN/>
        <w:bidi w:val="0"/>
        <w:adjustRightInd/>
        <w:snapToGrid w:val="0"/>
        <w:spacing w:line="312" w:lineRule="auto"/>
        <w:ind w:left="120" w:leftChars="57" w:firstLine="482" w:firstLineChars="150"/>
        <w:jc w:val="center"/>
        <w:textAlignment w:val="auto"/>
        <w:rPr>
          <w:rFonts w:hint="eastAsia" w:ascii="仿宋" w:hAnsi="仿宋" w:eastAsia="仿宋" w:cs="仿宋"/>
          <w:b/>
          <w:color w:val="auto"/>
          <w:sz w:val="32"/>
          <w:szCs w:val="32"/>
        </w:rPr>
      </w:pPr>
    </w:p>
    <w:p w14:paraId="0EEE7DFB">
      <w:pPr>
        <w:keepNext w:val="0"/>
        <w:keepLines w:val="0"/>
        <w:pageBreakBefore w:val="0"/>
        <w:widowControl w:val="0"/>
        <w:kinsoku/>
        <w:wordWrap/>
        <w:overflowPunct/>
        <w:topLinePunct w:val="0"/>
        <w:autoSpaceDE/>
        <w:autoSpaceDN/>
        <w:bidi w:val="0"/>
        <w:adjustRightInd/>
        <w:snapToGrid w:val="0"/>
        <w:spacing w:line="312" w:lineRule="auto"/>
        <w:ind w:left="120" w:leftChars="57" w:firstLine="482" w:firstLineChars="150"/>
        <w:jc w:val="center"/>
        <w:textAlignment w:val="auto"/>
        <w:rPr>
          <w:rFonts w:hint="eastAsia" w:ascii="仿宋" w:hAnsi="仿宋" w:eastAsia="仿宋" w:cs="仿宋"/>
          <w:b/>
          <w:color w:val="auto"/>
          <w:sz w:val="32"/>
          <w:szCs w:val="32"/>
        </w:rPr>
      </w:pPr>
    </w:p>
    <w:p w14:paraId="689BB855">
      <w:pPr>
        <w:pStyle w:val="21"/>
        <w:rPr>
          <w:rFonts w:hint="eastAsia"/>
        </w:rPr>
      </w:pPr>
    </w:p>
    <w:p w14:paraId="0ACF78E1">
      <w:pPr>
        <w:keepNext w:val="0"/>
        <w:keepLines w:val="0"/>
        <w:pageBreakBefore w:val="0"/>
        <w:widowControl w:val="0"/>
        <w:kinsoku/>
        <w:wordWrap/>
        <w:overflowPunct/>
        <w:topLinePunct w:val="0"/>
        <w:autoSpaceDE/>
        <w:autoSpaceDN/>
        <w:bidi w:val="0"/>
        <w:adjustRightInd/>
        <w:snapToGrid w:val="0"/>
        <w:spacing w:line="312" w:lineRule="auto"/>
        <w:ind w:left="120" w:leftChars="57" w:firstLine="482" w:firstLineChars="150"/>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一、评标方法</w:t>
      </w:r>
    </w:p>
    <w:p w14:paraId="27529147">
      <w:pPr>
        <w:spacing w:line="360" w:lineRule="auto"/>
        <w:ind w:firstLine="472" w:firstLineChars="196"/>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1.本项目采用综合评分法。</w:t>
      </w:r>
      <w:r>
        <w:rPr>
          <w:rFonts w:hint="eastAsia" w:ascii="仿宋" w:hAnsi="仿宋" w:eastAsia="仿宋" w:cs="仿宋"/>
          <w:color w:val="auto"/>
          <w:kern w:val="0"/>
          <w:sz w:val="24"/>
          <w:szCs w:val="24"/>
        </w:rPr>
        <w:t>综合评分法，是指投标文件满足招标文件全部实质性要求，且按照评审因素的量化指标评审得分最高的</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为中标候选人的评标方法。</w:t>
      </w:r>
    </w:p>
    <w:p w14:paraId="12E8DD1A">
      <w:pPr>
        <w:snapToGrid w:val="0"/>
        <w:spacing w:line="360" w:lineRule="auto"/>
        <w:ind w:left="120" w:leftChars="57" w:firstLine="482" w:firstLineChars="15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二、评标标准</w:t>
      </w:r>
    </w:p>
    <w:p w14:paraId="71C55ADF">
      <w:pPr>
        <w:spacing w:line="360" w:lineRule="auto"/>
        <w:ind w:firstLine="472" w:firstLineChars="196"/>
        <w:rPr>
          <w:rFonts w:hint="eastAsia" w:ascii="仿宋" w:hAnsi="仿宋" w:eastAsia="仿宋" w:cs="仿宋"/>
          <w:b/>
          <w:color w:val="auto"/>
          <w:sz w:val="24"/>
          <w:szCs w:val="24"/>
        </w:rPr>
      </w:pPr>
      <w:r>
        <w:rPr>
          <w:rFonts w:hint="eastAsia" w:ascii="仿宋" w:hAnsi="仿宋" w:eastAsia="仿宋" w:cs="仿宋"/>
          <w:b/>
          <w:color w:val="auto"/>
          <w:sz w:val="24"/>
          <w:szCs w:val="24"/>
        </w:rPr>
        <w:t>2.</w:t>
      </w: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评标标准：</w:t>
      </w:r>
      <w:r>
        <w:rPr>
          <w:rFonts w:hint="eastAsia" w:ascii="仿宋" w:hAnsi="仿宋" w:eastAsia="仿宋" w:cs="仿宋"/>
          <w:color w:val="auto"/>
          <w:kern w:val="0"/>
          <w:sz w:val="24"/>
          <w:szCs w:val="24"/>
        </w:rPr>
        <w:t>见评标办法前附表。</w:t>
      </w:r>
    </w:p>
    <w:p w14:paraId="647FB1F6">
      <w:pPr>
        <w:snapToGrid w:val="0"/>
        <w:spacing w:line="360" w:lineRule="auto"/>
        <w:ind w:left="120" w:leftChars="57" w:firstLine="482" w:firstLineChars="150"/>
        <w:jc w:val="center"/>
        <w:rPr>
          <w:rFonts w:hint="eastAsia" w:ascii="仿宋" w:hAnsi="仿宋" w:eastAsia="仿宋" w:cs="仿宋"/>
          <w:b/>
          <w:color w:val="auto"/>
          <w:sz w:val="24"/>
          <w:szCs w:val="24"/>
        </w:rPr>
      </w:pPr>
      <w:r>
        <w:rPr>
          <w:rFonts w:hint="eastAsia" w:ascii="仿宋" w:hAnsi="仿宋" w:eastAsia="仿宋" w:cs="仿宋"/>
          <w:b/>
          <w:color w:val="auto"/>
          <w:sz w:val="32"/>
          <w:szCs w:val="32"/>
        </w:rPr>
        <w:t>三、评标程序</w:t>
      </w:r>
    </w:p>
    <w:p w14:paraId="1C7E70C5">
      <w:pPr>
        <w:spacing w:line="360" w:lineRule="auto"/>
        <w:ind w:firstLine="482" w:firstLineChars="200"/>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3.1 符合性审查。</w:t>
      </w:r>
      <w:r>
        <w:rPr>
          <w:rFonts w:hint="eastAsia" w:ascii="仿宋" w:hAnsi="仿宋" w:eastAsia="仿宋" w:cs="仿宋"/>
          <w:color w:val="auto"/>
          <w:kern w:val="0"/>
          <w:sz w:val="24"/>
          <w:szCs w:val="24"/>
        </w:rPr>
        <w:t>评标委员会应当对符合资格的</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的投标文件进行符合性审查，以确定其是否满足招标文件的实质性要求。不满足招标文件的实质性要求的，投标无效。</w:t>
      </w:r>
    </w:p>
    <w:p w14:paraId="40065D21">
      <w:pPr>
        <w:spacing w:line="360" w:lineRule="auto"/>
        <w:ind w:firstLine="482" w:firstLineChars="200"/>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3.2 商务技术评审。</w:t>
      </w:r>
      <w:r>
        <w:rPr>
          <w:rFonts w:hint="eastAsia" w:ascii="仿宋" w:hAnsi="仿宋" w:eastAsia="仿宋" w:cs="仿宋"/>
          <w:color w:val="auto"/>
          <w:kern w:val="0"/>
          <w:sz w:val="24"/>
          <w:szCs w:val="24"/>
        </w:rPr>
        <w:t>评标委员会应当按照招标文件中规定的评标方法和标准，对符合性审查合格的投标文件进行商务和技术评估。</w:t>
      </w:r>
    </w:p>
    <w:p w14:paraId="2A1C2E27">
      <w:pPr>
        <w:spacing w:line="360" w:lineRule="auto"/>
        <w:ind w:firstLine="482" w:firstLineChars="200"/>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3.3 汇总商务技术得分。</w:t>
      </w:r>
      <w:r>
        <w:rPr>
          <w:rFonts w:hint="eastAsia" w:ascii="仿宋" w:hAnsi="仿宋" w:eastAsia="仿宋" w:cs="仿宋"/>
          <w:color w:val="auto"/>
          <w:kern w:val="0"/>
          <w:sz w:val="24"/>
          <w:szCs w:val="24"/>
        </w:rPr>
        <w:t>评标委员会各成员应当独立对每个</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的商务和技术文件进行评价，并汇总商务技术得分情况。</w:t>
      </w:r>
    </w:p>
    <w:p w14:paraId="36DDBE46">
      <w:pPr>
        <w:spacing w:line="360" w:lineRule="auto"/>
        <w:ind w:firstLine="482" w:firstLineChars="20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3.4 报价评审。</w:t>
      </w:r>
    </w:p>
    <w:p w14:paraId="04BA8DB2">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3.4.1投标文件报价出现前后不一致的，按照下列规定修正：</w:t>
      </w:r>
    </w:p>
    <w:p w14:paraId="0132D6E2">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3.4.1.1电子交易平台生成的开标记录表(报价表)内容与投标文件中开标一览表(报价表)不一致的，以投标文件中开标一览表(报价表)为准；</w:t>
      </w:r>
    </w:p>
    <w:p w14:paraId="705A3C89">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3.4.1.2投标文件中开标一览表(报价表)内容与投标文件中相应内容不一致的，以开标一览表(报价表)为准；</w:t>
      </w:r>
    </w:p>
    <w:p w14:paraId="36DCD4F4">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3.4.1.3 大写金额和小写金额不一致的，以大写金额为准;</w:t>
      </w:r>
    </w:p>
    <w:p w14:paraId="05E168EA">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3.4.1.4 单价金额小数点或者百分比有明显错位的，以开标一览表的总价为准，并修改单价;</w:t>
      </w:r>
    </w:p>
    <w:p w14:paraId="37F3A6DE">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3.4.1.5 总价金额与按单价汇总金额不一致的，以单价金额计算结果为准；</w:t>
      </w:r>
    </w:p>
    <w:p w14:paraId="7D116DD9">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3.4.1.6同时出现两种以上不一致的，按照3.4.1规定的顺序修正。修正后的报价按照财政部第87号令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确认后产生约束力。</w:t>
      </w:r>
    </w:p>
    <w:p w14:paraId="53977444">
      <w:pPr>
        <w:snapToGrid w:val="0"/>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3.4.2投标文件出现不是唯一的、有选择性投标报价的，投标无效。</w:t>
      </w:r>
    </w:p>
    <w:p w14:paraId="50775D01">
      <w:pPr>
        <w:snapToGrid w:val="0"/>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3.4.3投标报价超过招标文件中规定的预算金额或者最高限价的，投标无效。</w:t>
      </w:r>
    </w:p>
    <w:p w14:paraId="2222BA53">
      <w:pPr>
        <w:pStyle w:val="45"/>
        <w:spacing w:before="0"/>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3.4.4评标委员会认为</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的报价明显低于其他通过符合性审查</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的报价，有可能影响产品质量或者不能诚信履约的，应当要求其在30分钟内提供书面说明，必要时提交相关证明材料;</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不能证明其报价合理性的，评标委员会应当将其作为无效投标处理。</w:t>
      </w:r>
    </w:p>
    <w:p w14:paraId="54987865">
      <w:pPr>
        <w:spacing w:line="360" w:lineRule="auto"/>
        <w:ind w:firstLine="482" w:firstLineChars="200"/>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3.5编写评标报告。</w:t>
      </w:r>
      <w:r>
        <w:rPr>
          <w:rFonts w:hint="eastAsia" w:ascii="仿宋" w:hAnsi="仿宋" w:eastAsia="仿宋" w:cs="仿宋"/>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7A4ABD0">
      <w:pPr>
        <w:snapToGrid w:val="0"/>
        <w:spacing w:line="360" w:lineRule="auto"/>
        <w:ind w:left="120" w:leftChars="57" w:firstLine="482" w:firstLineChars="150"/>
        <w:jc w:val="center"/>
        <w:rPr>
          <w:rFonts w:hint="eastAsia" w:ascii="仿宋" w:hAnsi="仿宋" w:eastAsia="仿宋" w:cs="仿宋"/>
          <w:b/>
          <w:color w:val="auto"/>
          <w:sz w:val="24"/>
          <w:szCs w:val="24"/>
        </w:rPr>
      </w:pPr>
      <w:r>
        <w:rPr>
          <w:rFonts w:hint="eastAsia" w:ascii="仿宋" w:hAnsi="仿宋" w:eastAsia="仿宋" w:cs="仿宋"/>
          <w:b/>
          <w:color w:val="auto"/>
          <w:sz w:val="32"/>
          <w:szCs w:val="32"/>
        </w:rPr>
        <w:t>四、评标中的其他事项</w:t>
      </w:r>
    </w:p>
    <w:p w14:paraId="6E1465E9">
      <w:pPr>
        <w:pStyle w:val="45"/>
        <w:spacing w:before="0"/>
        <w:ind w:firstLine="482"/>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4.1投标澄清、说明或者补正。</w:t>
      </w:r>
      <w:r>
        <w:rPr>
          <w:rFonts w:hint="eastAsia" w:ascii="仿宋" w:hAnsi="仿宋" w:eastAsia="仿宋" w:cs="仿宋"/>
          <w:color w:val="auto"/>
          <w:kern w:val="0"/>
          <w:sz w:val="24"/>
          <w:szCs w:val="24"/>
        </w:rPr>
        <w:t>对于投标文件中含义不明确、同类问题表述不一致或者有明显文字和计算错误的内容需要</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作出必要的澄清、说明或者补正的，评标委员会和</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通过电子交易平台交换数据电文，</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提交使用电子签名的相关数据电文或通过平台上传加盖公章的扫描件。给予</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提交澄清、说明或补正的时间不得少于半小时，</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已经明确表示澄清说明或补正完毕的除外。</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的澄清、说明或者补正不得超出投标文件的范围或者改变投标文件的实质性内容。</w:t>
      </w:r>
    </w:p>
    <w:p w14:paraId="6A49F77A">
      <w:pPr>
        <w:pStyle w:val="9"/>
        <w:spacing w:line="360" w:lineRule="auto"/>
        <w:ind w:firstLine="482"/>
        <w:rPr>
          <w:rFonts w:hint="eastAsia" w:ascii="仿宋" w:hAnsi="仿宋" w:eastAsia="仿宋" w:cs="仿宋"/>
          <w:color w:val="auto"/>
          <w:sz w:val="24"/>
          <w:szCs w:val="24"/>
        </w:rPr>
      </w:pPr>
      <w:r>
        <w:rPr>
          <w:rFonts w:hint="eastAsia" w:ascii="仿宋" w:hAnsi="仿宋" w:eastAsia="仿宋" w:cs="仿宋"/>
          <w:b/>
          <w:color w:val="auto"/>
          <w:kern w:val="0"/>
          <w:sz w:val="24"/>
          <w:szCs w:val="24"/>
        </w:rPr>
        <w:t>4.2投标无效的情形。</w:t>
      </w:r>
    </w:p>
    <w:p w14:paraId="268B62EB">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4.2.1 没有响应招标文件实质性要求的投标将被视为无效投标。</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不得通过修正或撤消不合要求的偏离或保留从而使其投标成为实质上响应的投标，但经评标委员会认定属于</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修改、补正投标文件后，不影响评标委员会对其投标文件所作的评价和评分结果。</w:t>
      </w:r>
    </w:p>
    <w:p w14:paraId="2755835E">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4.2.2 在电子开评标时，如发现下列情形之一的，将被视为无效投标文件：</w:t>
      </w:r>
    </w:p>
    <w:p w14:paraId="06FB2821">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4.2.2.1电子投标文件解密失败的；</w:t>
      </w:r>
    </w:p>
    <w:p w14:paraId="6897A28A">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4.2.2.2投标文件未按招标文件要求加密、签字、盖章的；（投标文件中加盖</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公章部分均须CA签章。）</w:t>
      </w:r>
    </w:p>
    <w:p w14:paraId="351E227F">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4.2.3 在资格审查、符合性审查和商务评审时，如发现下列情形之一的，将被视为无效投标文件：</w:t>
      </w:r>
    </w:p>
    <w:p w14:paraId="5609E61C">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4.2.3.1 资格证明文件不全的或者不符合招标文件标明的资格要求的；</w:t>
      </w:r>
    </w:p>
    <w:p w14:paraId="769DDC0D">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4.2.3.2 投标文件未按招标文件要求签署、盖章的；</w:t>
      </w:r>
    </w:p>
    <w:p w14:paraId="23479256">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4.2.3.3 投标文件格式不规范、项目不齐全或者内容虚假的；</w:t>
      </w:r>
    </w:p>
    <w:p w14:paraId="3BC64AAB">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4.2.3.4 投标文件的实质性内容未使用中文表述、意思表述不明确、前后矛盾或者使用计量单位不符合招标文件要求的（经评标委员会认定并允许其当场更正的笔误除外）；</w:t>
      </w:r>
    </w:p>
    <w:p w14:paraId="59BDED9E">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4.2.3.5 投标有效期、交货时间、质保期等商务条款不能满足招标文件要求的；</w:t>
      </w:r>
    </w:p>
    <w:p w14:paraId="19C894B0">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4.2.3.6 带“▲”的条款不能满足招标文件要求、未实质性响应招标文件要求或者投标文件有采购人不能接受的附加条件的；</w:t>
      </w:r>
    </w:p>
    <w:p w14:paraId="7321D6FD">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4.2.3.7 单位负责人为同一人或者存在直接控股、管理关系的不同供应商参加同一合同项下的政府采购活动的；</w:t>
      </w:r>
    </w:p>
    <w:p w14:paraId="677CA814">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4.2.3.8 为采购项目提供整体设计、规范编制或者项目管理、监理、检测等服务的供应商参加该采购项目的其他采购活动的；</w:t>
      </w:r>
    </w:p>
    <w:p w14:paraId="5942B2BA">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4.2.3.9 商务技术文件中出现本项目投标报价或单价的。</w:t>
      </w:r>
    </w:p>
    <w:p w14:paraId="71E3E6C1">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4.3.在技术评审时，如发现下列情形之一的，将被视为无效投标文件：</w:t>
      </w:r>
    </w:p>
    <w:p w14:paraId="021C7C03">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4.3.1未提供或未如实提供投标货物的技术参数，或者投标文件标明的响应或偏离与事实不符或虚假投标的；</w:t>
      </w:r>
    </w:p>
    <w:p w14:paraId="39954709">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4.3.2 明显不符合招标文件要求的规格型号、质量标准，或者与招标文件中标“▲”的技术指标、主要功能项目发生实质性偏离的；</w:t>
      </w:r>
    </w:p>
    <w:p w14:paraId="02B96AA3">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4.3.3 允许偏离的技术、性能指标或辅助功能项目发生负偏离</w:t>
      </w:r>
      <w:r>
        <w:rPr>
          <w:rFonts w:hint="eastAsia" w:ascii="仿宋" w:hAnsi="仿宋" w:eastAsia="仿宋" w:cs="仿宋"/>
          <w:color w:val="auto"/>
          <w:kern w:val="0"/>
          <w:sz w:val="24"/>
          <w:szCs w:val="24"/>
          <w:highlight w:val="none"/>
          <w:lang w:eastAsia="zh-CN"/>
        </w:rPr>
        <w:t>扣分达到</w:t>
      </w:r>
      <w:r>
        <w:rPr>
          <w:rFonts w:hint="eastAsia" w:ascii="仿宋" w:hAnsi="仿宋" w:eastAsia="仿宋" w:cs="仿宋"/>
          <w:color w:val="auto"/>
          <w:kern w:val="0"/>
          <w:sz w:val="24"/>
          <w:szCs w:val="24"/>
          <w:highlight w:val="none"/>
          <w:lang w:val="en-US" w:eastAsia="zh-CN"/>
        </w:rPr>
        <w:t>/分</w:t>
      </w:r>
      <w:r>
        <w:rPr>
          <w:rFonts w:hint="eastAsia" w:ascii="仿宋" w:hAnsi="仿宋" w:eastAsia="仿宋" w:cs="仿宋"/>
          <w:color w:val="auto"/>
          <w:kern w:val="0"/>
          <w:sz w:val="24"/>
          <w:szCs w:val="24"/>
          <w:highlight w:val="none"/>
        </w:rPr>
        <w:t>以上的；</w:t>
      </w:r>
    </w:p>
    <w:p w14:paraId="088AEE91">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4.3.4 投标技术方案不明确，存在一个或一个以上备选（替代）投标方案的；</w:t>
      </w:r>
    </w:p>
    <w:p w14:paraId="1BE3C36B">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4.3.5 与其他参加本次投标</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的投标文件（技术文件）的文字表述内容差错相同2处以上的；</w:t>
      </w:r>
    </w:p>
    <w:p w14:paraId="0FA70038">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rPr>
      </w:pPr>
      <w:r>
        <w:rPr>
          <w:rFonts w:hint="eastAsia" w:ascii="仿宋" w:hAnsi="仿宋" w:eastAsia="仿宋" w:cs="仿宋"/>
          <w:kern w:val="0"/>
          <w:sz w:val="24"/>
          <w:szCs w:val="24"/>
          <w:lang w:val="en-US" w:eastAsia="zh-CN" w:bidi="ar-SA"/>
        </w:rPr>
        <w:t>4.3.6 采购人拟采购的产品属于政府强制采购的节能产品品目清单范围的，</w:t>
      </w:r>
      <w:r>
        <w:rPr>
          <w:rFonts w:hint="eastAsia" w:ascii="仿宋" w:hAnsi="仿宋" w:eastAsia="仿宋" w:cs="仿宋"/>
          <w:kern w:val="0"/>
          <w:sz w:val="24"/>
          <w:lang w:val="zh-CN"/>
        </w:rPr>
        <w:t>供应商</w:t>
      </w:r>
      <w:r>
        <w:rPr>
          <w:rFonts w:hint="eastAsia" w:ascii="仿宋" w:hAnsi="仿宋" w:eastAsia="仿宋" w:cs="仿宋"/>
          <w:kern w:val="0"/>
          <w:sz w:val="24"/>
          <w:szCs w:val="24"/>
          <w:lang w:val="en-US" w:eastAsia="zh-CN" w:bidi="ar-SA"/>
        </w:rPr>
        <w:t>未按招标文件要求提供国家确定的认证机构出具的、处于有效期之内的节能产品认证证书的。</w:t>
      </w:r>
    </w:p>
    <w:p w14:paraId="2C366560">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4.4 在报价评审时，如发现下列情形之一的，投标文件将被视为无效：</w:t>
      </w:r>
    </w:p>
    <w:p w14:paraId="1EEC0F6A">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4.4.1 未采用人民币报价或者未按照招标文件标明的币种报价的；</w:t>
      </w:r>
    </w:p>
    <w:p w14:paraId="65039F1F">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4.4.2 报价超出最高限价，或者超出采购预算金额的；</w:t>
      </w:r>
    </w:p>
    <w:p w14:paraId="3A1DCF8F">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4.4.3 投标报价具有选择性的；</w:t>
      </w:r>
    </w:p>
    <w:p w14:paraId="7369047E">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4.4.4 投标报价中出现缺项、漏项或被评标委员会认定为有可能影响产品质量或者不能诚信履约的且不能在合理的时间内证明其报价合理性的；</w:t>
      </w:r>
    </w:p>
    <w:p w14:paraId="4BDAF179">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4.4.5供应商对根据修正原则修正后的报价不确认的。</w:t>
      </w:r>
    </w:p>
    <w:p w14:paraId="232F7EED">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4.5其他无效情形：</w:t>
      </w:r>
    </w:p>
    <w:p w14:paraId="1A7BAE12">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4.5.1 不同</w:t>
      </w:r>
      <w:r>
        <w:rPr>
          <w:rFonts w:hint="eastAsia" w:ascii="仿宋" w:hAnsi="仿宋" w:eastAsia="仿宋" w:cs="仿宋"/>
          <w:color w:val="auto"/>
          <w:kern w:val="0"/>
          <w:sz w:val="24"/>
          <w:szCs w:val="24"/>
          <w:lang w:val="zh-CN"/>
        </w:rPr>
        <w:t>供应商</w:t>
      </w:r>
      <w:r>
        <w:rPr>
          <w:rFonts w:hint="eastAsia" w:ascii="仿宋" w:hAnsi="仿宋" w:eastAsia="仿宋" w:cs="仿宋"/>
          <w:color w:val="auto"/>
          <w:kern w:val="0"/>
          <w:sz w:val="24"/>
          <w:szCs w:val="24"/>
        </w:rPr>
        <w:t>的投标文件出自同一终端设备或在相同Internet主机分配地址（相同IP地址）进行网上报名、投标的；</w:t>
      </w:r>
    </w:p>
    <w:p w14:paraId="77C7CC6D">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4.5.2 法律、法规、规章（适用本市的）及省级以上规范性文件（适用本市的）规定的其他无效情形。</w:t>
      </w:r>
    </w:p>
    <w:p w14:paraId="5724D584">
      <w:pPr>
        <w:pStyle w:val="9"/>
        <w:keepNext w:val="0"/>
        <w:keepLines w:val="0"/>
        <w:pageBreakBefore w:val="0"/>
        <w:widowControl w:val="0"/>
        <w:kinsoku/>
        <w:wordWrap/>
        <w:overflowPunct/>
        <w:topLinePunct w:val="0"/>
        <w:autoSpaceDE/>
        <w:autoSpaceDN/>
        <w:bidi w:val="0"/>
        <w:snapToGrid w:val="0"/>
        <w:spacing w:line="336" w:lineRule="auto"/>
        <w:ind w:firstLine="482"/>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5.废标。</w:t>
      </w:r>
      <w:r>
        <w:rPr>
          <w:rFonts w:hint="eastAsia" w:ascii="仿宋" w:hAnsi="仿宋" w:eastAsia="仿宋" w:cs="仿宋"/>
          <w:color w:val="auto"/>
          <w:sz w:val="24"/>
          <w:szCs w:val="24"/>
        </w:rPr>
        <w:t>根据《中华人民共和国政府采购法》第三十六条之规定，在采购中，出现下列情形之一的，应予废标：</w:t>
      </w:r>
    </w:p>
    <w:p w14:paraId="0B019670">
      <w:pPr>
        <w:pStyle w:val="9"/>
        <w:keepNext w:val="0"/>
        <w:keepLines w:val="0"/>
        <w:pageBreakBefore w:val="0"/>
        <w:widowControl w:val="0"/>
        <w:kinsoku/>
        <w:wordWrap/>
        <w:overflowPunct/>
        <w:topLinePunct w:val="0"/>
        <w:autoSpaceDE/>
        <w:autoSpaceDN/>
        <w:bidi w:val="0"/>
        <w:snapToGrid w:val="0"/>
        <w:spacing w:line="336"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5.1符合专业条件的供应商或者对招标文件作实质响应的供应商不足3家的；</w:t>
      </w:r>
    </w:p>
    <w:p w14:paraId="7068F168">
      <w:pPr>
        <w:pStyle w:val="9"/>
        <w:keepNext w:val="0"/>
        <w:keepLines w:val="0"/>
        <w:pageBreakBefore w:val="0"/>
        <w:widowControl w:val="0"/>
        <w:kinsoku/>
        <w:wordWrap/>
        <w:overflowPunct/>
        <w:topLinePunct w:val="0"/>
        <w:autoSpaceDE/>
        <w:autoSpaceDN/>
        <w:bidi w:val="0"/>
        <w:snapToGrid w:val="0"/>
        <w:spacing w:line="336"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5.2出现影响采购公正的违法、违规行为的；</w:t>
      </w:r>
    </w:p>
    <w:p w14:paraId="3A9802D0">
      <w:pPr>
        <w:pStyle w:val="9"/>
        <w:keepNext w:val="0"/>
        <w:keepLines w:val="0"/>
        <w:pageBreakBefore w:val="0"/>
        <w:widowControl w:val="0"/>
        <w:kinsoku/>
        <w:wordWrap/>
        <w:overflowPunct/>
        <w:topLinePunct w:val="0"/>
        <w:autoSpaceDE/>
        <w:autoSpaceDN/>
        <w:bidi w:val="0"/>
        <w:snapToGrid w:val="0"/>
        <w:spacing w:line="336"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w:t>
      </w:r>
      <w:r>
        <w:rPr>
          <w:rFonts w:hint="eastAsia" w:ascii="仿宋" w:hAnsi="仿宋" w:eastAsia="仿宋" w:cs="仿宋"/>
          <w:color w:val="auto"/>
          <w:kern w:val="0"/>
          <w:sz w:val="24"/>
          <w:szCs w:val="24"/>
          <w:lang w:val="zh-CN"/>
        </w:rPr>
        <w:t>供应商</w:t>
      </w:r>
      <w:r>
        <w:rPr>
          <w:rFonts w:hint="eastAsia" w:ascii="仿宋" w:hAnsi="仿宋" w:eastAsia="仿宋" w:cs="仿宋"/>
          <w:color w:val="auto"/>
          <w:sz w:val="24"/>
          <w:szCs w:val="24"/>
        </w:rPr>
        <w:t>的报价均超过了采购预算，采购人不能支付的；</w:t>
      </w:r>
    </w:p>
    <w:p w14:paraId="068C27A8">
      <w:pPr>
        <w:pStyle w:val="9"/>
        <w:keepNext w:val="0"/>
        <w:keepLines w:val="0"/>
        <w:pageBreakBefore w:val="0"/>
        <w:widowControl w:val="0"/>
        <w:kinsoku/>
        <w:wordWrap/>
        <w:overflowPunct/>
        <w:topLinePunct w:val="0"/>
        <w:autoSpaceDE/>
        <w:autoSpaceDN/>
        <w:bidi w:val="0"/>
        <w:snapToGrid w:val="0"/>
        <w:spacing w:line="336"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5.4因重大变故，采购任务取消的。</w:t>
      </w:r>
    </w:p>
    <w:p w14:paraId="102D0FBB">
      <w:pPr>
        <w:pStyle w:val="9"/>
        <w:keepNext w:val="0"/>
        <w:keepLines w:val="0"/>
        <w:pageBreakBefore w:val="0"/>
        <w:widowControl w:val="0"/>
        <w:kinsoku/>
        <w:wordWrap/>
        <w:overflowPunct/>
        <w:topLinePunct w:val="0"/>
        <w:autoSpaceDE/>
        <w:autoSpaceDN/>
        <w:bidi w:val="0"/>
        <w:snapToGrid w:val="0"/>
        <w:spacing w:line="336"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废标后，采购代理机构应当将废标理由通知所有</w:t>
      </w:r>
      <w:r>
        <w:rPr>
          <w:rFonts w:hint="eastAsia" w:ascii="仿宋" w:hAnsi="仿宋" w:eastAsia="仿宋" w:cs="仿宋"/>
          <w:color w:val="auto"/>
          <w:kern w:val="0"/>
          <w:sz w:val="24"/>
          <w:szCs w:val="24"/>
          <w:lang w:val="zh-CN"/>
        </w:rPr>
        <w:t>供应商</w:t>
      </w:r>
      <w:r>
        <w:rPr>
          <w:rFonts w:hint="eastAsia" w:ascii="仿宋" w:hAnsi="仿宋" w:eastAsia="仿宋" w:cs="仿宋"/>
          <w:color w:val="auto"/>
          <w:sz w:val="24"/>
          <w:szCs w:val="24"/>
        </w:rPr>
        <w:t>。</w:t>
      </w:r>
    </w:p>
    <w:p w14:paraId="46F30507">
      <w:pPr>
        <w:pStyle w:val="9"/>
        <w:keepNext w:val="0"/>
        <w:keepLines w:val="0"/>
        <w:pageBreakBefore w:val="0"/>
        <w:widowControl w:val="0"/>
        <w:kinsoku/>
        <w:wordWrap/>
        <w:overflowPunct/>
        <w:topLinePunct w:val="0"/>
        <w:autoSpaceDE/>
        <w:autoSpaceDN/>
        <w:bidi w:val="0"/>
        <w:snapToGrid w:val="0"/>
        <w:spacing w:line="336" w:lineRule="auto"/>
        <w:ind w:firstLine="482"/>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6.修改招标文件，重新组织采购活动。</w:t>
      </w:r>
      <w:r>
        <w:rPr>
          <w:rFonts w:hint="eastAsia" w:ascii="仿宋" w:hAnsi="仿宋" w:eastAsia="仿宋" w:cs="仿宋"/>
          <w:color w:val="auto"/>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89C6FA9">
      <w:pPr>
        <w:pStyle w:val="9"/>
        <w:keepNext w:val="0"/>
        <w:keepLines w:val="0"/>
        <w:pageBreakBefore w:val="0"/>
        <w:widowControl w:val="0"/>
        <w:kinsoku/>
        <w:wordWrap/>
        <w:overflowPunct/>
        <w:topLinePunct w:val="0"/>
        <w:autoSpaceDE/>
        <w:autoSpaceDN/>
        <w:bidi w:val="0"/>
        <w:adjustRightInd w:val="0"/>
        <w:snapToGrid w:val="0"/>
        <w:spacing w:line="336" w:lineRule="auto"/>
        <w:ind w:firstLine="482"/>
        <w:textAlignment w:val="auto"/>
        <w:rPr>
          <w:rFonts w:hint="eastAsia" w:ascii="仿宋" w:hAnsi="仿宋" w:eastAsia="仿宋" w:cs="仿宋"/>
          <w:color w:val="auto"/>
          <w:sz w:val="24"/>
          <w:szCs w:val="24"/>
        </w:rPr>
      </w:pPr>
      <w:r>
        <w:rPr>
          <w:rFonts w:hint="eastAsia" w:ascii="仿宋" w:hAnsi="仿宋" w:eastAsia="仿宋" w:cs="仿宋"/>
          <w:b/>
          <w:color w:val="auto"/>
          <w:kern w:val="0"/>
          <w:sz w:val="24"/>
          <w:szCs w:val="24"/>
        </w:rPr>
        <w:t>7.重新开展采购。</w:t>
      </w:r>
      <w:r>
        <w:rPr>
          <w:rFonts w:hint="eastAsia" w:ascii="仿宋" w:hAnsi="仿宋" w:eastAsia="仿宋" w:cs="仿宋"/>
          <w:color w:val="auto"/>
          <w:sz w:val="24"/>
          <w:szCs w:val="24"/>
        </w:rPr>
        <w:t>有政府采购法第七十一条、第七十二条规定的违法行为之一，影响或者可能影响中标、成交结果的，依照下列规定处理：</w:t>
      </w:r>
    </w:p>
    <w:p w14:paraId="3CEC4170">
      <w:pPr>
        <w:pStyle w:val="9"/>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7.1未确定中标或者中标人的，终止本次政府采购活动，重新开展政府采购活动。</w:t>
      </w:r>
    </w:p>
    <w:p w14:paraId="7E2B30B8">
      <w:pPr>
        <w:pStyle w:val="9"/>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7.2已确定中标或者中标人但尚未签订政府采购合同的，中标或者成交结果无效，重新开展政府采购活动。</w:t>
      </w:r>
    </w:p>
    <w:p w14:paraId="4DCE3981">
      <w:pPr>
        <w:pStyle w:val="9"/>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7.3政府采购合同已签订但尚未履行的，撤销合同，重新开展政府采购活动。</w:t>
      </w:r>
    </w:p>
    <w:p w14:paraId="3A32BB0F">
      <w:pPr>
        <w:pStyle w:val="9"/>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7.4政府采购合同已经履行，给采购人、供应商造成损失的，由责任人承担赔偿责任。</w:t>
      </w:r>
    </w:p>
    <w:p w14:paraId="0EDCEED4">
      <w:pPr>
        <w:pStyle w:val="9"/>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7.5政府采购当事人有其他违反政府采购法</w:t>
      </w:r>
      <w:r>
        <w:rPr>
          <w:rFonts w:hint="eastAsia" w:ascii="仿宋" w:hAnsi="仿宋" w:eastAsia="仿宋" w:cs="仿宋"/>
          <w:color w:val="auto"/>
          <w:kern w:val="0"/>
          <w:sz w:val="24"/>
          <w:szCs w:val="24"/>
        </w:rPr>
        <w:t>或者政府采购法实施条例等法律法规规定</w:t>
      </w:r>
      <w:r>
        <w:rPr>
          <w:rFonts w:hint="eastAsia" w:ascii="仿宋" w:hAnsi="仿宋" w:eastAsia="仿宋" w:cs="仿宋"/>
          <w:color w:val="auto"/>
          <w:sz w:val="24"/>
          <w:szCs w:val="24"/>
        </w:rPr>
        <w:t>的行为，经改正后仍然影响或者可能影响中标、成交结果或者依法被认定为中标、成交无效的，依照7.1-7.4规定处理。</w:t>
      </w:r>
    </w:p>
    <w:p w14:paraId="37E03CBE">
      <w:pPr>
        <w:spacing w:line="360" w:lineRule="auto"/>
        <w:rPr>
          <w:rFonts w:hint="eastAsia" w:ascii="仿宋" w:hAnsi="仿宋" w:eastAsia="仿宋" w:cs="仿宋"/>
          <w:b/>
          <w:color w:val="auto"/>
          <w:sz w:val="24"/>
          <w:szCs w:val="24"/>
        </w:rPr>
      </w:pPr>
    </w:p>
    <w:p w14:paraId="389CDFEA">
      <w:pPr>
        <w:pStyle w:val="9"/>
        <w:numPr>
          <w:ilvl w:val="0"/>
          <w:numId w:val="0"/>
        </w:numPr>
        <w:adjustRightInd w:val="0"/>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r>
        <w:rPr>
          <w:rFonts w:hint="eastAsia" w:ascii="仿宋" w:hAnsi="仿宋" w:eastAsia="仿宋" w:cs="仿宋"/>
          <w:b/>
          <w:color w:val="auto"/>
          <w:sz w:val="32"/>
          <w:szCs w:val="32"/>
          <w:lang w:val="en-US" w:eastAsia="zh-CN"/>
        </w:rPr>
        <w:t>第五部分</w:t>
      </w:r>
      <w:r>
        <w:rPr>
          <w:rFonts w:hint="eastAsia" w:ascii="仿宋" w:hAnsi="仿宋" w:eastAsia="仿宋" w:cs="仿宋"/>
          <w:b/>
          <w:color w:val="auto"/>
          <w:sz w:val="32"/>
          <w:szCs w:val="32"/>
        </w:rPr>
        <w:t>拟签订的合同文本</w:t>
      </w:r>
    </w:p>
    <w:p w14:paraId="39D1F847">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合同编号：</w:t>
      </w:r>
      <w:r>
        <w:rPr>
          <w:rFonts w:hint="eastAsia" w:ascii="宋体" w:hAnsi="宋体" w:eastAsia="宋体" w:cs="宋体"/>
          <w:color w:val="auto"/>
          <w:sz w:val="24"/>
          <w:szCs w:val="24"/>
          <w:u w:val="single"/>
        </w:rPr>
        <w:t xml:space="preserve">           </w:t>
      </w:r>
    </w:p>
    <w:p w14:paraId="2D95123D">
      <w:pPr>
        <w:spacing w:line="360" w:lineRule="auto"/>
        <w:jc w:val="center"/>
        <w:rPr>
          <w:rFonts w:hint="eastAsia" w:ascii="宋体" w:hAnsi="宋体" w:eastAsia="宋体" w:cs="宋体"/>
          <w:b/>
          <w:color w:val="auto"/>
          <w:sz w:val="24"/>
          <w:szCs w:val="24"/>
        </w:rPr>
      </w:pPr>
    </w:p>
    <w:p w14:paraId="6BA467CD">
      <w:pPr>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w:t>
      </w:r>
      <w:r>
        <w:rPr>
          <w:rFonts w:hint="eastAsia" w:ascii="仿宋" w:hAnsi="仿宋" w:eastAsia="仿宋" w:cs="仿宋"/>
          <w:b/>
          <w:color w:val="auto"/>
          <w:sz w:val="36"/>
          <w:szCs w:val="36"/>
          <w:lang w:eastAsia="zh-CN"/>
        </w:rPr>
        <w:t>文本</w:t>
      </w:r>
    </w:p>
    <w:p w14:paraId="60D3FC4F">
      <w:pPr>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（货物类）</w:t>
      </w:r>
    </w:p>
    <w:p w14:paraId="3656343A">
      <w:pPr>
        <w:pStyle w:val="46"/>
        <w:spacing w:line="360" w:lineRule="auto"/>
        <w:ind w:left="0" w:leftChars="0" w:firstLine="0" w:firstLineChars="0"/>
        <w:rPr>
          <w:rFonts w:hint="eastAsia" w:ascii="仿宋" w:hAnsi="仿宋" w:eastAsia="仿宋" w:cs="仿宋"/>
          <w:color w:val="auto"/>
          <w:szCs w:val="24"/>
        </w:rPr>
      </w:pPr>
    </w:p>
    <w:p w14:paraId="5FB0D1CE">
      <w:pPr>
        <w:pStyle w:val="46"/>
        <w:spacing w:line="360" w:lineRule="auto"/>
        <w:rPr>
          <w:rFonts w:hint="eastAsia" w:ascii="仿宋" w:hAnsi="仿宋" w:eastAsia="仿宋" w:cs="仿宋"/>
          <w:color w:val="auto"/>
          <w:szCs w:val="24"/>
        </w:rPr>
      </w:pPr>
    </w:p>
    <w:p w14:paraId="11362743">
      <w:pPr>
        <w:spacing w:before="120" w:line="360" w:lineRule="auto"/>
        <w:rPr>
          <w:rFonts w:hint="eastAsia" w:ascii="仿宋" w:hAnsi="仿宋" w:eastAsia="仿宋" w:cs="仿宋"/>
          <w:color w:val="auto"/>
          <w:sz w:val="24"/>
        </w:rPr>
      </w:pPr>
    </w:p>
    <w:p w14:paraId="47E51E73">
      <w:pPr>
        <w:spacing w:before="120" w:line="360" w:lineRule="auto"/>
        <w:ind w:left="960" w:firstLine="720" w:firstLineChars="30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7A4A08B0">
      <w:pPr>
        <w:pStyle w:val="38"/>
        <w:spacing w:before="120" w:line="360" w:lineRule="auto"/>
        <w:rPr>
          <w:rFonts w:hint="eastAsia" w:ascii="仿宋" w:hAnsi="仿宋" w:eastAsia="仿宋" w:cs="仿宋"/>
          <w:color w:val="auto"/>
          <w:szCs w:val="24"/>
        </w:rPr>
      </w:pPr>
    </w:p>
    <w:p w14:paraId="25F88BDB">
      <w:pPr>
        <w:pStyle w:val="38"/>
        <w:spacing w:before="120" w:line="360" w:lineRule="auto"/>
        <w:rPr>
          <w:rFonts w:hint="eastAsia" w:ascii="仿宋" w:hAnsi="仿宋" w:eastAsia="仿宋" w:cs="仿宋"/>
          <w:color w:val="auto"/>
          <w:szCs w:val="24"/>
        </w:rPr>
      </w:pPr>
    </w:p>
    <w:p w14:paraId="3E136D5D">
      <w:pPr>
        <w:spacing w:line="360" w:lineRule="auto"/>
        <w:rPr>
          <w:rFonts w:hint="eastAsia" w:ascii="仿宋" w:hAnsi="仿宋" w:eastAsia="仿宋" w:cs="仿宋"/>
          <w:color w:val="auto"/>
          <w:sz w:val="24"/>
        </w:rPr>
      </w:pPr>
    </w:p>
    <w:p w14:paraId="2264C087">
      <w:pPr>
        <w:spacing w:before="120" w:line="480" w:lineRule="auto"/>
        <w:ind w:left="960" w:firstLine="720" w:firstLineChars="300"/>
        <w:rPr>
          <w:rFonts w:hint="eastAsia" w:ascii="仿宋" w:hAnsi="仿宋" w:eastAsia="仿宋" w:cs="仿宋"/>
          <w:color w:val="auto"/>
          <w:sz w:val="24"/>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3683AA4C">
      <w:pPr>
        <w:spacing w:before="120" w:line="480" w:lineRule="auto"/>
        <w:ind w:left="960" w:firstLine="720" w:firstLineChars="300"/>
        <w:rPr>
          <w:rFonts w:hint="eastAsia" w:ascii="仿宋" w:hAnsi="仿宋" w:eastAsia="仿宋" w:cs="仿宋"/>
          <w:color w:val="auto"/>
          <w:sz w:val="24"/>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04871279">
      <w:pPr>
        <w:spacing w:before="120" w:line="480" w:lineRule="auto"/>
        <w:ind w:firstLine="1680" w:firstLineChars="700"/>
        <w:rPr>
          <w:rFonts w:hint="eastAsia" w:ascii="仿宋" w:hAnsi="仿宋" w:eastAsia="仿宋" w:cs="仿宋"/>
          <w:color w:val="auto"/>
          <w:sz w:val="24"/>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3BFD2E1A">
      <w:pPr>
        <w:spacing w:before="120" w:line="480" w:lineRule="auto"/>
        <w:ind w:firstLine="1680" w:firstLineChars="700"/>
        <w:rPr>
          <w:rFonts w:hint="eastAsia" w:ascii="仿宋" w:hAnsi="仿宋" w:eastAsia="仿宋" w:cs="仿宋"/>
          <w:color w:val="auto"/>
          <w:sz w:val="24"/>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3FAE4003">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u w:val="single"/>
          <w:lang w:val="zh-CN"/>
        </w:rPr>
        <w:br w:type="page"/>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u w:val="single"/>
          <w:lang w:val="zh-CN"/>
        </w:rPr>
        <w:t xml:space="preserve">   （采购人）   </w:t>
      </w:r>
      <w:r>
        <w:rPr>
          <w:rFonts w:hint="eastAsia" w:ascii="仿宋" w:hAnsi="仿宋" w:eastAsia="仿宋" w:cs="仿宋"/>
          <w:color w:val="auto"/>
          <w:sz w:val="24"/>
          <w:lang w:val="zh-CN"/>
        </w:rPr>
        <w:t>以</w:t>
      </w:r>
      <w:r>
        <w:rPr>
          <w:rFonts w:hint="eastAsia" w:ascii="仿宋" w:hAnsi="仿宋" w:eastAsia="仿宋" w:cs="仿宋"/>
          <w:color w:val="auto"/>
          <w:sz w:val="24"/>
          <w:u w:val="single"/>
          <w:lang w:val="zh-CN"/>
        </w:rPr>
        <w:t xml:space="preserve">   （政府采购方式）  </w:t>
      </w:r>
      <w:r>
        <w:rPr>
          <w:rFonts w:hint="eastAsia" w:ascii="仿宋" w:hAnsi="仿宋" w:eastAsia="仿宋" w:cs="仿宋"/>
          <w:color w:val="auto"/>
          <w:sz w:val="24"/>
          <w:lang w:val="zh-CN"/>
        </w:rPr>
        <w:t>对</w:t>
      </w:r>
      <w:r>
        <w:rPr>
          <w:rFonts w:hint="eastAsia" w:ascii="仿宋" w:hAnsi="仿宋" w:eastAsia="仿宋" w:cs="仿宋"/>
          <w:color w:val="auto"/>
          <w:sz w:val="24"/>
          <w:u w:val="single"/>
          <w:lang w:val="zh-CN"/>
        </w:rPr>
        <w:t xml:space="preserve">   （同前页项目名称）   </w:t>
      </w:r>
      <w:r>
        <w:rPr>
          <w:rFonts w:hint="eastAsia" w:ascii="仿宋" w:hAnsi="仿宋" w:eastAsia="仿宋" w:cs="仿宋"/>
          <w:color w:val="auto"/>
          <w:sz w:val="24"/>
          <w:lang w:val="zh-CN"/>
        </w:rPr>
        <w:t>项目进行了采购。经</w:t>
      </w:r>
      <w:r>
        <w:rPr>
          <w:rFonts w:hint="eastAsia" w:ascii="仿宋" w:hAnsi="仿宋" w:eastAsia="仿宋" w:cs="仿宋"/>
          <w:color w:val="auto"/>
          <w:sz w:val="24"/>
          <w:u w:val="single"/>
          <w:lang w:val="zh-CN"/>
        </w:rPr>
        <w:t xml:space="preserve">   （相关评定主体名称）   </w:t>
      </w:r>
      <w:r>
        <w:rPr>
          <w:rFonts w:hint="eastAsia" w:ascii="仿宋" w:hAnsi="仿宋" w:eastAsia="仿宋" w:cs="仿宋"/>
          <w:color w:val="auto"/>
          <w:sz w:val="24"/>
          <w:lang w:val="zh-CN"/>
        </w:rPr>
        <w:t>评定，</w:t>
      </w:r>
      <w:r>
        <w:rPr>
          <w:rFonts w:hint="eastAsia" w:ascii="仿宋" w:hAnsi="仿宋" w:eastAsia="仿宋" w:cs="仿宋"/>
          <w:color w:val="auto"/>
          <w:sz w:val="24"/>
          <w:u w:val="single"/>
          <w:lang w:val="zh-CN"/>
        </w:rPr>
        <w:t xml:space="preserve">   （中标供应商名称）</w:t>
      </w:r>
      <w:r>
        <w:rPr>
          <w:rFonts w:hint="eastAsia" w:ascii="仿宋" w:hAnsi="仿宋" w:eastAsia="仿宋" w:cs="仿宋"/>
          <w:color w:val="auto"/>
          <w:sz w:val="24"/>
          <w:lang w:val="zh-CN"/>
        </w:rPr>
        <w:t>为该项目中标供应商。现于中标通知书发出后，按照采购文件确定的事项签订本合同。</w:t>
      </w:r>
    </w:p>
    <w:p w14:paraId="67FE622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3685D7A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rPr>
        <w:t>1 定义</w:t>
      </w:r>
    </w:p>
    <w:p w14:paraId="54B2C85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14:paraId="7ECFB62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 “合同”系指采购人和中标供应商签订的载明双方当事人所达成的协议，并包括所有的附件、附录和构成合同的其他文件。</w:t>
      </w:r>
    </w:p>
    <w:p w14:paraId="465571E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 “合同价”系指根据合同约定，中标供应商在完全履行合同义务后，采购人应支付给中标供应商的价格。</w:t>
      </w:r>
    </w:p>
    <w:p w14:paraId="6014371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1.3 “货物”系指中标供应商根据合同约定应向采购人交付的一切各种形态和种类的物品，包括原材料、燃料、设备、机械、仪表、备件、计算机软件、产品等，并包括工具、手册等其他相关资料。</w:t>
      </w:r>
    </w:p>
    <w:p w14:paraId="1AEE0FD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1.4 “甲方”系指与中标供应商签署合同的采购人；采购人委托采购代理机构代表其与乙方签订合同的，采购人的授权委托书作为合同附件。</w:t>
      </w:r>
    </w:p>
    <w:p w14:paraId="536979C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7BF46E2">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1.6 “现场”系指合同约定货物将要运至或者安装的地点。</w:t>
      </w:r>
    </w:p>
    <w:p w14:paraId="5183829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 xml:space="preserve"> 合同组成部分</w:t>
      </w:r>
    </w:p>
    <w:p w14:paraId="75A5B22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w:t>
      </w:r>
      <w:r>
        <w:rPr>
          <w:rFonts w:hint="eastAsia" w:ascii="仿宋" w:hAnsi="仿宋" w:eastAsia="仿宋" w:cs="仿宋"/>
          <w:color w:val="auto"/>
          <w:sz w:val="24"/>
          <w:lang w:eastAsia="zh-CN"/>
        </w:rPr>
        <w:t>招标文件</w:t>
      </w:r>
      <w:r>
        <w:rPr>
          <w:rFonts w:hint="eastAsia" w:ascii="仿宋" w:hAnsi="仿宋" w:eastAsia="仿宋" w:cs="仿宋"/>
          <w:color w:val="auto"/>
          <w:sz w:val="24"/>
        </w:rPr>
        <w:t>确定的事项的前提下，组成本合同的多个文件的优先适用顺序如下：</w:t>
      </w:r>
    </w:p>
    <w:p w14:paraId="6F79508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.1 本合同及其补充合同、变更协议；</w:t>
      </w:r>
    </w:p>
    <w:p w14:paraId="2892AF2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.2 中标通知书；</w:t>
      </w:r>
    </w:p>
    <w:p w14:paraId="31CB8D4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.3 投标文件（含澄清或者说明文件）；</w:t>
      </w:r>
    </w:p>
    <w:p w14:paraId="1C25E16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.4 招标文件（含澄清或者修改文件）；</w:t>
      </w:r>
    </w:p>
    <w:p w14:paraId="67E0DF3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.5 其他相关采购文件。</w:t>
      </w:r>
    </w:p>
    <w:p w14:paraId="6B60C15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rPr>
      </w:pPr>
      <w:bookmarkStart w:id="410" w:name="_Toc21295"/>
      <w:bookmarkStart w:id="411" w:name="_Toc24300"/>
      <w:bookmarkStart w:id="412" w:name="_Toc27126"/>
      <w:r>
        <w:rPr>
          <w:rFonts w:hint="eastAsia" w:ascii="仿宋" w:hAnsi="仿宋" w:eastAsia="仿宋" w:cs="仿宋"/>
          <w:b/>
          <w:color w:val="auto"/>
          <w:sz w:val="24"/>
          <w:lang w:val="en-US" w:eastAsia="zh-CN"/>
        </w:rPr>
        <w:t>3</w:t>
      </w:r>
      <w:r>
        <w:rPr>
          <w:rFonts w:hint="eastAsia" w:ascii="仿宋" w:hAnsi="仿宋" w:eastAsia="仿宋" w:cs="仿宋"/>
          <w:b/>
          <w:color w:val="auto"/>
          <w:sz w:val="24"/>
        </w:rPr>
        <w:t xml:space="preserve"> 货物</w:t>
      </w:r>
      <w:bookmarkEnd w:id="410"/>
      <w:bookmarkEnd w:id="411"/>
      <w:bookmarkEnd w:id="412"/>
    </w:p>
    <w:tbl>
      <w:tblPr>
        <w:tblStyle w:val="23"/>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20"/>
        <w:gridCol w:w="925"/>
        <w:gridCol w:w="1245"/>
        <w:gridCol w:w="3461"/>
        <w:gridCol w:w="1186"/>
      </w:tblGrid>
      <w:tr w14:paraId="5F8B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156DB5C0">
            <w:pPr>
              <w:pStyle w:val="42"/>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60E4C34">
            <w:pPr>
              <w:pStyle w:val="42"/>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货物名称</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06B1F155">
            <w:pPr>
              <w:pStyle w:val="42"/>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数量</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E798E25">
            <w:pPr>
              <w:pStyle w:val="42"/>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品牌名称</w:t>
            </w:r>
          </w:p>
        </w:tc>
        <w:tc>
          <w:tcPr>
            <w:tcW w:w="3461" w:type="dxa"/>
            <w:tcBorders>
              <w:top w:val="single" w:color="auto" w:sz="4" w:space="0"/>
              <w:left w:val="single" w:color="auto" w:sz="4" w:space="0"/>
              <w:bottom w:val="single" w:color="auto" w:sz="4" w:space="0"/>
              <w:right w:val="single" w:color="auto" w:sz="4" w:space="0"/>
            </w:tcBorders>
            <w:noWrap w:val="0"/>
            <w:vAlign w:val="center"/>
          </w:tcPr>
          <w:p w14:paraId="7AD96E86">
            <w:pPr>
              <w:pStyle w:val="42"/>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规格型号</w:t>
            </w:r>
            <w:r>
              <w:rPr>
                <w:rFonts w:hint="eastAsia" w:ascii="仿宋" w:hAnsi="仿宋" w:eastAsia="仿宋" w:cs="仿宋"/>
                <w:color w:val="auto"/>
                <w:sz w:val="24"/>
                <w:szCs w:val="24"/>
                <w:lang w:val="en-US" w:eastAsia="zh-CN"/>
              </w:rPr>
              <w:t>/技术要求/质量要求</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06B18EDE">
            <w:pPr>
              <w:pStyle w:val="42"/>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原产地</w:t>
            </w:r>
          </w:p>
        </w:tc>
      </w:tr>
      <w:tr w14:paraId="3E55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6C43DF6B">
            <w:pPr>
              <w:pStyle w:val="42"/>
              <w:spacing w:line="360" w:lineRule="auto"/>
              <w:ind w:firstLine="200"/>
              <w:jc w:val="center"/>
              <w:rPr>
                <w:rFonts w:hint="eastAsia" w:ascii="仿宋" w:hAnsi="仿宋" w:eastAsia="仿宋" w:cs="仿宋"/>
                <w:color w:val="auto"/>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FC9C0F6">
            <w:pPr>
              <w:pStyle w:val="42"/>
              <w:spacing w:line="360" w:lineRule="auto"/>
              <w:ind w:firstLine="200"/>
              <w:jc w:val="center"/>
              <w:rPr>
                <w:rFonts w:hint="eastAsia" w:ascii="仿宋" w:hAnsi="仿宋" w:eastAsia="仿宋" w:cs="仿宋"/>
                <w:color w:val="auto"/>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494D48CA">
            <w:pPr>
              <w:pStyle w:val="42"/>
              <w:spacing w:line="360" w:lineRule="auto"/>
              <w:ind w:firstLine="200"/>
              <w:jc w:val="center"/>
              <w:rPr>
                <w:rFonts w:hint="eastAsia" w:ascii="仿宋" w:hAnsi="仿宋" w:eastAsia="仿宋" w:cs="仿宋"/>
                <w:color w:val="auto"/>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B3AF22C">
            <w:pPr>
              <w:pStyle w:val="42"/>
              <w:spacing w:line="360" w:lineRule="auto"/>
              <w:ind w:firstLine="200"/>
              <w:jc w:val="center"/>
              <w:rPr>
                <w:rFonts w:hint="eastAsia" w:ascii="仿宋" w:hAnsi="仿宋" w:eastAsia="仿宋" w:cs="仿宋"/>
                <w:color w:val="auto"/>
                <w:sz w:val="24"/>
                <w:szCs w:val="24"/>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14:paraId="5CE15AD7">
            <w:pPr>
              <w:pStyle w:val="42"/>
              <w:spacing w:line="360" w:lineRule="auto"/>
              <w:ind w:firstLine="200"/>
              <w:jc w:val="center"/>
              <w:rPr>
                <w:rFonts w:hint="eastAsia" w:ascii="仿宋" w:hAnsi="仿宋" w:eastAsia="仿宋" w:cs="仿宋"/>
                <w:color w:val="auto"/>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6847101F">
            <w:pPr>
              <w:pStyle w:val="42"/>
              <w:spacing w:line="360" w:lineRule="auto"/>
              <w:ind w:firstLine="200"/>
              <w:jc w:val="center"/>
              <w:rPr>
                <w:rFonts w:hint="eastAsia" w:ascii="仿宋" w:hAnsi="仿宋" w:eastAsia="仿宋" w:cs="仿宋"/>
                <w:color w:val="auto"/>
                <w:sz w:val="24"/>
                <w:szCs w:val="24"/>
              </w:rPr>
            </w:pPr>
          </w:p>
        </w:tc>
      </w:tr>
      <w:tr w14:paraId="5F97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10A92293">
            <w:pPr>
              <w:pStyle w:val="42"/>
              <w:spacing w:line="360" w:lineRule="auto"/>
              <w:ind w:firstLine="200"/>
              <w:jc w:val="center"/>
              <w:rPr>
                <w:rFonts w:hint="eastAsia" w:ascii="仿宋" w:hAnsi="仿宋" w:eastAsia="仿宋" w:cs="仿宋"/>
                <w:color w:val="auto"/>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E952F85">
            <w:pPr>
              <w:pStyle w:val="42"/>
              <w:spacing w:line="360" w:lineRule="auto"/>
              <w:ind w:firstLine="200"/>
              <w:jc w:val="center"/>
              <w:rPr>
                <w:rFonts w:hint="eastAsia" w:ascii="仿宋" w:hAnsi="仿宋" w:eastAsia="仿宋" w:cs="仿宋"/>
                <w:color w:val="auto"/>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653ED574">
            <w:pPr>
              <w:pStyle w:val="42"/>
              <w:spacing w:line="360" w:lineRule="auto"/>
              <w:ind w:firstLine="200"/>
              <w:jc w:val="center"/>
              <w:rPr>
                <w:rFonts w:hint="eastAsia" w:ascii="仿宋" w:hAnsi="仿宋" w:eastAsia="仿宋" w:cs="仿宋"/>
                <w:color w:val="auto"/>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0C04BF0">
            <w:pPr>
              <w:pStyle w:val="42"/>
              <w:spacing w:line="360" w:lineRule="auto"/>
              <w:ind w:firstLine="200"/>
              <w:jc w:val="center"/>
              <w:rPr>
                <w:rFonts w:hint="eastAsia" w:ascii="仿宋" w:hAnsi="仿宋" w:eastAsia="仿宋" w:cs="仿宋"/>
                <w:color w:val="auto"/>
                <w:sz w:val="24"/>
                <w:szCs w:val="24"/>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14:paraId="00BB3112">
            <w:pPr>
              <w:pStyle w:val="42"/>
              <w:spacing w:line="360" w:lineRule="auto"/>
              <w:ind w:firstLine="200"/>
              <w:jc w:val="center"/>
              <w:rPr>
                <w:rFonts w:hint="eastAsia" w:ascii="仿宋" w:hAnsi="仿宋" w:eastAsia="仿宋" w:cs="仿宋"/>
                <w:color w:val="auto"/>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3544FEB1">
            <w:pPr>
              <w:pStyle w:val="42"/>
              <w:spacing w:line="360" w:lineRule="auto"/>
              <w:ind w:firstLine="200"/>
              <w:jc w:val="center"/>
              <w:rPr>
                <w:rFonts w:hint="eastAsia" w:ascii="仿宋" w:hAnsi="仿宋" w:eastAsia="仿宋" w:cs="仿宋"/>
                <w:color w:val="auto"/>
                <w:sz w:val="24"/>
                <w:szCs w:val="24"/>
              </w:rPr>
            </w:pPr>
          </w:p>
        </w:tc>
      </w:tr>
      <w:tr w14:paraId="148B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2E187D41">
            <w:pPr>
              <w:pStyle w:val="42"/>
              <w:spacing w:line="360" w:lineRule="auto"/>
              <w:ind w:firstLine="200"/>
              <w:jc w:val="center"/>
              <w:rPr>
                <w:rFonts w:hint="eastAsia" w:ascii="仿宋" w:hAnsi="仿宋" w:eastAsia="仿宋" w:cs="仿宋"/>
                <w:color w:val="auto"/>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2AFDB45">
            <w:pPr>
              <w:pStyle w:val="42"/>
              <w:spacing w:line="360" w:lineRule="auto"/>
              <w:ind w:firstLine="200"/>
              <w:jc w:val="center"/>
              <w:rPr>
                <w:rFonts w:hint="eastAsia" w:ascii="仿宋" w:hAnsi="仿宋" w:eastAsia="仿宋" w:cs="仿宋"/>
                <w:color w:val="auto"/>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6AA614DF">
            <w:pPr>
              <w:pStyle w:val="42"/>
              <w:spacing w:line="360" w:lineRule="auto"/>
              <w:ind w:firstLine="200"/>
              <w:jc w:val="center"/>
              <w:rPr>
                <w:rFonts w:hint="eastAsia" w:ascii="仿宋" w:hAnsi="仿宋" w:eastAsia="仿宋" w:cs="仿宋"/>
                <w:color w:val="auto"/>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C1944BE">
            <w:pPr>
              <w:pStyle w:val="42"/>
              <w:spacing w:line="360" w:lineRule="auto"/>
              <w:ind w:firstLine="200"/>
              <w:jc w:val="center"/>
              <w:rPr>
                <w:rFonts w:hint="eastAsia" w:ascii="仿宋" w:hAnsi="仿宋" w:eastAsia="仿宋" w:cs="仿宋"/>
                <w:color w:val="auto"/>
                <w:sz w:val="24"/>
                <w:szCs w:val="24"/>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14:paraId="7867C518">
            <w:pPr>
              <w:pStyle w:val="42"/>
              <w:spacing w:line="360" w:lineRule="auto"/>
              <w:ind w:firstLine="200"/>
              <w:jc w:val="center"/>
              <w:rPr>
                <w:rFonts w:hint="eastAsia" w:ascii="仿宋" w:hAnsi="仿宋" w:eastAsia="仿宋" w:cs="仿宋"/>
                <w:color w:val="auto"/>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03F33B47">
            <w:pPr>
              <w:pStyle w:val="42"/>
              <w:spacing w:line="360" w:lineRule="auto"/>
              <w:ind w:firstLine="200"/>
              <w:jc w:val="center"/>
              <w:rPr>
                <w:rFonts w:hint="eastAsia" w:ascii="仿宋" w:hAnsi="仿宋" w:eastAsia="仿宋" w:cs="仿宋"/>
                <w:color w:val="auto"/>
                <w:sz w:val="24"/>
                <w:szCs w:val="24"/>
              </w:rPr>
            </w:pPr>
          </w:p>
        </w:tc>
      </w:tr>
      <w:tr w14:paraId="7073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59123F37">
            <w:pPr>
              <w:pStyle w:val="42"/>
              <w:spacing w:line="360" w:lineRule="auto"/>
              <w:ind w:firstLine="200"/>
              <w:jc w:val="center"/>
              <w:rPr>
                <w:rFonts w:hint="eastAsia" w:ascii="仿宋" w:hAnsi="仿宋" w:eastAsia="仿宋" w:cs="仿宋"/>
                <w:color w:val="auto"/>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8002E68">
            <w:pPr>
              <w:pStyle w:val="42"/>
              <w:spacing w:line="360" w:lineRule="auto"/>
              <w:ind w:firstLine="200"/>
              <w:jc w:val="center"/>
              <w:rPr>
                <w:rFonts w:hint="eastAsia" w:ascii="仿宋" w:hAnsi="仿宋" w:eastAsia="仿宋" w:cs="仿宋"/>
                <w:color w:val="auto"/>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39C38DC7">
            <w:pPr>
              <w:pStyle w:val="42"/>
              <w:spacing w:line="360" w:lineRule="auto"/>
              <w:ind w:firstLine="200"/>
              <w:jc w:val="center"/>
              <w:rPr>
                <w:rFonts w:hint="eastAsia" w:ascii="仿宋" w:hAnsi="仿宋" w:eastAsia="仿宋" w:cs="仿宋"/>
                <w:color w:val="auto"/>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3476E7A">
            <w:pPr>
              <w:pStyle w:val="42"/>
              <w:spacing w:line="360" w:lineRule="auto"/>
              <w:ind w:firstLine="200"/>
              <w:jc w:val="center"/>
              <w:rPr>
                <w:rFonts w:hint="eastAsia" w:ascii="仿宋" w:hAnsi="仿宋" w:eastAsia="仿宋" w:cs="仿宋"/>
                <w:color w:val="auto"/>
                <w:sz w:val="24"/>
                <w:szCs w:val="24"/>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14:paraId="568A1249">
            <w:pPr>
              <w:pStyle w:val="42"/>
              <w:spacing w:line="360" w:lineRule="auto"/>
              <w:ind w:firstLine="200"/>
              <w:jc w:val="center"/>
              <w:rPr>
                <w:rFonts w:hint="eastAsia" w:ascii="仿宋" w:hAnsi="仿宋" w:eastAsia="仿宋" w:cs="仿宋"/>
                <w:color w:val="auto"/>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42E74DDF">
            <w:pPr>
              <w:pStyle w:val="42"/>
              <w:spacing w:line="360" w:lineRule="auto"/>
              <w:ind w:firstLine="200"/>
              <w:jc w:val="center"/>
              <w:rPr>
                <w:rFonts w:hint="eastAsia" w:ascii="仿宋" w:hAnsi="仿宋" w:eastAsia="仿宋" w:cs="仿宋"/>
                <w:color w:val="auto"/>
                <w:sz w:val="24"/>
                <w:szCs w:val="24"/>
              </w:rPr>
            </w:pPr>
          </w:p>
        </w:tc>
      </w:tr>
    </w:tbl>
    <w:p w14:paraId="0754C960">
      <w:pPr>
        <w:pStyle w:val="30"/>
        <w:rPr>
          <w:rFonts w:hint="eastAsia"/>
          <w:color w:val="auto"/>
        </w:rPr>
      </w:pPr>
    </w:p>
    <w:p w14:paraId="2C50BB0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rPr>
      </w:pPr>
      <w:bookmarkStart w:id="413" w:name="_Toc21551"/>
      <w:bookmarkStart w:id="414" w:name="_Toc21631"/>
      <w:bookmarkStart w:id="415" w:name="_Toc23292"/>
      <w:r>
        <w:rPr>
          <w:rFonts w:hint="eastAsia" w:ascii="仿宋" w:hAnsi="仿宋" w:eastAsia="仿宋" w:cs="仿宋"/>
          <w:b/>
          <w:color w:val="auto"/>
          <w:sz w:val="24"/>
          <w:lang w:val="en-US" w:eastAsia="zh-CN"/>
        </w:rPr>
        <w:t>4</w:t>
      </w:r>
      <w:r>
        <w:rPr>
          <w:rFonts w:hint="eastAsia" w:ascii="仿宋" w:hAnsi="仿宋" w:eastAsia="仿宋" w:cs="仿宋"/>
          <w:b/>
          <w:color w:val="auto"/>
          <w:sz w:val="24"/>
        </w:rPr>
        <w:t xml:space="preserve"> 价款</w:t>
      </w:r>
      <w:bookmarkEnd w:id="413"/>
      <w:bookmarkEnd w:id="414"/>
      <w:bookmarkEnd w:id="415"/>
    </w:p>
    <w:p w14:paraId="6839B76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31D49A64">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2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E97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B5E8A9A">
            <w:pPr>
              <w:pStyle w:val="42"/>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19935D4">
            <w:pPr>
              <w:pStyle w:val="42"/>
              <w:spacing w:line="360" w:lineRule="auto"/>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E7004D9">
            <w:pPr>
              <w:pStyle w:val="42"/>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14:paraId="148A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DD540CF">
            <w:pPr>
              <w:pStyle w:val="42"/>
              <w:spacing w:line="360" w:lineRule="auto"/>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AE33D0F">
            <w:pPr>
              <w:pStyle w:val="42"/>
              <w:spacing w:line="360" w:lineRule="auto"/>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8FBF1F2">
            <w:pPr>
              <w:pStyle w:val="42"/>
              <w:spacing w:line="360" w:lineRule="auto"/>
              <w:ind w:firstLine="200"/>
              <w:jc w:val="center"/>
              <w:rPr>
                <w:rFonts w:hint="eastAsia" w:ascii="仿宋" w:hAnsi="仿宋" w:eastAsia="仿宋" w:cs="仿宋"/>
                <w:color w:val="auto"/>
                <w:sz w:val="24"/>
                <w:szCs w:val="24"/>
              </w:rPr>
            </w:pPr>
          </w:p>
        </w:tc>
      </w:tr>
      <w:tr w14:paraId="0D4A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17F6614">
            <w:pPr>
              <w:pStyle w:val="42"/>
              <w:spacing w:line="360" w:lineRule="auto"/>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6929F4A">
            <w:pPr>
              <w:pStyle w:val="42"/>
              <w:spacing w:line="360" w:lineRule="auto"/>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996735A">
            <w:pPr>
              <w:pStyle w:val="42"/>
              <w:spacing w:line="360" w:lineRule="auto"/>
              <w:ind w:firstLine="200"/>
              <w:jc w:val="center"/>
              <w:rPr>
                <w:rFonts w:hint="eastAsia" w:ascii="仿宋" w:hAnsi="仿宋" w:eastAsia="仿宋" w:cs="仿宋"/>
                <w:color w:val="auto"/>
                <w:sz w:val="24"/>
                <w:szCs w:val="24"/>
              </w:rPr>
            </w:pPr>
          </w:p>
        </w:tc>
      </w:tr>
      <w:tr w14:paraId="281B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A33CEFB">
            <w:pPr>
              <w:pStyle w:val="42"/>
              <w:spacing w:line="360" w:lineRule="auto"/>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90E51E9">
            <w:pPr>
              <w:pStyle w:val="42"/>
              <w:spacing w:line="360" w:lineRule="auto"/>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CDC2196">
            <w:pPr>
              <w:pStyle w:val="42"/>
              <w:spacing w:line="360" w:lineRule="auto"/>
              <w:ind w:firstLine="200"/>
              <w:jc w:val="center"/>
              <w:rPr>
                <w:rFonts w:hint="eastAsia" w:ascii="仿宋" w:hAnsi="仿宋" w:eastAsia="仿宋" w:cs="仿宋"/>
                <w:color w:val="auto"/>
                <w:sz w:val="24"/>
                <w:szCs w:val="24"/>
              </w:rPr>
            </w:pPr>
          </w:p>
        </w:tc>
      </w:tr>
      <w:tr w14:paraId="38C4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EA08567">
            <w:pPr>
              <w:pStyle w:val="42"/>
              <w:spacing w:line="360" w:lineRule="auto"/>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EDC3034">
            <w:pPr>
              <w:pStyle w:val="42"/>
              <w:spacing w:line="360" w:lineRule="auto"/>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F71B6CF">
            <w:pPr>
              <w:pStyle w:val="42"/>
              <w:spacing w:line="360" w:lineRule="auto"/>
              <w:ind w:firstLine="200"/>
              <w:jc w:val="center"/>
              <w:rPr>
                <w:rFonts w:hint="eastAsia" w:ascii="仿宋" w:hAnsi="仿宋" w:eastAsia="仿宋" w:cs="仿宋"/>
                <w:color w:val="auto"/>
                <w:sz w:val="24"/>
                <w:szCs w:val="24"/>
              </w:rPr>
            </w:pPr>
          </w:p>
        </w:tc>
      </w:tr>
      <w:tr w14:paraId="5858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5D20841C">
            <w:pPr>
              <w:pStyle w:val="42"/>
              <w:spacing w:line="360" w:lineRule="auto"/>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00DD773">
            <w:pPr>
              <w:pStyle w:val="42"/>
              <w:spacing w:line="360" w:lineRule="auto"/>
              <w:ind w:firstLine="200"/>
              <w:jc w:val="center"/>
              <w:rPr>
                <w:rFonts w:hint="eastAsia" w:ascii="仿宋" w:hAnsi="仿宋" w:eastAsia="仿宋" w:cs="仿宋"/>
                <w:color w:val="auto"/>
                <w:sz w:val="24"/>
                <w:szCs w:val="24"/>
              </w:rPr>
            </w:pPr>
          </w:p>
        </w:tc>
      </w:tr>
    </w:tbl>
    <w:p w14:paraId="1AAD6F9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rPr>
      </w:pPr>
      <w:bookmarkStart w:id="416" w:name="_Toc10340"/>
      <w:bookmarkStart w:id="417" w:name="_Toc22618"/>
      <w:bookmarkStart w:id="418" w:name="_Toc1814"/>
      <w:r>
        <w:rPr>
          <w:rFonts w:hint="eastAsia" w:ascii="仿宋" w:hAnsi="仿宋" w:eastAsia="仿宋" w:cs="仿宋"/>
          <w:b/>
          <w:color w:val="auto"/>
          <w:sz w:val="24"/>
          <w:lang w:val="en-US" w:eastAsia="zh-CN"/>
        </w:rPr>
        <w:t>5</w:t>
      </w:r>
      <w:r>
        <w:rPr>
          <w:rFonts w:hint="eastAsia" w:ascii="仿宋" w:hAnsi="仿宋" w:eastAsia="仿宋" w:cs="仿宋"/>
          <w:b/>
          <w:color w:val="auto"/>
          <w:sz w:val="24"/>
        </w:rPr>
        <w:t xml:space="preserve"> 付款</w:t>
      </w:r>
      <w:bookmarkEnd w:id="416"/>
      <w:bookmarkEnd w:id="417"/>
      <w:bookmarkEnd w:id="418"/>
      <w:r>
        <w:rPr>
          <w:rFonts w:hint="eastAsia" w:ascii="仿宋" w:hAnsi="仿宋" w:eastAsia="仿宋" w:cs="仿宋"/>
          <w:b/>
          <w:color w:val="auto"/>
          <w:sz w:val="24"/>
        </w:rPr>
        <w:t>方式、时间和条件</w:t>
      </w:r>
    </w:p>
    <w:p w14:paraId="01A190AF">
      <w:pPr>
        <w:pStyle w:val="41"/>
        <w:spacing w:before="0" w:beforeAutospacing="0" w:after="0" w:afterAutospacing="0" w:line="360" w:lineRule="auto"/>
        <w:ind w:firstLine="480"/>
        <w:rPr>
          <w:rFonts w:hint="eastAsia" w:ascii="仿宋" w:hAnsi="仿宋" w:eastAsia="仿宋" w:cs="仿宋"/>
          <w:b/>
          <w:bCs/>
          <w:i/>
          <w:iCs/>
          <w:color w:val="auto"/>
          <w:kern w:val="2"/>
          <w:sz w:val="24"/>
          <w:szCs w:val="24"/>
          <w:u w:val="single"/>
          <w:lang w:val="en-US" w:eastAsia="zh-CN" w:bidi="ar-SA"/>
        </w:rPr>
      </w:pPr>
      <w:bookmarkStart w:id="419" w:name="_Toc2846"/>
      <w:bookmarkStart w:id="420" w:name="_Toc19304"/>
      <w:bookmarkStart w:id="421" w:name="_Toc32071"/>
      <w:r>
        <w:rPr>
          <w:rFonts w:hint="eastAsia" w:ascii="仿宋" w:hAnsi="仿宋" w:eastAsia="仿宋" w:cs="仿宋"/>
          <w:color w:val="auto"/>
          <w:kern w:val="2"/>
          <w:sz w:val="24"/>
          <w:szCs w:val="24"/>
          <w:lang w:val="en-US" w:eastAsia="zh-CN" w:bidi="ar-SA"/>
        </w:rPr>
        <w:t>5.1 资金支付的方式、时间和条件：</w:t>
      </w:r>
      <w:r>
        <w:rPr>
          <w:rFonts w:hint="eastAsia" w:ascii="仿宋" w:hAnsi="仿宋" w:eastAsia="仿宋" w:cs="仿宋"/>
          <w:b/>
          <w:bCs/>
          <w:i/>
          <w:iCs/>
          <w:color w:val="auto"/>
          <w:kern w:val="2"/>
          <w:sz w:val="24"/>
          <w:szCs w:val="24"/>
          <w:u w:val="single"/>
          <w:lang w:val="en-US" w:eastAsia="zh-CN" w:bidi="ar-SA"/>
        </w:rPr>
        <w:t xml:space="preserve">                       </w:t>
      </w:r>
    </w:p>
    <w:p w14:paraId="5002EC23">
      <w:pPr>
        <w:pStyle w:val="41"/>
        <w:spacing w:before="0" w:beforeAutospacing="0" w:after="0" w:afterAutospacing="0" w:line="360" w:lineRule="auto"/>
        <w:ind w:firstLine="48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5.2 乙方收款账户：</w:t>
      </w:r>
    </w:p>
    <w:p w14:paraId="14E370B4">
      <w:pPr>
        <w:autoSpaceDE w:val="0"/>
        <w:autoSpaceDN w:val="0"/>
        <w:spacing w:line="360" w:lineRule="auto"/>
        <w:ind w:leftChars="700"/>
        <w:rPr>
          <w:rFonts w:hint="eastAsia" w:ascii="仿宋" w:hAnsi="仿宋" w:eastAsia="仿宋" w:cs="仿宋"/>
          <w:color w:val="auto"/>
          <w:sz w:val="24"/>
        </w:rPr>
      </w:pPr>
      <w:r>
        <w:rPr>
          <w:rFonts w:hint="eastAsia" w:ascii="仿宋" w:hAnsi="仿宋" w:eastAsia="仿宋" w:cs="仿宋"/>
          <w:color w:val="auto"/>
          <w:sz w:val="24"/>
        </w:rPr>
        <w:t>开户银行：</w:t>
      </w:r>
      <w:r>
        <w:rPr>
          <w:rFonts w:hint="eastAsia" w:ascii="仿宋" w:hAnsi="仿宋" w:eastAsia="仿宋" w:cs="仿宋"/>
          <w:b/>
          <w:bCs/>
          <w:i/>
          <w:iCs/>
          <w:color w:val="auto"/>
          <w:kern w:val="2"/>
          <w:sz w:val="24"/>
          <w:szCs w:val="24"/>
          <w:u w:val="single"/>
          <w:lang w:val="en-US" w:eastAsia="zh-CN" w:bidi="ar-SA"/>
        </w:rPr>
        <w:t xml:space="preserve">                          </w:t>
      </w:r>
      <w:r>
        <w:rPr>
          <w:rFonts w:hint="eastAsia" w:ascii="仿宋" w:hAnsi="仿宋" w:eastAsia="仿宋" w:cs="仿宋"/>
          <w:color w:val="auto"/>
          <w:sz w:val="24"/>
        </w:rPr>
        <w:t xml:space="preserve">                          </w:t>
      </w:r>
    </w:p>
    <w:p w14:paraId="2B2C361F">
      <w:pPr>
        <w:autoSpaceDE w:val="0"/>
        <w:autoSpaceDN w:val="0"/>
        <w:spacing w:line="360" w:lineRule="auto"/>
        <w:ind w:leftChars="700"/>
        <w:rPr>
          <w:rFonts w:hint="eastAsia" w:ascii="仿宋" w:hAnsi="仿宋" w:eastAsia="仿宋" w:cs="仿宋"/>
          <w:color w:val="auto"/>
          <w:sz w:val="24"/>
        </w:rPr>
      </w:pPr>
      <w:r>
        <w:rPr>
          <w:rFonts w:hint="eastAsia" w:ascii="仿宋" w:hAnsi="仿宋" w:eastAsia="仿宋" w:cs="仿宋"/>
          <w:color w:val="auto"/>
          <w:sz w:val="24"/>
        </w:rPr>
        <w:t>开户名称：</w:t>
      </w:r>
      <w:r>
        <w:rPr>
          <w:rFonts w:hint="eastAsia" w:ascii="仿宋" w:hAnsi="仿宋" w:eastAsia="仿宋" w:cs="仿宋"/>
          <w:b/>
          <w:bCs/>
          <w:i/>
          <w:iCs/>
          <w:color w:val="auto"/>
          <w:kern w:val="2"/>
          <w:sz w:val="24"/>
          <w:szCs w:val="24"/>
          <w:u w:val="single"/>
          <w:lang w:val="en-US" w:eastAsia="zh-CN" w:bidi="ar-SA"/>
        </w:rPr>
        <w:t xml:space="preserve">                          </w:t>
      </w:r>
      <w:r>
        <w:rPr>
          <w:rFonts w:hint="eastAsia" w:ascii="仿宋" w:hAnsi="仿宋" w:eastAsia="仿宋" w:cs="仿宋"/>
          <w:color w:val="auto"/>
          <w:sz w:val="24"/>
        </w:rPr>
        <w:t xml:space="preserve">                             </w:t>
      </w:r>
    </w:p>
    <w:p w14:paraId="6EA2430D">
      <w:pPr>
        <w:autoSpaceDE w:val="0"/>
        <w:autoSpaceDN w:val="0"/>
        <w:spacing w:line="360" w:lineRule="auto"/>
        <w:ind w:leftChars="700"/>
        <w:rPr>
          <w:rFonts w:hint="eastAsia" w:ascii="仿宋" w:hAnsi="仿宋" w:eastAsia="仿宋" w:cs="仿宋"/>
          <w:color w:val="auto"/>
          <w:sz w:val="24"/>
          <w:lang w:val="zh-CN"/>
        </w:rPr>
      </w:pPr>
      <w:r>
        <w:rPr>
          <w:rFonts w:hint="eastAsia" w:ascii="仿宋" w:hAnsi="仿宋" w:eastAsia="仿宋" w:cs="仿宋"/>
          <w:color w:val="auto"/>
          <w:sz w:val="24"/>
        </w:rPr>
        <w:t>开户账号：</w:t>
      </w:r>
      <w:r>
        <w:rPr>
          <w:rFonts w:hint="eastAsia" w:ascii="仿宋" w:hAnsi="仿宋" w:eastAsia="仿宋" w:cs="仿宋"/>
          <w:b/>
          <w:bCs/>
          <w:i/>
          <w:iCs/>
          <w:color w:val="auto"/>
          <w:kern w:val="2"/>
          <w:sz w:val="24"/>
          <w:szCs w:val="24"/>
          <w:u w:val="single"/>
          <w:lang w:val="en-US" w:eastAsia="zh-CN" w:bidi="ar-SA"/>
        </w:rPr>
        <w:t xml:space="preserve">                          </w:t>
      </w:r>
      <w:r>
        <w:rPr>
          <w:rFonts w:hint="eastAsia" w:ascii="仿宋" w:hAnsi="仿宋" w:eastAsia="仿宋" w:cs="仿宋"/>
          <w:color w:val="auto"/>
          <w:sz w:val="24"/>
          <w:lang w:val="zh-CN"/>
        </w:rPr>
        <w:t xml:space="preserve">      </w:t>
      </w:r>
    </w:p>
    <w:p w14:paraId="0E2F88B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6</w:t>
      </w:r>
      <w:r>
        <w:rPr>
          <w:rFonts w:hint="eastAsia" w:ascii="仿宋" w:hAnsi="仿宋" w:eastAsia="仿宋" w:cs="仿宋"/>
          <w:b/>
          <w:color w:val="auto"/>
          <w:sz w:val="24"/>
        </w:rPr>
        <w:t xml:space="preserve"> 货物交付期限、地点和方式</w:t>
      </w:r>
      <w:bookmarkEnd w:id="419"/>
      <w:bookmarkEnd w:id="420"/>
      <w:bookmarkEnd w:id="421"/>
    </w:p>
    <w:p w14:paraId="7DDE19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lang w:val="en-US" w:eastAsia="zh-CN"/>
        </w:rPr>
        <w:t>6</w:t>
      </w:r>
      <w:r>
        <w:rPr>
          <w:rFonts w:hint="eastAsia" w:ascii="仿宋" w:hAnsi="仿宋" w:eastAsia="仿宋" w:cs="仿宋"/>
          <w:color w:val="auto"/>
          <w:sz w:val="24"/>
        </w:rPr>
        <w:t>.1 交付期限：</w:t>
      </w:r>
      <w:r>
        <w:rPr>
          <w:rFonts w:hint="eastAsia" w:ascii="仿宋" w:hAnsi="仿宋" w:eastAsia="仿宋" w:cs="仿宋"/>
          <w:b/>
          <w:i/>
          <w:color w:val="auto"/>
          <w:u w:val="single"/>
          <w:lang w:val="en-US" w:eastAsia="zh-CN"/>
        </w:rPr>
        <w:t xml:space="preserve">                   </w:t>
      </w:r>
    </w:p>
    <w:p w14:paraId="7634C30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.2 交付地点：</w:t>
      </w:r>
      <w:r>
        <w:rPr>
          <w:rFonts w:hint="eastAsia" w:ascii="仿宋" w:hAnsi="仿宋" w:eastAsia="仿宋" w:cs="仿宋"/>
          <w:b/>
          <w:i/>
          <w:color w:val="auto"/>
          <w:u w:val="single"/>
          <w:lang w:val="en-US" w:eastAsia="zh-CN"/>
        </w:rPr>
        <w:t xml:space="preserve">                   </w:t>
      </w:r>
    </w:p>
    <w:p w14:paraId="1E0B875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r>
        <w:rPr>
          <w:rFonts w:hint="eastAsia" w:ascii="仿宋" w:hAnsi="仿宋" w:eastAsia="仿宋" w:cs="仿宋"/>
          <w:color w:val="auto"/>
          <w:sz w:val="24"/>
          <w:lang w:eastAsia="zh-CN"/>
        </w:rPr>
        <w:t>.3 交付方式：</w:t>
      </w:r>
      <w:r>
        <w:rPr>
          <w:rFonts w:hint="eastAsia" w:ascii="仿宋" w:hAnsi="仿宋" w:eastAsia="仿宋" w:cs="仿宋"/>
          <w:b/>
          <w:i/>
          <w:color w:val="auto"/>
          <w:u w:val="single"/>
          <w:lang w:val="en-US" w:eastAsia="zh-CN"/>
        </w:rPr>
        <w:t xml:space="preserve">                   </w:t>
      </w:r>
      <w:r>
        <w:rPr>
          <w:rFonts w:hint="eastAsia" w:ascii="仿宋" w:hAnsi="仿宋" w:eastAsia="仿宋" w:cs="仿宋"/>
          <w:color w:val="auto"/>
          <w:sz w:val="24"/>
          <w:lang w:val="en-US" w:eastAsia="zh-CN"/>
        </w:rPr>
        <w:t xml:space="preserve">                   </w:t>
      </w:r>
    </w:p>
    <w:p w14:paraId="62F53ED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 xml:space="preserve"> 技术规范</w:t>
      </w:r>
    </w:p>
    <w:p w14:paraId="13078E3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货物所应遵守的技术规范应与</w:t>
      </w:r>
      <w:r>
        <w:rPr>
          <w:rFonts w:hint="eastAsia" w:ascii="仿宋" w:hAnsi="仿宋" w:eastAsia="仿宋" w:cs="仿宋"/>
          <w:color w:val="auto"/>
          <w:sz w:val="24"/>
          <w:lang w:eastAsia="zh-CN"/>
        </w:rPr>
        <w:t>招标文件</w:t>
      </w:r>
      <w:r>
        <w:rPr>
          <w:rFonts w:hint="eastAsia" w:ascii="仿宋" w:hAnsi="仿宋" w:eastAsia="仿宋" w:cs="仿宋"/>
          <w:color w:val="auto"/>
          <w:sz w:val="24"/>
        </w:rPr>
        <w:t>规定的技术规范和技术规范附件(如果有的话)及其技术规范偏差表(如果被甲方接受的话)相一致；如果</w:t>
      </w:r>
      <w:r>
        <w:rPr>
          <w:rFonts w:hint="eastAsia" w:ascii="仿宋" w:hAnsi="仿宋" w:eastAsia="仿宋" w:cs="仿宋"/>
          <w:color w:val="auto"/>
          <w:sz w:val="24"/>
          <w:lang w:eastAsia="zh-CN"/>
        </w:rPr>
        <w:t>招标文件</w:t>
      </w:r>
      <w:r>
        <w:rPr>
          <w:rFonts w:hint="eastAsia" w:ascii="仿宋" w:hAnsi="仿宋" w:eastAsia="仿宋" w:cs="仿宋"/>
          <w:color w:val="auto"/>
          <w:sz w:val="24"/>
        </w:rPr>
        <w:t>中没有技术规范的相应说明，那么应以国家有关部门最新颁布的相应标准和规范为准。</w:t>
      </w:r>
    </w:p>
    <w:p w14:paraId="388D7BD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8</w:t>
      </w:r>
      <w:r>
        <w:rPr>
          <w:rFonts w:hint="eastAsia" w:ascii="仿宋" w:hAnsi="仿宋" w:eastAsia="仿宋" w:cs="仿宋"/>
          <w:b/>
          <w:color w:val="auto"/>
          <w:sz w:val="24"/>
        </w:rPr>
        <w:t xml:space="preserve"> 知识产权</w:t>
      </w:r>
    </w:p>
    <w:p w14:paraId="1436EC7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B0926D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.2具有知识产权的计算机软件等货物的知识产权归属，</w:t>
      </w:r>
      <w:r>
        <w:rPr>
          <w:rFonts w:hint="eastAsia" w:ascii="仿宋" w:hAnsi="仿宋" w:eastAsia="仿宋" w:cs="仿宋"/>
          <w:color w:val="auto"/>
          <w:sz w:val="24"/>
          <w:lang w:eastAsia="zh-CN"/>
        </w:rPr>
        <w:t>除合同另有规定外，归甲方所有</w:t>
      </w:r>
      <w:r>
        <w:rPr>
          <w:rFonts w:hint="eastAsia" w:ascii="仿宋" w:hAnsi="仿宋" w:eastAsia="仿宋" w:cs="仿宋"/>
          <w:color w:val="auto"/>
          <w:sz w:val="24"/>
        </w:rPr>
        <w:t>。</w:t>
      </w:r>
    </w:p>
    <w:p w14:paraId="79CFBBF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9</w:t>
      </w:r>
      <w:r>
        <w:rPr>
          <w:rFonts w:hint="eastAsia" w:ascii="仿宋" w:hAnsi="仿宋" w:eastAsia="仿宋" w:cs="仿宋"/>
          <w:b/>
          <w:color w:val="auto"/>
          <w:sz w:val="24"/>
        </w:rPr>
        <w:t xml:space="preserve"> 包装和装运</w:t>
      </w:r>
    </w:p>
    <w:p w14:paraId="5FC22AD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D85E0A7">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lang w:val="en-US" w:eastAsia="zh-CN"/>
        </w:rPr>
        <w:t>9</w:t>
      </w:r>
      <w:r>
        <w:rPr>
          <w:rFonts w:hint="eastAsia" w:ascii="仿宋" w:hAnsi="仿宋" w:eastAsia="仿宋" w:cs="仿宋"/>
          <w:color w:val="auto"/>
          <w:sz w:val="24"/>
        </w:rPr>
        <w:t xml:space="preserve">.2乙方提供产品及相关快递服务的具体包装要求应符合《商品包装政府采购需求标准（试行）》《快递包装政府采购需求标准（试行）》，并作为履约验收的内容，必要时甲方可以要求乙方在履约验收环节出具检测报告。 </w:t>
      </w:r>
    </w:p>
    <w:p w14:paraId="269F3CE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10</w:t>
      </w:r>
      <w:r>
        <w:rPr>
          <w:rFonts w:hint="eastAsia" w:ascii="仿宋" w:hAnsi="仿宋" w:eastAsia="仿宋" w:cs="仿宋"/>
          <w:b/>
          <w:color w:val="auto"/>
          <w:sz w:val="24"/>
        </w:rPr>
        <w:t xml:space="preserve"> 履约保证金</w:t>
      </w:r>
    </w:p>
    <w:p w14:paraId="3BED85FE">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10.1 招标文件要求乙方提交履约保证金的，乙方应按</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方式（可以支票、汇票、本票或者银行保函等非现金形式），在合同签订并生效后</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日内提交合同金额2.5%的履约保证金。</w:t>
      </w:r>
    </w:p>
    <w:p w14:paraId="30062FE3">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10</w:t>
      </w:r>
      <w:r>
        <w:rPr>
          <w:rFonts w:hint="eastAsia" w:ascii="仿宋" w:hAnsi="仿宋" w:eastAsia="仿宋" w:cs="仿宋"/>
          <w:color w:val="auto"/>
          <w:sz w:val="24"/>
        </w:rPr>
        <w:t>.2  履约保证金在</w:t>
      </w:r>
      <w:r>
        <w:rPr>
          <w:rFonts w:hint="eastAsia" w:ascii="仿宋" w:hAnsi="仿宋" w:eastAsia="仿宋" w:cs="仿宋"/>
          <w:b/>
          <w:i/>
          <w:color w:val="auto"/>
          <w:u w:val="single"/>
          <w:lang w:val="en-US" w:eastAsia="zh-CN"/>
        </w:rPr>
        <w:t xml:space="preserve">              </w:t>
      </w:r>
      <w:r>
        <w:rPr>
          <w:rFonts w:hint="eastAsia" w:ascii="仿宋" w:hAnsi="仿宋" w:eastAsia="仿宋" w:cs="仿宋"/>
          <w:color w:val="auto"/>
          <w:sz w:val="24"/>
          <w:lang w:val="en-US" w:eastAsia="zh-CN"/>
        </w:rPr>
        <w:t>（合同规定的履约</w:t>
      </w:r>
      <w:r>
        <w:rPr>
          <w:rFonts w:hint="eastAsia" w:ascii="仿宋" w:hAnsi="仿宋" w:eastAsia="仿宋" w:cs="仿宋"/>
          <w:color w:val="auto"/>
          <w:sz w:val="24"/>
          <w:lang w:eastAsia="zh-CN"/>
        </w:rPr>
        <w:t>时</w:t>
      </w:r>
      <w:r>
        <w:rPr>
          <w:rFonts w:hint="eastAsia" w:ascii="仿宋" w:hAnsi="仿宋" w:eastAsia="仿宋" w:cs="仿宋"/>
          <w:color w:val="auto"/>
          <w:sz w:val="24"/>
        </w:rPr>
        <w:t>间</w:t>
      </w:r>
      <w:r>
        <w:rPr>
          <w:rFonts w:hint="eastAsia" w:ascii="仿宋" w:hAnsi="仿宋" w:eastAsia="仿宋" w:cs="仿宋"/>
          <w:color w:val="auto"/>
          <w:sz w:val="24"/>
          <w:lang w:eastAsia="zh-CN"/>
        </w:rPr>
        <w:t>）</w:t>
      </w:r>
      <w:r>
        <w:rPr>
          <w:rFonts w:hint="eastAsia" w:ascii="仿宋" w:hAnsi="仿宋" w:eastAsia="仿宋" w:cs="仿宋"/>
          <w:color w:val="auto"/>
          <w:sz w:val="24"/>
        </w:rPr>
        <w:t>内不予退还。乙方在前述约定期间届满前能履行完合同约定义务事项的，甲方在前述约定期间届满之日起</w:t>
      </w:r>
      <w:r>
        <w:rPr>
          <w:rFonts w:hint="eastAsia" w:ascii="仿宋" w:hAnsi="仿宋" w:eastAsia="仿宋" w:cs="仿宋"/>
          <w:color w:val="auto"/>
          <w:sz w:val="24"/>
          <w:u w:val="single"/>
        </w:rPr>
        <w:t xml:space="preserve"> 5 </w:t>
      </w:r>
      <w:r>
        <w:rPr>
          <w:rFonts w:hint="eastAsia" w:ascii="仿宋" w:hAnsi="仿宋" w:eastAsia="仿宋" w:cs="仿宋"/>
          <w:color w:val="auto"/>
          <w:sz w:val="24"/>
        </w:rPr>
        <w:t>个工作日内，将履约保证金</w:t>
      </w:r>
      <w:r>
        <w:rPr>
          <w:rFonts w:hint="eastAsia" w:ascii="仿宋" w:hAnsi="仿宋" w:eastAsia="仿宋" w:cs="仿宋"/>
          <w:color w:val="auto"/>
          <w:sz w:val="24"/>
          <w:lang w:eastAsia="zh-CN"/>
        </w:rPr>
        <w:t>无息</w:t>
      </w:r>
      <w:r>
        <w:rPr>
          <w:rFonts w:hint="eastAsia" w:ascii="仿宋" w:hAnsi="仿宋" w:eastAsia="仿宋" w:cs="仿宋"/>
          <w:color w:val="auto"/>
          <w:sz w:val="24"/>
        </w:rPr>
        <w:t>退还乙方</w:t>
      </w:r>
      <w:r>
        <w:rPr>
          <w:rFonts w:hint="eastAsia" w:ascii="仿宋" w:hAnsi="仿宋" w:eastAsia="仿宋" w:cs="仿宋"/>
          <w:color w:val="auto"/>
          <w:sz w:val="24"/>
          <w:lang w:eastAsia="zh-CN"/>
        </w:rPr>
        <w:t>。</w:t>
      </w:r>
    </w:p>
    <w:p w14:paraId="0CEE699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10</w:t>
      </w:r>
      <w:r>
        <w:rPr>
          <w:rFonts w:hint="eastAsia" w:ascii="仿宋" w:hAnsi="仿宋" w:eastAsia="仿宋" w:cs="仿宋"/>
          <w:color w:val="auto"/>
          <w:sz w:val="24"/>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F3DF6D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11</w:t>
      </w:r>
      <w:r>
        <w:rPr>
          <w:rFonts w:hint="eastAsia" w:ascii="仿宋" w:hAnsi="仿宋" w:eastAsia="仿宋" w:cs="仿宋"/>
          <w:b/>
          <w:color w:val="auto"/>
          <w:sz w:val="24"/>
        </w:rPr>
        <w:t xml:space="preserve"> 履约检查和问题反馈</w:t>
      </w:r>
    </w:p>
    <w:p w14:paraId="61F57B0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11</w:t>
      </w:r>
      <w:r>
        <w:rPr>
          <w:rFonts w:hint="eastAsia" w:ascii="仿宋" w:hAnsi="仿宋" w:eastAsia="仿宋" w:cs="仿宋"/>
          <w:color w:val="auto"/>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0BF2A02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11</w:t>
      </w:r>
      <w:r>
        <w:rPr>
          <w:rFonts w:hint="eastAsia" w:ascii="仿宋" w:hAnsi="仿宋" w:eastAsia="仿宋" w:cs="仿宋"/>
          <w:color w:val="auto"/>
          <w:sz w:val="24"/>
        </w:rPr>
        <w:t>.2 合同履行期间，甲方有权将履行过程中出现的问题反馈给乙方，双方当事人应以书面形式约定需要完善和改进的内容。</w:t>
      </w:r>
    </w:p>
    <w:p w14:paraId="73501F3E">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 xml:space="preserve">12 </w:t>
      </w:r>
      <w:r>
        <w:rPr>
          <w:rFonts w:hint="eastAsia" w:ascii="仿宋" w:hAnsi="仿宋" w:eastAsia="仿宋" w:cs="仿宋"/>
          <w:b/>
          <w:color w:val="auto"/>
          <w:sz w:val="24"/>
        </w:rPr>
        <w:t>检验和验收</w:t>
      </w:r>
    </w:p>
    <w:p w14:paraId="583AFD54">
      <w:pPr>
        <w:tabs>
          <w:tab w:val="left" w:pos="360"/>
          <w:tab w:val="left" w:pos="540"/>
          <w:tab w:val="left" w:pos="108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12</w:t>
      </w:r>
      <w:r>
        <w:rPr>
          <w:rFonts w:hint="eastAsia" w:ascii="仿宋" w:hAnsi="仿宋" w:eastAsia="仿宋" w:cs="仿宋"/>
          <w:color w:val="auto"/>
          <w:sz w:val="24"/>
        </w:rPr>
        <w:t>.1货物交付前，乙方应对货物的质量、数量等方面进行详细、全面的检验，并向甲方出具证明货物符合合同约定的文件；货物交付时，乙方在</w:t>
      </w:r>
      <w:r>
        <w:rPr>
          <w:rFonts w:hint="eastAsia" w:ascii="仿宋" w:hAnsi="仿宋" w:eastAsia="仿宋" w:cs="仿宋"/>
          <w:color w:val="auto"/>
          <w:sz w:val="24"/>
          <w:lang w:eastAsia="zh-CN"/>
        </w:rPr>
        <w:t>交付后</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val="en-US" w:eastAsia="zh-CN"/>
        </w:rPr>
        <w:t>个工作</w:t>
      </w:r>
      <w:r>
        <w:rPr>
          <w:rFonts w:hint="eastAsia" w:ascii="仿宋" w:hAnsi="仿宋" w:eastAsia="仿宋" w:cs="仿宋"/>
          <w:color w:val="auto"/>
          <w:sz w:val="24"/>
          <w:lang w:eastAsia="zh-CN"/>
        </w:rPr>
        <w:t>日</w:t>
      </w:r>
      <w:r>
        <w:rPr>
          <w:rFonts w:hint="eastAsia" w:ascii="仿宋" w:hAnsi="仿宋" w:eastAsia="仿宋" w:cs="仿宋"/>
          <w:color w:val="auto"/>
          <w:sz w:val="24"/>
        </w:rPr>
        <w:t>内组织验收，并可依法邀请相关方参加，验收应出具验收书。</w:t>
      </w:r>
    </w:p>
    <w:p w14:paraId="67B9A9BA">
      <w:pPr>
        <w:tabs>
          <w:tab w:val="left" w:pos="360"/>
          <w:tab w:val="left" w:pos="540"/>
          <w:tab w:val="left" w:pos="108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12</w:t>
      </w:r>
      <w:r>
        <w:rPr>
          <w:rFonts w:hint="eastAsia" w:ascii="仿宋" w:hAnsi="仿宋" w:eastAsia="仿宋" w:cs="仿宋"/>
          <w:color w:val="auto"/>
          <w:sz w:val="24"/>
        </w:rPr>
        <w:t>.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79E3EF6">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13</w:t>
      </w:r>
      <w:r>
        <w:rPr>
          <w:rFonts w:hint="eastAsia" w:ascii="仿宋" w:hAnsi="仿宋" w:eastAsia="仿宋" w:cs="仿宋"/>
          <w:b/>
          <w:color w:val="auto"/>
          <w:sz w:val="24"/>
        </w:rPr>
        <w:t xml:space="preserve"> 技术资料和保密义务</w:t>
      </w:r>
    </w:p>
    <w:p w14:paraId="6859FAE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13</w:t>
      </w:r>
      <w:r>
        <w:rPr>
          <w:rFonts w:hint="eastAsia" w:ascii="仿宋" w:hAnsi="仿宋" w:eastAsia="仿宋" w:cs="仿宋"/>
          <w:color w:val="auto"/>
          <w:sz w:val="24"/>
        </w:rPr>
        <w:t>.1 乙方有权依据合同约定和项目需要，向甲方了解有关情况，调阅有关资料等，甲方应予积极配合；</w:t>
      </w:r>
    </w:p>
    <w:p w14:paraId="34CBF8F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13</w:t>
      </w:r>
      <w:r>
        <w:rPr>
          <w:rFonts w:hint="eastAsia" w:ascii="仿宋" w:hAnsi="仿宋" w:eastAsia="仿宋" w:cs="仿宋"/>
          <w:color w:val="auto"/>
          <w:sz w:val="24"/>
        </w:rPr>
        <w:t>.2 乙方有义务妥善保管和保护由甲方提供的前款信息和资料等；</w:t>
      </w:r>
    </w:p>
    <w:p w14:paraId="54E9A5F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13</w:t>
      </w:r>
      <w:r>
        <w:rPr>
          <w:rFonts w:hint="eastAsia" w:ascii="仿宋" w:hAnsi="仿宋" w:eastAsia="仿宋" w:cs="仿宋"/>
          <w:color w:val="auto"/>
          <w:sz w:val="24"/>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A28DD1B">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14</w:t>
      </w:r>
      <w:r>
        <w:rPr>
          <w:rFonts w:hint="eastAsia" w:ascii="仿宋" w:hAnsi="仿宋" w:eastAsia="仿宋" w:cs="仿宋"/>
          <w:b/>
          <w:color w:val="auto"/>
          <w:sz w:val="24"/>
        </w:rPr>
        <w:t xml:space="preserve"> 质量保证</w:t>
      </w:r>
    </w:p>
    <w:p w14:paraId="522392E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14</w:t>
      </w:r>
      <w:r>
        <w:rPr>
          <w:rFonts w:hint="eastAsia" w:ascii="仿宋" w:hAnsi="仿宋" w:eastAsia="仿宋" w:cs="仿宋"/>
          <w:color w:val="auto"/>
          <w:sz w:val="24"/>
        </w:rPr>
        <w:t>.1 乙方应建立和完善履行合同的内部质量保证体系，并提供相关内部规章制度给甲方，以便甲方进行监督检查；</w:t>
      </w:r>
    </w:p>
    <w:p w14:paraId="3467C0A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14</w:t>
      </w:r>
      <w:r>
        <w:rPr>
          <w:rFonts w:hint="eastAsia" w:ascii="仿宋" w:hAnsi="仿宋" w:eastAsia="仿宋" w:cs="仿宋"/>
          <w:color w:val="auto"/>
          <w:sz w:val="24"/>
        </w:rPr>
        <w:t>.2 乙方应保证履行合同的人员数量和素质、软件和硬件设备的配置、场地、环境和设施等满足全面履行合同的要求，并应接受甲方的监督检查。</w:t>
      </w:r>
    </w:p>
    <w:p w14:paraId="1CF0728A">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15</w:t>
      </w:r>
      <w:r>
        <w:rPr>
          <w:rFonts w:hint="eastAsia" w:ascii="仿宋" w:hAnsi="仿宋" w:eastAsia="仿宋" w:cs="仿宋"/>
          <w:b/>
          <w:color w:val="auto"/>
          <w:sz w:val="24"/>
        </w:rPr>
        <w:t xml:space="preserve"> 货物的风险负担</w:t>
      </w:r>
    </w:p>
    <w:p w14:paraId="6292BA71">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货物</w:t>
      </w:r>
      <w:r>
        <w:rPr>
          <w:rFonts w:hint="eastAsia" w:ascii="仿宋" w:hAnsi="仿宋" w:eastAsia="仿宋" w:cs="仿宋"/>
          <w:color w:val="auto"/>
          <w:sz w:val="24"/>
          <w:lang w:eastAsia="zh-CN"/>
        </w:rPr>
        <w:t>在甲方未收货前出现</w:t>
      </w:r>
      <w:r>
        <w:rPr>
          <w:rFonts w:hint="eastAsia" w:ascii="仿宋" w:hAnsi="仿宋" w:eastAsia="仿宋" w:cs="仿宋"/>
          <w:color w:val="auto"/>
          <w:sz w:val="24"/>
        </w:rPr>
        <w:t>的货物毁损、灭失的风险</w:t>
      </w:r>
      <w:r>
        <w:rPr>
          <w:rFonts w:hint="eastAsia" w:ascii="仿宋" w:hAnsi="仿宋" w:eastAsia="仿宋" w:cs="仿宋"/>
          <w:color w:val="auto"/>
          <w:sz w:val="24"/>
          <w:lang w:eastAsia="zh-CN"/>
        </w:rPr>
        <w:t>、安全生产责任均由乙方承担</w:t>
      </w:r>
      <w:r>
        <w:rPr>
          <w:rFonts w:hint="eastAsia" w:ascii="仿宋" w:hAnsi="仿宋" w:eastAsia="仿宋" w:cs="仿宋"/>
          <w:color w:val="auto"/>
          <w:sz w:val="24"/>
        </w:rPr>
        <w:t>。</w:t>
      </w:r>
    </w:p>
    <w:p w14:paraId="04FE7AF3">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16</w:t>
      </w:r>
      <w:r>
        <w:rPr>
          <w:rFonts w:hint="eastAsia" w:ascii="仿宋" w:hAnsi="仿宋" w:eastAsia="仿宋" w:cs="仿宋"/>
          <w:b/>
          <w:color w:val="auto"/>
          <w:sz w:val="24"/>
        </w:rPr>
        <w:t xml:space="preserve"> 延迟交货</w:t>
      </w:r>
    </w:p>
    <w:p w14:paraId="706311B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FFDD2E5">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17</w:t>
      </w:r>
      <w:r>
        <w:rPr>
          <w:rFonts w:hint="eastAsia" w:ascii="仿宋" w:hAnsi="仿宋" w:eastAsia="仿宋" w:cs="仿宋"/>
          <w:b/>
          <w:color w:val="auto"/>
          <w:sz w:val="24"/>
        </w:rPr>
        <w:t xml:space="preserve"> 合同变更</w:t>
      </w:r>
    </w:p>
    <w:p w14:paraId="51B76B6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14:paraId="25F63A19">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18</w:t>
      </w:r>
      <w:r>
        <w:rPr>
          <w:rFonts w:hint="eastAsia" w:ascii="仿宋" w:hAnsi="仿宋" w:eastAsia="仿宋" w:cs="仿宋"/>
          <w:b/>
          <w:color w:val="auto"/>
          <w:sz w:val="24"/>
        </w:rPr>
        <w:t xml:space="preserve"> 合同转让和分包</w:t>
      </w:r>
    </w:p>
    <w:p w14:paraId="5E0FB54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18</w:t>
      </w:r>
      <w:r>
        <w:rPr>
          <w:rFonts w:hint="eastAsia" w:ascii="仿宋" w:hAnsi="仿宋" w:eastAsia="仿宋" w:cs="仿宋"/>
          <w:color w:val="auto"/>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60F0BF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18</w:t>
      </w:r>
      <w:r>
        <w:rPr>
          <w:rFonts w:hint="eastAsia" w:ascii="仿宋" w:hAnsi="仿宋" w:eastAsia="仿宋" w:cs="仿宋"/>
          <w:color w:val="auto"/>
          <w:sz w:val="24"/>
        </w:rPr>
        <w:t>.2乙方采取分包方式履行合同的，甲方可直接向分包供应商支付款项。</w:t>
      </w:r>
    </w:p>
    <w:p w14:paraId="2C672929">
      <w:pPr>
        <w:spacing w:line="360" w:lineRule="auto"/>
        <w:ind w:firstLine="482" w:firstLineChars="200"/>
        <w:outlineLvl w:val="0"/>
        <w:rPr>
          <w:rFonts w:hint="eastAsia" w:ascii="仿宋" w:hAnsi="仿宋" w:eastAsia="仿宋" w:cs="仿宋"/>
          <w:b/>
          <w:color w:val="auto"/>
          <w:sz w:val="24"/>
        </w:rPr>
      </w:pPr>
      <w:bookmarkStart w:id="422" w:name="_Toc21423"/>
      <w:bookmarkStart w:id="423" w:name="_Toc19554"/>
      <w:bookmarkStart w:id="424" w:name="_Toc27250"/>
      <w:r>
        <w:rPr>
          <w:rFonts w:hint="eastAsia" w:ascii="仿宋" w:hAnsi="仿宋" w:eastAsia="仿宋" w:cs="仿宋"/>
          <w:b/>
          <w:color w:val="auto"/>
          <w:sz w:val="24"/>
          <w:lang w:val="en-US" w:eastAsia="zh-CN"/>
        </w:rPr>
        <w:t>19</w:t>
      </w:r>
      <w:r>
        <w:rPr>
          <w:rFonts w:hint="eastAsia" w:ascii="仿宋" w:hAnsi="仿宋" w:eastAsia="仿宋" w:cs="仿宋"/>
          <w:b/>
          <w:color w:val="auto"/>
          <w:sz w:val="24"/>
        </w:rPr>
        <w:t xml:space="preserve"> 违约责任</w:t>
      </w:r>
      <w:bookmarkEnd w:id="422"/>
      <w:bookmarkEnd w:id="423"/>
      <w:bookmarkEnd w:id="424"/>
    </w:p>
    <w:p w14:paraId="0AA6046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19</w:t>
      </w:r>
      <w:r>
        <w:rPr>
          <w:rFonts w:hint="eastAsia" w:ascii="仿宋" w:hAnsi="仿宋" w:eastAsia="仿宋" w:cs="仿宋"/>
          <w:color w:val="auto"/>
          <w:sz w:val="24"/>
        </w:rPr>
        <w:t>.1 除不可抗力外，如果乙方</w:t>
      </w:r>
      <w:r>
        <w:rPr>
          <w:rFonts w:hint="eastAsia" w:ascii="仿宋" w:hAnsi="仿宋" w:eastAsia="仿宋" w:cs="仿宋"/>
          <w:color w:val="auto"/>
          <w:sz w:val="24"/>
          <w:lang w:eastAsia="zh-CN"/>
        </w:rPr>
        <w:t>拒绝履行合同，或</w:t>
      </w:r>
      <w:r>
        <w:rPr>
          <w:rFonts w:hint="eastAsia" w:ascii="仿宋" w:hAnsi="仿宋" w:eastAsia="仿宋" w:cs="仿宋"/>
          <w:color w:val="auto"/>
          <w:sz w:val="24"/>
        </w:rPr>
        <w:t>没有按照本合同约定的期限、地点和方式交付货物，那么甲方可要求乙方支付违约金，违约金按每日</w:t>
      </w:r>
      <w:r>
        <w:rPr>
          <w:rFonts w:hint="eastAsia" w:ascii="仿宋" w:hAnsi="仿宋" w:eastAsia="仿宋" w:cs="仿宋"/>
          <w:color w:val="auto"/>
          <w:sz w:val="24"/>
          <w:lang w:eastAsia="zh-CN"/>
        </w:rPr>
        <w:t>计合同总价</w:t>
      </w:r>
      <w:r>
        <w:rPr>
          <w:rFonts w:hint="eastAsia" w:ascii="仿宋" w:hAnsi="仿宋" w:eastAsia="仿宋" w:cs="仿宋"/>
          <w:color w:val="auto"/>
          <w:sz w:val="24"/>
        </w:rPr>
        <w:t>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%，最高限额为本合同总价的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 xml:space="preserve">0  </w:t>
      </w:r>
      <w:r>
        <w:rPr>
          <w:rFonts w:hint="eastAsia" w:ascii="仿宋" w:hAnsi="仿宋" w:eastAsia="仿宋" w:cs="仿宋"/>
          <w:color w:val="auto"/>
          <w:sz w:val="24"/>
        </w:rPr>
        <w:t>%；迟延交付货物的违约金计算数额达到前述最高限额之日起，甲方有权在要求乙方支付违约金的同时，书面通知乙方解除本合同；</w:t>
      </w:r>
    </w:p>
    <w:p w14:paraId="3548830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19</w:t>
      </w: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87FDD2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19</w:t>
      </w: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3BC07E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19</w:t>
      </w: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4CEA15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19</w:t>
      </w: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 如果出现政府采购监督管理部门在处理投诉事项期间，书面通知甲方暂停采购活动的情形，或者询问或质疑事项可能影响中标结果的，导致甲方中止履行合同的情形，均不视为甲方违约。</w:t>
      </w:r>
    </w:p>
    <w:p w14:paraId="34EC561E">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 xml:space="preserve">20 </w:t>
      </w:r>
      <w:r>
        <w:rPr>
          <w:rFonts w:hint="eastAsia" w:ascii="仿宋" w:hAnsi="仿宋" w:eastAsia="仿宋" w:cs="仿宋"/>
          <w:b/>
          <w:color w:val="auto"/>
          <w:sz w:val="24"/>
        </w:rPr>
        <w:t>不可抗力</w:t>
      </w:r>
    </w:p>
    <w:p w14:paraId="42E0E52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20</w:t>
      </w:r>
      <w:r>
        <w:rPr>
          <w:rFonts w:hint="eastAsia" w:ascii="仿宋" w:hAnsi="仿宋" w:eastAsia="仿宋" w:cs="仿宋"/>
          <w:color w:val="auto"/>
          <w:sz w:val="24"/>
        </w:rPr>
        <w:t>.1如果任何一方遭遇法律规定的不可抗力，致使合同履行受阻时，履行合同的期限应予延长，延长的期限应相当于不可抗力所影响的时间；</w:t>
      </w:r>
    </w:p>
    <w:p w14:paraId="570AB3D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20</w:t>
      </w:r>
      <w:r>
        <w:rPr>
          <w:rFonts w:hint="eastAsia" w:ascii="仿宋" w:hAnsi="仿宋" w:eastAsia="仿宋" w:cs="仿宋"/>
          <w:color w:val="auto"/>
          <w:sz w:val="24"/>
        </w:rPr>
        <w:t>.2 因不可抗力致使不能实现合同目的的，当事人可以解除合同；</w:t>
      </w:r>
    </w:p>
    <w:p w14:paraId="795019D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20</w:t>
      </w:r>
      <w:r>
        <w:rPr>
          <w:rFonts w:hint="eastAsia" w:ascii="仿宋" w:hAnsi="仿宋" w:eastAsia="仿宋" w:cs="仿宋"/>
          <w:color w:val="auto"/>
          <w:sz w:val="24"/>
        </w:rPr>
        <w:t>.3 因不可抗力致使合同有变更必要的，双方当事人应在不可抗力</w:t>
      </w:r>
      <w:r>
        <w:rPr>
          <w:rFonts w:hint="eastAsia" w:ascii="仿宋" w:hAnsi="仿宋" w:eastAsia="仿宋" w:cs="仿宋"/>
          <w:color w:val="auto"/>
          <w:sz w:val="24"/>
          <w:lang w:eastAsia="zh-CN"/>
        </w:rPr>
        <w:t>发生后</w:t>
      </w:r>
      <w:r>
        <w:rPr>
          <w:rFonts w:hint="eastAsia" w:ascii="仿宋" w:hAnsi="仿宋" w:eastAsia="仿宋" w:cs="仿宋"/>
          <w:color w:val="auto"/>
          <w:sz w:val="24"/>
          <w:u w:val="single"/>
          <w:lang w:val="en-US" w:eastAsia="zh-CN"/>
        </w:rPr>
        <w:t xml:space="preserve"> 10 </w:t>
      </w:r>
      <w:r>
        <w:rPr>
          <w:rFonts w:hint="eastAsia" w:ascii="仿宋" w:hAnsi="仿宋" w:eastAsia="仿宋" w:cs="仿宋"/>
          <w:color w:val="auto"/>
          <w:sz w:val="24"/>
          <w:lang w:eastAsia="zh-CN"/>
        </w:rPr>
        <w:t>日</w:t>
      </w:r>
      <w:r>
        <w:rPr>
          <w:rFonts w:hint="eastAsia" w:ascii="仿宋" w:hAnsi="仿宋" w:eastAsia="仿宋" w:cs="仿宋"/>
          <w:color w:val="auto"/>
          <w:sz w:val="24"/>
        </w:rPr>
        <w:t>内以书面形式变更合同；</w:t>
      </w:r>
    </w:p>
    <w:p w14:paraId="2BFD9EA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20</w:t>
      </w:r>
      <w:r>
        <w:rPr>
          <w:rFonts w:hint="eastAsia" w:ascii="仿宋" w:hAnsi="仿宋" w:eastAsia="仿宋" w:cs="仿宋"/>
          <w:color w:val="auto"/>
          <w:sz w:val="24"/>
        </w:rPr>
        <w:t>.4受不可抗力影响的一方在不可抗力发生后，应在</w:t>
      </w:r>
      <w:r>
        <w:rPr>
          <w:rFonts w:hint="eastAsia" w:ascii="仿宋" w:hAnsi="仿宋" w:eastAsia="仿宋" w:cs="仿宋"/>
          <w:color w:val="auto"/>
          <w:sz w:val="24"/>
          <w:u w:val="single"/>
          <w:lang w:val="en-US" w:eastAsia="zh-CN"/>
        </w:rPr>
        <w:t xml:space="preserve">  5  </w:t>
      </w:r>
      <w:r>
        <w:rPr>
          <w:rFonts w:hint="eastAsia" w:ascii="仿宋" w:hAnsi="仿宋" w:eastAsia="仿宋" w:cs="仿宋"/>
          <w:color w:val="auto"/>
          <w:sz w:val="24"/>
          <w:lang w:eastAsia="zh-CN"/>
        </w:rPr>
        <w:t>日</w:t>
      </w:r>
      <w:r>
        <w:rPr>
          <w:rFonts w:hint="eastAsia" w:ascii="仿宋" w:hAnsi="仿宋" w:eastAsia="仿宋" w:cs="仿宋"/>
          <w:color w:val="auto"/>
          <w:sz w:val="24"/>
        </w:rPr>
        <w:t>内以书面形式通知对方当事人，并在</w:t>
      </w:r>
      <w:r>
        <w:rPr>
          <w:rFonts w:hint="eastAsia" w:ascii="仿宋" w:hAnsi="仿宋" w:eastAsia="仿宋" w:cs="仿宋"/>
          <w:color w:val="auto"/>
          <w:sz w:val="24"/>
          <w:u w:val="single"/>
          <w:lang w:val="en-US" w:eastAsia="zh-CN"/>
        </w:rPr>
        <w:t xml:space="preserve">  15  </w:t>
      </w:r>
      <w:r>
        <w:rPr>
          <w:rFonts w:hint="eastAsia" w:ascii="仿宋" w:hAnsi="仿宋" w:eastAsia="仿宋" w:cs="仿宋"/>
          <w:color w:val="auto"/>
          <w:sz w:val="24"/>
          <w:lang w:eastAsia="zh-CN"/>
        </w:rPr>
        <w:t>日</w:t>
      </w:r>
      <w:r>
        <w:rPr>
          <w:rFonts w:hint="eastAsia" w:ascii="仿宋" w:hAnsi="仿宋" w:eastAsia="仿宋" w:cs="仿宋"/>
          <w:color w:val="auto"/>
          <w:sz w:val="24"/>
        </w:rPr>
        <w:t>内，将有关部门出具的证明文件送达对方当事人。</w:t>
      </w:r>
    </w:p>
    <w:p w14:paraId="38624C5C">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 xml:space="preserve">21 </w:t>
      </w:r>
      <w:r>
        <w:rPr>
          <w:rFonts w:hint="eastAsia" w:ascii="仿宋" w:hAnsi="仿宋" w:eastAsia="仿宋" w:cs="仿宋"/>
          <w:b/>
          <w:color w:val="auto"/>
          <w:sz w:val="24"/>
        </w:rPr>
        <w:t>税费</w:t>
      </w:r>
    </w:p>
    <w:p w14:paraId="4762C58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w:t>
      </w:r>
    </w:p>
    <w:p w14:paraId="2862A5C0">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b/>
          <w:color w:val="auto"/>
          <w:sz w:val="24"/>
          <w:lang w:val="en-US" w:eastAsia="zh-CN"/>
        </w:rPr>
        <w:t xml:space="preserve">2 </w:t>
      </w:r>
      <w:r>
        <w:rPr>
          <w:rFonts w:hint="eastAsia" w:ascii="仿宋" w:hAnsi="仿宋" w:eastAsia="仿宋" w:cs="仿宋"/>
          <w:b/>
          <w:color w:val="auto"/>
          <w:sz w:val="24"/>
        </w:rPr>
        <w:t>乙方破产</w:t>
      </w:r>
    </w:p>
    <w:p w14:paraId="77AD398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564B32F">
      <w:pPr>
        <w:spacing w:line="360" w:lineRule="auto"/>
        <w:ind w:firstLine="482" w:firstLineChars="200"/>
        <w:outlineLvl w:val="0"/>
        <w:rPr>
          <w:rFonts w:hint="eastAsia" w:ascii="仿宋" w:hAnsi="仿宋" w:eastAsia="仿宋" w:cs="仿宋"/>
          <w:b/>
          <w:color w:val="auto"/>
          <w:sz w:val="24"/>
        </w:rPr>
      </w:pPr>
      <w:bookmarkStart w:id="425" w:name="_Toc16021"/>
      <w:bookmarkStart w:id="426" w:name="_Toc15583"/>
      <w:bookmarkStart w:id="427" w:name="_Toc28375"/>
      <w:r>
        <w:rPr>
          <w:rFonts w:hint="eastAsia" w:ascii="仿宋" w:hAnsi="仿宋" w:eastAsia="仿宋" w:cs="仿宋"/>
          <w:b/>
          <w:color w:val="auto"/>
          <w:sz w:val="24"/>
          <w:lang w:val="en-US" w:eastAsia="zh-CN"/>
        </w:rPr>
        <w:t>23</w:t>
      </w:r>
      <w:r>
        <w:rPr>
          <w:rFonts w:hint="eastAsia" w:ascii="仿宋" w:hAnsi="仿宋" w:eastAsia="仿宋" w:cs="仿宋"/>
          <w:b/>
          <w:color w:val="auto"/>
          <w:sz w:val="24"/>
        </w:rPr>
        <w:t xml:space="preserve"> 合同争议的解决</w:t>
      </w:r>
      <w:bookmarkEnd w:id="425"/>
      <w:bookmarkEnd w:id="426"/>
      <w:bookmarkEnd w:id="427"/>
    </w:p>
    <w:p w14:paraId="0765CD97">
      <w:pPr>
        <w:keepNext w:val="0"/>
        <w:keepLines w:val="0"/>
        <w:pageBreakBefore w:val="0"/>
        <w:widowControl w:val="0"/>
        <w:kinsoku/>
        <w:wordWrap/>
        <w:overflowPunct/>
        <w:topLinePunct w:val="0"/>
        <w:autoSpaceDE/>
        <w:autoSpaceDN/>
        <w:bidi w:val="0"/>
        <w:adjustRightInd w:val="0"/>
        <w:snapToGrid/>
        <w:spacing w:line="360" w:lineRule="auto"/>
        <w:ind w:right="0" w:rightChars="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本合同履行过程中发生的任何争议，双方当事人均可通过和解或者调解解决；不愿和解、调解或者和解、调解不成的，可以</w:t>
      </w:r>
      <w:r>
        <w:rPr>
          <w:rFonts w:hint="eastAsia" w:ascii="仿宋" w:hAnsi="仿宋" w:eastAsia="仿宋" w:cs="仿宋"/>
          <w:color w:val="auto"/>
          <w:sz w:val="24"/>
          <w:lang w:eastAsia="zh-CN"/>
        </w:rPr>
        <w:t>向宁波市奉化区人民法院提起诉讼。</w:t>
      </w:r>
    </w:p>
    <w:p w14:paraId="156B060F">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24</w:t>
      </w:r>
      <w:r>
        <w:rPr>
          <w:rFonts w:hint="eastAsia" w:ascii="仿宋" w:hAnsi="仿宋" w:eastAsia="仿宋" w:cs="仿宋"/>
          <w:b/>
          <w:color w:val="auto"/>
          <w:sz w:val="24"/>
        </w:rPr>
        <w:t xml:space="preserve"> 合同中止、终止</w:t>
      </w:r>
    </w:p>
    <w:p w14:paraId="5F2474B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4</w:t>
      </w:r>
      <w:r>
        <w:rPr>
          <w:rFonts w:hint="eastAsia" w:ascii="仿宋" w:hAnsi="仿宋" w:eastAsia="仿宋" w:cs="仿宋"/>
          <w:color w:val="auto"/>
          <w:sz w:val="24"/>
        </w:rPr>
        <w:t>.1 双方当事人不得擅自中止或者终止合同；</w:t>
      </w:r>
    </w:p>
    <w:p w14:paraId="76E07F3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4</w:t>
      </w:r>
      <w:r>
        <w:rPr>
          <w:rFonts w:hint="eastAsia" w:ascii="仿宋" w:hAnsi="仿宋" w:eastAsia="仿宋" w:cs="仿宋"/>
          <w:color w:val="auto"/>
          <w:sz w:val="24"/>
        </w:rPr>
        <w:t>.2合同继续履行将损害国家利益和社会公共利益的，双方当事人应当中止或者终止合同。有过错的一方应当承担赔偿责任，双方当事人都有过错的，各自承担相应的责任。</w:t>
      </w:r>
    </w:p>
    <w:p w14:paraId="57006473">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lang w:val="en-US" w:eastAsia="zh-CN"/>
        </w:rPr>
        <w:t>25</w:t>
      </w:r>
      <w:r>
        <w:rPr>
          <w:rFonts w:hint="eastAsia" w:ascii="仿宋" w:hAnsi="仿宋" w:eastAsia="仿宋" w:cs="仿宋"/>
          <w:b/>
          <w:color w:val="auto"/>
          <w:sz w:val="24"/>
        </w:rPr>
        <w:t xml:space="preserve"> 计量单位</w:t>
      </w:r>
    </w:p>
    <w:p w14:paraId="00C2A55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14:paraId="56D37418">
      <w:pPr>
        <w:spacing w:line="360" w:lineRule="auto"/>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合同使用的文字和适用的法律</w:t>
      </w:r>
    </w:p>
    <w:p w14:paraId="107F9FC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hint="eastAsia" w:ascii="仿宋" w:hAnsi="仿宋" w:eastAsia="仿宋" w:cs="仿宋"/>
          <w:color w:val="auto"/>
          <w:sz w:val="24"/>
        </w:rPr>
        <w:t>.1 合同使用汉语书就、变更和解释；</w:t>
      </w:r>
    </w:p>
    <w:p w14:paraId="2B62C97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hint="eastAsia" w:ascii="仿宋" w:hAnsi="仿宋" w:eastAsia="仿宋" w:cs="仿宋"/>
          <w:color w:val="auto"/>
          <w:sz w:val="24"/>
        </w:rPr>
        <w:t>.2 合同适用中华人民共和国法律。</w:t>
      </w:r>
    </w:p>
    <w:p w14:paraId="3653031F">
      <w:pPr>
        <w:spacing w:line="360" w:lineRule="auto"/>
        <w:ind w:firstLine="482" w:firstLineChars="200"/>
        <w:outlineLvl w:val="0"/>
        <w:rPr>
          <w:rFonts w:hint="eastAsia" w:ascii="仿宋" w:hAnsi="仿宋" w:eastAsia="仿宋" w:cs="仿宋"/>
          <w:b/>
          <w:color w:val="auto"/>
          <w:sz w:val="24"/>
          <w:lang w:eastAsia="zh-CN"/>
        </w:rPr>
      </w:pPr>
      <w:r>
        <w:rPr>
          <w:rFonts w:hint="eastAsia" w:ascii="仿宋" w:hAnsi="仿宋" w:eastAsia="仿宋" w:cs="仿宋"/>
          <w:b/>
          <w:color w:val="auto"/>
          <w:sz w:val="24"/>
        </w:rPr>
        <w:t>2</w:t>
      </w:r>
      <w:r>
        <w:rPr>
          <w:rFonts w:hint="eastAsia" w:ascii="仿宋" w:hAnsi="仿宋" w:eastAsia="仿宋" w:cs="仿宋"/>
          <w:b/>
          <w:color w:val="auto"/>
          <w:sz w:val="24"/>
          <w:lang w:val="en-US" w:eastAsia="zh-CN"/>
        </w:rPr>
        <w:t>+</w:t>
      </w:r>
      <w:r>
        <w:rPr>
          <w:rFonts w:hint="eastAsia" w:ascii="仿宋" w:hAnsi="仿宋" w:eastAsia="仿宋" w:cs="仿宋"/>
          <w:b/>
          <w:color w:val="auto"/>
          <w:sz w:val="24"/>
        </w:rPr>
        <w:t>合同</w:t>
      </w:r>
      <w:r>
        <w:rPr>
          <w:rFonts w:hint="eastAsia" w:ascii="仿宋" w:hAnsi="仿宋" w:eastAsia="仿宋" w:cs="仿宋"/>
          <w:b/>
          <w:color w:val="auto"/>
          <w:sz w:val="24"/>
          <w:lang w:eastAsia="zh-CN"/>
        </w:rPr>
        <w:t>效力</w:t>
      </w:r>
    </w:p>
    <w:p w14:paraId="42126BC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本</w:t>
      </w:r>
      <w:r>
        <w:rPr>
          <w:rFonts w:hint="eastAsia" w:ascii="仿宋" w:hAnsi="仿宋" w:eastAsia="仿宋" w:cs="仿宋"/>
          <w:color w:val="auto"/>
          <w:sz w:val="24"/>
        </w:rPr>
        <w:t>合同</w:t>
      </w:r>
      <w:r>
        <w:rPr>
          <w:rFonts w:hint="eastAsia" w:ascii="仿宋" w:hAnsi="仿宋" w:eastAsia="仿宋" w:cs="仿宋"/>
          <w:color w:val="auto"/>
          <w:sz w:val="24"/>
          <w:lang w:eastAsia="zh-CN"/>
        </w:rPr>
        <w:t>一式四份</w:t>
      </w:r>
      <w:r>
        <w:rPr>
          <w:rFonts w:hint="eastAsia" w:ascii="仿宋" w:hAnsi="仿宋" w:eastAsia="仿宋" w:cs="仿宋"/>
          <w:color w:val="auto"/>
          <w:sz w:val="24"/>
        </w:rPr>
        <w:t>，</w:t>
      </w:r>
      <w:r>
        <w:rPr>
          <w:rFonts w:hint="eastAsia" w:ascii="仿宋" w:hAnsi="仿宋" w:eastAsia="仿宋" w:cs="仿宋"/>
          <w:color w:val="auto"/>
          <w:sz w:val="24"/>
          <w:lang w:eastAsia="zh-CN"/>
        </w:rPr>
        <w:t>甲乙双方各两份，</w:t>
      </w:r>
      <w:r>
        <w:rPr>
          <w:rFonts w:hint="eastAsia" w:ascii="仿宋" w:hAnsi="仿宋" w:eastAsia="仿宋" w:cs="仿宋"/>
          <w:color w:val="auto"/>
          <w:sz w:val="24"/>
        </w:rPr>
        <w:t>每份均具有同等法律效力。本合同自双方当事人盖章或者签字时生效。</w:t>
      </w:r>
    </w:p>
    <w:p w14:paraId="458E1535">
      <w:pPr>
        <w:autoSpaceDE w:val="0"/>
        <w:autoSpaceDN w:val="0"/>
        <w:spacing w:line="360" w:lineRule="auto"/>
        <w:rPr>
          <w:rFonts w:hint="eastAsia" w:ascii="仿宋" w:hAnsi="仿宋" w:eastAsia="仿宋" w:cs="仿宋"/>
          <w:color w:val="auto"/>
          <w:sz w:val="24"/>
          <w:lang w:val="zh-CN"/>
        </w:rPr>
      </w:pPr>
    </w:p>
    <w:p w14:paraId="4CBB2F67">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b/>
          <w:color w:val="auto"/>
          <w:sz w:val="24"/>
          <w:lang w:val="zh-CN"/>
        </w:rPr>
        <w:t>甲方名称（公章）</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乙方名称（公章）</w:t>
      </w:r>
      <w:r>
        <w:rPr>
          <w:rFonts w:hint="eastAsia" w:ascii="仿宋" w:hAnsi="仿宋" w:eastAsia="仿宋" w:cs="仿宋"/>
          <w:color w:val="auto"/>
          <w:sz w:val="24"/>
          <w:lang w:val="zh-CN"/>
        </w:rPr>
        <w:t>：</w:t>
      </w:r>
    </w:p>
    <w:p w14:paraId="14079CE0">
      <w:pPr>
        <w:autoSpaceDE w:val="0"/>
        <w:autoSpaceDN w:val="0"/>
        <w:spacing w:line="360" w:lineRule="auto"/>
        <w:rPr>
          <w:rFonts w:hint="eastAsia" w:ascii="仿宋" w:hAnsi="仿宋" w:eastAsia="仿宋" w:cs="仿宋"/>
          <w:color w:val="auto"/>
          <w:sz w:val="24"/>
          <w:lang w:val="zh-CN"/>
        </w:rPr>
      </w:pPr>
    </w:p>
    <w:p w14:paraId="50BF401B">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075FCC9B">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14:paraId="5407DDAE">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法定代表人或授权代表（签字）：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val="zh-CN"/>
        </w:rPr>
        <w:t xml:space="preserve"> 法定代表人或授权代表（签字）: </w:t>
      </w:r>
    </w:p>
    <w:p w14:paraId="0ECFA728">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09578FB8">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3962D9B9">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66520DFF">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099CE0F3">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14:paraId="2AFA00CA">
      <w:pPr>
        <w:pStyle w:val="30"/>
        <w:spacing w:line="360" w:lineRule="auto"/>
        <w:rPr>
          <w:rFonts w:hint="eastAsia" w:ascii="仿宋" w:hAnsi="仿宋" w:eastAsia="仿宋" w:cs="仿宋"/>
          <w:color w:val="auto"/>
          <w:sz w:val="24"/>
        </w:rPr>
      </w:pPr>
    </w:p>
    <w:p w14:paraId="14880D97">
      <w:pPr>
        <w:pStyle w:val="30"/>
        <w:spacing w:line="480" w:lineRule="auto"/>
        <w:ind w:left="0" w:leftChars="0" w:firstLine="0" w:firstLineChars="0"/>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eastAsia="zh-CN"/>
        </w:rPr>
        <w:t>见证人：</w:t>
      </w:r>
      <w:r>
        <w:rPr>
          <w:rFonts w:hint="eastAsia" w:ascii="仿宋" w:hAnsi="仿宋" w:eastAsia="仿宋" w:cs="仿宋"/>
          <w:b/>
          <w:bCs/>
          <w:color w:val="auto"/>
          <w:sz w:val="24"/>
          <w:szCs w:val="24"/>
          <w:lang w:val="en-US" w:eastAsia="zh-CN"/>
        </w:rPr>
        <w:t>宁波奉元工程咨询有限公司</w:t>
      </w:r>
    </w:p>
    <w:p w14:paraId="015D3D85">
      <w:pPr>
        <w:autoSpaceDE w:val="0"/>
        <w:autoSpaceDN w:val="0"/>
        <w:spacing w:line="48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住所：</w:t>
      </w:r>
      <w:r>
        <w:rPr>
          <w:rFonts w:hint="eastAsia" w:ascii="仿宋" w:hAnsi="仿宋" w:eastAsia="仿宋" w:cs="仿宋"/>
          <w:color w:val="auto"/>
          <w:sz w:val="24"/>
          <w:szCs w:val="24"/>
          <w:lang w:val="zh-CN" w:eastAsia="zh-CN"/>
        </w:rPr>
        <w:t>宁波市奉化区滕明楼B幢办公用房1001-1002室</w:t>
      </w:r>
      <w:r>
        <w:rPr>
          <w:rFonts w:hint="eastAsia" w:ascii="仿宋" w:hAnsi="仿宋" w:eastAsia="仿宋" w:cs="仿宋"/>
          <w:color w:val="auto"/>
          <w:sz w:val="24"/>
          <w:szCs w:val="24"/>
          <w:lang w:val="zh-CN"/>
        </w:rPr>
        <w:t xml:space="preserve">                             </w:t>
      </w:r>
    </w:p>
    <w:p w14:paraId="4345ED7F">
      <w:pPr>
        <w:autoSpaceDE w:val="0"/>
        <w:autoSpaceDN w:val="0"/>
        <w:spacing w:line="48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 xml:space="preserve">法定代表人或授权代表（签字）：       </w:t>
      </w:r>
      <w:r>
        <w:rPr>
          <w:rFonts w:hint="eastAsia" w:ascii="仿宋" w:hAnsi="仿宋" w:eastAsia="仿宋" w:cs="仿宋"/>
          <w:color w:val="auto"/>
          <w:sz w:val="24"/>
          <w:szCs w:val="24"/>
          <w:lang w:val="en-US" w:eastAsia="zh-CN"/>
        </w:rPr>
        <w:t xml:space="preserve"> </w:t>
      </w:r>
    </w:p>
    <w:p w14:paraId="15D321BC">
      <w:pPr>
        <w:autoSpaceDE w:val="0"/>
        <w:autoSpaceDN w:val="0"/>
        <w:spacing w:line="48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highlight w:val="none"/>
          <w:lang w:val="zh-CN"/>
        </w:rPr>
        <w:t xml:space="preserve">联系人：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lang w:val="zh-CN"/>
        </w:rPr>
        <w:t xml:space="preserve">                                                    </w:t>
      </w:r>
    </w:p>
    <w:p w14:paraId="2ED701A2">
      <w:pPr>
        <w:spacing w:line="480" w:lineRule="auto"/>
        <w:rPr>
          <w:rFonts w:hint="eastAsia" w:ascii="仿宋" w:hAnsi="仿宋" w:eastAsia="仿宋" w:cs="仿宋"/>
          <w:b/>
          <w:color w:val="auto"/>
          <w:sz w:val="24"/>
          <w:szCs w:val="24"/>
        </w:rPr>
      </w:pPr>
      <w:r>
        <w:rPr>
          <w:rFonts w:hint="eastAsia" w:ascii="仿宋" w:hAnsi="仿宋" w:eastAsia="仿宋" w:cs="仿宋"/>
          <w:color w:val="auto"/>
          <w:sz w:val="24"/>
          <w:szCs w:val="24"/>
          <w:lang w:val="zh-CN"/>
        </w:rPr>
        <w:t>电话:</w:t>
      </w:r>
      <w:r>
        <w:rPr>
          <w:rFonts w:hint="eastAsia" w:ascii="仿宋" w:hAnsi="仿宋" w:eastAsia="仿宋" w:cs="仿宋"/>
          <w:color w:val="auto"/>
          <w:sz w:val="24"/>
          <w:szCs w:val="24"/>
          <w:lang w:val="en-US" w:eastAsia="zh-CN"/>
        </w:rPr>
        <w:t>0574-88583970</w:t>
      </w:r>
      <w:r>
        <w:rPr>
          <w:rFonts w:hint="eastAsia" w:ascii="宋体" w:hAnsi="宋体" w:eastAsia="宋体" w:cs="宋体"/>
          <w:b/>
          <w:color w:val="auto"/>
          <w:sz w:val="24"/>
          <w:szCs w:val="24"/>
        </w:rPr>
        <w:br w:type="page"/>
      </w:r>
    </w:p>
    <w:p w14:paraId="2DD81371">
      <w:pPr>
        <w:spacing w:line="360" w:lineRule="auto"/>
        <w:ind w:left="720" w:firstLine="1285" w:firstLineChars="400"/>
        <w:jc w:val="both"/>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第六部分</w:t>
      </w:r>
      <w:bookmarkEnd w:id="27"/>
      <w:r>
        <w:rPr>
          <w:rFonts w:hint="eastAsia" w:ascii="仿宋" w:hAnsi="仿宋" w:eastAsia="仿宋" w:cs="仿宋"/>
          <w:b/>
          <w:color w:val="auto"/>
          <w:sz w:val="32"/>
          <w:szCs w:val="32"/>
        </w:rPr>
        <w:t xml:space="preserve"> </w:t>
      </w:r>
      <w:bookmarkEnd w:id="28"/>
      <w:r>
        <w:rPr>
          <w:rFonts w:hint="eastAsia" w:ascii="仿宋" w:hAnsi="仿宋" w:eastAsia="仿宋" w:cs="仿宋"/>
          <w:b/>
          <w:color w:val="auto"/>
          <w:sz w:val="32"/>
          <w:szCs w:val="32"/>
        </w:rPr>
        <w:t>应提交的有关格式范例</w:t>
      </w:r>
    </w:p>
    <w:p w14:paraId="0B4F5A39">
      <w:pPr>
        <w:pStyle w:val="21"/>
        <w:ind w:firstLine="482"/>
        <w:rPr>
          <w:rFonts w:hint="eastAsia" w:ascii="仿宋" w:hAnsi="仿宋" w:eastAsia="仿宋" w:cs="仿宋"/>
          <w:color w:val="auto"/>
          <w:sz w:val="24"/>
          <w:szCs w:val="24"/>
        </w:rPr>
      </w:pPr>
    </w:p>
    <w:p w14:paraId="668AC5A8">
      <w:pPr>
        <w:pStyle w:val="21"/>
        <w:ind w:firstLine="482"/>
        <w:rPr>
          <w:rFonts w:hint="eastAsia" w:ascii="仿宋" w:hAnsi="仿宋" w:eastAsia="仿宋" w:cs="仿宋"/>
          <w:color w:val="auto"/>
          <w:sz w:val="24"/>
          <w:szCs w:val="24"/>
        </w:rPr>
      </w:pPr>
    </w:p>
    <w:p w14:paraId="22620981">
      <w:pPr>
        <w:spacing w:line="360" w:lineRule="auto"/>
        <w:jc w:val="center"/>
        <w:outlineLvl w:val="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资格文件部分</w:t>
      </w:r>
    </w:p>
    <w:p w14:paraId="1D88225C">
      <w:pPr>
        <w:spacing w:line="360" w:lineRule="auto"/>
        <w:jc w:val="center"/>
        <w:outlineLvl w:val="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目录</w:t>
      </w:r>
    </w:p>
    <w:p w14:paraId="442C3173">
      <w:pPr>
        <w:adjustRightInd w:val="0"/>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有效的企业法人营业执照（或事业法人登记证）、其他组织（个体工商户）的营业执照或者民办非企业单位登记证书；</w:t>
      </w:r>
    </w:p>
    <w:p w14:paraId="2AA0913B">
      <w:pPr>
        <w:adjustRightInd w:val="0"/>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符合参加政府采购活动应当具备的一般条件的承诺函；</w:t>
      </w:r>
    </w:p>
    <w:p w14:paraId="3F9C07F2">
      <w:pPr>
        <w:adjustRightInd w:val="0"/>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 落实政府采购政策需满足的资格要求</w:t>
      </w:r>
      <w:r>
        <w:rPr>
          <w:rFonts w:hint="eastAsia" w:ascii="仿宋" w:hAnsi="仿宋" w:eastAsia="仿宋" w:cs="仿宋"/>
          <w:color w:val="auto"/>
          <w:sz w:val="24"/>
          <w:szCs w:val="24"/>
          <w:lang w:val="en-US" w:eastAsia="zh-CN"/>
        </w:rPr>
        <w:t>(如有）</w:t>
      </w:r>
      <w:r>
        <w:rPr>
          <w:rFonts w:hint="eastAsia" w:ascii="仿宋" w:hAnsi="仿宋" w:eastAsia="仿宋" w:cs="仿宋"/>
          <w:color w:val="auto"/>
          <w:sz w:val="24"/>
          <w:szCs w:val="24"/>
        </w:rPr>
        <w:t>；</w:t>
      </w:r>
    </w:p>
    <w:p w14:paraId="2CBC2A60">
      <w:pPr>
        <w:adjustRightInd w:val="0"/>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 本项目的特定资格要求</w:t>
      </w:r>
      <w:r>
        <w:rPr>
          <w:rFonts w:hint="eastAsia" w:ascii="仿宋" w:hAnsi="仿宋" w:eastAsia="仿宋" w:cs="仿宋"/>
          <w:color w:val="auto"/>
          <w:sz w:val="24"/>
          <w:szCs w:val="24"/>
          <w:lang w:val="en-US" w:eastAsia="zh-CN"/>
        </w:rPr>
        <w:t>(如有）</w:t>
      </w:r>
      <w:r>
        <w:rPr>
          <w:rFonts w:hint="eastAsia" w:ascii="仿宋" w:hAnsi="仿宋" w:eastAsia="仿宋" w:cs="仿宋"/>
          <w:color w:val="auto"/>
          <w:sz w:val="24"/>
          <w:szCs w:val="24"/>
        </w:rPr>
        <w:t>。</w:t>
      </w:r>
    </w:p>
    <w:p w14:paraId="230BA0A6">
      <w:pPr>
        <w:pStyle w:val="30"/>
        <w:spacing w:line="360" w:lineRule="auto"/>
        <w:ind w:firstLine="480"/>
        <w:rPr>
          <w:rFonts w:hint="eastAsia" w:ascii="仿宋" w:hAnsi="仿宋" w:eastAsia="仿宋" w:cs="仿宋"/>
          <w:color w:val="auto"/>
          <w:sz w:val="24"/>
          <w:szCs w:val="24"/>
        </w:rPr>
      </w:pPr>
    </w:p>
    <w:p w14:paraId="58ED51D0">
      <w:pPr>
        <w:spacing w:line="360" w:lineRule="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br w:type="page"/>
      </w:r>
    </w:p>
    <w:p w14:paraId="55DC5A7E">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 符合参加政府采购活动应当具备的一般条件的承诺函</w:t>
      </w:r>
    </w:p>
    <w:p w14:paraId="68A78612">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p>
    <w:p w14:paraId="6675F1DE">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我方参与（项目名称）【招标编号：（采购编号）】政府采购活动，郑重承诺：</w:t>
      </w:r>
    </w:p>
    <w:p w14:paraId="26423948">
      <w:pPr>
        <w:snapToGrid w:val="0"/>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（一）具备《中华人民共和国政府采购法》第二十二条第一款规定的条件：</w:t>
      </w:r>
    </w:p>
    <w:p w14:paraId="6A6013C5">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p w14:paraId="1D6F3CBC">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2、具有良好的商业信誉和健全的财务会计制度； </w:t>
      </w:r>
    </w:p>
    <w:p w14:paraId="10C49D36">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3、具有履行合同所必需的设备和专业技术能力；</w:t>
      </w:r>
    </w:p>
    <w:p w14:paraId="074DD682">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4、有依法缴纳税收和社会保障资金的良好记录；</w:t>
      </w:r>
    </w:p>
    <w:p w14:paraId="25B37DEC">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5、参加政府采购活动前三年内，在经营活动中没有重大违法记录；</w:t>
      </w:r>
    </w:p>
    <w:p w14:paraId="4C90629F">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6、具有法律、行政法规规定的其他条件。</w:t>
      </w:r>
    </w:p>
    <w:p w14:paraId="5F832F08">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（二）未被信用中国（www.creditchina.gov.cn)、中国政府采购网（www.ccgp.gov.cn）列入失信被执行人、</w:t>
      </w:r>
      <w:r>
        <w:rPr>
          <w:rFonts w:hint="eastAsia" w:ascii="仿宋" w:hAnsi="仿宋" w:eastAsia="仿宋" w:cs="仿宋"/>
          <w:color w:val="auto"/>
          <w:sz w:val="24"/>
          <w:szCs w:val="24"/>
          <w:lang w:eastAsia="zh-CN"/>
        </w:rPr>
        <w:t>重大税收违法失信主体</w:t>
      </w:r>
      <w:r>
        <w:rPr>
          <w:rFonts w:hint="eastAsia" w:ascii="仿宋" w:hAnsi="仿宋" w:eastAsia="仿宋" w:cs="仿宋"/>
          <w:color w:val="auto"/>
          <w:sz w:val="24"/>
          <w:szCs w:val="24"/>
        </w:rPr>
        <w:t>、政府采购严重违法失信行为记录名单。</w:t>
      </w:r>
    </w:p>
    <w:p w14:paraId="64AD5E8B">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（三）不存在以下情况：</w:t>
      </w:r>
    </w:p>
    <w:p w14:paraId="797E880E">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1、单位负责人为同一人或者存在直接控股、管理关系的不同供应商参加同一合同项下的政府采购活动的；</w:t>
      </w:r>
    </w:p>
    <w:p w14:paraId="284AE887">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2、为采购项目提供整体设计、规范编制或者项目管理、监理、检测等服务后再参加该采购项目的其他采购活动的。</w:t>
      </w:r>
    </w:p>
    <w:p w14:paraId="48A515F9">
      <w:pPr>
        <w:snapToGrid w:val="0"/>
        <w:spacing w:line="360" w:lineRule="auto"/>
        <w:ind w:firstLine="5520" w:firstLineChars="2300"/>
        <w:rPr>
          <w:rFonts w:hint="eastAsia" w:ascii="仿宋" w:hAnsi="仿宋" w:eastAsia="仿宋" w:cs="仿宋"/>
          <w:color w:val="auto"/>
          <w:kern w:val="0"/>
          <w:sz w:val="24"/>
          <w:szCs w:val="24"/>
          <w:lang w:val="zh-CN"/>
        </w:rPr>
      </w:pPr>
    </w:p>
    <w:p w14:paraId="1F43C631">
      <w:pPr>
        <w:snapToGrid w:val="0"/>
        <w:spacing w:line="360" w:lineRule="auto"/>
        <w:ind w:firstLine="5520" w:firstLineChars="2300"/>
        <w:rPr>
          <w:rFonts w:hint="eastAsia" w:ascii="仿宋" w:hAnsi="仿宋" w:eastAsia="仿宋" w:cs="仿宋"/>
          <w:color w:val="auto"/>
          <w:kern w:val="0"/>
          <w:sz w:val="24"/>
          <w:szCs w:val="24"/>
          <w:lang w:val="zh-CN"/>
        </w:rPr>
      </w:pPr>
    </w:p>
    <w:p w14:paraId="49E558A3">
      <w:pPr>
        <w:spacing w:line="360" w:lineRule="auto"/>
        <w:ind w:right="420" w:firstLine="6000" w:firstLineChars="2500"/>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法定代表人（签名或印章）：     </w:t>
      </w:r>
    </w:p>
    <w:p w14:paraId="21438E0E">
      <w:pPr>
        <w:spacing w:line="360" w:lineRule="auto"/>
        <w:ind w:right="420" w:firstLine="6240" w:firstLineChars="2600"/>
        <w:rPr>
          <w:rFonts w:hint="eastAsia" w:ascii="仿宋" w:hAnsi="仿宋" w:eastAsia="仿宋" w:cs="仿宋"/>
          <w:color w:val="auto"/>
          <w:sz w:val="24"/>
          <w:szCs w:val="24"/>
        </w:rPr>
      </w:pPr>
      <w:r>
        <w:rPr>
          <w:rFonts w:hint="eastAsia" w:ascii="仿宋" w:hAnsi="仿宋" w:eastAsia="仿宋" w:cs="仿宋"/>
          <w:color w:val="auto"/>
          <w:sz w:val="24"/>
          <w:szCs w:val="24"/>
        </w:rPr>
        <w:t xml:space="preserve">投标人（盖章）：   </w:t>
      </w:r>
    </w:p>
    <w:p w14:paraId="1E3E8914">
      <w:pPr>
        <w:spacing w:line="360" w:lineRule="auto"/>
        <w:ind w:right="420" w:firstLine="6120" w:firstLineChars="2550"/>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p w14:paraId="132130EA">
      <w:pPr>
        <w:snapToGrid w:val="0"/>
        <w:spacing w:line="360" w:lineRule="auto"/>
        <w:ind w:right="480"/>
        <w:jc w:val="center"/>
        <w:rPr>
          <w:rFonts w:hint="eastAsia" w:ascii="仿宋" w:hAnsi="仿宋" w:eastAsia="仿宋" w:cs="仿宋"/>
          <w:b/>
          <w:color w:val="auto"/>
          <w:kern w:val="0"/>
          <w:sz w:val="24"/>
          <w:szCs w:val="24"/>
        </w:rPr>
      </w:pPr>
    </w:p>
    <w:p w14:paraId="12DDB315">
      <w:pPr>
        <w:spacing w:line="360" w:lineRule="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br w:type="page"/>
      </w:r>
    </w:p>
    <w:p w14:paraId="22BE32FD">
      <w:pPr>
        <w:snapToGrid w:val="0"/>
        <w:spacing w:line="360" w:lineRule="auto"/>
        <w:ind w:right="480"/>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32"/>
          <w:szCs w:val="32"/>
        </w:rPr>
        <w:t>二、落实政府采购政策需满足的资格要求</w:t>
      </w:r>
    </w:p>
    <w:p w14:paraId="1960403A">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（根据招标公告落实政府采购政策需满足的资格要求选择提供相应的材料；未要求的，无需提供）</w:t>
      </w:r>
    </w:p>
    <w:p w14:paraId="35330683">
      <w:pPr>
        <w:snapToGrid w:val="0"/>
        <w:spacing w:before="50" w:after="50" w:line="360" w:lineRule="auto"/>
        <w:ind w:firstLine="472" w:firstLineChars="196"/>
        <w:jc w:val="left"/>
        <w:rPr>
          <w:rFonts w:hint="eastAsia" w:ascii="仿宋" w:hAnsi="仿宋" w:eastAsia="仿宋" w:cs="仿宋"/>
          <w:color w:val="auto"/>
          <w:sz w:val="24"/>
          <w:szCs w:val="24"/>
        </w:rPr>
      </w:pPr>
      <w:r>
        <w:rPr>
          <w:rFonts w:hint="eastAsia" w:ascii="仿宋" w:hAnsi="仿宋" w:eastAsia="仿宋" w:cs="仿宋"/>
          <w:b/>
          <w:color w:val="auto"/>
          <w:sz w:val="24"/>
          <w:szCs w:val="24"/>
        </w:rPr>
        <w:t>A</w:t>
      </w:r>
      <w:r>
        <w:rPr>
          <w:rFonts w:hint="eastAsia" w:ascii="仿宋" w:hAnsi="仿宋" w:eastAsia="仿宋" w:cs="仿宋"/>
          <w:color w:val="auto"/>
          <w:sz w:val="24"/>
          <w:szCs w:val="24"/>
        </w:rPr>
        <w:t xml:space="preserve">.专门面向中小企业，货物全部由符合政策要求的中小企业（或小微企业）制造或者服务全部由符合政策要求的中小企业（或小微企业）承接的，提供相应的中小企业声明函。 </w:t>
      </w:r>
    </w:p>
    <w:p w14:paraId="7A03B579">
      <w:pPr>
        <w:widowControl/>
        <w:spacing w:line="360" w:lineRule="auto"/>
        <w:ind w:firstLine="480"/>
        <w:jc w:val="left"/>
        <w:rPr>
          <w:rFonts w:hint="eastAsia" w:ascii="仿宋" w:hAnsi="仿宋" w:eastAsia="仿宋" w:cs="仿宋"/>
          <w:color w:val="auto"/>
          <w:sz w:val="24"/>
          <w:szCs w:val="24"/>
        </w:rPr>
      </w:pPr>
    </w:p>
    <w:p w14:paraId="405E5AB9">
      <w:pPr>
        <w:widowControl/>
        <w:spacing w:line="360" w:lineRule="auto"/>
        <w:ind w:firstLine="472" w:firstLineChars="196"/>
        <w:jc w:val="left"/>
        <w:rPr>
          <w:rFonts w:hint="eastAsia" w:ascii="仿宋" w:hAnsi="仿宋" w:eastAsia="仿宋" w:cs="仿宋"/>
          <w:color w:val="auto"/>
          <w:sz w:val="24"/>
          <w:szCs w:val="24"/>
        </w:rPr>
      </w:pPr>
      <w:r>
        <w:rPr>
          <w:rFonts w:hint="eastAsia" w:ascii="仿宋" w:hAnsi="仿宋" w:eastAsia="仿宋" w:cs="仿宋"/>
          <w:b/>
          <w:color w:val="auto"/>
          <w:sz w:val="24"/>
          <w:szCs w:val="24"/>
        </w:rPr>
        <w:t>B.</w:t>
      </w:r>
      <w:r>
        <w:rPr>
          <w:rFonts w:hint="eastAsia" w:ascii="仿宋" w:hAnsi="仿宋" w:eastAsia="仿宋" w:cs="仿宋"/>
          <w:color w:val="auto"/>
          <w:sz w:val="24"/>
          <w:szCs w:val="24"/>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8E98881">
      <w:pPr>
        <w:spacing w:line="360" w:lineRule="auto"/>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zh-CN"/>
        </w:rPr>
        <w:br w:type="page"/>
      </w:r>
      <w:r>
        <w:rPr>
          <w:rFonts w:hint="eastAsia" w:ascii="仿宋" w:hAnsi="仿宋" w:eastAsia="仿宋" w:cs="仿宋"/>
          <w:b/>
          <w:color w:val="auto"/>
          <w:kern w:val="0"/>
          <w:sz w:val="32"/>
          <w:szCs w:val="32"/>
        </w:rPr>
        <w:t>三、本项目的特定资格要求</w:t>
      </w:r>
    </w:p>
    <w:p w14:paraId="0E657DFE">
      <w:pPr>
        <w:spacing w:line="360" w:lineRule="auto"/>
        <w:jc w:val="center"/>
        <w:rPr>
          <w:rFonts w:hint="eastAsia" w:ascii="仿宋" w:hAnsi="仿宋" w:eastAsia="仿宋" w:cs="仿宋"/>
          <w:b/>
          <w:color w:val="auto"/>
          <w:kern w:val="0"/>
          <w:sz w:val="24"/>
          <w:szCs w:val="24"/>
        </w:rPr>
      </w:pPr>
      <w:r>
        <w:rPr>
          <w:rFonts w:hint="eastAsia" w:ascii="仿宋" w:hAnsi="仿宋" w:eastAsia="仿宋" w:cs="仿宋"/>
          <w:color w:val="auto"/>
          <w:sz w:val="24"/>
          <w:szCs w:val="24"/>
        </w:rPr>
        <w:t>（根据招标公告本项目的特定资格要求提供相应的材料；未要求的，无需提供）</w:t>
      </w:r>
    </w:p>
    <w:p w14:paraId="27C2103B">
      <w:pP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br w:type="page"/>
      </w:r>
    </w:p>
    <w:p w14:paraId="7AC64FEC">
      <w:pPr>
        <w:spacing w:line="360" w:lineRule="auto"/>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32"/>
          <w:szCs w:val="32"/>
        </w:rPr>
        <w:t>商务技术文件部分</w:t>
      </w:r>
    </w:p>
    <w:p w14:paraId="04E28408">
      <w:pPr>
        <w:spacing w:line="360" w:lineRule="auto"/>
        <w:ind w:left="3990" w:leftChars="1900"/>
        <w:outlineLvl w:val="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目 录</w:t>
      </w:r>
    </w:p>
    <w:p w14:paraId="23BBF93D">
      <w:pPr>
        <w:snapToGrid w:val="0"/>
        <w:spacing w:line="360" w:lineRule="auto"/>
        <w:ind w:firstLine="960" w:firstLineChars="400"/>
        <w:rPr>
          <w:rFonts w:hint="eastAsia" w:ascii="仿宋" w:hAnsi="仿宋" w:eastAsia="仿宋" w:cs="仿宋"/>
          <w:color w:val="auto"/>
          <w:sz w:val="24"/>
          <w:szCs w:val="24"/>
        </w:rPr>
      </w:pPr>
    </w:p>
    <w:p w14:paraId="4DB6DE3D">
      <w:pPr>
        <w:adjustRightInd w:val="0"/>
        <w:snapToGrid w:val="0"/>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1 符合性自查表；</w:t>
      </w:r>
    </w:p>
    <w:p w14:paraId="5A3BEC1C">
      <w:pPr>
        <w:adjustRightInd w:val="0"/>
        <w:snapToGrid w:val="0"/>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2 投标函；</w:t>
      </w:r>
      <w:r>
        <w:rPr>
          <w:rFonts w:hint="eastAsia" w:ascii="仿宋" w:hAnsi="仿宋" w:eastAsia="仿宋" w:cs="仿宋"/>
          <w:color w:val="auto"/>
          <w:sz w:val="24"/>
          <w:szCs w:val="24"/>
          <w:lang w:val="zh-CN"/>
        </w:rPr>
        <w:t xml:space="preserve"> </w:t>
      </w:r>
    </w:p>
    <w:p w14:paraId="45AF2488">
      <w:pPr>
        <w:adjustRightInd w:val="0"/>
        <w:snapToGrid w:val="0"/>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3 授权委托书；</w:t>
      </w:r>
    </w:p>
    <w:p w14:paraId="7A4801B9">
      <w:pPr>
        <w:adjustRightInd w:val="0"/>
        <w:snapToGrid w:val="0"/>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4 供应商情况表；</w:t>
      </w:r>
    </w:p>
    <w:p w14:paraId="063A205D">
      <w:pPr>
        <w:adjustRightInd w:val="0"/>
        <w:snapToGrid w:val="0"/>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5 距采购人最近或者能为本项目提供最优服务的网点情况表；</w:t>
      </w:r>
    </w:p>
    <w:p w14:paraId="59A1F9C2">
      <w:pPr>
        <w:adjustRightInd w:val="0"/>
        <w:snapToGrid w:val="0"/>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6 评标标准相应的商务技术资料；</w:t>
      </w:r>
    </w:p>
    <w:p w14:paraId="013584F8">
      <w:pPr>
        <w:adjustRightInd w:val="0"/>
        <w:snapToGrid w:val="0"/>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7 商务偏离表；</w:t>
      </w:r>
    </w:p>
    <w:p w14:paraId="3636EB32">
      <w:pPr>
        <w:adjustRightInd w:val="0"/>
        <w:snapToGrid w:val="0"/>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8 技术偏离表；</w:t>
      </w:r>
    </w:p>
    <w:p w14:paraId="73D24321">
      <w:pPr>
        <w:adjustRightInd w:val="0"/>
        <w:snapToGrid w:val="0"/>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9 同类业绩情况一览表；</w:t>
      </w:r>
    </w:p>
    <w:p w14:paraId="34CA1158">
      <w:pPr>
        <w:adjustRightInd w:val="0"/>
        <w:snapToGrid w:val="0"/>
        <w:spacing w:line="360" w:lineRule="auto"/>
        <w:ind w:firstLine="720" w:firstLineChars="300"/>
        <w:rPr>
          <w:rFonts w:hint="eastAsia" w:ascii="仿宋" w:hAnsi="仿宋" w:eastAsia="仿宋" w:cs="仿宋"/>
          <w:color w:val="auto"/>
          <w:sz w:val="24"/>
          <w:szCs w:val="24"/>
          <w:lang w:val="zh-CN"/>
        </w:rPr>
      </w:pPr>
      <w:r>
        <w:rPr>
          <w:rFonts w:hint="eastAsia" w:ascii="仿宋" w:hAnsi="仿宋" w:eastAsia="仿宋" w:cs="仿宋"/>
          <w:color w:val="auto"/>
          <w:sz w:val="24"/>
          <w:szCs w:val="24"/>
        </w:rPr>
        <w:t xml:space="preserve">10 </w:t>
      </w:r>
      <w:r>
        <w:rPr>
          <w:rFonts w:hint="eastAsia" w:ascii="仿宋" w:hAnsi="仿宋" w:eastAsia="仿宋" w:cs="仿宋"/>
          <w:color w:val="auto"/>
          <w:sz w:val="24"/>
          <w:szCs w:val="24"/>
          <w:lang w:val="zh-CN"/>
        </w:rPr>
        <w:t>政府采购供应商廉洁自律承诺书；</w:t>
      </w:r>
    </w:p>
    <w:p w14:paraId="1474EB55">
      <w:pPr>
        <w:adjustRightInd w:val="0"/>
        <w:snapToGrid w:val="0"/>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11 其他资料。</w:t>
      </w:r>
    </w:p>
    <w:p w14:paraId="30EEA821">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03FA15D1">
      <w:pPr>
        <w:pStyle w:val="21"/>
        <w:ind w:firstLine="482"/>
        <w:rPr>
          <w:rFonts w:hint="eastAsia" w:ascii="仿宋" w:hAnsi="仿宋" w:eastAsia="仿宋" w:cs="仿宋"/>
          <w:color w:val="auto"/>
          <w:sz w:val="24"/>
          <w:szCs w:val="24"/>
        </w:rPr>
      </w:pPr>
    </w:p>
    <w:p w14:paraId="0AABD507">
      <w:pPr>
        <w:numPr>
          <w:ilvl w:val="0"/>
          <w:numId w:val="8"/>
        </w:numPr>
        <w:snapToGrid w:val="0"/>
        <w:spacing w:line="360" w:lineRule="auto"/>
        <w:jc w:val="center"/>
        <w:outlineLvl w:val="0"/>
        <w:rPr>
          <w:rFonts w:hint="eastAsia" w:ascii="仿宋" w:hAnsi="仿宋" w:eastAsia="仿宋" w:cs="仿宋"/>
          <w:b/>
          <w:color w:val="auto"/>
          <w:kern w:val="0"/>
          <w:sz w:val="24"/>
          <w:szCs w:val="24"/>
        </w:rPr>
      </w:pPr>
      <w:r>
        <w:rPr>
          <w:rFonts w:hint="eastAsia" w:ascii="仿宋" w:hAnsi="仿宋" w:eastAsia="仿宋" w:cs="仿宋"/>
          <w:b/>
          <w:color w:val="auto"/>
          <w:kern w:val="0"/>
          <w:sz w:val="32"/>
          <w:szCs w:val="32"/>
        </w:rPr>
        <w:t>符合性自查表</w:t>
      </w:r>
    </w:p>
    <w:tbl>
      <w:tblPr>
        <w:tblStyle w:val="23"/>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7B33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27C7D92E">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4103" w:type="dxa"/>
            <w:vAlign w:val="center"/>
          </w:tcPr>
          <w:p w14:paraId="54AE9ACA">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实质性要求</w:t>
            </w:r>
          </w:p>
        </w:tc>
        <w:tc>
          <w:tcPr>
            <w:tcW w:w="2518" w:type="dxa"/>
            <w:vAlign w:val="center"/>
          </w:tcPr>
          <w:p w14:paraId="74D99E76">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需要提供的符合性审查资料</w:t>
            </w:r>
          </w:p>
        </w:tc>
        <w:tc>
          <w:tcPr>
            <w:tcW w:w="1185" w:type="dxa"/>
            <w:vAlign w:val="center"/>
          </w:tcPr>
          <w:p w14:paraId="03847EBA">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自查结论</w:t>
            </w:r>
          </w:p>
        </w:tc>
        <w:tc>
          <w:tcPr>
            <w:tcW w:w="1785" w:type="dxa"/>
            <w:vAlign w:val="center"/>
          </w:tcPr>
          <w:p w14:paraId="3445F1BF">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投标文件中的</w:t>
            </w:r>
          </w:p>
          <w:p w14:paraId="2F7DBDE9">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页码位置</w:t>
            </w:r>
          </w:p>
        </w:tc>
      </w:tr>
      <w:tr w14:paraId="1A65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39B32AA0">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103" w:type="dxa"/>
            <w:vAlign w:val="center"/>
          </w:tcPr>
          <w:p w14:paraId="7BABA32C">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投标文件按照招标文件要求签署、盖章。</w:t>
            </w:r>
          </w:p>
        </w:tc>
        <w:tc>
          <w:tcPr>
            <w:tcW w:w="2518" w:type="dxa"/>
            <w:vAlign w:val="center"/>
          </w:tcPr>
          <w:p w14:paraId="49D539A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需要使用电子签名或者签字盖章的投标文件的组成部分</w:t>
            </w:r>
          </w:p>
        </w:tc>
        <w:tc>
          <w:tcPr>
            <w:tcW w:w="1185" w:type="dxa"/>
            <w:vAlign w:val="center"/>
          </w:tcPr>
          <w:p w14:paraId="420A4FDA">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□通过 </w:t>
            </w:r>
          </w:p>
          <w:p w14:paraId="63755894">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□不通过</w:t>
            </w:r>
          </w:p>
        </w:tc>
        <w:tc>
          <w:tcPr>
            <w:tcW w:w="1785" w:type="dxa"/>
            <w:vAlign w:val="center"/>
          </w:tcPr>
          <w:p w14:paraId="3050D04D">
            <w:pPr>
              <w:spacing w:line="360" w:lineRule="auto"/>
              <w:rPr>
                <w:rFonts w:hint="eastAsia" w:ascii="仿宋" w:hAnsi="仿宋" w:eastAsia="仿宋" w:cs="仿宋"/>
                <w:color w:val="auto"/>
                <w:sz w:val="24"/>
                <w:szCs w:val="24"/>
              </w:rPr>
            </w:pPr>
          </w:p>
          <w:p w14:paraId="5B86B0C2">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见投标文件</w:t>
            </w:r>
          </w:p>
          <w:p w14:paraId="31A1072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r w14:paraId="407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273F6077">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103" w:type="dxa"/>
            <w:vAlign w:val="center"/>
          </w:tcPr>
          <w:p w14:paraId="2D1E0A14">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投标文件中承诺的投标有效期不少于招标文件中载明的投标有效期。</w:t>
            </w:r>
          </w:p>
        </w:tc>
        <w:tc>
          <w:tcPr>
            <w:tcW w:w="2518" w:type="dxa"/>
            <w:vAlign w:val="center"/>
          </w:tcPr>
          <w:p w14:paraId="1CBB53D2">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投标函</w:t>
            </w:r>
          </w:p>
        </w:tc>
        <w:tc>
          <w:tcPr>
            <w:tcW w:w="1185" w:type="dxa"/>
            <w:vAlign w:val="center"/>
          </w:tcPr>
          <w:p w14:paraId="46510152">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□通过 </w:t>
            </w:r>
          </w:p>
          <w:p w14:paraId="7529FA0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□不通过</w:t>
            </w:r>
          </w:p>
        </w:tc>
        <w:tc>
          <w:tcPr>
            <w:tcW w:w="1785" w:type="dxa"/>
            <w:vAlign w:val="center"/>
          </w:tcPr>
          <w:p w14:paraId="7AB3D70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见投标文件第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r w14:paraId="71CB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17CA31BE">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103" w:type="dxa"/>
            <w:vAlign w:val="center"/>
          </w:tcPr>
          <w:p w14:paraId="710A16A5">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投标文件满足招标文件的其它实质性要求。</w:t>
            </w:r>
          </w:p>
        </w:tc>
        <w:tc>
          <w:tcPr>
            <w:tcW w:w="2518" w:type="dxa"/>
            <w:vAlign w:val="center"/>
          </w:tcPr>
          <w:p w14:paraId="403C1E42">
            <w:pPr>
              <w:spacing w:line="360" w:lineRule="auto"/>
              <w:rPr>
                <w:rFonts w:hint="eastAsia" w:ascii="仿宋" w:hAnsi="仿宋" w:eastAsia="仿宋" w:cs="仿宋"/>
                <w:color w:val="auto"/>
                <w:sz w:val="24"/>
                <w:szCs w:val="24"/>
              </w:rPr>
            </w:pPr>
            <w:r>
              <w:rPr>
                <w:rFonts w:hint="eastAsia" w:ascii="仿宋" w:hAnsi="仿宋" w:eastAsia="仿宋" w:cs="仿宋"/>
                <w:color w:val="auto"/>
                <w:kern w:val="0"/>
                <w:sz w:val="24"/>
                <w:szCs w:val="24"/>
              </w:rPr>
              <w:t>招标文件其它实质性要求相应的材料（“▲” 系指实质性要求条款，招标文件无其它实质性要求的，无需提供）</w:t>
            </w:r>
          </w:p>
        </w:tc>
        <w:tc>
          <w:tcPr>
            <w:tcW w:w="1185" w:type="dxa"/>
            <w:vAlign w:val="center"/>
          </w:tcPr>
          <w:p w14:paraId="21F836C1">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□通过 </w:t>
            </w:r>
          </w:p>
          <w:p w14:paraId="1AE4334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□不通过</w:t>
            </w:r>
          </w:p>
        </w:tc>
        <w:tc>
          <w:tcPr>
            <w:tcW w:w="1785" w:type="dxa"/>
            <w:vAlign w:val="center"/>
          </w:tcPr>
          <w:p w14:paraId="4873C3E6">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见投标文件第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r w14:paraId="545A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06B0C880">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4103" w:type="dxa"/>
            <w:vAlign w:val="center"/>
          </w:tcPr>
          <w:p w14:paraId="1FA577E3">
            <w:pPr>
              <w:snapToGrid w:val="0"/>
              <w:spacing w:line="360" w:lineRule="auto"/>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投标文件没有招标文件中规定的其它无效投标条款的。</w:t>
            </w:r>
          </w:p>
        </w:tc>
        <w:tc>
          <w:tcPr>
            <w:tcW w:w="2518" w:type="dxa"/>
            <w:vAlign w:val="center"/>
          </w:tcPr>
          <w:p w14:paraId="48AF89E9">
            <w:pPr>
              <w:spacing w:line="360" w:lineRule="auto"/>
              <w:rPr>
                <w:rFonts w:hint="eastAsia" w:ascii="仿宋" w:hAnsi="仿宋" w:eastAsia="仿宋" w:cs="仿宋"/>
                <w:color w:val="auto"/>
                <w:kern w:val="0"/>
                <w:sz w:val="24"/>
                <w:szCs w:val="24"/>
              </w:rPr>
            </w:pPr>
          </w:p>
        </w:tc>
        <w:tc>
          <w:tcPr>
            <w:tcW w:w="1185" w:type="dxa"/>
            <w:vAlign w:val="center"/>
          </w:tcPr>
          <w:p w14:paraId="4630FE4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□通过 </w:t>
            </w:r>
          </w:p>
          <w:p w14:paraId="613A3AD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□不通过</w:t>
            </w:r>
          </w:p>
        </w:tc>
        <w:tc>
          <w:tcPr>
            <w:tcW w:w="1785" w:type="dxa"/>
            <w:vAlign w:val="center"/>
          </w:tcPr>
          <w:p w14:paraId="67B2296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见投标文件第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r w14:paraId="1CCE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45F59164">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4103" w:type="dxa"/>
            <w:vAlign w:val="center"/>
          </w:tcPr>
          <w:p w14:paraId="1ACF4A14">
            <w:pPr>
              <w:snapToGrid w:val="0"/>
              <w:spacing w:line="360" w:lineRule="auto"/>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按有关法律、法规、规章不属于投标无效的。</w:t>
            </w:r>
          </w:p>
        </w:tc>
        <w:tc>
          <w:tcPr>
            <w:tcW w:w="2518" w:type="dxa"/>
            <w:vAlign w:val="center"/>
          </w:tcPr>
          <w:p w14:paraId="6D94AB9B">
            <w:pPr>
              <w:spacing w:line="360" w:lineRule="auto"/>
              <w:rPr>
                <w:rFonts w:hint="eastAsia" w:ascii="仿宋" w:hAnsi="仿宋" w:eastAsia="仿宋" w:cs="仿宋"/>
                <w:color w:val="auto"/>
                <w:kern w:val="0"/>
                <w:sz w:val="24"/>
                <w:szCs w:val="24"/>
              </w:rPr>
            </w:pPr>
          </w:p>
        </w:tc>
        <w:tc>
          <w:tcPr>
            <w:tcW w:w="1185" w:type="dxa"/>
            <w:vAlign w:val="center"/>
          </w:tcPr>
          <w:p w14:paraId="1F9A0A3D">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□通过 </w:t>
            </w:r>
          </w:p>
          <w:p w14:paraId="48B0FC64">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□不通过</w:t>
            </w:r>
          </w:p>
        </w:tc>
        <w:tc>
          <w:tcPr>
            <w:tcW w:w="1785" w:type="dxa"/>
            <w:vAlign w:val="center"/>
          </w:tcPr>
          <w:p w14:paraId="315799B1">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见投标文件第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r w14:paraId="6885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4759F587">
            <w:pPr>
              <w:spacing w:line="360" w:lineRule="auto"/>
              <w:jc w:val="center"/>
              <w:rPr>
                <w:rFonts w:hint="eastAsia" w:ascii="仿宋" w:hAnsi="仿宋" w:eastAsia="仿宋" w:cs="仿宋"/>
                <w:color w:val="auto"/>
                <w:sz w:val="24"/>
                <w:szCs w:val="24"/>
              </w:rPr>
            </w:pPr>
          </w:p>
        </w:tc>
        <w:tc>
          <w:tcPr>
            <w:tcW w:w="4103" w:type="dxa"/>
            <w:vAlign w:val="center"/>
          </w:tcPr>
          <w:p w14:paraId="1B859A5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518" w:type="dxa"/>
            <w:vAlign w:val="center"/>
          </w:tcPr>
          <w:p w14:paraId="3685B89E">
            <w:pPr>
              <w:spacing w:line="360" w:lineRule="auto"/>
              <w:rPr>
                <w:rFonts w:hint="eastAsia" w:ascii="仿宋" w:hAnsi="仿宋" w:eastAsia="仿宋" w:cs="仿宋"/>
                <w:color w:val="auto"/>
                <w:kern w:val="0"/>
                <w:sz w:val="24"/>
                <w:szCs w:val="24"/>
              </w:rPr>
            </w:pPr>
          </w:p>
        </w:tc>
        <w:tc>
          <w:tcPr>
            <w:tcW w:w="1185" w:type="dxa"/>
          </w:tcPr>
          <w:p w14:paraId="26F2587A">
            <w:pPr>
              <w:spacing w:line="360" w:lineRule="auto"/>
              <w:rPr>
                <w:rFonts w:hint="eastAsia" w:ascii="仿宋" w:hAnsi="仿宋" w:eastAsia="仿宋" w:cs="仿宋"/>
                <w:color w:val="auto"/>
                <w:sz w:val="24"/>
                <w:szCs w:val="24"/>
              </w:rPr>
            </w:pPr>
          </w:p>
        </w:tc>
        <w:tc>
          <w:tcPr>
            <w:tcW w:w="1785" w:type="dxa"/>
            <w:vAlign w:val="center"/>
          </w:tcPr>
          <w:p w14:paraId="490F5877">
            <w:pPr>
              <w:spacing w:line="360" w:lineRule="auto"/>
              <w:rPr>
                <w:rFonts w:hint="eastAsia" w:ascii="仿宋" w:hAnsi="仿宋" w:eastAsia="仿宋" w:cs="仿宋"/>
                <w:color w:val="auto"/>
                <w:sz w:val="24"/>
                <w:szCs w:val="24"/>
              </w:rPr>
            </w:pPr>
          </w:p>
        </w:tc>
      </w:tr>
    </w:tbl>
    <w:p w14:paraId="7183FE70">
      <w:pPr>
        <w:snapToGrid w:val="0"/>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59F6DB70">
      <w:pPr>
        <w:numPr>
          <w:ilvl w:val="0"/>
          <w:numId w:val="8"/>
        </w:numPr>
        <w:snapToGrid w:val="0"/>
        <w:spacing w:line="360" w:lineRule="auto"/>
        <w:jc w:val="center"/>
        <w:outlineLvl w:val="0"/>
        <w:rPr>
          <w:rFonts w:hint="eastAsia" w:ascii="仿宋" w:hAnsi="仿宋" w:eastAsia="仿宋" w:cs="仿宋"/>
          <w:b/>
          <w:color w:val="auto"/>
          <w:sz w:val="24"/>
          <w:szCs w:val="24"/>
        </w:rPr>
      </w:pPr>
      <w:r>
        <w:rPr>
          <w:rFonts w:hint="eastAsia" w:ascii="仿宋" w:hAnsi="仿宋" w:eastAsia="仿宋" w:cs="仿宋"/>
          <w:b/>
          <w:color w:val="auto"/>
          <w:kern w:val="0"/>
          <w:sz w:val="24"/>
          <w:szCs w:val="24"/>
        </w:rPr>
        <w:br w:type="page"/>
      </w:r>
      <w:r>
        <w:rPr>
          <w:rFonts w:hint="eastAsia" w:ascii="仿宋" w:hAnsi="仿宋" w:eastAsia="仿宋" w:cs="仿宋"/>
          <w:b/>
          <w:color w:val="auto"/>
          <w:kern w:val="0"/>
          <w:sz w:val="32"/>
          <w:szCs w:val="32"/>
        </w:rPr>
        <w:t>投标</w:t>
      </w:r>
      <w:r>
        <w:rPr>
          <w:rFonts w:hint="eastAsia" w:ascii="仿宋" w:hAnsi="仿宋" w:eastAsia="仿宋" w:cs="仿宋"/>
          <w:b/>
          <w:color w:val="auto"/>
          <w:sz w:val="32"/>
          <w:szCs w:val="32"/>
        </w:rPr>
        <w:t>函</w:t>
      </w:r>
    </w:p>
    <w:p w14:paraId="6449C6F4">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p>
    <w:p w14:paraId="75B2839D">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我方参加你方组织的（项目名称）【招标编号：（采购编号）】招标的有关活动，并对此项目进行投标。为此：</w:t>
      </w:r>
    </w:p>
    <w:p w14:paraId="755A1BB4">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1、我方承诺投标有效期从提交投标文件的截止之日起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天（不少于90天），本投标文件在投标有效期满之前均具有约束力。</w:t>
      </w:r>
    </w:p>
    <w:p w14:paraId="7AF78A26">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2、我方的投标文件包括以下内容：</w:t>
      </w:r>
    </w:p>
    <w:p w14:paraId="1AB80161">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2.1资格文件：</w:t>
      </w:r>
    </w:p>
    <w:p w14:paraId="56A559AB">
      <w:pPr>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2.1.1有效的企业法人营业执照（或事业法人登记证）、其他组织（个体工商户）的营业执照或者民办非企业单位登记证书；</w:t>
      </w:r>
    </w:p>
    <w:p w14:paraId="7A6F1BE3">
      <w:pPr>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2.1.2符合参加政府采购活动应当具备的一般条件的承诺函落实政府采购政策需满足的资格要求（如果有）；</w:t>
      </w:r>
    </w:p>
    <w:p w14:paraId="34159AD8">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2.1.3落实政府采购政策需满足的资格要求；</w:t>
      </w:r>
    </w:p>
    <w:p w14:paraId="0E8A2F2F">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2.1.4联合协议（如果有）；</w:t>
      </w:r>
    </w:p>
    <w:p w14:paraId="6B41F1DC">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2.1.5分包意向协议（如果有）；</w:t>
      </w:r>
    </w:p>
    <w:p w14:paraId="15FEDB5A">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2.1.6本项目的特定资格要求。</w:t>
      </w:r>
    </w:p>
    <w:p w14:paraId="6852224D">
      <w:pPr>
        <w:snapToGrid w:val="0"/>
        <w:spacing w:line="360" w:lineRule="auto"/>
        <w:ind w:left="210" w:leftChars="10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 xml:space="preserve"> </w:t>
      </w:r>
      <w:r>
        <w:rPr>
          <w:rFonts w:hint="eastAsia" w:ascii="仿宋" w:hAnsi="仿宋" w:eastAsia="仿宋" w:cs="仿宋"/>
          <w:color w:val="auto"/>
          <w:sz w:val="24"/>
          <w:szCs w:val="24"/>
        </w:rPr>
        <w:t>商务技术</w:t>
      </w:r>
      <w:r>
        <w:rPr>
          <w:rFonts w:hint="eastAsia" w:ascii="仿宋" w:hAnsi="仿宋" w:eastAsia="仿宋" w:cs="仿宋"/>
          <w:color w:val="auto"/>
          <w:sz w:val="24"/>
          <w:szCs w:val="24"/>
          <w:lang w:val="zh-CN"/>
        </w:rPr>
        <w:t>文件：</w:t>
      </w:r>
    </w:p>
    <w:p w14:paraId="7986C093">
      <w:pPr>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2.2.1 符合性自查表；</w:t>
      </w:r>
    </w:p>
    <w:p w14:paraId="38B931B6">
      <w:pPr>
        <w:snapToGrid w:val="0"/>
        <w:spacing w:line="360" w:lineRule="auto"/>
        <w:ind w:left="420" w:leftChars="20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2.2.2 投标函；</w:t>
      </w:r>
      <w:r>
        <w:rPr>
          <w:rFonts w:hint="eastAsia" w:ascii="仿宋" w:hAnsi="仿宋" w:eastAsia="仿宋" w:cs="仿宋"/>
          <w:color w:val="auto"/>
          <w:sz w:val="24"/>
          <w:szCs w:val="24"/>
          <w:lang w:val="zh-CN"/>
        </w:rPr>
        <w:t xml:space="preserve"> </w:t>
      </w:r>
    </w:p>
    <w:p w14:paraId="7DD8C7D8">
      <w:pPr>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2.2.3 授权委托书；</w:t>
      </w:r>
    </w:p>
    <w:p w14:paraId="3A194A89">
      <w:pPr>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2.2.4 供应商情况表；</w:t>
      </w:r>
    </w:p>
    <w:p w14:paraId="39D21B1C">
      <w:pPr>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2.2.5 距采购人最近或者能为本项目提供最优服务的网点情况表；</w:t>
      </w:r>
    </w:p>
    <w:p w14:paraId="5E4ECD2D">
      <w:pPr>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2.2.6 评标标准相应的商务技术资料；</w:t>
      </w:r>
    </w:p>
    <w:p w14:paraId="6C5E69CA">
      <w:pPr>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7 商务偏离表；</w:t>
      </w:r>
    </w:p>
    <w:p w14:paraId="5A1BBF14">
      <w:pPr>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8 技术偏离表；</w:t>
      </w:r>
    </w:p>
    <w:p w14:paraId="08A785C8">
      <w:pPr>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9 同类业绩情况一览表；</w:t>
      </w:r>
    </w:p>
    <w:p w14:paraId="49799512">
      <w:pPr>
        <w:snapToGrid w:val="0"/>
        <w:spacing w:line="360" w:lineRule="auto"/>
        <w:ind w:left="420" w:leftChars="20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 xml:space="preserve">2.2.10 </w:t>
      </w:r>
      <w:r>
        <w:rPr>
          <w:rFonts w:hint="eastAsia" w:ascii="仿宋" w:hAnsi="仿宋" w:eastAsia="仿宋" w:cs="仿宋"/>
          <w:color w:val="auto"/>
          <w:sz w:val="24"/>
          <w:szCs w:val="24"/>
          <w:lang w:val="zh-CN"/>
        </w:rPr>
        <w:t>政府采购供应商廉洁自律承诺书；</w:t>
      </w:r>
    </w:p>
    <w:p w14:paraId="29D072C6">
      <w:pPr>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2.2.11 其他资料。</w:t>
      </w:r>
    </w:p>
    <w:p w14:paraId="4B2A0C4F">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3报价文件</w:t>
      </w:r>
    </w:p>
    <w:p w14:paraId="684A640C">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2.3.1 开标一览表；</w:t>
      </w:r>
    </w:p>
    <w:p w14:paraId="51B4CCAD">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2.3.2投标报价明细表；</w:t>
      </w:r>
    </w:p>
    <w:p w14:paraId="49742C3C">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2.3.3 中小企业声明函（如有）；</w:t>
      </w:r>
    </w:p>
    <w:p w14:paraId="27A66FC1">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2.3.4 残疾人福利性单位声明函（如有）；</w:t>
      </w:r>
    </w:p>
    <w:p w14:paraId="34B0D0CC">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2.3.5 监狱企业的证明文件（如有）；</w:t>
      </w:r>
    </w:p>
    <w:p w14:paraId="1E0A3658">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2.3.6 政府采购统计基础信息表。</w:t>
      </w:r>
    </w:p>
    <w:p w14:paraId="409F67D6">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3、我方承诺除商务技术偏离表列出的偏离外，我方响应招标文件的全部要求。</w:t>
      </w:r>
    </w:p>
    <w:p w14:paraId="77B05CA4">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4、如我方中标，我方承诺：</w:t>
      </w:r>
    </w:p>
    <w:p w14:paraId="56B8D683">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4.1在收到中标通知书后，在中标通知书规定的期限内与你方签订合同； </w:t>
      </w:r>
    </w:p>
    <w:p w14:paraId="31767D5C">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4.2在签订合同时不向你方提出附加条件； </w:t>
      </w:r>
    </w:p>
    <w:p w14:paraId="0738A810">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4.3按照招标文件要求提交履约保证金； </w:t>
      </w:r>
    </w:p>
    <w:p w14:paraId="5C476842">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4.4在合同约定的期限内完成合同规定的全部义务。 </w:t>
      </w:r>
    </w:p>
    <w:p w14:paraId="6F515536">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5、其他补充说明: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045022DF">
      <w:pPr>
        <w:spacing w:line="360" w:lineRule="auto"/>
        <w:ind w:firstLine="3600" w:firstLineChars="1500"/>
        <w:rPr>
          <w:rFonts w:hint="eastAsia" w:ascii="仿宋" w:hAnsi="仿宋" w:eastAsia="仿宋" w:cs="仿宋"/>
          <w:color w:val="auto"/>
          <w:sz w:val="24"/>
          <w:szCs w:val="24"/>
        </w:rPr>
      </w:pPr>
    </w:p>
    <w:p w14:paraId="0BE09D33">
      <w:pPr>
        <w:spacing w:line="360" w:lineRule="auto"/>
        <w:ind w:firstLine="3600" w:firstLineChars="1500"/>
        <w:rPr>
          <w:rFonts w:hint="eastAsia" w:ascii="仿宋" w:hAnsi="仿宋" w:eastAsia="仿宋" w:cs="仿宋"/>
          <w:color w:val="auto"/>
          <w:sz w:val="24"/>
          <w:szCs w:val="24"/>
        </w:rPr>
      </w:pPr>
    </w:p>
    <w:p w14:paraId="1E04A2E0">
      <w:pPr>
        <w:spacing w:line="360" w:lineRule="auto"/>
        <w:ind w:right="420" w:firstLine="6000" w:firstLineChars="2500"/>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法定代表人（签名或印章）：     </w:t>
      </w:r>
    </w:p>
    <w:p w14:paraId="6E03AFC2">
      <w:pPr>
        <w:spacing w:line="360" w:lineRule="auto"/>
        <w:ind w:right="420" w:firstLine="6240" w:firstLineChars="2600"/>
        <w:rPr>
          <w:rFonts w:hint="eastAsia" w:ascii="仿宋" w:hAnsi="仿宋" w:eastAsia="仿宋" w:cs="仿宋"/>
          <w:color w:val="auto"/>
          <w:sz w:val="24"/>
          <w:szCs w:val="24"/>
        </w:rPr>
      </w:pPr>
      <w:r>
        <w:rPr>
          <w:rFonts w:hint="eastAsia" w:ascii="仿宋" w:hAnsi="仿宋" w:eastAsia="仿宋" w:cs="仿宋"/>
          <w:color w:val="auto"/>
          <w:sz w:val="24"/>
          <w:szCs w:val="24"/>
        </w:rPr>
        <w:t xml:space="preserve">投标人（盖章）：   </w:t>
      </w:r>
    </w:p>
    <w:p w14:paraId="2D0E7419">
      <w:pPr>
        <w:spacing w:line="360" w:lineRule="auto"/>
        <w:ind w:right="420" w:firstLine="6120" w:firstLineChars="2550"/>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p w14:paraId="0F10228E">
      <w:pPr>
        <w:spacing w:line="360" w:lineRule="auto"/>
        <w:jc w:val="center"/>
        <w:rPr>
          <w:rFonts w:hint="eastAsia" w:ascii="仿宋" w:hAnsi="仿宋" w:eastAsia="仿宋" w:cs="仿宋"/>
          <w:b/>
          <w:color w:val="auto"/>
          <w:kern w:val="0"/>
          <w:sz w:val="24"/>
          <w:szCs w:val="24"/>
        </w:rPr>
      </w:pPr>
    </w:p>
    <w:p w14:paraId="68C3EBE6">
      <w:pPr>
        <w:spacing w:line="360" w:lineRule="auto"/>
        <w:jc w:val="center"/>
        <w:rPr>
          <w:rFonts w:hint="eastAsia" w:ascii="仿宋" w:hAnsi="仿宋" w:eastAsia="仿宋" w:cs="仿宋"/>
          <w:b/>
          <w:color w:val="auto"/>
          <w:kern w:val="0"/>
          <w:sz w:val="24"/>
          <w:szCs w:val="24"/>
          <w:lang w:val="zh-CN"/>
        </w:rPr>
      </w:pPr>
    </w:p>
    <w:p w14:paraId="4DB53A29">
      <w:pPr>
        <w:spacing w:line="360" w:lineRule="auto"/>
        <w:rPr>
          <w:rFonts w:hint="eastAsia" w:ascii="仿宋" w:hAnsi="仿宋" w:eastAsia="仿宋" w:cs="仿宋"/>
          <w:b/>
          <w:color w:val="auto"/>
          <w:sz w:val="24"/>
          <w:szCs w:val="24"/>
        </w:rPr>
      </w:pPr>
      <w:bookmarkStart w:id="428" w:name="_Toc479927873"/>
      <w:bookmarkStart w:id="429" w:name="_Toc488936100"/>
      <w:bookmarkStart w:id="430" w:name="_Toc225223761"/>
      <w:bookmarkStart w:id="431" w:name="_Toc14746861"/>
      <w:bookmarkStart w:id="432" w:name="_Toc483379796"/>
      <w:bookmarkStart w:id="433" w:name="_Toc110393361"/>
    </w:p>
    <w:p w14:paraId="7EE53F5F">
      <w:pPr>
        <w:numPr>
          <w:ilvl w:val="0"/>
          <w:numId w:val="8"/>
        </w:numPr>
        <w:snapToGrid w:val="0"/>
        <w:spacing w:line="360" w:lineRule="auto"/>
        <w:jc w:val="center"/>
        <w:outlineLvl w:val="0"/>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br w:type="page"/>
      </w:r>
      <w:r>
        <w:rPr>
          <w:rFonts w:hint="eastAsia" w:ascii="仿宋" w:hAnsi="仿宋" w:eastAsia="仿宋" w:cs="仿宋"/>
          <w:b/>
          <w:color w:val="auto"/>
          <w:kern w:val="0"/>
          <w:sz w:val="32"/>
          <w:szCs w:val="32"/>
          <w:lang w:val="zh-CN"/>
        </w:rPr>
        <w:t>授权委托书</w:t>
      </w:r>
    </w:p>
    <w:p w14:paraId="58938683">
      <w:pPr>
        <w:jc w:val="left"/>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法定代表人授权委托书</w:t>
      </w:r>
    </w:p>
    <w:p w14:paraId="39CEB93A">
      <w:pPr>
        <w:jc w:val="center"/>
        <w:rPr>
          <w:rFonts w:hint="eastAsia" w:ascii="仿宋" w:hAnsi="仿宋" w:eastAsia="仿宋" w:cs="仿宋"/>
          <w:b/>
          <w:color w:val="auto"/>
          <w:sz w:val="24"/>
          <w:szCs w:val="24"/>
        </w:rPr>
      </w:pPr>
      <w:r>
        <w:rPr>
          <w:rFonts w:hint="eastAsia" w:ascii="仿宋" w:hAnsi="仿宋" w:eastAsia="仿宋" w:cs="仿宋"/>
          <w:bCs/>
          <w:color w:val="auto"/>
          <w:sz w:val="24"/>
          <w:szCs w:val="24"/>
        </w:rPr>
        <w:t>（法定代表人来投标的，此表不用）</w:t>
      </w:r>
    </w:p>
    <w:p w14:paraId="42AD766B">
      <w:pPr>
        <w:snapToGrid w:val="0"/>
        <w:spacing w:line="360" w:lineRule="auto"/>
        <w:rPr>
          <w:rFonts w:hint="eastAsia" w:ascii="仿宋" w:hAnsi="仿宋" w:eastAsia="仿宋" w:cs="仿宋"/>
          <w:bCs/>
          <w:color w:val="auto"/>
          <w:sz w:val="24"/>
          <w:szCs w:val="24"/>
        </w:rPr>
      </w:pPr>
    </w:p>
    <w:p w14:paraId="30E1791A">
      <w:pPr>
        <w:snapToGrid w:val="0"/>
        <w:spacing w:line="360" w:lineRule="auto"/>
        <w:rPr>
          <w:rFonts w:hint="eastAsia" w:ascii="仿宋" w:hAnsi="仿宋" w:eastAsia="仿宋" w:cs="仿宋"/>
          <w:color w:val="auto"/>
          <w:sz w:val="24"/>
          <w:szCs w:val="24"/>
        </w:rPr>
      </w:pPr>
      <w:r>
        <w:rPr>
          <w:rFonts w:hint="eastAsia" w:ascii="仿宋" w:hAnsi="仿宋" w:eastAsia="仿宋" w:cs="仿宋"/>
          <w:bCs/>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（采购单位名称）</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w:t>
      </w:r>
    </w:p>
    <w:p w14:paraId="5AEA5173">
      <w:pPr>
        <w:snapToGrid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（姓名）系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（投标人名称）的法定代表人，现授权委托本单位在职职工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（姓名）以我方的名义参加</w:t>
      </w:r>
      <w:r>
        <w:rPr>
          <w:rFonts w:hint="eastAsia" w:ascii="仿宋" w:hAnsi="仿宋" w:eastAsia="仿宋" w:cs="仿宋"/>
          <w:color w:val="auto"/>
          <w:sz w:val="24"/>
          <w:szCs w:val="24"/>
          <w:u w:val="single"/>
        </w:rPr>
        <w:t xml:space="preserve">                       政府采购 </w:t>
      </w:r>
      <w:r>
        <w:rPr>
          <w:rFonts w:hint="eastAsia" w:ascii="仿宋" w:hAnsi="仿宋" w:eastAsia="仿宋" w:cs="仿宋"/>
          <w:color w:val="auto"/>
          <w:sz w:val="24"/>
          <w:szCs w:val="24"/>
        </w:rPr>
        <w:t>项目的投标活动，并代表我方全权办理针对上述项目的投标、开标、评标、签约等具体事务和签署相关文件。</w:t>
      </w:r>
    </w:p>
    <w:p w14:paraId="7970DB94">
      <w:pPr>
        <w:snapToGrid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我方对被授权人的签名事项负全部责任。</w:t>
      </w:r>
    </w:p>
    <w:p w14:paraId="531BA744">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14:paraId="651646B2">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14:paraId="577712C6">
      <w:pPr>
        <w:snapToGrid w:val="0"/>
        <w:spacing w:line="360" w:lineRule="auto"/>
        <w:rPr>
          <w:rFonts w:hint="eastAsia" w:ascii="仿宋" w:hAnsi="仿宋" w:eastAsia="仿宋" w:cs="仿宋"/>
          <w:color w:val="auto"/>
          <w:sz w:val="24"/>
          <w:szCs w:val="24"/>
        </w:rPr>
      </w:pPr>
    </w:p>
    <w:p w14:paraId="697791B4">
      <w:pPr>
        <w:snapToGrid w:val="0"/>
        <w:spacing w:line="360" w:lineRule="auto"/>
        <w:rPr>
          <w:rFonts w:hint="eastAsia" w:ascii="仿宋" w:hAnsi="仿宋" w:eastAsia="仿宋" w:cs="仿宋"/>
          <w:color w:val="auto"/>
          <w:sz w:val="24"/>
          <w:szCs w:val="24"/>
        </w:rPr>
      </w:pPr>
    </w:p>
    <w:p w14:paraId="732D8D22">
      <w:pPr>
        <w:snapToGrid w:val="0"/>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被授权人签名：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法定代表人签名：</w:t>
      </w:r>
      <w:r>
        <w:rPr>
          <w:rFonts w:hint="eastAsia" w:ascii="仿宋" w:hAnsi="仿宋" w:eastAsia="仿宋" w:cs="仿宋"/>
          <w:color w:val="auto"/>
          <w:sz w:val="24"/>
          <w:szCs w:val="24"/>
          <w:u w:val="single"/>
        </w:rPr>
        <w:t xml:space="preserve">          </w:t>
      </w:r>
    </w:p>
    <w:p w14:paraId="74C4289A">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职务：</w:t>
      </w:r>
      <w:r>
        <w:rPr>
          <w:rFonts w:hint="eastAsia" w:ascii="仿宋" w:hAnsi="仿宋" w:eastAsia="仿宋" w:cs="仿宋"/>
          <w:color w:val="auto"/>
          <w:sz w:val="24"/>
          <w:szCs w:val="24"/>
          <w:u w:val="single"/>
        </w:rPr>
        <w:t xml:space="preserve">           </w:t>
      </w:r>
    </w:p>
    <w:p w14:paraId="78CC4280">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被授权人身份证号码：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260DF9D6">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068DB124">
      <w:pPr>
        <w:snapToGrid w:val="0"/>
        <w:spacing w:line="360" w:lineRule="auto"/>
        <w:rPr>
          <w:rFonts w:hint="eastAsia" w:ascii="仿宋" w:hAnsi="仿宋" w:eastAsia="仿宋" w:cs="仿宋"/>
          <w:color w:val="auto"/>
          <w:sz w:val="24"/>
          <w:szCs w:val="24"/>
        </w:rPr>
      </w:pPr>
    </w:p>
    <w:p w14:paraId="3AA49869">
      <w:pPr>
        <w:spacing w:line="360" w:lineRule="auto"/>
        <w:ind w:firstLine="5520" w:firstLineChars="2300"/>
        <w:rPr>
          <w:rFonts w:hint="eastAsia" w:ascii="仿宋" w:hAnsi="仿宋" w:eastAsia="仿宋" w:cs="仿宋"/>
          <w:color w:val="auto"/>
          <w:sz w:val="24"/>
          <w:szCs w:val="24"/>
        </w:rPr>
      </w:pPr>
      <w:r>
        <w:rPr>
          <w:rFonts w:hint="eastAsia" w:ascii="仿宋" w:hAnsi="仿宋" w:eastAsia="仿宋" w:cs="仿宋"/>
          <w:color w:val="auto"/>
          <w:sz w:val="24"/>
          <w:szCs w:val="24"/>
        </w:rPr>
        <w:t>投标人（盖章）：</w:t>
      </w:r>
    </w:p>
    <w:p w14:paraId="6B5EFA94">
      <w:pPr>
        <w:spacing w:line="360" w:lineRule="auto"/>
        <w:ind w:firstLine="1440" w:firstLineChars="600"/>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w:t>
      </w:r>
    </w:p>
    <w:p w14:paraId="37CE0962">
      <w:pPr>
        <w:spacing w:line="360" w:lineRule="auto"/>
        <w:rPr>
          <w:rFonts w:hint="eastAsia" w:ascii="仿宋" w:hAnsi="仿宋" w:eastAsia="仿宋" w:cs="仿宋"/>
          <w:b/>
          <w:color w:val="auto"/>
          <w:sz w:val="24"/>
          <w:szCs w:val="24"/>
        </w:rPr>
      </w:pPr>
    </w:p>
    <w:p w14:paraId="7AE1A9BB">
      <w:pPr>
        <w:spacing w:line="360" w:lineRule="auto"/>
        <w:rPr>
          <w:rFonts w:hint="eastAsia" w:ascii="仿宋" w:hAnsi="仿宋" w:eastAsia="仿宋" w:cs="仿宋"/>
          <w:b/>
          <w:color w:val="auto"/>
          <w:sz w:val="24"/>
          <w:szCs w:val="24"/>
        </w:rPr>
      </w:pPr>
    </w:p>
    <w:p w14:paraId="7B1BD368">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附：法定代表人身份证复印件（正反面）、授权代表身份证复印件（正反面）：</w:t>
      </w:r>
    </w:p>
    <w:p w14:paraId="0F4C971F">
      <w:pPr>
        <w:snapToGrid w:val="0"/>
        <w:spacing w:line="360" w:lineRule="auto"/>
        <w:rPr>
          <w:rFonts w:hint="eastAsia" w:ascii="仿宋" w:hAnsi="仿宋" w:eastAsia="仿宋" w:cs="仿宋"/>
          <w:color w:val="auto"/>
          <w:sz w:val="24"/>
          <w:szCs w:val="24"/>
        </w:rPr>
      </w:pPr>
    </w:p>
    <w:p w14:paraId="141F67EA">
      <w:pPr>
        <w:spacing w:line="360" w:lineRule="auto"/>
        <w:jc w:val="center"/>
        <w:rPr>
          <w:rFonts w:hint="eastAsia" w:ascii="仿宋" w:hAnsi="仿宋" w:eastAsia="仿宋" w:cs="仿宋"/>
          <w:color w:val="auto"/>
          <w:kern w:val="0"/>
          <w:sz w:val="24"/>
          <w:szCs w:val="24"/>
          <w:lang w:val="zh-CN"/>
        </w:rPr>
      </w:pPr>
      <w:r>
        <w:rPr>
          <w:rFonts w:hint="eastAsia" w:ascii="仿宋" w:hAnsi="仿宋" w:eastAsia="仿宋" w:cs="仿宋"/>
          <w:b/>
          <w:color w:val="auto"/>
          <w:kern w:val="0"/>
          <w:sz w:val="24"/>
          <w:szCs w:val="24"/>
          <w:lang w:val="zh-CN"/>
        </w:rPr>
        <w:t xml:space="preserve">      </w:t>
      </w:r>
      <w:r>
        <w:rPr>
          <w:rFonts w:hint="eastAsia" w:ascii="仿宋" w:hAnsi="仿宋" w:eastAsia="仿宋" w:cs="仿宋"/>
          <w:b/>
          <w:color w:val="auto"/>
          <w:kern w:val="0"/>
          <w:sz w:val="24"/>
          <w:szCs w:val="24"/>
        </w:rPr>
        <w:t xml:space="preserve"> </w:t>
      </w:r>
    </w:p>
    <w:p w14:paraId="2835E301">
      <w:pPr>
        <w:spacing w:line="360" w:lineRule="auto"/>
        <w:jc w:val="center"/>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br w:type="page"/>
      </w:r>
      <w:r>
        <w:rPr>
          <w:rFonts w:hint="eastAsia" w:ascii="仿宋" w:hAnsi="仿宋" w:eastAsia="仿宋" w:cs="仿宋"/>
          <w:b/>
          <w:color w:val="auto"/>
          <w:kern w:val="0"/>
          <w:sz w:val="32"/>
          <w:szCs w:val="32"/>
          <w:lang w:val="zh-CN"/>
        </w:rPr>
        <w:t>四、投标人基本情况</w:t>
      </w:r>
      <w:bookmarkEnd w:id="428"/>
      <w:bookmarkEnd w:id="429"/>
      <w:bookmarkEnd w:id="430"/>
      <w:bookmarkEnd w:id="431"/>
      <w:bookmarkEnd w:id="432"/>
      <w:bookmarkEnd w:id="433"/>
      <w:r>
        <w:rPr>
          <w:rFonts w:hint="eastAsia" w:ascii="仿宋" w:hAnsi="仿宋" w:eastAsia="仿宋" w:cs="仿宋"/>
          <w:b/>
          <w:color w:val="auto"/>
          <w:kern w:val="0"/>
          <w:sz w:val="32"/>
          <w:szCs w:val="32"/>
          <w:lang w:val="zh-CN"/>
        </w:rPr>
        <w:t>表</w:t>
      </w:r>
    </w:p>
    <w:tbl>
      <w:tblPr>
        <w:tblStyle w:val="23"/>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5F3F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C21AE20">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投标人名称</w:t>
            </w:r>
          </w:p>
        </w:tc>
        <w:tc>
          <w:tcPr>
            <w:tcW w:w="7647" w:type="dxa"/>
            <w:gridSpan w:val="5"/>
            <w:vAlign w:val="center"/>
          </w:tcPr>
          <w:p w14:paraId="36E80912">
            <w:pPr>
              <w:adjustRightInd w:val="0"/>
              <w:snapToGrid w:val="0"/>
              <w:spacing w:line="360" w:lineRule="auto"/>
              <w:rPr>
                <w:rFonts w:hint="eastAsia" w:ascii="仿宋" w:hAnsi="仿宋" w:eastAsia="仿宋" w:cs="仿宋"/>
                <w:color w:val="auto"/>
                <w:kern w:val="0"/>
                <w:sz w:val="24"/>
                <w:szCs w:val="24"/>
                <w:lang w:val="zh-CN"/>
              </w:rPr>
            </w:pPr>
          </w:p>
        </w:tc>
      </w:tr>
      <w:tr w14:paraId="53B7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B6BBB0D">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注册地址</w:t>
            </w:r>
          </w:p>
        </w:tc>
        <w:tc>
          <w:tcPr>
            <w:tcW w:w="2809" w:type="dxa"/>
            <w:gridSpan w:val="2"/>
            <w:vAlign w:val="center"/>
          </w:tcPr>
          <w:p w14:paraId="004249E8">
            <w:pPr>
              <w:adjustRightInd w:val="0"/>
              <w:snapToGrid w:val="0"/>
              <w:spacing w:line="360" w:lineRule="auto"/>
              <w:rPr>
                <w:rFonts w:hint="eastAsia" w:ascii="仿宋" w:hAnsi="仿宋" w:eastAsia="仿宋" w:cs="仿宋"/>
                <w:color w:val="auto"/>
                <w:kern w:val="0"/>
                <w:sz w:val="24"/>
                <w:szCs w:val="24"/>
                <w:lang w:val="zh-CN"/>
              </w:rPr>
            </w:pPr>
          </w:p>
        </w:tc>
        <w:tc>
          <w:tcPr>
            <w:tcW w:w="1786" w:type="dxa"/>
            <w:vAlign w:val="center"/>
          </w:tcPr>
          <w:p w14:paraId="74DE157F">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成立时间</w:t>
            </w:r>
          </w:p>
        </w:tc>
        <w:tc>
          <w:tcPr>
            <w:tcW w:w="3052" w:type="dxa"/>
            <w:gridSpan w:val="2"/>
            <w:vAlign w:val="center"/>
          </w:tcPr>
          <w:p w14:paraId="4240D256">
            <w:pPr>
              <w:adjustRightInd w:val="0"/>
              <w:snapToGrid w:val="0"/>
              <w:spacing w:line="360" w:lineRule="auto"/>
              <w:rPr>
                <w:rFonts w:hint="eastAsia" w:ascii="仿宋" w:hAnsi="仿宋" w:eastAsia="仿宋" w:cs="仿宋"/>
                <w:color w:val="auto"/>
                <w:kern w:val="0"/>
                <w:sz w:val="24"/>
                <w:szCs w:val="24"/>
                <w:lang w:val="zh-CN"/>
              </w:rPr>
            </w:pPr>
          </w:p>
        </w:tc>
      </w:tr>
      <w:tr w14:paraId="4967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C07054A">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统一信用代码</w:t>
            </w:r>
          </w:p>
        </w:tc>
        <w:tc>
          <w:tcPr>
            <w:tcW w:w="2809" w:type="dxa"/>
            <w:gridSpan w:val="2"/>
            <w:vAlign w:val="center"/>
          </w:tcPr>
          <w:p w14:paraId="1A45FE4B">
            <w:pPr>
              <w:adjustRightInd w:val="0"/>
              <w:snapToGrid w:val="0"/>
              <w:spacing w:line="360" w:lineRule="auto"/>
              <w:rPr>
                <w:rFonts w:hint="eastAsia" w:ascii="仿宋" w:hAnsi="仿宋" w:eastAsia="仿宋" w:cs="仿宋"/>
                <w:color w:val="auto"/>
                <w:kern w:val="0"/>
                <w:sz w:val="24"/>
                <w:szCs w:val="24"/>
                <w:lang w:val="zh-CN"/>
              </w:rPr>
            </w:pPr>
          </w:p>
        </w:tc>
        <w:tc>
          <w:tcPr>
            <w:tcW w:w="1786" w:type="dxa"/>
            <w:vAlign w:val="center"/>
          </w:tcPr>
          <w:p w14:paraId="22D9C82E">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注册资金</w:t>
            </w:r>
          </w:p>
        </w:tc>
        <w:tc>
          <w:tcPr>
            <w:tcW w:w="3052" w:type="dxa"/>
            <w:gridSpan w:val="2"/>
            <w:vAlign w:val="center"/>
          </w:tcPr>
          <w:p w14:paraId="76C7AA13">
            <w:pPr>
              <w:adjustRightInd w:val="0"/>
              <w:snapToGrid w:val="0"/>
              <w:spacing w:line="360" w:lineRule="auto"/>
              <w:rPr>
                <w:rFonts w:hint="eastAsia" w:ascii="仿宋" w:hAnsi="仿宋" w:eastAsia="仿宋" w:cs="仿宋"/>
                <w:color w:val="auto"/>
                <w:kern w:val="0"/>
                <w:sz w:val="24"/>
                <w:szCs w:val="24"/>
                <w:lang w:val="zh-CN"/>
              </w:rPr>
            </w:pPr>
          </w:p>
        </w:tc>
      </w:tr>
      <w:tr w14:paraId="3AF4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6B000B2">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投标联系人姓名</w:t>
            </w:r>
          </w:p>
        </w:tc>
        <w:tc>
          <w:tcPr>
            <w:tcW w:w="1936" w:type="dxa"/>
            <w:vAlign w:val="center"/>
          </w:tcPr>
          <w:p w14:paraId="452D3C3A">
            <w:pPr>
              <w:adjustRightInd w:val="0"/>
              <w:snapToGrid w:val="0"/>
              <w:spacing w:line="360" w:lineRule="auto"/>
              <w:rPr>
                <w:rFonts w:hint="eastAsia" w:ascii="仿宋" w:hAnsi="仿宋" w:eastAsia="仿宋" w:cs="仿宋"/>
                <w:color w:val="auto"/>
                <w:kern w:val="0"/>
                <w:sz w:val="24"/>
                <w:szCs w:val="24"/>
                <w:lang w:val="zh-CN"/>
              </w:rPr>
            </w:pPr>
          </w:p>
        </w:tc>
        <w:tc>
          <w:tcPr>
            <w:tcW w:w="873" w:type="dxa"/>
            <w:vAlign w:val="center"/>
          </w:tcPr>
          <w:p w14:paraId="14CCCE7B">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电话</w:t>
            </w:r>
          </w:p>
        </w:tc>
        <w:tc>
          <w:tcPr>
            <w:tcW w:w="1786" w:type="dxa"/>
            <w:vAlign w:val="center"/>
          </w:tcPr>
          <w:p w14:paraId="2B2113E9">
            <w:pPr>
              <w:adjustRightInd w:val="0"/>
              <w:snapToGrid w:val="0"/>
              <w:spacing w:line="360" w:lineRule="auto"/>
              <w:rPr>
                <w:rFonts w:hint="eastAsia" w:ascii="仿宋" w:hAnsi="仿宋" w:eastAsia="仿宋" w:cs="仿宋"/>
                <w:color w:val="auto"/>
                <w:kern w:val="0"/>
                <w:sz w:val="24"/>
                <w:szCs w:val="24"/>
                <w:lang w:val="zh-CN"/>
              </w:rPr>
            </w:pPr>
          </w:p>
        </w:tc>
        <w:tc>
          <w:tcPr>
            <w:tcW w:w="1200" w:type="dxa"/>
            <w:vAlign w:val="center"/>
          </w:tcPr>
          <w:p w14:paraId="5FBBDCB3">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手机</w:t>
            </w:r>
          </w:p>
        </w:tc>
        <w:tc>
          <w:tcPr>
            <w:tcW w:w="1852" w:type="dxa"/>
            <w:vAlign w:val="center"/>
          </w:tcPr>
          <w:p w14:paraId="45D5C005">
            <w:pPr>
              <w:adjustRightInd w:val="0"/>
              <w:snapToGrid w:val="0"/>
              <w:spacing w:line="360" w:lineRule="auto"/>
              <w:rPr>
                <w:rFonts w:hint="eastAsia" w:ascii="仿宋" w:hAnsi="仿宋" w:eastAsia="仿宋" w:cs="仿宋"/>
                <w:color w:val="auto"/>
                <w:kern w:val="0"/>
                <w:sz w:val="24"/>
                <w:szCs w:val="24"/>
                <w:lang w:val="zh-CN"/>
              </w:rPr>
            </w:pPr>
          </w:p>
        </w:tc>
      </w:tr>
      <w:tr w14:paraId="5823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DCD77FD">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法定代表人姓名</w:t>
            </w:r>
          </w:p>
        </w:tc>
        <w:tc>
          <w:tcPr>
            <w:tcW w:w="1936" w:type="dxa"/>
            <w:vAlign w:val="center"/>
          </w:tcPr>
          <w:p w14:paraId="21E654BE">
            <w:pPr>
              <w:adjustRightInd w:val="0"/>
              <w:snapToGrid w:val="0"/>
              <w:spacing w:line="360" w:lineRule="auto"/>
              <w:rPr>
                <w:rFonts w:hint="eastAsia" w:ascii="仿宋" w:hAnsi="仿宋" w:eastAsia="仿宋" w:cs="仿宋"/>
                <w:color w:val="auto"/>
                <w:kern w:val="0"/>
                <w:sz w:val="24"/>
                <w:szCs w:val="24"/>
                <w:lang w:val="zh-CN"/>
              </w:rPr>
            </w:pPr>
          </w:p>
        </w:tc>
        <w:tc>
          <w:tcPr>
            <w:tcW w:w="873" w:type="dxa"/>
            <w:vAlign w:val="center"/>
          </w:tcPr>
          <w:p w14:paraId="684DBE3D">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电话</w:t>
            </w:r>
          </w:p>
        </w:tc>
        <w:tc>
          <w:tcPr>
            <w:tcW w:w="1786" w:type="dxa"/>
            <w:vAlign w:val="center"/>
          </w:tcPr>
          <w:p w14:paraId="2C1CFC83">
            <w:pPr>
              <w:adjustRightInd w:val="0"/>
              <w:snapToGrid w:val="0"/>
              <w:spacing w:line="360" w:lineRule="auto"/>
              <w:rPr>
                <w:rFonts w:hint="eastAsia" w:ascii="仿宋" w:hAnsi="仿宋" w:eastAsia="仿宋" w:cs="仿宋"/>
                <w:color w:val="auto"/>
                <w:kern w:val="0"/>
                <w:sz w:val="24"/>
                <w:szCs w:val="24"/>
                <w:lang w:val="zh-CN"/>
              </w:rPr>
            </w:pPr>
          </w:p>
        </w:tc>
        <w:tc>
          <w:tcPr>
            <w:tcW w:w="1200" w:type="dxa"/>
            <w:vAlign w:val="center"/>
          </w:tcPr>
          <w:p w14:paraId="2B919257">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手机</w:t>
            </w:r>
          </w:p>
        </w:tc>
        <w:tc>
          <w:tcPr>
            <w:tcW w:w="1852" w:type="dxa"/>
            <w:vAlign w:val="center"/>
          </w:tcPr>
          <w:p w14:paraId="7C5030E8">
            <w:pPr>
              <w:adjustRightInd w:val="0"/>
              <w:snapToGrid w:val="0"/>
              <w:spacing w:line="360" w:lineRule="auto"/>
              <w:rPr>
                <w:rFonts w:hint="eastAsia" w:ascii="仿宋" w:hAnsi="仿宋" w:eastAsia="仿宋" w:cs="仿宋"/>
                <w:color w:val="auto"/>
                <w:kern w:val="0"/>
                <w:sz w:val="24"/>
                <w:szCs w:val="24"/>
                <w:lang w:val="zh-CN"/>
              </w:rPr>
            </w:pPr>
          </w:p>
        </w:tc>
      </w:tr>
      <w:tr w14:paraId="1DF0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DE1CFF9">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项目负责人姓名</w:t>
            </w:r>
          </w:p>
        </w:tc>
        <w:tc>
          <w:tcPr>
            <w:tcW w:w="1936" w:type="dxa"/>
            <w:vAlign w:val="center"/>
          </w:tcPr>
          <w:p w14:paraId="3A84EA2A">
            <w:pPr>
              <w:adjustRightInd w:val="0"/>
              <w:snapToGrid w:val="0"/>
              <w:spacing w:line="360" w:lineRule="auto"/>
              <w:rPr>
                <w:rFonts w:hint="eastAsia" w:ascii="仿宋" w:hAnsi="仿宋" w:eastAsia="仿宋" w:cs="仿宋"/>
                <w:color w:val="auto"/>
                <w:kern w:val="0"/>
                <w:sz w:val="24"/>
                <w:szCs w:val="24"/>
                <w:lang w:val="zh-CN"/>
              </w:rPr>
            </w:pPr>
          </w:p>
        </w:tc>
        <w:tc>
          <w:tcPr>
            <w:tcW w:w="873" w:type="dxa"/>
            <w:vAlign w:val="center"/>
          </w:tcPr>
          <w:p w14:paraId="70915036">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电话</w:t>
            </w:r>
          </w:p>
        </w:tc>
        <w:tc>
          <w:tcPr>
            <w:tcW w:w="1786" w:type="dxa"/>
            <w:vAlign w:val="center"/>
          </w:tcPr>
          <w:p w14:paraId="1382EBD2">
            <w:pPr>
              <w:adjustRightInd w:val="0"/>
              <w:snapToGrid w:val="0"/>
              <w:spacing w:line="360" w:lineRule="auto"/>
              <w:rPr>
                <w:rFonts w:hint="eastAsia" w:ascii="仿宋" w:hAnsi="仿宋" w:eastAsia="仿宋" w:cs="仿宋"/>
                <w:color w:val="auto"/>
                <w:kern w:val="0"/>
                <w:sz w:val="24"/>
                <w:szCs w:val="24"/>
                <w:lang w:val="zh-CN"/>
              </w:rPr>
            </w:pPr>
          </w:p>
        </w:tc>
        <w:tc>
          <w:tcPr>
            <w:tcW w:w="1200" w:type="dxa"/>
            <w:vAlign w:val="center"/>
          </w:tcPr>
          <w:p w14:paraId="5E704D7B">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技术职称</w:t>
            </w:r>
          </w:p>
        </w:tc>
        <w:tc>
          <w:tcPr>
            <w:tcW w:w="1852" w:type="dxa"/>
            <w:vAlign w:val="center"/>
          </w:tcPr>
          <w:p w14:paraId="1504008F">
            <w:pPr>
              <w:adjustRightInd w:val="0"/>
              <w:snapToGrid w:val="0"/>
              <w:spacing w:line="360" w:lineRule="auto"/>
              <w:rPr>
                <w:rFonts w:hint="eastAsia" w:ascii="仿宋" w:hAnsi="仿宋" w:eastAsia="仿宋" w:cs="仿宋"/>
                <w:color w:val="auto"/>
                <w:kern w:val="0"/>
                <w:sz w:val="24"/>
                <w:szCs w:val="24"/>
                <w:lang w:val="zh-CN"/>
              </w:rPr>
            </w:pPr>
          </w:p>
        </w:tc>
      </w:tr>
      <w:tr w14:paraId="1040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7830A817">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员工总人数：</w:t>
            </w:r>
          </w:p>
        </w:tc>
        <w:tc>
          <w:tcPr>
            <w:tcW w:w="1936" w:type="dxa"/>
            <w:vMerge w:val="restart"/>
            <w:vAlign w:val="center"/>
          </w:tcPr>
          <w:p w14:paraId="6E69F16F">
            <w:pPr>
              <w:adjustRightInd w:val="0"/>
              <w:snapToGrid w:val="0"/>
              <w:spacing w:line="360" w:lineRule="auto"/>
              <w:rPr>
                <w:rFonts w:hint="eastAsia" w:ascii="仿宋" w:hAnsi="仿宋" w:eastAsia="仿宋" w:cs="仿宋"/>
                <w:color w:val="auto"/>
                <w:kern w:val="0"/>
                <w:sz w:val="24"/>
                <w:szCs w:val="24"/>
                <w:lang w:val="zh-CN"/>
              </w:rPr>
            </w:pPr>
          </w:p>
        </w:tc>
        <w:tc>
          <w:tcPr>
            <w:tcW w:w="873" w:type="dxa"/>
            <w:vMerge w:val="restart"/>
            <w:vAlign w:val="center"/>
          </w:tcPr>
          <w:p w14:paraId="4F222991">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其中</w:t>
            </w:r>
          </w:p>
        </w:tc>
        <w:tc>
          <w:tcPr>
            <w:tcW w:w="1786" w:type="dxa"/>
            <w:vAlign w:val="center"/>
          </w:tcPr>
          <w:p w14:paraId="25B19BFE">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高级职称</w:t>
            </w:r>
          </w:p>
        </w:tc>
        <w:tc>
          <w:tcPr>
            <w:tcW w:w="3052" w:type="dxa"/>
            <w:gridSpan w:val="2"/>
            <w:vAlign w:val="center"/>
          </w:tcPr>
          <w:p w14:paraId="3C2C4898">
            <w:pPr>
              <w:adjustRightInd w:val="0"/>
              <w:snapToGrid w:val="0"/>
              <w:spacing w:line="360" w:lineRule="auto"/>
              <w:rPr>
                <w:rFonts w:hint="eastAsia" w:ascii="仿宋" w:hAnsi="仿宋" w:eastAsia="仿宋" w:cs="仿宋"/>
                <w:color w:val="auto"/>
                <w:kern w:val="0"/>
                <w:sz w:val="24"/>
                <w:szCs w:val="24"/>
                <w:lang w:val="zh-CN"/>
              </w:rPr>
            </w:pPr>
          </w:p>
        </w:tc>
      </w:tr>
      <w:tr w14:paraId="033B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5DF2D1AD">
            <w:pPr>
              <w:adjustRightInd w:val="0"/>
              <w:snapToGrid w:val="0"/>
              <w:spacing w:line="360" w:lineRule="auto"/>
              <w:rPr>
                <w:rFonts w:hint="eastAsia" w:ascii="仿宋" w:hAnsi="仿宋" w:eastAsia="仿宋" w:cs="仿宋"/>
                <w:color w:val="auto"/>
                <w:kern w:val="0"/>
                <w:sz w:val="24"/>
                <w:szCs w:val="24"/>
                <w:lang w:val="zh-CN"/>
              </w:rPr>
            </w:pPr>
          </w:p>
        </w:tc>
        <w:tc>
          <w:tcPr>
            <w:tcW w:w="1936" w:type="dxa"/>
            <w:vMerge w:val="continue"/>
            <w:vAlign w:val="center"/>
          </w:tcPr>
          <w:p w14:paraId="4ABA43B7">
            <w:pPr>
              <w:adjustRightInd w:val="0"/>
              <w:snapToGrid w:val="0"/>
              <w:spacing w:line="360" w:lineRule="auto"/>
              <w:rPr>
                <w:rFonts w:hint="eastAsia" w:ascii="仿宋" w:hAnsi="仿宋" w:eastAsia="仿宋" w:cs="仿宋"/>
                <w:color w:val="auto"/>
                <w:kern w:val="0"/>
                <w:sz w:val="24"/>
                <w:szCs w:val="24"/>
                <w:lang w:val="zh-CN"/>
              </w:rPr>
            </w:pPr>
          </w:p>
        </w:tc>
        <w:tc>
          <w:tcPr>
            <w:tcW w:w="873" w:type="dxa"/>
            <w:vMerge w:val="continue"/>
            <w:vAlign w:val="center"/>
          </w:tcPr>
          <w:p w14:paraId="3E066815">
            <w:pPr>
              <w:adjustRightInd w:val="0"/>
              <w:snapToGrid w:val="0"/>
              <w:spacing w:line="360" w:lineRule="auto"/>
              <w:rPr>
                <w:rFonts w:hint="eastAsia" w:ascii="仿宋" w:hAnsi="仿宋" w:eastAsia="仿宋" w:cs="仿宋"/>
                <w:color w:val="auto"/>
                <w:kern w:val="0"/>
                <w:sz w:val="24"/>
                <w:szCs w:val="24"/>
                <w:lang w:val="zh-CN"/>
              </w:rPr>
            </w:pPr>
          </w:p>
        </w:tc>
        <w:tc>
          <w:tcPr>
            <w:tcW w:w="1786" w:type="dxa"/>
            <w:vAlign w:val="center"/>
          </w:tcPr>
          <w:p w14:paraId="13A96435">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中级职称</w:t>
            </w:r>
          </w:p>
        </w:tc>
        <w:tc>
          <w:tcPr>
            <w:tcW w:w="3052" w:type="dxa"/>
            <w:gridSpan w:val="2"/>
            <w:vAlign w:val="center"/>
          </w:tcPr>
          <w:p w14:paraId="6FB9C2E0">
            <w:pPr>
              <w:adjustRightInd w:val="0"/>
              <w:snapToGrid w:val="0"/>
              <w:spacing w:line="360" w:lineRule="auto"/>
              <w:rPr>
                <w:rFonts w:hint="eastAsia" w:ascii="仿宋" w:hAnsi="仿宋" w:eastAsia="仿宋" w:cs="仿宋"/>
                <w:color w:val="auto"/>
                <w:kern w:val="0"/>
                <w:sz w:val="24"/>
                <w:szCs w:val="24"/>
                <w:lang w:val="zh-CN"/>
              </w:rPr>
            </w:pPr>
          </w:p>
        </w:tc>
      </w:tr>
      <w:tr w14:paraId="3035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56F47BDF">
            <w:pPr>
              <w:adjustRightInd w:val="0"/>
              <w:snapToGrid w:val="0"/>
              <w:spacing w:line="360" w:lineRule="auto"/>
              <w:rPr>
                <w:rFonts w:hint="eastAsia" w:ascii="仿宋" w:hAnsi="仿宋" w:eastAsia="仿宋" w:cs="仿宋"/>
                <w:color w:val="auto"/>
                <w:kern w:val="0"/>
                <w:sz w:val="24"/>
                <w:szCs w:val="24"/>
                <w:lang w:val="zh-CN"/>
              </w:rPr>
            </w:pPr>
          </w:p>
        </w:tc>
        <w:tc>
          <w:tcPr>
            <w:tcW w:w="1936" w:type="dxa"/>
            <w:vMerge w:val="continue"/>
            <w:vAlign w:val="center"/>
          </w:tcPr>
          <w:p w14:paraId="3F1A06CC">
            <w:pPr>
              <w:adjustRightInd w:val="0"/>
              <w:snapToGrid w:val="0"/>
              <w:spacing w:line="360" w:lineRule="auto"/>
              <w:rPr>
                <w:rFonts w:hint="eastAsia" w:ascii="仿宋" w:hAnsi="仿宋" w:eastAsia="仿宋" w:cs="仿宋"/>
                <w:color w:val="auto"/>
                <w:kern w:val="0"/>
                <w:sz w:val="24"/>
                <w:szCs w:val="24"/>
                <w:lang w:val="zh-CN"/>
              </w:rPr>
            </w:pPr>
          </w:p>
        </w:tc>
        <w:tc>
          <w:tcPr>
            <w:tcW w:w="873" w:type="dxa"/>
            <w:vMerge w:val="continue"/>
            <w:vAlign w:val="center"/>
          </w:tcPr>
          <w:p w14:paraId="4AC76434">
            <w:pPr>
              <w:adjustRightInd w:val="0"/>
              <w:snapToGrid w:val="0"/>
              <w:spacing w:line="360" w:lineRule="auto"/>
              <w:rPr>
                <w:rFonts w:hint="eastAsia" w:ascii="仿宋" w:hAnsi="仿宋" w:eastAsia="仿宋" w:cs="仿宋"/>
                <w:color w:val="auto"/>
                <w:kern w:val="0"/>
                <w:sz w:val="24"/>
                <w:szCs w:val="24"/>
                <w:lang w:val="zh-CN"/>
              </w:rPr>
            </w:pPr>
          </w:p>
        </w:tc>
        <w:tc>
          <w:tcPr>
            <w:tcW w:w="1786" w:type="dxa"/>
            <w:vAlign w:val="center"/>
          </w:tcPr>
          <w:p w14:paraId="6E80D8E0">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各类注册人员</w:t>
            </w:r>
          </w:p>
        </w:tc>
        <w:tc>
          <w:tcPr>
            <w:tcW w:w="3052" w:type="dxa"/>
            <w:gridSpan w:val="2"/>
            <w:vAlign w:val="center"/>
          </w:tcPr>
          <w:p w14:paraId="090A143F">
            <w:pPr>
              <w:adjustRightInd w:val="0"/>
              <w:snapToGrid w:val="0"/>
              <w:spacing w:line="360" w:lineRule="auto"/>
              <w:rPr>
                <w:rFonts w:hint="eastAsia" w:ascii="仿宋" w:hAnsi="仿宋" w:eastAsia="仿宋" w:cs="仿宋"/>
                <w:color w:val="auto"/>
                <w:kern w:val="0"/>
                <w:sz w:val="24"/>
                <w:szCs w:val="24"/>
                <w:lang w:val="zh-CN"/>
              </w:rPr>
            </w:pPr>
          </w:p>
        </w:tc>
      </w:tr>
      <w:tr w14:paraId="695A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221956E">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基本账户开户银行</w:t>
            </w:r>
          </w:p>
        </w:tc>
        <w:tc>
          <w:tcPr>
            <w:tcW w:w="7647" w:type="dxa"/>
            <w:gridSpan w:val="5"/>
            <w:vAlign w:val="center"/>
          </w:tcPr>
          <w:p w14:paraId="5DDBA145">
            <w:pPr>
              <w:adjustRightInd w:val="0"/>
              <w:snapToGrid w:val="0"/>
              <w:spacing w:line="360" w:lineRule="auto"/>
              <w:rPr>
                <w:rFonts w:hint="eastAsia" w:ascii="仿宋" w:hAnsi="仿宋" w:eastAsia="仿宋" w:cs="仿宋"/>
                <w:color w:val="auto"/>
                <w:kern w:val="0"/>
                <w:sz w:val="24"/>
                <w:szCs w:val="24"/>
                <w:lang w:val="zh-CN"/>
              </w:rPr>
            </w:pPr>
          </w:p>
        </w:tc>
      </w:tr>
      <w:tr w14:paraId="34BC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4713DCA">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基本账户账号</w:t>
            </w:r>
          </w:p>
        </w:tc>
        <w:tc>
          <w:tcPr>
            <w:tcW w:w="7647" w:type="dxa"/>
            <w:gridSpan w:val="5"/>
            <w:vAlign w:val="center"/>
          </w:tcPr>
          <w:p w14:paraId="29AFACBA">
            <w:pPr>
              <w:adjustRightInd w:val="0"/>
              <w:snapToGrid w:val="0"/>
              <w:spacing w:line="360" w:lineRule="auto"/>
              <w:rPr>
                <w:rFonts w:hint="eastAsia" w:ascii="仿宋" w:hAnsi="仿宋" w:eastAsia="仿宋" w:cs="仿宋"/>
                <w:color w:val="auto"/>
                <w:kern w:val="0"/>
                <w:sz w:val="24"/>
                <w:szCs w:val="24"/>
                <w:lang w:val="zh-CN"/>
              </w:rPr>
            </w:pPr>
          </w:p>
        </w:tc>
      </w:tr>
      <w:tr w14:paraId="6365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78CE469F">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经营范围</w:t>
            </w:r>
          </w:p>
        </w:tc>
        <w:tc>
          <w:tcPr>
            <w:tcW w:w="7647" w:type="dxa"/>
            <w:gridSpan w:val="5"/>
            <w:vAlign w:val="center"/>
          </w:tcPr>
          <w:p w14:paraId="0E292422">
            <w:pPr>
              <w:adjustRightInd w:val="0"/>
              <w:snapToGrid w:val="0"/>
              <w:spacing w:line="360" w:lineRule="auto"/>
              <w:rPr>
                <w:rFonts w:hint="eastAsia" w:ascii="仿宋" w:hAnsi="仿宋" w:eastAsia="仿宋" w:cs="仿宋"/>
                <w:color w:val="auto"/>
                <w:kern w:val="0"/>
                <w:sz w:val="24"/>
                <w:szCs w:val="24"/>
                <w:lang w:val="zh-CN"/>
              </w:rPr>
            </w:pPr>
          </w:p>
        </w:tc>
      </w:tr>
      <w:tr w14:paraId="7CEB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4C633ED9">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备注</w:t>
            </w:r>
          </w:p>
        </w:tc>
        <w:tc>
          <w:tcPr>
            <w:tcW w:w="7647" w:type="dxa"/>
            <w:gridSpan w:val="5"/>
            <w:vAlign w:val="center"/>
          </w:tcPr>
          <w:p w14:paraId="3433FD0F">
            <w:pPr>
              <w:adjustRightInd w:val="0"/>
              <w:snapToGrid w:val="0"/>
              <w:spacing w:line="360" w:lineRule="auto"/>
              <w:rPr>
                <w:rFonts w:hint="eastAsia" w:ascii="仿宋" w:hAnsi="仿宋" w:eastAsia="仿宋" w:cs="仿宋"/>
                <w:color w:val="auto"/>
                <w:kern w:val="0"/>
                <w:sz w:val="24"/>
                <w:szCs w:val="24"/>
                <w:lang w:val="zh-CN"/>
              </w:rPr>
            </w:pPr>
          </w:p>
        </w:tc>
      </w:tr>
    </w:tbl>
    <w:p w14:paraId="3AE940CD">
      <w:pPr>
        <w:adjustRightInd w:val="0"/>
        <w:snapToGrid w:val="0"/>
        <w:spacing w:line="360" w:lineRule="auto"/>
        <w:ind w:firstLine="482" w:firstLineChars="200"/>
        <w:rPr>
          <w:rFonts w:hint="eastAsia" w:ascii="仿宋" w:hAnsi="仿宋" w:eastAsia="仿宋" w:cs="仿宋"/>
          <w:b/>
          <w:bCs/>
          <w:color w:val="auto"/>
          <w:kern w:val="0"/>
          <w:sz w:val="24"/>
          <w:szCs w:val="24"/>
          <w:lang w:val="zh-CN"/>
        </w:rPr>
      </w:pPr>
      <w:r>
        <w:rPr>
          <w:rFonts w:hint="eastAsia" w:ascii="仿宋" w:hAnsi="仿宋" w:eastAsia="仿宋" w:cs="仿宋"/>
          <w:b/>
          <w:bCs/>
          <w:color w:val="auto"/>
          <w:kern w:val="0"/>
          <w:sz w:val="24"/>
          <w:szCs w:val="24"/>
          <w:lang w:val="zh-CN"/>
        </w:rPr>
        <w:t>兹证明上述声明是真实、正确的，并提供了全部能提供的资料和数据，我们同意遵照贵方要求出示有关证明文件。</w:t>
      </w:r>
    </w:p>
    <w:p w14:paraId="1BC39523">
      <w:pPr>
        <w:adjustRightInd w:val="0"/>
        <w:snapToGrid w:val="0"/>
        <w:spacing w:line="360" w:lineRule="auto"/>
        <w:rPr>
          <w:rFonts w:hint="eastAsia" w:ascii="仿宋" w:hAnsi="仿宋" w:eastAsia="仿宋" w:cs="仿宋"/>
          <w:color w:val="auto"/>
          <w:kern w:val="0"/>
          <w:sz w:val="24"/>
          <w:szCs w:val="24"/>
          <w:lang w:val="zh-CN"/>
        </w:rPr>
      </w:pPr>
    </w:p>
    <w:p w14:paraId="2420F23E">
      <w:pPr>
        <w:pStyle w:val="30"/>
        <w:spacing w:line="360" w:lineRule="auto"/>
        <w:ind w:firstLine="560"/>
        <w:rPr>
          <w:rFonts w:hint="eastAsia" w:ascii="仿宋" w:hAnsi="仿宋" w:eastAsia="仿宋" w:cs="仿宋"/>
          <w:color w:val="auto"/>
          <w:sz w:val="24"/>
          <w:szCs w:val="24"/>
          <w:lang w:val="zh-CN"/>
        </w:rPr>
      </w:pPr>
    </w:p>
    <w:p w14:paraId="294D800E">
      <w:pPr>
        <w:adjustRightInd w:val="0"/>
        <w:snapToGrid w:val="0"/>
        <w:spacing w:line="360" w:lineRule="auto"/>
        <w:ind w:firstLine="4080" w:firstLineChars="17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法定代表人或其授权委托人（签名或印章）：</w:t>
      </w:r>
    </w:p>
    <w:p w14:paraId="085C6FE4">
      <w:pPr>
        <w:adjustRightInd w:val="0"/>
        <w:snapToGrid w:val="0"/>
        <w:spacing w:line="360" w:lineRule="auto"/>
        <w:ind w:firstLine="4080" w:firstLineChars="17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投标人（盖章）：</w:t>
      </w:r>
    </w:p>
    <w:p w14:paraId="668873E7">
      <w:pPr>
        <w:adjustRightInd w:val="0"/>
        <w:snapToGrid w:val="0"/>
        <w:spacing w:line="360" w:lineRule="auto"/>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 xml:space="preserve">                                  日期：</w:t>
      </w:r>
    </w:p>
    <w:p w14:paraId="1BE5FDDA">
      <w:pPr>
        <w:snapToGrid w:val="0"/>
        <w:spacing w:line="360" w:lineRule="auto"/>
        <w:jc w:val="center"/>
        <w:outlineLvl w:val="0"/>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br w:type="page"/>
      </w:r>
      <w:r>
        <w:rPr>
          <w:rFonts w:hint="eastAsia" w:ascii="仿宋" w:hAnsi="仿宋" w:eastAsia="仿宋" w:cs="仿宋"/>
          <w:b/>
          <w:color w:val="auto"/>
          <w:kern w:val="0"/>
          <w:sz w:val="32"/>
          <w:szCs w:val="32"/>
          <w:lang w:val="zh-CN"/>
        </w:rPr>
        <w:t>五、距采购人最近或者能为本项目提供最优服务的网点情况表</w:t>
      </w:r>
    </w:p>
    <w:p w14:paraId="15E7D832">
      <w:pPr>
        <w:spacing w:line="360" w:lineRule="auto"/>
        <w:rPr>
          <w:rFonts w:hint="eastAsia" w:ascii="仿宋" w:hAnsi="仿宋" w:eastAsia="仿宋" w:cs="仿宋"/>
          <w:color w:val="auto"/>
          <w:sz w:val="24"/>
          <w:szCs w:val="24"/>
        </w:rPr>
      </w:pPr>
    </w:p>
    <w:tbl>
      <w:tblPr>
        <w:tblStyle w:val="23"/>
        <w:tblW w:w="84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4622F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3D8B9CE">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EB6FA56">
            <w:pPr>
              <w:adjustRightInd w:val="0"/>
              <w:snapToGrid w:val="0"/>
              <w:spacing w:line="360" w:lineRule="auto"/>
              <w:rPr>
                <w:rFonts w:hint="eastAsia" w:ascii="仿宋" w:hAnsi="仿宋" w:eastAsia="仿宋" w:cs="仿宋"/>
                <w:color w:val="auto"/>
                <w:kern w:val="0"/>
                <w:sz w:val="24"/>
                <w:szCs w:val="24"/>
                <w:lang w:val="zh-CN"/>
              </w:rPr>
            </w:pPr>
          </w:p>
        </w:tc>
      </w:tr>
      <w:tr w14:paraId="32454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B021902">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89BA507">
            <w:pPr>
              <w:adjustRightInd w:val="0"/>
              <w:snapToGrid w:val="0"/>
              <w:spacing w:line="360" w:lineRule="auto"/>
              <w:rPr>
                <w:rFonts w:hint="eastAsia" w:ascii="仿宋" w:hAnsi="仿宋" w:eastAsia="仿宋" w:cs="仿宋"/>
                <w:color w:val="auto"/>
                <w:kern w:val="0"/>
                <w:sz w:val="24"/>
                <w:szCs w:val="24"/>
                <w:lang w:val="zh-CN"/>
              </w:rPr>
            </w:pPr>
          </w:p>
        </w:tc>
      </w:tr>
      <w:tr w14:paraId="53CE6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21725A9">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3F8969BF">
            <w:pPr>
              <w:adjustRightInd w:val="0"/>
              <w:snapToGrid w:val="0"/>
              <w:spacing w:line="360" w:lineRule="auto"/>
              <w:rPr>
                <w:rFonts w:hint="eastAsia" w:ascii="仿宋" w:hAnsi="仿宋" w:eastAsia="仿宋" w:cs="仿宋"/>
                <w:color w:val="auto"/>
                <w:kern w:val="0"/>
                <w:sz w:val="24"/>
                <w:szCs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6B0FA864">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63F72024">
            <w:pPr>
              <w:adjustRightInd w:val="0"/>
              <w:snapToGrid w:val="0"/>
              <w:spacing w:line="360" w:lineRule="auto"/>
              <w:rPr>
                <w:rFonts w:hint="eastAsia" w:ascii="仿宋" w:hAnsi="仿宋" w:eastAsia="仿宋" w:cs="仿宋"/>
                <w:color w:val="auto"/>
                <w:kern w:val="0"/>
                <w:sz w:val="24"/>
                <w:szCs w:val="24"/>
                <w:lang w:val="zh-CN"/>
              </w:rPr>
            </w:pPr>
          </w:p>
        </w:tc>
      </w:tr>
      <w:tr w14:paraId="0027B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0AD4AE0">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5C2632D0">
            <w:pPr>
              <w:adjustRightInd w:val="0"/>
              <w:snapToGrid w:val="0"/>
              <w:spacing w:line="360" w:lineRule="auto"/>
              <w:rPr>
                <w:rFonts w:hint="eastAsia" w:ascii="仿宋" w:hAnsi="仿宋" w:eastAsia="仿宋" w:cs="仿宋"/>
                <w:color w:val="auto"/>
                <w:kern w:val="0"/>
                <w:sz w:val="24"/>
                <w:szCs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55DB3B28">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30BB6748">
            <w:pPr>
              <w:adjustRightInd w:val="0"/>
              <w:snapToGrid w:val="0"/>
              <w:spacing w:line="360" w:lineRule="auto"/>
              <w:rPr>
                <w:rFonts w:hint="eastAsia" w:ascii="仿宋" w:hAnsi="仿宋" w:eastAsia="仿宋" w:cs="仿宋"/>
                <w:color w:val="auto"/>
                <w:kern w:val="0"/>
                <w:sz w:val="24"/>
                <w:szCs w:val="24"/>
                <w:lang w:val="zh-CN"/>
              </w:rPr>
            </w:pPr>
          </w:p>
        </w:tc>
      </w:tr>
      <w:tr w14:paraId="4FF28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3500455">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46F43236">
            <w:pPr>
              <w:adjustRightInd w:val="0"/>
              <w:snapToGrid w:val="0"/>
              <w:spacing w:line="360" w:lineRule="auto"/>
              <w:rPr>
                <w:rFonts w:hint="eastAsia" w:ascii="仿宋" w:hAnsi="仿宋" w:eastAsia="仿宋" w:cs="仿宋"/>
                <w:color w:val="auto"/>
                <w:kern w:val="0"/>
                <w:sz w:val="24"/>
                <w:szCs w:val="24"/>
                <w:lang w:val="zh-CN"/>
              </w:rPr>
            </w:pPr>
          </w:p>
        </w:tc>
      </w:tr>
      <w:tr w14:paraId="33921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F1FDEEB">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4F9101DB">
            <w:pPr>
              <w:adjustRightInd w:val="0"/>
              <w:snapToGrid w:val="0"/>
              <w:spacing w:line="360" w:lineRule="auto"/>
              <w:rPr>
                <w:rFonts w:hint="eastAsia" w:ascii="仿宋" w:hAnsi="仿宋" w:eastAsia="仿宋" w:cs="仿宋"/>
                <w:color w:val="auto"/>
                <w:kern w:val="0"/>
                <w:sz w:val="24"/>
                <w:szCs w:val="24"/>
                <w:lang w:val="zh-CN"/>
              </w:rPr>
            </w:pPr>
          </w:p>
        </w:tc>
      </w:tr>
      <w:tr w14:paraId="7F36E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A3E4997">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00B4FF6E">
            <w:pPr>
              <w:adjustRightInd w:val="0"/>
              <w:snapToGrid w:val="0"/>
              <w:spacing w:line="360" w:lineRule="auto"/>
              <w:rPr>
                <w:rFonts w:hint="eastAsia" w:ascii="仿宋" w:hAnsi="仿宋" w:eastAsia="仿宋" w:cs="仿宋"/>
                <w:color w:val="auto"/>
                <w:kern w:val="0"/>
                <w:sz w:val="24"/>
                <w:szCs w:val="24"/>
                <w:lang w:val="zh-CN"/>
              </w:rPr>
            </w:pPr>
          </w:p>
        </w:tc>
      </w:tr>
      <w:tr w14:paraId="6BE2D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21978B3">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6D263D05">
            <w:pPr>
              <w:adjustRightInd w:val="0"/>
              <w:snapToGrid w:val="0"/>
              <w:spacing w:line="360" w:lineRule="auto"/>
              <w:rPr>
                <w:rFonts w:hint="eastAsia" w:ascii="仿宋" w:hAnsi="仿宋" w:eastAsia="仿宋" w:cs="仿宋"/>
                <w:color w:val="auto"/>
                <w:kern w:val="0"/>
                <w:sz w:val="24"/>
                <w:szCs w:val="24"/>
                <w:lang w:val="zh-CN"/>
              </w:rPr>
            </w:pPr>
          </w:p>
        </w:tc>
      </w:tr>
      <w:tr w14:paraId="35BA9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1E805E4">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07859449">
            <w:pPr>
              <w:adjustRightInd w:val="0"/>
              <w:snapToGrid w:val="0"/>
              <w:spacing w:line="360" w:lineRule="auto"/>
              <w:rPr>
                <w:rFonts w:hint="eastAsia" w:ascii="仿宋" w:hAnsi="仿宋" w:eastAsia="仿宋" w:cs="仿宋"/>
                <w:color w:val="auto"/>
                <w:kern w:val="0"/>
                <w:sz w:val="24"/>
                <w:szCs w:val="24"/>
                <w:lang w:val="zh-CN"/>
              </w:rPr>
            </w:pPr>
          </w:p>
        </w:tc>
      </w:tr>
      <w:tr w14:paraId="2FD71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22FA967">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25CB40AF">
            <w:pPr>
              <w:adjustRightInd w:val="0"/>
              <w:snapToGrid w:val="0"/>
              <w:spacing w:line="360" w:lineRule="auto"/>
              <w:rPr>
                <w:rFonts w:hint="eastAsia" w:ascii="仿宋" w:hAnsi="仿宋" w:eastAsia="仿宋" w:cs="仿宋"/>
                <w:color w:val="auto"/>
                <w:kern w:val="0"/>
                <w:sz w:val="24"/>
                <w:szCs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02D0687D">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1C306C65">
            <w:pPr>
              <w:adjustRightInd w:val="0"/>
              <w:snapToGrid w:val="0"/>
              <w:spacing w:line="360" w:lineRule="auto"/>
              <w:rPr>
                <w:rFonts w:hint="eastAsia" w:ascii="仿宋" w:hAnsi="仿宋" w:eastAsia="仿宋" w:cs="仿宋"/>
                <w:color w:val="auto"/>
                <w:kern w:val="0"/>
                <w:sz w:val="24"/>
                <w:szCs w:val="24"/>
                <w:lang w:val="zh-CN"/>
              </w:rPr>
            </w:pPr>
          </w:p>
        </w:tc>
      </w:tr>
      <w:tr w14:paraId="73E36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45E4F61">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02811532">
            <w:pPr>
              <w:adjustRightInd w:val="0"/>
              <w:snapToGrid w:val="0"/>
              <w:spacing w:line="360" w:lineRule="auto"/>
              <w:rPr>
                <w:rFonts w:hint="eastAsia" w:ascii="仿宋" w:hAnsi="仿宋" w:eastAsia="仿宋" w:cs="仿宋"/>
                <w:color w:val="auto"/>
                <w:kern w:val="0"/>
                <w:sz w:val="24"/>
                <w:szCs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61B0720D">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3B0C1366">
            <w:pPr>
              <w:adjustRightInd w:val="0"/>
              <w:snapToGrid w:val="0"/>
              <w:spacing w:line="360" w:lineRule="auto"/>
              <w:rPr>
                <w:rFonts w:hint="eastAsia" w:ascii="仿宋" w:hAnsi="仿宋" w:eastAsia="仿宋" w:cs="仿宋"/>
                <w:color w:val="auto"/>
                <w:kern w:val="0"/>
                <w:sz w:val="24"/>
                <w:szCs w:val="24"/>
                <w:lang w:val="zh-CN"/>
              </w:rPr>
            </w:pPr>
          </w:p>
        </w:tc>
      </w:tr>
    </w:tbl>
    <w:p w14:paraId="32EACC21">
      <w:pPr>
        <w:spacing w:line="360" w:lineRule="auto"/>
        <w:rPr>
          <w:rFonts w:hint="eastAsia" w:ascii="仿宋" w:hAnsi="仿宋" w:eastAsia="仿宋" w:cs="仿宋"/>
          <w:color w:val="auto"/>
          <w:sz w:val="24"/>
          <w:szCs w:val="24"/>
        </w:rPr>
      </w:pPr>
    </w:p>
    <w:p w14:paraId="4EB2455F">
      <w:pPr>
        <w:spacing w:line="360" w:lineRule="auto"/>
        <w:rPr>
          <w:rFonts w:hint="eastAsia" w:ascii="仿宋" w:hAnsi="仿宋" w:eastAsia="仿宋" w:cs="仿宋"/>
          <w:color w:val="auto"/>
          <w:sz w:val="24"/>
          <w:szCs w:val="24"/>
        </w:rPr>
      </w:pPr>
    </w:p>
    <w:p w14:paraId="50CEC50F">
      <w:pPr>
        <w:adjustRightInd w:val="0"/>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rPr>
        <w:t xml:space="preserve">       </w:t>
      </w:r>
    </w:p>
    <w:p w14:paraId="3157F627">
      <w:pPr>
        <w:adjustRightInd w:val="0"/>
        <w:snapToGrid w:val="0"/>
        <w:spacing w:line="360" w:lineRule="auto"/>
        <w:ind w:left="3990" w:leftChars="19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法定代表人或其授权委托人（签名或印章）：</w:t>
      </w:r>
    </w:p>
    <w:p w14:paraId="0848195D">
      <w:pPr>
        <w:adjustRightInd w:val="0"/>
        <w:snapToGrid w:val="0"/>
        <w:spacing w:line="360" w:lineRule="auto"/>
        <w:ind w:left="3990" w:leftChars="19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投标人（盖章）：</w:t>
      </w:r>
    </w:p>
    <w:p w14:paraId="06B0D28A">
      <w:pPr>
        <w:adjustRightInd w:val="0"/>
        <w:snapToGrid w:val="0"/>
        <w:spacing w:line="360" w:lineRule="auto"/>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 xml:space="preserve">                                 日期</w:t>
      </w:r>
      <w:r>
        <w:rPr>
          <w:rFonts w:hint="eastAsia" w:ascii="仿宋" w:hAnsi="仿宋" w:eastAsia="仿宋" w:cs="仿宋"/>
          <w:color w:val="auto"/>
          <w:kern w:val="0"/>
          <w:sz w:val="24"/>
          <w:szCs w:val="24"/>
        </w:rPr>
        <w:t>:</w:t>
      </w:r>
    </w:p>
    <w:p w14:paraId="4E71BA86">
      <w:pPr>
        <w:snapToGrid w:val="0"/>
        <w:spacing w:line="360" w:lineRule="auto"/>
        <w:ind w:left="210"/>
        <w:jc w:val="center"/>
        <w:outlineLvl w:val="0"/>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br w:type="page"/>
      </w:r>
      <w:r>
        <w:rPr>
          <w:rFonts w:hint="eastAsia" w:ascii="仿宋" w:hAnsi="仿宋" w:eastAsia="仿宋" w:cs="仿宋"/>
          <w:b/>
          <w:color w:val="auto"/>
          <w:kern w:val="0"/>
          <w:sz w:val="32"/>
          <w:szCs w:val="32"/>
          <w:lang w:val="zh-CN"/>
        </w:rPr>
        <w:t>六、评标标准相应的商务技术资料</w:t>
      </w:r>
    </w:p>
    <w:p w14:paraId="53B5AC01">
      <w:pPr>
        <w:snapToGrid w:val="0"/>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（按招标文件第四部分评标办法前附表中“投标文件中评标标准相应的商务技术资料目录”提供资料）</w:t>
      </w:r>
    </w:p>
    <w:p w14:paraId="74708DCB">
      <w:pPr>
        <w:pStyle w:val="30"/>
        <w:ind w:firstLine="560"/>
        <w:rPr>
          <w:rFonts w:hint="eastAsia" w:ascii="仿宋" w:hAnsi="仿宋" w:eastAsia="仿宋" w:cs="仿宋"/>
          <w:color w:val="auto"/>
          <w:sz w:val="24"/>
          <w:szCs w:val="24"/>
          <w:lang w:val="zh-CN"/>
        </w:rPr>
      </w:pPr>
    </w:p>
    <w:p w14:paraId="13D7482B">
      <w:pPr>
        <w:snapToGrid w:val="0"/>
        <w:spacing w:line="360" w:lineRule="auto"/>
        <w:ind w:left="210"/>
        <w:jc w:val="center"/>
        <w:outlineLvl w:val="0"/>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七、商务偏离表</w:t>
      </w:r>
    </w:p>
    <w:tbl>
      <w:tblPr>
        <w:tblStyle w:val="2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72"/>
        <w:gridCol w:w="3285"/>
        <w:gridCol w:w="1948"/>
      </w:tblGrid>
      <w:tr w14:paraId="0E9A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E4453C">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3272" w:type="dxa"/>
          </w:tcPr>
          <w:p w14:paraId="0474D574">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招标文件章节及具体内容</w:t>
            </w:r>
          </w:p>
        </w:tc>
        <w:tc>
          <w:tcPr>
            <w:tcW w:w="3285" w:type="dxa"/>
          </w:tcPr>
          <w:p w14:paraId="24D3A603">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投标文件章节及具体内容</w:t>
            </w:r>
          </w:p>
        </w:tc>
        <w:tc>
          <w:tcPr>
            <w:tcW w:w="1948" w:type="dxa"/>
          </w:tcPr>
          <w:p w14:paraId="6A14CEAE">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响应或偏离说明</w:t>
            </w:r>
          </w:p>
        </w:tc>
      </w:tr>
      <w:tr w14:paraId="74E8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7BB6BB">
            <w:pPr>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272" w:type="dxa"/>
          </w:tcPr>
          <w:p w14:paraId="5DAE0401">
            <w:pPr>
              <w:spacing w:line="360" w:lineRule="auto"/>
              <w:jc w:val="center"/>
              <w:rPr>
                <w:rFonts w:hint="eastAsia" w:ascii="仿宋" w:hAnsi="仿宋" w:eastAsia="仿宋" w:cs="仿宋"/>
                <w:b/>
                <w:color w:val="auto"/>
                <w:kern w:val="0"/>
                <w:sz w:val="24"/>
                <w:szCs w:val="24"/>
              </w:rPr>
            </w:pPr>
          </w:p>
        </w:tc>
        <w:tc>
          <w:tcPr>
            <w:tcW w:w="3285" w:type="dxa"/>
          </w:tcPr>
          <w:p w14:paraId="4A400F5C">
            <w:pPr>
              <w:spacing w:line="360" w:lineRule="auto"/>
              <w:jc w:val="center"/>
              <w:rPr>
                <w:rFonts w:hint="eastAsia" w:ascii="仿宋" w:hAnsi="仿宋" w:eastAsia="仿宋" w:cs="仿宋"/>
                <w:b/>
                <w:color w:val="auto"/>
                <w:kern w:val="0"/>
                <w:sz w:val="24"/>
                <w:szCs w:val="24"/>
              </w:rPr>
            </w:pPr>
          </w:p>
        </w:tc>
        <w:tc>
          <w:tcPr>
            <w:tcW w:w="1948" w:type="dxa"/>
          </w:tcPr>
          <w:p w14:paraId="693D72FE">
            <w:pPr>
              <w:spacing w:line="360" w:lineRule="auto"/>
              <w:jc w:val="center"/>
              <w:rPr>
                <w:rFonts w:hint="eastAsia" w:ascii="仿宋" w:hAnsi="仿宋" w:eastAsia="仿宋" w:cs="仿宋"/>
                <w:b/>
                <w:color w:val="auto"/>
                <w:kern w:val="0"/>
                <w:sz w:val="24"/>
                <w:szCs w:val="24"/>
              </w:rPr>
            </w:pPr>
          </w:p>
        </w:tc>
      </w:tr>
      <w:tr w14:paraId="6694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AC6FEA">
            <w:pPr>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272" w:type="dxa"/>
          </w:tcPr>
          <w:p w14:paraId="00502B6B">
            <w:pPr>
              <w:spacing w:line="360" w:lineRule="auto"/>
              <w:jc w:val="center"/>
              <w:rPr>
                <w:rFonts w:hint="eastAsia" w:ascii="仿宋" w:hAnsi="仿宋" w:eastAsia="仿宋" w:cs="仿宋"/>
                <w:b/>
                <w:color w:val="auto"/>
                <w:kern w:val="0"/>
                <w:sz w:val="24"/>
                <w:szCs w:val="24"/>
              </w:rPr>
            </w:pPr>
          </w:p>
        </w:tc>
        <w:tc>
          <w:tcPr>
            <w:tcW w:w="3285" w:type="dxa"/>
          </w:tcPr>
          <w:p w14:paraId="353A357A">
            <w:pPr>
              <w:spacing w:line="360" w:lineRule="auto"/>
              <w:jc w:val="center"/>
              <w:rPr>
                <w:rFonts w:hint="eastAsia" w:ascii="仿宋" w:hAnsi="仿宋" w:eastAsia="仿宋" w:cs="仿宋"/>
                <w:b/>
                <w:color w:val="auto"/>
                <w:kern w:val="0"/>
                <w:sz w:val="24"/>
                <w:szCs w:val="24"/>
              </w:rPr>
            </w:pPr>
          </w:p>
        </w:tc>
        <w:tc>
          <w:tcPr>
            <w:tcW w:w="1948" w:type="dxa"/>
          </w:tcPr>
          <w:p w14:paraId="2B5C1FF4">
            <w:pPr>
              <w:spacing w:line="360" w:lineRule="auto"/>
              <w:jc w:val="center"/>
              <w:rPr>
                <w:rFonts w:hint="eastAsia" w:ascii="仿宋" w:hAnsi="仿宋" w:eastAsia="仿宋" w:cs="仿宋"/>
                <w:b/>
                <w:color w:val="auto"/>
                <w:kern w:val="0"/>
                <w:sz w:val="24"/>
                <w:szCs w:val="24"/>
              </w:rPr>
            </w:pPr>
          </w:p>
        </w:tc>
      </w:tr>
      <w:tr w14:paraId="139B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DBFCB9">
            <w:pPr>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tc>
        <w:tc>
          <w:tcPr>
            <w:tcW w:w="3272" w:type="dxa"/>
          </w:tcPr>
          <w:p w14:paraId="5E105409">
            <w:pPr>
              <w:spacing w:line="360" w:lineRule="auto"/>
              <w:jc w:val="center"/>
              <w:rPr>
                <w:rFonts w:hint="eastAsia" w:ascii="仿宋" w:hAnsi="仿宋" w:eastAsia="仿宋" w:cs="仿宋"/>
                <w:b/>
                <w:color w:val="auto"/>
                <w:kern w:val="0"/>
                <w:sz w:val="24"/>
                <w:szCs w:val="24"/>
              </w:rPr>
            </w:pPr>
          </w:p>
        </w:tc>
        <w:tc>
          <w:tcPr>
            <w:tcW w:w="3285" w:type="dxa"/>
          </w:tcPr>
          <w:p w14:paraId="7FAEAB9A">
            <w:pPr>
              <w:spacing w:line="360" w:lineRule="auto"/>
              <w:jc w:val="center"/>
              <w:rPr>
                <w:rFonts w:hint="eastAsia" w:ascii="仿宋" w:hAnsi="仿宋" w:eastAsia="仿宋" w:cs="仿宋"/>
                <w:b/>
                <w:color w:val="auto"/>
                <w:kern w:val="0"/>
                <w:sz w:val="24"/>
                <w:szCs w:val="24"/>
              </w:rPr>
            </w:pPr>
          </w:p>
        </w:tc>
        <w:tc>
          <w:tcPr>
            <w:tcW w:w="1948" w:type="dxa"/>
          </w:tcPr>
          <w:p w14:paraId="5DECA205">
            <w:pPr>
              <w:spacing w:line="360" w:lineRule="auto"/>
              <w:jc w:val="center"/>
              <w:rPr>
                <w:rFonts w:hint="eastAsia" w:ascii="仿宋" w:hAnsi="仿宋" w:eastAsia="仿宋" w:cs="仿宋"/>
                <w:b/>
                <w:color w:val="auto"/>
                <w:kern w:val="0"/>
                <w:sz w:val="24"/>
                <w:szCs w:val="24"/>
              </w:rPr>
            </w:pPr>
          </w:p>
        </w:tc>
      </w:tr>
    </w:tbl>
    <w:p w14:paraId="6F8136DA">
      <w:pPr>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投标人保证：除商务偏离表列出的偏离外，投标人响应招标文件的全部商务要求。</w:t>
      </w:r>
    </w:p>
    <w:p w14:paraId="7D8CBFE1">
      <w:pPr>
        <w:adjustRightInd w:val="0"/>
        <w:snapToGrid w:val="0"/>
        <w:spacing w:line="360" w:lineRule="auto"/>
        <w:jc w:val="righ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法定代表人或其授权委托人（签名或印章）：</w:t>
      </w:r>
    </w:p>
    <w:p w14:paraId="4B249A09">
      <w:pPr>
        <w:adjustRightInd w:val="0"/>
        <w:snapToGrid w:val="0"/>
        <w:spacing w:line="360" w:lineRule="auto"/>
        <w:ind w:left="3990" w:leftChars="1900"/>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投标人（盖章）：</w:t>
      </w:r>
    </w:p>
    <w:p w14:paraId="5A83EBA6">
      <w:pPr>
        <w:adjustRightInd w:val="0"/>
        <w:snapToGrid w:val="0"/>
        <w:spacing w:line="360" w:lineRule="auto"/>
        <w:ind w:right="1920"/>
        <w:jc w:val="center"/>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 xml:space="preserve">                                      日期</w:t>
      </w:r>
      <w:r>
        <w:rPr>
          <w:rFonts w:hint="eastAsia" w:ascii="仿宋" w:hAnsi="仿宋" w:eastAsia="仿宋" w:cs="仿宋"/>
          <w:color w:val="auto"/>
          <w:kern w:val="0"/>
          <w:sz w:val="24"/>
          <w:szCs w:val="24"/>
        </w:rPr>
        <w:t>:</w:t>
      </w:r>
    </w:p>
    <w:p w14:paraId="546D0EA3">
      <w:pPr>
        <w:widowControl/>
        <w:jc w:val="left"/>
        <w:rPr>
          <w:rFonts w:hint="eastAsia" w:ascii="仿宋" w:hAnsi="仿宋" w:eastAsia="仿宋" w:cs="仿宋"/>
          <w:color w:val="auto"/>
          <w:sz w:val="32"/>
          <w:szCs w:val="32"/>
          <w:lang w:val="zh-CN"/>
        </w:rPr>
      </w:pPr>
    </w:p>
    <w:p w14:paraId="74DA495F">
      <w:pPr>
        <w:widowControl/>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八、技术偏离表</w:t>
      </w:r>
    </w:p>
    <w:tbl>
      <w:tblPr>
        <w:tblStyle w:val="2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27"/>
        <w:gridCol w:w="3270"/>
        <w:gridCol w:w="2008"/>
      </w:tblGrid>
      <w:tr w14:paraId="341C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883593">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3227" w:type="dxa"/>
          </w:tcPr>
          <w:p w14:paraId="71332E32">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招标文件章节及具体内容</w:t>
            </w:r>
          </w:p>
        </w:tc>
        <w:tc>
          <w:tcPr>
            <w:tcW w:w="3270" w:type="dxa"/>
          </w:tcPr>
          <w:p w14:paraId="43E16E25">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投标文件章节及具体内容</w:t>
            </w:r>
          </w:p>
        </w:tc>
        <w:tc>
          <w:tcPr>
            <w:tcW w:w="2008" w:type="dxa"/>
          </w:tcPr>
          <w:p w14:paraId="48E1EC81">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响应或偏离说明</w:t>
            </w:r>
          </w:p>
        </w:tc>
      </w:tr>
      <w:tr w14:paraId="43B2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8E1AED">
            <w:pPr>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227" w:type="dxa"/>
          </w:tcPr>
          <w:p w14:paraId="43DDBBA9">
            <w:pPr>
              <w:spacing w:line="360" w:lineRule="auto"/>
              <w:jc w:val="center"/>
              <w:rPr>
                <w:rFonts w:hint="eastAsia" w:ascii="仿宋" w:hAnsi="仿宋" w:eastAsia="仿宋" w:cs="仿宋"/>
                <w:b/>
                <w:color w:val="auto"/>
                <w:kern w:val="0"/>
                <w:sz w:val="24"/>
                <w:szCs w:val="24"/>
              </w:rPr>
            </w:pPr>
          </w:p>
        </w:tc>
        <w:tc>
          <w:tcPr>
            <w:tcW w:w="3270" w:type="dxa"/>
          </w:tcPr>
          <w:p w14:paraId="3BEA65F1">
            <w:pPr>
              <w:spacing w:line="360" w:lineRule="auto"/>
              <w:jc w:val="center"/>
              <w:rPr>
                <w:rFonts w:hint="eastAsia" w:ascii="仿宋" w:hAnsi="仿宋" w:eastAsia="仿宋" w:cs="仿宋"/>
                <w:b/>
                <w:color w:val="auto"/>
                <w:kern w:val="0"/>
                <w:sz w:val="24"/>
                <w:szCs w:val="24"/>
              </w:rPr>
            </w:pPr>
          </w:p>
        </w:tc>
        <w:tc>
          <w:tcPr>
            <w:tcW w:w="2008" w:type="dxa"/>
          </w:tcPr>
          <w:p w14:paraId="78D36959">
            <w:pPr>
              <w:spacing w:line="360" w:lineRule="auto"/>
              <w:jc w:val="center"/>
              <w:rPr>
                <w:rFonts w:hint="eastAsia" w:ascii="仿宋" w:hAnsi="仿宋" w:eastAsia="仿宋" w:cs="仿宋"/>
                <w:b/>
                <w:color w:val="auto"/>
                <w:kern w:val="0"/>
                <w:sz w:val="24"/>
                <w:szCs w:val="24"/>
              </w:rPr>
            </w:pPr>
          </w:p>
        </w:tc>
      </w:tr>
      <w:tr w14:paraId="7790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B34BA4">
            <w:pPr>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227" w:type="dxa"/>
          </w:tcPr>
          <w:p w14:paraId="01E39A50">
            <w:pPr>
              <w:spacing w:line="360" w:lineRule="auto"/>
              <w:jc w:val="center"/>
              <w:rPr>
                <w:rFonts w:hint="eastAsia" w:ascii="仿宋" w:hAnsi="仿宋" w:eastAsia="仿宋" w:cs="仿宋"/>
                <w:b/>
                <w:color w:val="auto"/>
                <w:kern w:val="0"/>
                <w:sz w:val="24"/>
                <w:szCs w:val="24"/>
              </w:rPr>
            </w:pPr>
          </w:p>
        </w:tc>
        <w:tc>
          <w:tcPr>
            <w:tcW w:w="3270" w:type="dxa"/>
          </w:tcPr>
          <w:p w14:paraId="13504431">
            <w:pPr>
              <w:spacing w:line="360" w:lineRule="auto"/>
              <w:jc w:val="center"/>
              <w:rPr>
                <w:rFonts w:hint="eastAsia" w:ascii="仿宋" w:hAnsi="仿宋" w:eastAsia="仿宋" w:cs="仿宋"/>
                <w:b/>
                <w:color w:val="auto"/>
                <w:kern w:val="0"/>
                <w:sz w:val="24"/>
                <w:szCs w:val="24"/>
              </w:rPr>
            </w:pPr>
          </w:p>
        </w:tc>
        <w:tc>
          <w:tcPr>
            <w:tcW w:w="2008" w:type="dxa"/>
          </w:tcPr>
          <w:p w14:paraId="6CA32426">
            <w:pPr>
              <w:spacing w:line="360" w:lineRule="auto"/>
              <w:jc w:val="center"/>
              <w:rPr>
                <w:rFonts w:hint="eastAsia" w:ascii="仿宋" w:hAnsi="仿宋" w:eastAsia="仿宋" w:cs="仿宋"/>
                <w:b/>
                <w:color w:val="auto"/>
                <w:kern w:val="0"/>
                <w:sz w:val="24"/>
                <w:szCs w:val="24"/>
              </w:rPr>
            </w:pPr>
          </w:p>
        </w:tc>
      </w:tr>
      <w:tr w14:paraId="5CD1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691DD1">
            <w:pPr>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tc>
        <w:tc>
          <w:tcPr>
            <w:tcW w:w="3227" w:type="dxa"/>
          </w:tcPr>
          <w:p w14:paraId="7D74C2E5">
            <w:pPr>
              <w:spacing w:line="360" w:lineRule="auto"/>
              <w:jc w:val="center"/>
              <w:rPr>
                <w:rFonts w:hint="eastAsia" w:ascii="仿宋" w:hAnsi="仿宋" w:eastAsia="仿宋" w:cs="仿宋"/>
                <w:b/>
                <w:color w:val="auto"/>
                <w:kern w:val="0"/>
                <w:sz w:val="24"/>
                <w:szCs w:val="24"/>
              </w:rPr>
            </w:pPr>
          </w:p>
        </w:tc>
        <w:tc>
          <w:tcPr>
            <w:tcW w:w="3270" w:type="dxa"/>
          </w:tcPr>
          <w:p w14:paraId="6C2E0E98">
            <w:pPr>
              <w:spacing w:line="360" w:lineRule="auto"/>
              <w:jc w:val="center"/>
              <w:rPr>
                <w:rFonts w:hint="eastAsia" w:ascii="仿宋" w:hAnsi="仿宋" w:eastAsia="仿宋" w:cs="仿宋"/>
                <w:b/>
                <w:color w:val="auto"/>
                <w:kern w:val="0"/>
                <w:sz w:val="24"/>
                <w:szCs w:val="24"/>
              </w:rPr>
            </w:pPr>
          </w:p>
        </w:tc>
        <w:tc>
          <w:tcPr>
            <w:tcW w:w="2008" w:type="dxa"/>
          </w:tcPr>
          <w:p w14:paraId="485F1238">
            <w:pPr>
              <w:spacing w:line="360" w:lineRule="auto"/>
              <w:jc w:val="center"/>
              <w:rPr>
                <w:rFonts w:hint="eastAsia" w:ascii="仿宋" w:hAnsi="仿宋" w:eastAsia="仿宋" w:cs="仿宋"/>
                <w:b/>
                <w:color w:val="auto"/>
                <w:kern w:val="0"/>
                <w:sz w:val="24"/>
                <w:szCs w:val="24"/>
              </w:rPr>
            </w:pPr>
          </w:p>
        </w:tc>
      </w:tr>
    </w:tbl>
    <w:p w14:paraId="6E8CEC76">
      <w:pPr>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投标人保证：除</w:t>
      </w:r>
      <w:r>
        <w:rPr>
          <w:rFonts w:hint="eastAsia" w:ascii="仿宋" w:hAnsi="仿宋" w:eastAsia="仿宋" w:cs="仿宋"/>
          <w:color w:val="auto"/>
          <w:kern w:val="0"/>
          <w:sz w:val="24"/>
          <w:szCs w:val="24"/>
          <w:lang w:val="zh-CN"/>
        </w:rPr>
        <w:t>技术</w:t>
      </w:r>
      <w:r>
        <w:rPr>
          <w:rFonts w:hint="eastAsia" w:ascii="仿宋" w:hAnsi="仿宋" w:eastAsia="仿宋" w:cs="仿宋"/>
          <w:color w:val="auto"/>
          <w:kern w:val="0"/>
          <w:sz w:val="24"/>
          <w:szCs w:val="24"/>
        </w:rPr>
        <w:t>偏离表列出的偏离外，投标人响应招标文件的全部</w:t>
      </w:r>
      <w:r>
        <w:rPr>
          <w:rFonts w:hint="eastAsia" w:ascii="仿宋" w:hAnsi="仿宋" w:eastAsia="仿宋" w:cs="仿宋"/>
          <w:color w:val="auto"/>
          <w:kern w:val="0"/>
          <w:sz w:val="24"/>
          <w:szCs w:val="24"/>
          <w:lang w:val="zh-CN"/>
        </w:rPr>
        <w:t>技术</w:t>
      </w:r>
      <w:r>
        <w:rPr>
          <w:rFonts w:hint="eastAsia" w:ascii="仿宋" w:hAnsi="仿宋" w:eastAsia="仿宋" w:cs="仿宋"/>
          <w:color w:val="auto"/>
          <w:kern w:val="0"/>
          <w:sz w:val="24"/>
          <w:szCs w:val="24"/>
        </w:rPr>
        <w:t>要求。</w:t>
      </w:r>
    </w:p>
    <w:p w14:paraId="0CAFF7BE">
      <w:pPr>
        <w:spacing w:line="360" w:lineRule="auto"/>
        <w:ind w:firstLine="3840" w:firstLineChars="1600"/>
        <w:rPr>
          <w:rFonts w:hint="eastAsia" w:ascii="仿宋" w:hAnsi="仿宋" w:eastAsia="仿宋" w:cs="仿宋"/>
          <w:color w:val="auto"/>
          <w:sz w:val="24"/>
          <w:szCs w:val="24"/>
        </w:rPr>
      </w:pPr>
    </w:p>
    <w:p w14:paraId="3F2FC2E3">
      <w:pPr>
        <w:spacing w:line="360" w:lineRule="auto"/>
        <w:ind w:firstLine="3840" w:firstLineChars="1600"/>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法定代表人或其授权委托人（签名或印章）：</w:t>
      </w:r>
    </w:p>
    <w:p w14:paraId="18BDB814">
      <w:pPr>
        <w:spacing w:line="360" w:lineRule="auto"/>
        <w:ind w:firstLine="5520" w:firstLineChars="2300"/>
        <w:rPr>
          <w:rFonts w:hint="eastAsia" w:ascii="仿宋" w:hAnsi="仿宋" w:eastAsia="仿宋" w:cs="仿宋"/>
          <w:color w:val="auto"/>
          <w:sz w:val="24"/>
          <w:szCs w:val="24"/>
        </w:rPr>
      </w:pPr>
      <w:r>
        <w:rPr>
          <w:rFonts w:hint="eastAsia" w:ascii="仿宋" w:hAnsi="仿宋" w:eastAsia="仿宋" w:cs="仿宋"/>
          <w:color w:val="auto"/>
          <w:sz w:val="24"/>
          <w:szCs w:val="24"/>
        </w:rPr>
        <w:t>投标人（盖章）：</w:t>
      </w:r>
    </w:p>
    <w:p w14:paraId="4ECB7CA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w:t>
      </w:r>
    </w:p>
    <w:p w14:paraId="69BD5A5D">
      <w:pPr>
        <w:pStyle w:val="30"/>
        <w:ind w:firstLine="560"/>
        <w:rPr>
          <w:rFonts w:hint="eastAsia" w:ascii="仿宋" w:hAnsi="仿宋" w:eastAsia="仿宋" w:cs="仿宋"/>
          <w:color w:val="auto"/>
          <w:sz w:val="24"/>
          <w:szCs w:val="24"/>
        </w:rPr>
      </w:pPr>
    </w:p>
    <w:p w14:paraId="2D719D89">
      <w:pPr>
        <w:snapToGrid w:val="0"/>
        <w:spacing w:line="360" w:lineRule="auto"/>
        <w:ind w:left="210"/>
        <w:jc w:val="center"/>
        <w:outlineLvl w:val="0"/>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rPr>
        <w:br w:type="page"/>
      </w:r>
      <w:r>
        <w:rPr>
          <w:rFonts w:hint="eastAsia" w:ascii="仿宋" w:hAnsi="仿宋" w:eastAsia="仿宋" w:cs="仿宋"/>
          <w:b/>
          <w:color w:val="auto"/>
          <w:kern w:val="0"/>
          <w:sz w:val="32"/>
          <w:szCs w:val="32"/>
        </w:rPr>
        <w:t>九、同类业绩情况一览表</w:t>
      </w:r>
    </w:p>
    <w:p w14:paraId="3F4D8B10">
      <w:pPr>
        <w:spacing w:line="360" w:lineRule="auto"/>
        <w:jc w:val="center"/>
        <w:rPr>
          <w:rFonts w:hint="eastAsia" w:ascii="仿宋" w:hAnsi="仿宋" w:eastAsia="仿宋" w:cs="仿宋"/>
          <w:color w:val="auto"/>
          <w:sz w:val="24"/>
          <w:szCs w:val="24"/>
        </w:rPr>
      </w:pPr>
    </w:p>
    <w:tbl>
      <w:tblPr>
        <w:tblStyle w:val="23"/>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12EEA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7AE319CA">
            <w:pPr>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760DF5A3">
            <w:pPr>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采购单位名称</w:t>
            </w:r>
          </w:p>
        </w:tc>
        <w:tc>
          <w:tcPr>
            <w:tcW w:w="1732" w:type="dxa"/>
            <w:tcBorders>
              <w:top w:val="single" w:color="auto" w:sz="4" w:space="0"/>
              <w:left w:val="single" w:color="auto" w:sz="4" w:space="0"/>
              <w:right w:val="single" w:color="auto" w:sz="4" w:space="0"/>
            </w:tcBorders>
            <w:vAlign w:val="center"/>
          </w:tcPr>
          <w:p w14:paraId="2C25E8E4">
            <w:pPr>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5C6DD3A8">
            <w:pPr>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合同金额</w:t>
            </w:r>
          </w:p>
          <w:p w14:paraId="504A5E55">
            <w:pPr>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47273E77">
            <w:pPr>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30A55121">
            <w:pPr>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合同签订时间</w:t>
            </w:r>
          </w:p>
        </w:tc>
      </w:tr>
      <w:tr w14:paraId="35DC6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691BE211">
            <w:pPr>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555" w:type="dxa"/>
            <w:tcBorders>
              <w:top w:val="single" w:color="auto" w:sz="4" w:space="0"/>
              <w:left w:val="single" w:color="auto" w:sz="4" w:space="0"/>
              <w:bottom w:val="single" w:color="auto" w:sz="4" w:space="0"/>
              <w:right w:val="single" w:color="auto" w:sz="4" w:space="0"/>
            </w:tcBorders>
            <w:vAlign w:val="center"/>
          </w:tcPr>
          <w:p w14:paraId="4B5CFC34">
            <w:pPr>
              <w:spacing w:line="360" w:lineRule="auto"/>
              <w:jc w:val="left"/>
              <w:rPr>
                <w:rFonts w:hint="eastAsia" w:ascii="仿宋" w:hAnsi="仿宋" w:eastAsia="仿宋" w:cs="仿宋"/>
                <w:color w:val="auto"/>
                <w:kern w:val="0"/>
                <w:sz w:val="24"/>
                <w:szCs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393E3B01">
            <w:pPr>
              <w:spacing w:line="360" w:lineRule="auto"/>
              <w:jc w:val="left"/>
              <w:rPr>
                <w:rFonts w:hint="eastAsia" w:ascii="仿宋" w:hAnsi="仿宋" w:eastAsia="仿宋" w:cs="仿宋"/>
                <w:color w:val="auto"/>
                <w:kern w:val="0"/>
                <w:sz w:val="24"/>
                <w:szCs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670C294E">
            <w:pPr>
              <w:spacing w:line="360" w:lineRule="auto"/>
              <w:jc w:val="left"/>
              <w:rPr>
                <w:rFonts w:hint="eastAsia" w:ascii="仿宋" w:hAnsi="仿宋" w:eastAsia="仿宋" w:cs="仿宋"/>
                <w:color w:val="auto"/>
                <w:kern w:val="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D0849D2">
            <w:pPr>
              <w:spacing w:line="360" w:lineRule="auto"/>
              <w:jc w:val="left"/>
              <w:rPr>
                <w:rFonts w:hint="eastAsia" w:ascii="仿宋" w:hAnsi="仿宋" w:eastAsia="仿宋" w:cs="仿宋"/>
                <w:color w:val="auto"/>
                <w:kern w:val="0"/>
                <w:sz w:val="24"/>
                <w:szCs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5804898A">
            <w:pPr>
              <w:spacing w:line="360" w:lineRule="auto"/>
              <w:jc w:val="left"/>
              <w:rPr>
                <w:rFonts w:hint="eastAsia" w:ascii="仿宋" w:hAnsi="仿宋" w:eastAsia="仿宋" w:cs="仿宋"/>
                <w:color w:val="auto"/>
                <w:kern w:val="0"/>
                <w:sz w:val="24"/>
                <w:szCs w:val="24"/>
              </w:rPr>
            </w:pPr>
          </w:p>
        </w:tc>
      </w:tr>
      <w:tr w14:paraId="48FFC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292EF0F">
            <w:pPr>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555" w:type="dxa"/>
            <w:tcBorders>
              <w:top w:val="single" w:color="auto" w:sz="4" w:space="0"/>
              <w:left w:val="single" w:color="auto" w:sz="4" w:space="0"/>
              <w:bottom w:val="single" w:color="auto" w:sz="4" w:space="0"/>
              <w:right w:val="single" w:color="auto" w:sz="4" w:space="0"/>
            </w:tcBorders>
            <w:vAlign w:val="center"/>
          </w:tcPr>
          <w:p w14:paraId="6906D5A3">
            <w:pPr>
              <w:spacing w:line="360" w:lineRule="auto"/>
              <w:jc w:val="left"/>
              <w:rPr>
                <w:rFonts w:hint="eastAsia" w:ascii="仿宋" w:hAnsi="仿宋" w:eastAsia="仿宋" w:cs="仿宋"/>
                <w:color w:val="auto"/>
                <w:kern w:val="0"/>
                <w:sz w:val="24"/>
                <w:szCs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5C897088">
            <w:pPr>
              <w:spacing w:line="360" w:lineRule="auto"/>
              <w:jc w:val="left"/>
              <w:rPr>
                <w:rFonts w:hint="eastAsia" w:ascii="仿宋" w:hAnsi="仿宋" w:eastAsia="仿宋" w:cs="仿宋"/>
                <w:color w:val="auto"/>
                <w:kern w:val="0"/>
                <w:sz w:val="24"/>
                <w:szCs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44D6D2E7">
            <w:pPr>
              <w:spacing w:line="360" w:lineRule="auto"/>
              <w:jc w:val="left"/>
              <w:rPr>
                <w:rFonts w:hint="eastAsia" w:ascii="仿宋" w:hAnsi="仿宋" w:eastAsia="仿宋" w:cs="仿宋"/>
                <w:color w:val="auto"/>
                <w:kern w:val="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FCBF240">
            <w:pPr>
              <w:spacing w:line="360" w:lineRule="auto"/>
              <w:jc w:val="left"/>
              <w:rPr>
                <w:rFonts w:hint="eastAsia" w:ascii="仿宋" w:hAnsi="仿宋" w:eastAsia="仿宋" w:cs="仿宋"/>
                <w:color w:val="auto"/>
                <w:kern w:val="0"/>
                <w:sz w:val="24"/>
                <w:szCs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2CE4B4F9">
            <w:pPr>
              <w:spacing w:line="360" w:lineRule="auto"/>
              <w:jc w:val="left"/>
              <w:rPr>
                <w:rFonts w:hint="eastAsia" w:ascii="仿宋" w:hAnsi="仿宋" w:eastAsia="仿宋" w:cs="仿宋"/>
                <w:color w:val="auto"/>
                <w:kern w:val="0"/>
                <w:sz w:val="24"/>
                <w:szCs w:val="24"/>
              </w:rPr>
            </w:pPr>
          </w:p>
        </w:tc>
      </w:tr>
      <w:tr w14:paraId="3E3DA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CE4B547">
            <w:pPr>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555" w:type="dxa"/>
            <w:tcBorders>
              <w:top w:val="single" w:color="auto" w:sz="4" w:space="0"/>
              <w:left w:val="single" w:color="auto" w:sz="4" w:space="0"/>
              <w:bottom w:val="single" w:color="auto" w:sz="4" w:space="0"/>
              <w:right w:val="single" w:color="auto" w:sz="4" w:space="0"/>
            </w:tcBorders>
            <w:vAlign w:val="center"/>
          </w:tcPr>
          <w:p w14:paraId="64661F68">
            <w:pPr>
              <w:spacing w:line="360" w:lineRule="auto"/>
              <w:jc w:val="left"/>
              <w:rPr>
                <w:rFonts w:hint="eastAsia" w:ascii="仿宋" w:hAnsi="仿宋" w:eastAsia="仿宋" w:cs="仿宋"/>
                <w:color w:val="auto"/>
                <w:kern w:val="0"/>
                <w:sz w:val="24"/>
                <w:szCs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25056137">
            <w:pPr>
              <w:spacing w:line="360" w:lineRule="auto"/>
              <w:jc w:val="left"/>
              <w:rPr>
                <w:rFonts w:hint="eastAsia" w:ascii="仿宋" w:hAnsi="仿宋" w:eastAsia="仿宋" w:cs="仿宋"/>
                <w:color w:val="auto"/>
                <w:kern w:val="0"/>
                <w:sz w:val="24"/>
                <w:szCs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6B05C375">
            <w:pPr>
              <w:spacing w:line="360" w:lineRule="auto"/>
              <w:jc w:val="left"/>
              <w:rPr>
                <w:rFonts w:hint="eastAsia" w:ascii="仿宋" w:hAnsi="仿宋" w:eastAsia="仿宋" w:cs="仿宋"/>
                <w:color w:val="auto"/>
                <w:kern w:val="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5914551">
            <w:pPr>
              <w:spacing w:line="360" w:lineRule="auto"/>
              <w:jc w:val="left"/>
              <w:rPr>
                <w:rFonts w:hint="eastAsia" w:ascii="仿宋" w:hAnsi="仿宋" w:eastAsia="仿宋" w:cs="仿宋"/>
                <w:color w:val="auto"/>
                <w:kern w:val="0"/>
                <w:sz w:val="24"/>
                <w:szCs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0E5818C3">
            <w:pPr>
              <w:spacing w:line="360" w:lineRule="auto"/>
              <w:jc w:val="left"/>
              <w:rPr>
                <w:rFonts w:hint="eastAsia" w:ascii="仿宋" w:hAnsi="仿宋" w:eastAsia="仿宋" w:cs="仿宋"/>
                <w:color w:val="auto"/>
                <w:kern w:val="0"/>
                <w:sz w:val="24"/>
                <w:szCs w:val="24"/>
              </w:rPr>
            </w:pPr>
          </w:p>
        </w:tc>
      </w:tr>
      <w:tr w14:paraId="40342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0195BE4">
            <w:pPr>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1555" w:type="dxa"/>
            <w:tcBorders>
              <w:top w:val="single" w:color="auto" w:sz="4" w:space="0"/>
              <w:left w:val="single" w:color="auto" w:sz="4" w:space="0"/>
              <w:bottom w:val="single" w:color="auto" w:sz="4" w:space="0"/>
              <w:right w:val="single" w:color="auto" w:sz="4" w:space="0"/>
            </w:tcBorders>
            <w:vAlign w:val="center"/>
          </w:tcPr>
          <w:p w14:paraId="1FF6D02E">
            <w:pPr>
              <w:spacing w:line="360" w:lineRule="auto"/>
              <w:jc w:val="left"/>
              <w:rPr>
                <w:rFonts w:hint="eastAsia" w:ascii="仿宋" w:hAnsi="仿宋" w:eastAsia="仿宋" w:cs="仿宋"/>
                <w:color w:val="auto"/>
                <w:kern w:val="0"/>
                <w:sz w:val="24"/>
                <w:szCs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27372C23">
            <w:pPr>
              <w:spacing w:line="360" w:lineRule="auto"/>
              <w:jc w:val="left"/>
              <w:rPr>
                <w:rFonts w:hint="eastAsia" w:ascii="仿宋" w:hAnsi="仿宋" w:eastAsia="仿宋" w:cs="仿宋"/>
                <w:color w:val="auto"/>
                <w:kern w:val="0"/>
                <w:sz w:val="24"/>
                <w:szCs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1015EE10">
            <w:pPr>
              <w:spacing w:line="360" w:lineRule="auto"/>
              <w:jc w:val="left"/>
              <w:rPr>
                <w:rFonts w:hint="eastAsia" w:ascii="仿宋" w:hAnsi="仿宋" w:eastAsia="仿宋" w:cs="仿宋"/>
                <w:color w:val="auto"/>
                <w:kern w:val="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CAEFC1F">
            <w:pPr>
              <w:spacing w:line="360" w:lineRule="auto"/>
              <w:jc w:val="left"/>
              <w:rPr>
                <w:rFonts w:hint="eastAsia" w:ascii="仿宋" w:hAnsi="仿宋" w:eastAsia="仿宋" w:cs="仿宋"/>
                <w:color w:val="auto"/>
                <w:kern w:val="0"/>
                <w:sz w:val="24"/>
                <w:szCs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30E518C7">
            <w:pPr>
              <w:spacing w:line="360" w:lineRule="auto"/>
              <w:jc w:val="left"/>
              <w:rPr>
                <w:rFonts w:hint="eastAsia" w:ascii="仿宋" w:hAnsi="仿宋" w:eastAsia="仿宋" w:cs="仿宋"/>
                <w:color w:val="auto"/>
                <w:kern w:val="0"/>
                <w:sz w:val="24"/>
                <w:szCs w:val="24"/>
              </w:rPr>
            </w:pPr>
          </w:p>
        </w:tc>
      </w:tr>
      <w:tr w14:paraId="0496C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1394E985">
            <w:pPr>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1555" w:type="dxa"/>
            <w:tcBorders>
              <w:top w:val="single" w:color="auto" w:sz="4" w:space="0"/>
              <w:left w:val="single" w:color="auto" w:sz="4" w:space="0"/>
              <w:bottom w:val="single" w:color="auto" w:sz="4" w:space="0"/>
              <w:right w:val="single" w:color="auto" w:sz="4" w:space="0"/>
            </w:tcBorders>
            <w:vAlign w:val="center"/>
          </w:tcPr>
          <w:p w14:paraId="0F55F51A">
            <w:pPr>
              <w:spacing w:line="360" w:lineRule="auto"/>
              <w:jc w:val="left"/>
              <w:rPr>
                <w:rFonts w:hint="eastAsia" w:ascii="仿宋" w:hAnsi="仿宋" w:eastAsia="仿宋" w:cs="仿宋"/>
                <w:color w:val="auto"/>
                <w:kern w:val="0"/>
                <w:sz w:val="24"/>
                <w:szCs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0FE65B72">
            <w:pPr>
              <w:spacing w:line="360" w:lineRule="auto"/>
              <w:jc w:val="left"/>
              <w:rPr>
                <w:rFonts w:hint="eastAsia" w:ascii="仿宋" w:hAnsi="仿宋" w:eastAsia="仿宋" w:cs="仿宋"/>
                <w:color w:val="auto"/>
                <w:kern w:val="0"/>
                <w:sz w:val="24"/>
                <w:szCs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43F84864">
            <w:pPr>
              <w:spacing w:line="360" w:lineRule="auto"/>
              <w:jc w:val="left"/>
              <w:rPr>
                <w:rFonts w:hint="eastAsia" w:ascii="仿宋" w:hAnsi="仿宋" w:eastAsia="仿宋" w:cs="仿宋"/>
                <w:color w:val="auto"/>
                <w:kern w:val="0"/>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842C4AD">
            <w:pPr>
              <w:spacing w:line="360" w:lineRule="auto"/>
              <w:jc w:val="left"/>
              <w:rPr>
                <w:rFonts w:hint="eastAsia" w:ascii="仿宋" w:hAnsi="仿宋" w:eastAsia="仿宋" w:cs="仿宋"/>
                <w:color w:val="auto"/>
                <w:kern w:val="0"/>
                <w:sz w:val="24"/>
                <w:szCs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6EB9858D">
            <w:pPr>
              <w:spacing w:line="360" w:lineRule="auto"/>
              <w:jc w:val="left"/>
              <w:rPr>
                <w:rFonts w:hint="eastAsia" w:ascii="仿宋" w:hAnsi="仿宋" w:eastAsia="仿宋" w:cs="仿宋"/>
                <w:color w:val="auto"/>
                <w:kern w:val="0"/>
                <w:sz w:val="24"/>
                <w:szCs w:val="24"/>
              </w:rPr>
            </w:pPr>
          </w:p>
        </w:tc>
      </w:tr>
    </w:tbl>
    <w:p w14:paraId="7769146C">
      <w:pPr>
        <w:spacing w:line="360" w:lineRule="auto"/>
        <w:jc w:val="left"/>
        <w:rPr>
          <w:rFonts w:hint="eastAsia" w:ascii="仿宋" w:hAnsi="仿宋" w:eastAsia="仿宋" w:cs="仿宋"/>
          <w:color w:val="auto"/>
          <w:kern w:val="0"/>
          <w:sz w:val="24"/>
          <w:szCs w:val="24"/>
        </w:rPr>
      </w:pPr>
    </w:p>
    <w:p w14:paraId="47F2395A">
      <w:pPr>
        <w:spacing w:line="360" w:lineRule="auto"/>
        <w:jc w:val="left"/>
        <w:rPr>
          <w:rFonts w:hint="eastAsia" w:ascii="仿宋" w:hAnsi="仿宋" w:eastAsia="仿宋" w:cs="仿宋"/>
          <w:color w:val="auto"/>
          <w:kern w:val="0"/>
          <w:sz w:val="24"/>
          <w:szCs w:val="24"/>
        </w:rPr>
      </w:pPr>
    </w:p>
    <w:p w14:paraId="7F901253">
      <w:pPr>
        <w:spacing w:line="360" w:lineRule="auto"/>
        <w:jc w:val="left"/>
        <w:rPr>
          <w:rFonts w:hint="eastAsia" w:ascii="仿宋" w:hAnsi="仿宋" w:eastAsia="仿宋" w:cs="仿宋"/>
          <w:color w:val="auto"/>
          <w:kern w:val="0"/>
          <w:sz w:val="24"/>
          <w:szCs w:val="24"/>
        </w:rPr>
      </w:pPr>
    </w:p>
    <w:p w14:paraId="46C1AA48">
      <w:pPr>
        <w:adjustRightInd w:val="0"/>
        <w:snapToGrid w:val="0"/>
        <w:spacing w:line="360" w:lineRule="auto"/>
        <w:jc w:val="righ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法定代表人或其授权委托人（签名或印章）：</w:t>
      </w:r>
    </w:p>
    <w:p w14:paraId="567E2E86">
      <w:pPr>
        <w:adjustRightInd w:val="0"/>
        <w:snapToGrid w:val="0"/>
        <w:spacing w:line="360" w:lineRule="auto"/>
        <w:ind w:left="3990" w:leftChars="1900"/>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投标人（盖章）：</w:t>
      </w:r>
    </w:p>
    <w:p w14:paraId="4702DB3D">
      <w:pPr>
        <w:adjustRightInd w:val="0"/>
        <w:snapToGrid w:val="0"/>
        <w:spacing w:line="360" w:lineRule="auto"/>
        <w:ind w:right="1920"/>
        <w:jc w:val="center"/>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 xml:space="preserve">                                      日期</w:t>
      </w:r>
      <w:r>
        <w:rPr>
          <w:rFonts w:hint="eastAsia" w:ascii="仿宋" w:hAnsi="仿宋" w:eastAsia="仿宋" w:cs="仿宋"/>
          <w:color w:val="auto"/>
          <w:kern w:val="0"/>
          <w:sz w:val="24"/>
          <w:szCs w:val="24"/>
        </w:rPr>
        <w:t>:</w:t>
      </w:r>
    </w:p>
    <w:p w14:paraId="23EC6D9D">
      <w:pPr>
        <w:spacing w:line="360" w:lineRule="auto"/>
        <w:ind w:left="4620" w:leftChars="2200"/>
        <w:jc w:val="left"/>
        <w:rPr>
          <w:rFonts w:hint="eastAsia" w:ascii="仿宋" w:hAnsi="仿宋" w:eastAsia="仿宋" w:cs="仿宋"/>
          <w:b/>
          <w:color w:val="auto"/>
          <w:kern w:val="0"/>
          <w:sz w:val="24"/>
          <w:szCs w:val="24"/>
          <w:lang w:val="zh-CN"/>
        </w:rPr>
      </w:pPr>
    </w:p>
    <w:p w14:paraId="4489F688">
      <w:pPr>
        <w:snapToGrid w:val="0"/>
        <w:spacing w:line="360" w:lineRule="auto"/>
        <w:ind w:left="210"/>
        <w:jc w:val="center"/>
        <w:outlineLvl w:val="0"/>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br w:type="page"/>
      </w:r>
      <w:r>
        <w:rPr>
          <w:rFonts w:hint="eastAsia" w:ascii="仿宋" w:hAnsi="仿宋" w:eastAsia="仿宋" w:cs="仿宋"/>
          <w:b/>
          <w:color w:val="auto"/>
          <w:kern w:val="0"/>
          <w:sz w:val="32"/>
          <w:szCs w:val="32"/>
          <w:lang w:val="zh-CN"/>
        </w:rPr>
        <w:t>十、政府采购供应商廉洁自律承诺书</w:t>
      </w:r>
    </w:p>
    <w:p w14:paraId="191BA9B3">
      <w:pPr>
        <w:snapToGrid w:val="0"/>
        <w:spacing w:line="360" w:lineRule="auto"/>
        <w:rPr>
          <w:rFonts w:hint="eastAsia" w:ascii="仿宋" w:hAnsi="仿宋" w:eastAsia="仿宋" w:cs="仿宋"/>
          <w:color w:val="auto"/>
          <w:sz w:val="24"/>
          <w:szCs w:val="24"/>
        </w:rPr>
      </w:pPr>
    </w:p>
    <w:p w14:paraId="6C949FB0">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14:paraId="1BCED61B">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我单位响应你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项目招标要求参加投标。在这次投标过程中和中标后，我们将严格遵守国家法律法规要求，并郑重承诺：</w:t>
      </w:r>
    </w:p>
    <w:p w14:paraId="407956EC">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一、不向项目有关人员及部门赠送礼金礼物、有价证券、回扣以及中介费、介绍费、咨询费等好处费； </w:t>
      </w:r>
    </w:p>
    <w:p w14:paraId="6F827554">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二、不为项目有关人员及部门报销应由你方单位或个人支付的费用； </w:t>
      </w:r>
    </w:p>
    <w:p w14:paraId="3451B565">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三、不向项目有关人员及部门提供有可能影响公正的宴请和健身娱乐等活动； </w:t>
      </w:r>
    </w:p>
    <w:p w14:paraId="3B90829B">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四、不为项目有关人员及部门出国（境）、旅游等提供方便；</w:t>
      </w:r>
    </w:p>
    <w:p w14:paraId="414EC0D7">
      <w:pPr>
        <w:autoSpaceDE w:val="0"/>
        <w:autoSpaceDN w:val="0"/>
        <w:spacing w:line="360" w:lineRule="auto"/>
        <w:ind w:left="481" w:leftChars="229"/>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五、不为项目有关人员个人装修住房、婚丧嫁娶、配偶子女工作安排等提供</w:t>
      </w:r>
    </w:p>
    <w:p w14:paraId="7C4EE382">
      <w:pPr>
        <w:autoSpaceDE w:val="0"/>
        <w:autoSpaceDN w:val="0"/>
        <w:spacing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好处；</w:t>
      </w:r>
    </w:p>
    <w:p w14:paraId="5619C6D8">
      <w:pPr>
        <w:autoSpaceDE w:val="0"/>
        <w:autoSpaceDN w:val="0"/>
        <w:spacing w:line="360" w:lineRule="auto"/>
        <w:ind w:left="481" w:leftChars="229"/>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六、严格遵守《</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政府采购法》《</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招标投标</w:t>
      </w:r>
    </w:p>
    <w:p w14:paraId="1B87BE4C">
      <w:pPr>
        <w:autoSpaceDE w:val="0"/>
        <w:autoSpaceDN w:val="0"/>
        <w:spacing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法》</w:t>
      </w:r>
      <w:r>
        <w:rPr>
          <w:rFonts w:hint="eastAsia" w:ascii="仿宋" w:hAnsi="仿宋" w:eastAsia="仿宋" w:cs="仿宋"/>
          <w:color w:val="auto"/>
          <w:sz w:val="24"/>
          <w:szCs w:val="24"/>
          <w:lang w:val="zh-CN"/>
        </w:rPr>
        <w:t>《中华人民共和国民法典》</w:t>
      </w:r>
      <w:r>
        <w:rPr>
          <w:rFonts w:hint="eastAsia" w:ascii="仿宋" w:hAnsi="仿宋" w:eastAsia="仿宋" w:cs="仿宋"/>
          <w:color w:val="auto"/>
          <w:kern w:val="0"/>
          <w:sz w:val="24"/>
          <w:szCs w:val="24"/>
          <w:lang w:val="zh-CN"/>
        </w:rPr>
        <w:t xml:space="preserve">等法律法规，诚实守信，合法经营，坚决抵制各种违法违纪行为。 </w:t>
      </w:r>
    </w:p>
    <w:p w14:paraId="53B8D04B">
      <w:pPr>
        <w:autoSpaceDE w:val="0"/>
        <w:autoSpaceDN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如违反上述承诺，你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有权立即取消我单位投标、中标或在建项目的建设资格，有权拒绝我单位在一定时期内进入你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进行项目建设或其他经营活动，并通报市财政局。由此引起的相应损失均由我单位承担。</w:t>
      </w:r>
    </w:p>
    <w:p w14:paraId="1C1B03E4">
      <w:pPr>
        <w:autoSpaceDE w:val="0"/>
        <w:autoSpaceDN w:val="0"/>
        <w:spacing w:line="360" w:lineRule="auto"/>
        <w:ind w:left="2"/>
        <w:jc w:val="left"/>
        <w:rPr>
          <w:rFonts w:hint="eastAsia" w:ascii="仿宋" w:hAnsi="仿宋" w:eastAsia="仿宋" w:cs="仿宋"/>
          <w:color w:val="auto"/>
          <w:kern w:val="0"/>
          <w:sz w:val="24"/>
          <w:szCs w:val="24"/>
          <w:lang w:val="zh-CN"/>
        </w:rPr>
      </w:pPr>
    </w:p>
    <w:p w14:paraId="51796859">
      <w:pPr>
        <w:autoSpaceDE w:val="0"/>
        <w:autoSpaceDN w:val="0"/>
        <w:spacing w:line="360" w:lineRule="auto"/>
        <w:ind w:left="2"/>
        <w:jc w:val="left"/>
        <w:rPr>
          <w:rFonts w:hint="eastAsia" w:ascii="仿宋" w:hAnsi="仿宋" w:eastAsia="仿宋" w:cs="仿宋"/>
          <w:color w:val="auto"/>
          <w:kern w:val="0"/>
          <w:sz w:val="24"/>
          <w:szCs w:val="24"/>
          <w:lang w:val="zh-CN"/>
        </w:rPr>
      </w:pPr>
    </w:p>
    <w:p w14:paraId="09C62B1A">
      <w:pPr>
        <w:autoSpaceDE w:val="0"/>
        <w:autoSpaceDN w:val="0"/>
        <w:spacing w:line="360" w:lineRule="auto"/>
        <w:ind w:left="2"/>
        <w:jc w:val="left"/>
        <w:rPr>
          <w:rFonts w:hint="eastAsia" w:ascii="仿宋" w:hAnsi="仿宋" w:eastAsia="仿宋" w:cs="仿宋"/>
          <w:color w:val="auto"/>
          <w:kern w:val="0"/>
          <w:sz w:val="24"/>
          <w:szCs w:val="24"/>
          <w:lang w:val="zh-CN"/>
        </w:rPr>
      </w:pPr>
    </w:p>
    <w:p w14:paraId="7638A091">
      <w:pPr>
        <w:adjustRightInd w:val="0"/>
        <w:snapToGrid w:val="0"/>
        <w:spacing w:line="360" w:lineRule="auto"/>
        <w:jc w:val="righ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法定代表人或其授权委托人（签名或印章）：</w:t>
      </w:r>
    </w:p>
    <w:p w14:paraId="004D5D91">
      <w:pPr>
        <w:adjustRightInd w:val="0"/>
        <w:snapToGrid w:val="0"/>
        <w:spacing w:line="360" w:lineRule="auto"/>
        <w:ind w:left="3990" w:leftChars="1900"/>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投标人（盖章）：</w:t>
      </w:r>
    </w:p>
    <w:p w14:paraId="201F083B">
      <w:pPr>
        <w:adjustRightInd w:val="0"/>
        <w:snapToGrid w:val="0"/>
        <w:spacing w:line="360" w:lineRule="auto"/>
        <w:ind w:right="1920"/>
        <w:jc w:val="center"/>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 xml:space="preserve">                                      日期</w:t>
      </w:r>
      <w:r>
        <w:rPr>
          <w:rFonts w:hint="eastAsia" w:ascii="仿宋" w:hAnsi="仿宋" w:eastAsia="仿宋" w:cs="仿宋"/>
          <w:color w:val="auto"/>
          <w:kern w:val="0"/>
          <w:sz w:val="24"/>
          <w:szCs w:val="24"/>
        </w:rPr>
        <w:t>:</w:t>
      </w:r>
    </w:p>
    <w:p w14:paraId="1FE76E4A">
      <w:pPr>
        <w:spacing w:line="360" w:lineRule="auto"/>
        <w:ind w:left="4620" w:leftChars="2200"/>
        <w:rPr>
          <w:rFonts w:hint="eastAsia" w:ascii="仿宋" w:hAnsi="仿宋" w:eastAsia="仿宋" w:cs="仿宋"/>
          <w:color w:val="auto"/>
          <w:sz w:val="24"/>
          <w:szCs w:val="24"/>
        </w:rPr>
      </w:pPr>
    </w:p>
    <w:p w14:paraId="10CA39BE">
      <w:pPr>
        <w:spacing w:line="360" w:lineRule="auto"/>
        <w:jc w:val="center"/>
        <w:rPr>
          <w:rFonts w:hint="eastAsia" w:ascii="仿宋" w:hAnsi="仿宋" w:eastAsia="仿宋" w:cs="仿宋"/>
          <w:b/>
          <w:bCs/>
          <w:color w:val="auto"/>
          <w:sz w:val="24"/>
          <w:szCs w:val="24"/>
        </w:rPr>
      </w:pPr>
    </w:p>
    <w:p w14:paraId="50FE6E7F">
      <w:pPr>
        <w:spacing w:line="360" w:lineRule="auto"/>
        <w:jc w:val="center"/>
        <w:rPr>
          <w:rFonts w:hint="eastAsia" w:ascii="仿宋" w:hAnsi="仿宋" w:eastAsia="仿宋" w:cs="仿宋"/>
          <w:b/>
          <w:bCs/>
          <w:color w:val="auto"/>
          <w:sz w:val="24"/>
          <w:szCs w:val="24"/>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docGrid w:linePitch="312" w:charSpace="0"/>
        </w:sectPr>
      </w:pPr>
    </w:p>
    <w:p w14:paraId="0E99B80D">
      <w:pPr>
        <w:spacing w:line="360" w:lineRule="auto"/>
        <w:jc w:val="center"/>
        <w:outlineLvl w:val="0"/>
        <w:rPr>
          <w:rFonts w:hint="eastAsia" w:ascii="仿宋" w:hAnsi="仿宋" w:eastAsia="仿宋" w:cs="仿宋"/>
          <w:b/>
          <w:color w:val="auto"/>
          <w:kern w:val="0"/>
          <w:sz w:val="24"/>
          <w:szCs w:val="24"/>
        </w:rPr>
      </w:pPr>
    </w:p>
    <w:p w14:paraId="1CEF92FF">
      <w:pPr>
        <w:spacing w:line="360" w:lineRule="auto"/>
        <w:jc w:val="center"/>
        <w:outlineLvl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报价文件部分</w:t>
      </w:r>
    </w:p>
    <w:p w14:paraId="2C81BAD6">
      <w:pPr>
        <w:spacing w:line="360" w:lineRule="auto"/>
        <w:jc w:val="center"/>
        <w:outlineLvl w:val="0"/>
        <w:rPr>
          <w:rFonts w:hint="eastAsia" w:ascii="仿宋" w:hAnsi="仿宋" w:eastAsia="仿宋" w:cs="仿宋"/>
          <w:b/>
          <w:color w:val="auto"/>
          <w:kern w:val="0"/>
          <w:sz w:val="24"/>
          <w:szCs w:val="24"/>
        </w:rPr>
      </w:pPr>
      <w:r>
        <w:rPr>
          <w:rFonts w:hint="eastAsia" w:ascii="仿宋" w:hAnsi="仿宋" w:eastAsia="仿宋" w:cs="仿宋"/>
          <w:b/>
          <w:color w:val="auto"/>
          <w:kern w:val="0"/>
          <w:sz w:val="32"/>
          <w:szCs w:val="32"/>
        </w:rPr>
        <w:t>目录</w:t>
      </w:r>
    </w:p>
    <w:p w14:paraId="55E4B7AA">
      <w:pPr>
        <w:snapToGrid w:val="0"/>
        <w:spacing w:line="360" w:lineRule="auto"/>
        <w:ind w:firstLine="480" w:firstLineChars="200"/>
        <w:rPr>
          <w:rFonts w:hint="eastAsia" w:ascii="仿宋" w:hAnsi="仿宋" w:eastAsia="仿宋" w:cs="仿宋"/>
          <w:color w:val="auto"/>
          <w:sz w:val="24"/>
          <w:szCs w:val="24"/>
          <w:u w:val="single"/>
          <w:lang w:val="zh-CN"/>
        </w:rPr>
      </w:pPr>
      <w:r>
        <w:rPr>
          <w:rFonts w:hint="eastAsia" w:ascii="仿宋" w:hAnsi="仿宋" w:eastAsia="仿宋" w:cs="仿宋"/>
          <w:color w:val="auto"/>
          <w:sz w:val="24"/>
          <w:szCs w:val="24"/>
        </w:rPr>
        <w:t xml:space="preserve"> </w:t>
      </w:r>
    </w:p>
    <w:p w14:paraId="312D4433">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1 开标一览表；</w:t>
      </w:r>
    </w:p>
    <w:p w14:paraId="3DE72B45">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 投标报价明细表；</w:t>
      </w:r>
    </w:p>
    <w:p w14:paraId="1C0B3002">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3 中小企业声明函（如有）；</w:t>
      </w:r>
    </w:p>
    <w:p w14:paraId="7A16ABD4">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 残疾人福利性单位声明函（如有）；</w:t>
      </w:r>
    </w:p>
    <w:p w14:paraId="34AB2395">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 监狱企业的证明文件（如有）；</w:t>
      </w:r>
    </w:p>
    <w:p w14:paraId="0C11EF64">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6 政府采购统计基础信息表；</w:t>
      </w:r>
    </w:p>
    <w:p w14:paraId="4EB1DF5C">
      <w:pPr>
        <w:snapToGrid w:val="0"/>
        <w:spacing w:line="360" w:lineRule="auto"/>
        <w:ind w:firstLine="960" w:firstLineChars="400"/>
        <w:rPr>
          <w:rFonts w:hint="eastAsia" w:ascii="仿宋" w:hAnsi="仿宋" w:eastAsia="仿宋" w:cs="仿宋"/>
          <w:color w:val="auto"/>
          <w:kern w:val="2"/>
          <w:sz w:val="24"/>
          <w:szCs w:val="24"/>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r>
        <w:rPr>
          <w:rFonts w:hint="eastAsia" w:ascii="仿宋" w:hAnsi="仿宋" w:eastAsia="仿宋" w:cs="仿宋"/>
          <w:color w:val="auto"/>
          <w:sz w:val="24"/>
          <w:szCs w:val="24"/>
        </w:rPr>
        <w:t>7 其他资料（如有）。</w:t>
      </w:r>
    </w:p>
    <w:p w14:paraId="6FBEB8A2">
      <w:pPr>
        <w:pStyle w:val="39"/>
        <w:keepNext w:val="0"/>
        <w:pageBreakBefore w:val="0"/>
        <w:tabs>
          <w:tab w:val="clear" w:pos="720"/>
        </w:tabs>
        <w:snapToGrid w:val="0"/>
        <w:spacing w:before="120" w:after="120"/>
        <w:ind w:firstLine="643"/>
        <w:outlineLvl w:val="9"/>
        <w:rPr>
          <w:rFonts w:cs="仿宋" w:asciiTheme="majorEastAsia" w:hAnsiTheme="majorEastAsia" w:eastAsiaTheme="majorEastAsia"/>
          <w:color w:val="auto"/>
          <w:kern w:val="2"/>
          <w:sz w:val="32"/>
          <w:szCs w:val="32"/>
        </w:rPr>
      </w:pPr>
      <w:r>
        <w:rPr>
          <w:rFonts w:hint="eastAsia" w:cs="仿宋" w:asciiTheme="majorEastAsia" w:hAnsiTheme="majorEastAsia" w:eastAsiaTheme="majorEastAsia"/>
          <w:color w:val="auto"/>
          <w:kern w:val="2"/>
          <w:sz w:val="32"/>
          <w:szCs w:val="32"/>
        </w:rPr>
        <w:t>一、开标一览表（报价表）</w:t>
      </w:r>
    </w:p>
    <w:p w14:paraId="2C28872D">
      <w:pPr>
        <w:snapToGrid w:val="0"/>
        <w:spacing w:line="360" w:lineRule="auto"/>
        <w:rPr>
          <w:rFonts w:cs="仿宋" w:asciiTheme="majorEastAsia" w:hAnsiTheme="majorEastAsia" w:eastAsiaTheme="majorEastAsia"/>
          <w:color w:val="auto"/>
          <w:kern w:val="0"/>
          <w:sz w:val="24"/>
          <w:u w:val="single"/>
        </w:rPr>
      </w:pPr>
      <w:r>
        <w:rPr>
          <w:rFonts w:hint="eastAsia" w:cs="仿宋" w:asciiTheme="majorEastAsia" w:hAnsiTheme="majorEastAsia" w:eastAsiaTheme="majorEastAsia"/>
          <w:color w:val="auto"/>
          <w:sz w:val="24"/>
        </w:rPr>
        <w:t>（采购人）、（采购代理机构）</w:t>
      </w:r>
      <w:r>
        <w:rPr>
          <w:rFonts w:hint="eastAsia" w:cs="仿宋" w:asciiTheme="majorEastAsia" w:hAnsiTheme="majorEastAsia" w:eastAsiaTheme="majorEastAsia"/>
          <w:color w:val="auto"/>
          <w:kern w:val="0"/>
          <w:sz w:val="24"/>
          <w:lang w:val="zh-CN"/>
        </w:rPr>
        <w:t>：</w:t>
      </w:r>
      <w:r>
        <w:rPr>
          <w:rFonts w:hint="eastAsia" w:cs="仿宋" w:asciiTheme="majorEastAsia" w:hAnsiTheme="majorEastAsia" w:eastAsiaTheme="majorEastAsia"/>
          <w:color w:val="auto"/>
          <w:kern w:val="0"/>
          <w:sz w:val="24"/>
          <w:u w:val="single"/>
        </w:rPr>
        <w:t xml:space="preserve">                                     </w:t>
      </w:r>
    </w:p>
    <w:p w14:paraId="5FECA006">
      <w:pPr>
        <w:snapToGrid w:val="0"/>
        <w:spacing w:line="360" w:lineRule="auto"/>
        <w:ind w:firstLine="482"/>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color w:val="auto"/>
          <w:sz w:val="24"/>
        </w:rPr>
        <w:t>（项目名称）</w:t>
      </w:r>
      <w:r>
        <w:rPr>
          <w:rFonts w:hint="eastAsia" w:cs="仿宋" w:asciiTheme="majorEastAsia" w:hAnsiTheme="majorEastAsia" w:eastAsiaTheme="majorEastAsia"/>
          <w:color w:val="auto"/>
          <w:kern w:val="0"/>
          <w:sz w:val="24"/>
          <w:lang w:val="zh-CN"/>
        </w:rPr>
        <w:t xml:space="preserve">【项目编号：    </w:t>
      </w:r>
      <w:r>
        <w:rPr>
          <w:rFonts w:hint="eastAsia" w:cs="仿宋" w:asciiTheme="majorEastAsia" w:hAnsiTheme="majorEastAsia" w:eastAsiaTheme="majorEastAsia"/>
          <w:color w:val="auto"/>
          <w:sz w:val="24"/>
        </w:rPr>
        <w:t xml:space="preserve"> 】的实施</w:t>
      </w:r>
      <w:r>
        <w:rPr>
          <w:rFonts w:hint="eastAsia" w:cs="仿宋" w:asciiTheme="majorEastAsia" w:hAnsiTheme="majorEastAsia" w:eastAsiaTheme="majorEastAsia"/>
          <w:color w:val="auto"/>
          <w:kern w:val="0"/>
          <w:sz w:val="24"/>
          <w:lang w:val="zh-CN"/>
        </w:rPr>
        <w:t>。</w:t>
      </w:r>
    </w:p>
    <w:p w14:paraId="79B6AA3F">
      <w:pPr>
        <w:spacing w:line="360" w:lineRule="auto"/>
        <w:jc w:val="center"/>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b/>
          <w:color w:val="auto"/>
          <w:kern w:val="0"/>
          <w:sz w:val="24"/>
          <w:lang w:val="zh-CN"/>
        </w:rPr>
        <w:t>开标一览表（报价表）(单位均为人民币元)</w:t>
      </w:r>
    </w:p>
    <w:tbl>
      <w:tblPr>
        <w:tblStyle w:val="2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247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3731FBA">
            <w:pP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序号</w:t>
            </w:r>
          </w:p>
        </w:tc>
        <w:tc>
          <w:tcPr>
            <w:tcW w:w="1417" w:type="dxa"/>
            <w:vAlign w:val="center"/>
          </w:tcPr>
          <w:p w14:paraId="1BA74C73">
            <w:pP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名称</w:t>
            </w:r>
          </w:p>
        </w:tc>
        <w:tc>
          <w:tcPr>
            <w:tcW w:w="1843" w:type="dxa"/>
          </w:tcPr>
          <w:p w14:paraId="7B28126A">
            <w:pPr>
              <w:spacing w:line="360" w:lineRule="auto"/>
              <w:jc w:val="center"/>
              <w:rPr>
                <w:rFonts w:cs="仿宋" w:asciiTheme="majorEastAsia" w:hAnsiTheme="majorEastAsia" w:eastAsiaTheme="majorEastAsia"/>
                <w:b/>
                <w:color w:val="auto"/>
                <w:sz w:val="24"/>
              </w:rPr>
            </w:pPr>
          </w:p>
          <w:p w14:paraId="50954E3A">
            <w:pP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品牌（如果有）</w:t>
            </w:r>
          </w:p>
        </w:tc>
        <w:tc>
          <w:tcPr>
            <w:tcW w:w="3118" w:type="dxa"/>
            <w:vAlign w:val="center"/>
          </w:tcPr>
          <w:p w14:paraId="6C602032">
            <w:pP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规格型号（或具体服务）</w:t>
            </w:r>
          </w:p>
        </w:tc>
        <w:tc>
          <w:tcPr>
            <w:tcW w:w="993" w:type="dxa"/>
            <w:vAlign w:val="center"/>
          </w:tcPr>
          <w:p w14:paraId="2FB2FF27">
            <w:pP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数量</w:t>
            </w:r>
          </w:p>
        </w:tc>
        <w:tc>
          <w:tcPr>
            <w:tcW w:w="1559" w:type="dxa"/>
            <w:vAlign w:val="center"/>
          </w:tcPr>
          <w:p w14:paraId="56306877">
            <w:pP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单价</w:t>
            </w:r>
          </w:p>
        </w:tc>
        <w:tc>
          <w:tcPr>
            <w:tcW w:w="1984" w:type="dxa"/>
            <w:vAlign w:val="center"/>
          </w:tcPr>
          <w:p w14:paraId="2E800F2D">
            <w:pP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总价</w:t>
            </w:r>
          </w:p>
        </w:tc>
        <w:tc>
          <w:tcPr>
            <w:tcW w:w="3119" w:type="dxa"/>
            <w:vAlign w:val="center"/>
          </w:tcPr>
          <w:p w14:paraId="259FCCBD">
            <w:pPr>
              <w:spacing w:line="360" w:lineRule="auto"/>
              <w:jc w:val="center"/>
              <w:rPr>
                <w:rFonts w:cs="仿宋" w:asciiTheme="majorEastAsia" w:hAnsiTheme="majorEastAsia" w:eastAsiaTheme="majorEastAsia"/>
                <w:b/>
                <w:color w:val="auto"/>
                <w:sz w:val="24"/>
              </w:rPr>
            </w:pPr>
          </w:p>
          <w:p w14:paraId="1B65E735">
            <w:pP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服务要求（年限）</w:t>
            </w:r>
          </w:p>
          <w:p w14:paraId="35E5546F">
            <w:pPr>
              <w:spacing w:line="360" w:lineRule="auto"/>
              <w:jc w:val="center"/>
              <w:rPr>
                <w:rFonts w:cs="仿宋" w:asciiTheme="majorEastAsia" w:hAnsiTheme="majorEastAsia" w:eastAsiaTheme="majorEastAsia"/>
                <w:b/>
                <w:color w:val="auto"/>
                <w:sz w:val="24"/>
              </w:rPr>
            </w:pPr>
          </w:p>
        </w:tc>
      </w:tr>
      <w:tr w14:paraId="3C8D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34E43F8">
            <w:pP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w:t>
            </w:r>
          </w:p>
        </w:tc>
        <w:tc>
          <w:tcPr>
            <w:tcW w:w="1417" w:type="dxa"/>
            <w:vAlign w:val="center"/>
          </w:tcPr>
          <w:p w14:paraId="6A1CCC75">
            <w:pPr>
              <w:snapToGrid w:val="0"/>
              <w:spacing w:line="360" w:lineRule="auto"/>
              <w:jc w:val="center"/>
              <w:rPr>
                <w:rFonts w:cs="仿宋" w:asciiTheme="majorEastAsia" w:hAnsiTheme="majorEastAsia" w:eastAsiaTheme="majorEastAsia"/>
                <w:color w:val="auto"/>
                <w:sz w:val="24"/>
              </w:rPr>
            </w:pPr>
          </w:p>
        </w:tc>
        <w:tc>
          <w:tcPr>
            <w:tcW w:w="1843" w:type="dxa"/>
            <w:vAlign w:val="center"/>
          </w:tcPr>
          <w:p w14:paraId="2C842ADA">
            <w:pPr>
              <w:snapToGrid w:val="0"/>
              <w:spacing w:line="360" w:lineRule="auto"/>
              <w:jc w:val="center"/>
              <w:rPr>
                <w:rFonts w:cs="仿宋" w:asciiTheme="majorEastAsia" w:hAnsiTheme="majorEastAsia" w:eastAsiaTheme="majorEastAsia"/>
                <w:color w:val="auto"/>
                <w:sz w:val="24"/>
              </w:rPr>
            </w:pPr>
          </w:p>
        </w:tc>
        <w:tc>
          <w:tcPr>
            <w:tcW w:w="3118" w:type="dxa"/>
            <w:vAlign w:val="center"/>
          </w:tcPr>
          <w:p w14:paraId="6C1F1A9D">
            <w:pPr>
              <w:snapToGrid w:val="0"/>
              <w:spacing w:line="360" w:lineRule="auto"/>
              <w:jc w:val="center"/>
              <w:rPr>
                <w:rFonts w:cs="仿宋" w:asciiTheme="majorEastAsia" w:hAnsiTheme="majorEastAsia" w:eastAsiaTheme="majorEastAsia"/>
                <w:color w:val="auto"/>
                <w:sz w:val="24"/>
              </w:rPr>
            </w:pPr>
          </w:p>
        </w:tc>
        <w:tc>
          <w:tcPr>
            <w:tcW w:w="993" w:type="dxa"/>
            <w:vAlign w:val="center"/>
          </w:tcPr>
          <w:p w14:paraId="60A042CD">
            <w:pPr>
              <w:snapToGrid w:val="0"/>
              <w:spacing w:line="360" w:lineRule="auto"/>
              <w:jc w:val="center"/>
              <w:rPr>
                <w:rFonts w:cs="仿宋" w:asciiTheme="majorEastAsia" w:hAnsiTheme="majorEastAsia" w:eastAsiaTheme="majorEastAsia"/>
                <w:color w:val="auto"/>
                <w:sz w:val="24"/>
              </w:rPr>
            </w:pPr>
          </w:p>
        </w:tc>
        <w:tc>
          <w:tcPr>
            <w:tcW w:w="1559" w:type="dxa"/>
            <w:vAlign w:val="center"/>
          </w:tcPr>
          <w:p w14:paraId="0FAF9DC4">
            <w:pPr>
              <w:spacing w:line="360" w:lineRule="auto"/>
              <w:jc w:val="center"/>
              <w:rPr>
                <w:rFonts w:cs="仿宋" w:asciiTheme="majorEastAsia" w:hAnsiTheme="majorEastAsia" w:eastAsiaTheme="majorEastAsia"/>
                <w:color w:val="auto"/>
                <w:sz w:val="24"/>
              </w:rPr>
            </w:pPr>
          </w:p>
        </w:tc>
        <w:tc>
          <w:tcPr>
            <w:tcW w:w="1984" w:type="dxa"/>
            <w:vAlign w:val="center"/>
          </w:tcPr>
          <w:p w14:paraId="4D4F9E7C">
            <w:pPr>
              <w:spacing w:line="360" w:lineRule="auto"/>
              <w:jc w:val="center"/>
              <w:rPr>
                <w:rFonts w:cs="仿宋" w:asciiTheme="majorEastAsia" w:hAnsiTheme="majorEastAsia" w:eastAsiaTheme="majorEastAsia"/>
                <w:color w:val="auto"/>
                <w:sz w:val="24"/>
              </w:rPr>
            </w:pPr>
          </w:p>
        </w:tc>
        <w:tc>
          <w:tcPr>
            <w:tcW w:w="3119" w:type="dxa"/>
            <w:vAlign w:val="center"/>
          </w:tcPr>
          <w:p w14:paraId="0F2DFAC7">
            <w:pPr>
              <w:spacing w:line="360" w:lineRule="auto"/>
              <w:jc w:val="center"/>
              <w:rPr>
                <w:rFonts w:cs="仿宋" w:asciiTheme="majorEastAsia" w:hAnsiTheme="majorEastAsia" w:eastAsiaTheme="majorEastAsia"/>
                <w:color w:val="auto"/>
                <w:sz w:val="24"/>
              </w:rPr>
            </w:pPr>
          </w:p>
        </w:tc>
      </w:tr>
      <w:tr w14:paraId="11A0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0D4C7CB">
            <w:pP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p>
        </w:tc>
        <w:tc>
          <w:tcPr>
            <w:tcW w:w="1417" w:type="dxa"/>
            <w:vAlign w:val="center"/>
          </w:tcPr>
          <w:p w14:paraId="13EDEF81">
            <w:pPr>
              <w:snapToGrid w:val="0"/>
              <w:spacing w:line="360" w:lineRule="auto"/>
              <w:jc w:val="center"/>
              <w:rPr>
                <w:rFonts w:cs="仿宋" w:asciiTheme="majorEastAsia" w:hAnsiTheme="majorEastAsia" w:eastAsiaTheme="majorEastAsia"/>
                <w:color w:val="auto"/>
                <w:sz w:val="24"/>
              </w:rPr>
            </w:pPr>
          </w:p>
        </w:tc>
        <w:tc>
          <w:tcPr>
            <w:tcW w:w="1843" w:type="dxa"/>
            <w:vAlign w:val="center"/>
          </w:tcPr>
          <w:p w14:paraId="238F271B">
            <w:pPr>
              <w:snapToGrid w:val="0"/>
              <w:spacing w:line="360" w:lineRule="auto"/>
              <w:jc w:val="center"/>
              <w:rPr>
                <w:rFonts w:cs="仿宋" w:asciiTheme="majorEastAsia" w:hAnsiTheme="majorEastAsia" w:eastAsiaTheme="majorEastAsia"/>
                <w:color w:val="auto"/>
                <w:sz w:val="24"/>
              </w:rPr>
            </w:pPr>
          </w:p>
        </w:tc>
        <w:tc>
          <w:tcPr>
            <w:tcW w:w="3118" w:type="dxa"/>
            <w:vAlign w:val="center"/>
          </w:tcPr>
          <w:p w14:paraId="7E386B44">
            <w:pPr>
              <w:snapToGrid w:val="0"/>
              <w:spacing w:line="360" w:lineRule="auto"/>
              <w:jc w:val="center"/>
              <w:rPr>
                <w:rFonts w:cs="仿宋" w:asciiTheme="majorEastAsia" w:hAnsiTheme="majorEastAsia" w:eastAsiaTheme="majorEastAsia"/>
                <w:color w:val="auto"/>
                <w:sz w:val="24"/>
              </w:rPr>
            </w:pPr>
          </w:p>
        </w:tc>
        <w:tc>
          <w:tcPr>
            <w:tcW w:w="993" w:type="dxa"/>
            <w:vAlign w:val="center"/>
          </w:tcPr>
          <w:p w14:paraId="5B2EE318">
            <w:pPr>
              <w:snapToGrid w:val="0"/>
              <w:spacing w:line="360" w:lineRule="auto"/>
              <w:jc w:val="center"/>
              <w:rPr>
                <w:rFonts w:cs="仿宋" w:asciiTheme="majorEastAsia" w:hAnsiTheme="majorEastAsia" w:eastAsiaTheme="majorEastAsia"/>
                <w:color w:val="auto"/>
                <w:sz w:val="24"/>
              </w:rPr>
            </w:pPr>
          </w:p>
        </w:tc>
        <w:tc>
          <w:tcPr>
            <w:tcW w:w="1559" w:type="dxa"/>
            <w:vAlign w:val="center"/>
          </w:tcPr>
          <w:p w14:paraId="07889DD2">
            <w:pPr>
              <w:spacing w:line="360" w:lineRule="auto"/>
              <w:jc w:val="center"/>
              <w:rPr>
                <w:rFonts w:cs="仿宋" w:asciiTheme="majorEastAsia" w:hAnsiTheme="majorEastAsia" w:eastAsiaTheme="majorEastAsia"/>
                <w:color w:val="auto"/>
                <w:sz w:val="24"/>
              </w:rPr>
            </w:pPr>
          </w:p>
        </w:tc>
        <w:tc>
          <w:tcPr>
            <w:tcW w:w="1984" w:type="dxa"/>
            <w:vAlign w:val="center"/>
          </w:tcPr>
          <w:p w14:paraId="4AA4D36C">
            <w:pPr>
              <w:spacing w:line="360" w:lineRule="auto"/>
              <w:jc w:val="center"/>
              <w:rPr>
                <w:rFonts w:cs="仿宋" w:asciiTheme="majorEastAsia" w:hAnsiTheme="majorEastAsia" w:eastAsiaTheme="majorEastAsia"/>
                <w:color w:val="auto"/>
                <w:sz w:val="24"/>
              </w:rPr>
            </w:pPr>
          </w:p>
        </w:tc>
        <w:tc>
          <w:tcPr>
            <w:tcW w:w="3119" w:type="dxa"/>
            <w:vAlign w:val="center"/>
          </w:tcPr>
          <w:p w14:paraId="1566172A">
            <w:pPr>
              <w:spacing w:line="360" w:lineRule="auto"/>
              <w:jc w:val="center"/>
              <w:rPr>
                <w:rFonts w:cs="仿宋" w:asciiTheme="majorEastAsia" w:hAnsiTheme="majorEastAsia" w:eastAsiaTheme="majorEastAsia"/>
                <w:color w:val="auto"/>
                <w:sz w:val="24"/>
              </w:rPr>
            </w:pPr>
          </w:p>
        </w:tc>
      </w:tr>
      <w:tr w14:paraId="5DF3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D9E174">
            <w:pP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w:t>
            </w:r>
          </w:p>
        </w:tc>
        <w:tc>
          <w:tcPr>
            <w:tcW w:w="1417" w:type="dxa"/>
            <w:vAlign w:val="center"/>
          </w:tcPr>
          <w:p w14:paraId="491F8C63">
            <w:pPr>
              <w:snapToGrid w:val="0"/>
              <w:spacing w:line="360" w:lineRule="auto"/>
              <w:jc w:val="center"/>
              <w:rPr>
                <w:rFonts w:cs="仿宋" w:asciiTheme="majorEastAsia" w:hAnsiTheme="majorEastAsia" w:eastAsiaTheme="majorEastAsia"/>
                <w:color w:val="auto"/>
                <w:sz w:val="24"/>
              </w:rPr>
            </w:pPr>
          </w:p>
        </w:tc>
        <w:tc>
          <w:tcPr>
            <w:tcW w:w="1843" w:type="dxa"/>
            <w:vAlign w:val="center"/>
          </w:tcPr>
          <w:p w14:paraId="47415F41">
            <w:pPr>
              <w:snapToGrid w:val="0"/>
              <w:spacing w:line="360" w:lineRule="auto"/>
              <w:jc w:val="center"/>
              <w:rPr>
                <w:rFonts w:cs="仿宋" w:asciiTheme="majorEastAsia" w:hAnsiTheme="majorEastAsia" w:eastAsiaTheme="majorEastAsia"/>
                <w:color w:val="auto"/>
                <w:sz w:val="24"/>
              </w:rPr>
            </w:pPr>
          </w:p>
        </w:tc>
        <w:tc>
          <w:tcPr>
            <w:tcW w:w="3118" w:type="dxa"/>
            <w:vAlign w:val="center"/>
          </w:tcPr>
          <w:p w14:paraId="2886D00C">
            <w:pPr>
              <w:snapToGrid w:val="0"/>
              <w:spacing w:line="360" w:lineRule="auto"/>
              <w:jc w:val="center"/>
              <w:rPr>
                <w:rFonts w:cs="仿宋" w:asciiTheme="majorEastAsia" w:hAnsiTheme="majorEastAsia" w:eastAsiaTheme="majorEastAsia"/>
                <w:color w:val="auto"/>
                <w:sz w:val="24"/>
              </w:rPr>
            </w:pPr>
          </w:p>
        </w:tc>
        <w:tc>
          <w:tcPr>
            <w:tcW w:w="993" w:type="dxa"/>
            <w:vAlign w:val="center"/>
          </w:tcPr>
          <w:p w14:paraId="4A64E705">
            <w:pPr>
              <w:snapToGrid w:val="0"/>
              <w:spacing w:line="360" w:lineRule="auto"/>
              <w:jc w:val="center"/>
              <w:rPr>
                <w:rFonts w:cs="仿宋" w:asciiTheme="majorEastAsia" w:hAnsiTheme="majorEastAsia" w:eastAsiaTheme="majorEastAsia"/>
                <w:color w:val="auto"/>
                <w:sz w:val="24"/>
              </w:rPr>
            </w:pPr>
          </w:p>
        </w:tc>
        <w:tc>
          <w:tcPr>
            <w:tcW w:w="1559" w:type="dxa"/>
            <w:vAlign w:val="center"/>
          </w:tcPr>
          <w:p w14:paraId="6F8B295D">
            <w:pPr>
              <w:spacing w:line="360" w:lineRule="auto"/>
              <w:jc w:val="center"/>
              <w:rPr>
                <w:rFonts w:cs="仿宋" w:asciiTheme="majorEastAsia" w:hAnsiTheme="majorEastAsia" w:eastAsiaTheme="majorEastAsia"/>
                <w:color w:val="auto"/>
                <w:sz w:val="24"/>
              </w:rPr>
            </w:pPr>
          </w:p>
        </w:tc>
        <w:tc>
          <w:tcPr>
            <w:tcW w:w="1984" w:type="dxa"/>
            <w:vAlign w:val="center"/>
          </w:tcPr>
          <w:p w14:paraId="304AA970">
            <w:pPr>
              <w:spacing w:line="360" w:lineRule="auto"/>
              <w:jc w:val="center"/>
              <w:rPr>
                <w:rFonts w:cs="仿宋" w:asciiTheme="majorEastAsia" w:hAnsiTheme="majorEastAsia" w:eastAsiaTheme="majorEastAsia"/>
                <w:color w:val="auto"/>
                <w:sz w:val="24"/>
              </w:rPr>
            </w:pPr>
          </w:p>
        </w:tc>
        <w:tc>
          <w:tcPr>
            <w:tcW w:w="3119" w:type="dxa"/>
            <w:vAlign w:val="center"/>
          </w:tcPr>
          <w:p w14:paraId="2C17DFE1">
            <w:pPr>
              <w:spacing w:line="360" w:lineRule="auto"/>
              <w:jc w:val="center"/>
              <w:rPr>
                <w:rFonts w:cs="仿宋" w:asciiTheme="majorEastAsia" w:hAnsiTheme="majorEastAsia" w:eastAsiaTheme="majorEastAsia"/>
                <w:color w:val="auto"/>
                <w:sz w:val="24"/>
              </w:rPr>
            </w:pPr>
          </w:p>
        </w:tc>
      </w:tr>
      <w:tr w14:paraId="3029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15E4547">
            <w:pPr>
              <w:spacing w:line="360" w:lineRule="auto"/>
              <w:jc w:val="center"/>
              <w:rPr>
                <w:rFonts w:cs="仿宋" w:asciiTheme="majorEastAsia" w:hAnsiTheme="majorEastAsia" w:eastAsiaTheme="majorEastAsia"/>
                <w:color w:val="auto"/>
                <w:sz w:val="24"/>
              </w:rPr>
            </w:pPr>
          </w:p>
        </w:tc>
        <w:tc>
          <w:tcPr>
            <w:tcW w:w="1417" w:type="dxa"/>
            <w:vAlign w:val="center"/>
          </w:tcPr>
          <w:p w14:paraId="6F4A9FC2">
            <w:pPr>
              <w:snapToGrid w:val="0"/>
              <w:spacing w:line="360" w:lineRule="auto"/>
              <w:jc w:val="center"/>
              <w:rPr>
                <w:rFonts w:cs="仿宋" w:asciiTheme="majorEastAsia" w:hAnsiTheme="majorEastAsia" w:eastAsiaTheme="majorEastAsia"/>
                <w:color w:val="auto"/>
                <w:sz w:val="24"/>
              </w:rPr>
            </w:pPr>
          </w:p>
        </w:tc>
        <w:tc>
          <w:tcPr>
            <w:tcW w:w="1843" w:type="dxa"/>
            <w:vAlign w:val="center"/>
          </w:tcPr>
          <w:p w14:paraId="7A66CAC7">
            <w:pPr>
              <w:snapToGrid w:val="0"/>
              <w:spacing w:line="360" w:lineRule="auto"/>
              <w:jc w:val="center"/>
              <w:rPr>
                <w:rFonts w:cs="仿宋" w:asciiTheme="majorEastAsia" w:hAnsiTheme="majorEastAsia" w:eastAsiaTheme="majorEastAsia"/>
                <w:color w:val="auto"/>
                <w:sz w:val="24"/>
              </w:rPr>
            </w:pPr>
          </w:p>
        </w:tc>
        <w:tc>
          <w:tcPr>
            <w:tcW w:w="3118" w:type="dxa"/>
            <w:vAlign w:val="center"/>
          </w:tcPr>
          <w:p w14:paraId="3DA2ADD9">
            <w:pPr>
              <w:snapToGrid w:val="0"/>
              <w:spacing w:line="360" w:lineRule="auto"/>
              <w:jc w:val="center"/>
              <w:rPr>
                <w:rFonts w:cs="仿宋" w:asciiTheme="majorEastAsia" w:hAnsiTheme="majorEastAsia" w:eastAsiaTheme="majorEastAsia"/>
                <w:color w:val="auto"/>
                <w:sz w:val="24"/>
              </w:rPr>
            </w:pPr>
          </w:p>
        </w:tc>
        <w:tc>
          <w:tcPr>
            <w:tcW w:w="993" w:type="dxa"/>
            <w:vAlign w:val="center"/>
          </w:tcPr>
          <w:p w14:paraId="54E6AA5E">
            <w:pPr>
              <w:snapToGrid w:val="0"/>
              <w:spacing w:line="360" w:lineRule="auto"/>
              <w:jc w:val="center"/>
              <w:rPr>
                <w:rFonts w:cs="仿宋" w:asciiTheme="majorEastAsia" w:hAnsiTheme="majorEastAsia" w:eastAsiaTheme="majorEastAsia"/>
                <w:color w:val="auto"/>
                <w:sz w:val="24"/>
              </w:rPr>
            </w:pPr>
          </w:p>
        </w:tc>
        <w:tc>
          <w:tcPr>
            <w:tcW w:w="1559" w:type="dxa"/>
            <w:vAlign w:val="center"/>
          </w:tcPr>
          <w:p w14:paraId="5588F00D">
            <w:pPr>
              <w:spacing w:line="360" w:lineRule="auto"/>
              <w:jc w:val="center"/>
              <w:rPr>
                <w:rFonts w:cs="仿宋" w:asciiTheme="majorEastAsia" w:hAnsiTheme="majorEastAsia" w:eastAsiaTheme="majorEastAsia"/>
                <w:color w:val="auto"/>
                <w:sz w:val="24"/>
              </w:rPr>
            </w:pPr>
          </w:p>
        </w:tc>
        <w:tc>
          <w:tcPr>
            <w:tcW w:w="1984" w:type="dxa"/>
            <w:vAlign w:val="center"/>
          </w:tcPr>
          <w:p w14:paraId="3984E635">
            <w:pPr>
              <w:spacing w:line="360" w:lineRule="auto"/>
              <w:jc w:val="center"/>
              <w:rPr>
                <w:rFonts w:cs="仿宋" w:asciiTheme="majorEastAsia" w:hAnsiTheme="majorEastAsia" w:eastAsiaTheme="majorEastAsia"/>
                <w:color w:val="auto"/>
                <w:sz w:val="24"/>
              </w:rPr>
            </w:pPr>
          </w:p>
        </w:tc>
        <w:tc>
          <w:tcPr>
            <w:tcW w:w="3119" w:type="dxa"/>
            <w:vAlign w:val="center"/>
          </w:tcPr>
          <w:p w14:paraId="4CDD6A3C">
            <w:pPr>
              <w:spacing w:line="360" w:lineRule="auto"/>
              <w:jc w:val="center"/>
              <w:rPr>
                <w:rFonts w:cs="仿宋" w:asciiTheme="majorEastAsia" w:hAnsiTheme="majorEastAsia" w:eastAsiaTheme="majorEastAsia"/>
                <w:color w:val="auto"/>
                <w:sz w:val="24"/>
              </w:rPr>
            </w:pPr>
          </w:p>
        </w:tc>
      </w:tr>
      <w:tr w14:paraId="4FE6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B060BE9">
            <w:pPr>
              <w:spacing w:line="360" w:lineRule="auto"/>
              <w:jc w:val="center"/>
              <w:rPr>
                <w:rFonts w:cs="仿宋" w:asciiTheme="majorEastAsia" w:hAnsiTheme="majorEastAsia" w:eastAsiaTheme="majorEastAsia"/>
                <w:color w:val="auto"/>
                <w:sz w:val="24"/>
              </w:rPr>
            </w:pPr>
          </w:p>
        </w:tc>
        <w:tc>
          <w:tcPr>
            <w:tcW w:w="1417" w:type="dxa"/>
            <w:vAlign w:val="center"/>
          </w:tcPr>
          <w:p w14:paraId="001B80DF">
            <w:pPr>
              <w:snapToGrid w:val="0"/>
              <w:spacing w:line="360" w:lineRule="auto"/>
              <w:jc w:val="center"/>
              <w:rPr>
                <w:rFonts w:cs="仿宋" w:asciiTheme="majorEastAsia" w:hAnsiTheme="majorEastAsia" w:eastAsiaTheme="majorEastAsia"/>
                <w:color w:val="auto"/>
                <w:sz w:val="24"/>
              </w:rPr>
            </w:pPr>
          </w:p>
        </w:tc>
        <w:tc>
          <w:tcPr>
            <w:tcW w:w="1843" w:type="dxa"/>
            <w:vAlign w:val="center"/>
          </w:tcPr>
          <w:p w14:paraId="4E410F53">
            <w:pPr>
              <w:snapToGrid w:val="0"/>
              <w:spacing w:line="360" w:lineRule="auto"/>
              <w:jc w:val="center"/>
              <w:rPr>
                <w:rFonts w:cs="仿宋" w:asciiTheme="majorEastAsia" w:hAnsiTheme="majorEastAsia" w:eastAsiaTheme="majorEastAsia"/>
                <w:color w:val="auto"/>
                <w:sz w:val="24"/>
              </w:rPr>
            </w:pPr>
          </w:p>
        </w:tc>
        <w:tc>
          <w:tcPr>
            <w:tcW w:w="3118" w:type="dxa"/>
            <w:vAlign w:val="center"/>
          </w:tcPr>
          <w:p w14:paraId="1BCB7F1A">
            <w:pPr>
              <w:snapToGrid w:val="0"/>
              <w:spacing w:line="360" w:lineRule="auto"/>
              <w:jc w:val="center"/>
              <w:rPr>
                <w:rFonts w:cs="仿宋" w:asciiTheme="majorEastAsia" w:hAnsiTheme="majorEastAsia" w:eastAsiaTheme="majorEastAsia"/>
                <w:color w:val="auto"/>
                <w:sz w:val="24"/>
              </w:rPr>
            </w:pPr>
          </w:p>
        </w:tc>
        <w:tc>
          <w:tcPr>
            <w:tcW w:w="993" w:type="dxa"/>
            <w:vAlign w:val="center"/>
          </w:tcPr>
          <w:p w14:paraId="37719706">
            <w:pPr>
              <w:snapToGrid w:val="0"/>
              <w:spacing w:line="360" w:lineRule="auto"/>
              <w:jc w:val="center"/>
              <w:rPr>
                <w:rFonts w:cs="仿宋" w:asciiTheme="majorEastAsia" w:hAnsiTheme="majorEastAsia" w:eastAsiaTheme="majorEastAsia"/>
                <w:color w:val="auto"/>
                <w:sz w:val="24"/>
              </w:rPr>
            </w:pPr>
          </w:p>
        </w:tc>
        <w:tc>
          <w:tcPr>
            <w:tcW w:w="1559" w:type="dxa"/>
            <w:vAlign w:val="center"/>
          </w:tcPr>
          <w:p w14:paraId="32CA4C0E">
            <w:pPr>
              <w:spacing w:line="360" w:lineRule="auto"/>
              <w:jc w:val="center"/>
              <w:rPr>
                <w:rFonts w:cs="仿宋" w:asciiTheme="majorEastAsia" w:hAnsiTheme="majorEastAsia" w:eastAsiaTheme="majorEastAsia"/>
                <w:color w:val="auto"/>
                <w:sz w:val="24"/>
              </w:rPr>
            </w:pPr>
          </w:p>
        </w:tc>
        <w:tc>
          <w:tcPr>
            <w:tcW w:w="1984" w:type="dxa"/>
            <w:vAlign w:val="center"/>
          </w:tcPr>
          <w:p w14:paraId="3A381ACF">
            <w:pPr>
              <w:spacing w:line="360" w:lineRule="auto"/>
              <w:jc w:val="center"/>
              <w:rPr>
                <w:rFonts w:cs="仿宋" w:asciiTheme="majorEastAsia" w:hAnsiTheme="majorEastAsia" w:eastAsiaTheme="majorEastAsia"/>
                <w:color w:val="auto"/>
                <w:sz w:val="24"/>
              </w:rPr>
            </w:pPr>
          </w:p>
        </w:tc>
        <w:tc>
          <w:tcPr>
            <w:tcW w:w="3119" w:type="dxa"/>
            <w:vAlign w:val="center"/>
          </w:tcPr>
          <w:p w14:paraId="4C0E2029">
            <w:pPr>
              <w:spacing w:line="360" w:lineRule="auto"/>
              <w:jc w:val="center"/>
              <w:rPr>
                <w:rFonts w:cs="仿宋" w:asciiTheme="majorEastAsia" w:hAnsiTheme="majorEastAsia" w:eastAsiaTheme="majorEastAsia"/>
                <w:color w:val="auto"/>
                <w:sz w:val="24"/>
              </w:rPr>
            </w:pPr>
          </w:p>
        </w:tc>
      </w:tr>
      <w:tr w14:paraId="560E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C01167D">
            <w:pP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投标报价（小写）</w:t>
            </w:r>
          </w:p>
        </w:tc>
        <w:tc>
          <w:tcPr>
            <w:tcW w:w="7655" w:type="dxa"/>
            <w:gridSpan w:val="4"/>
            <w:vAlign w:val="center"/>
          </w:tcPr>
          <w:p w14:paraId="47CD7608">
            <w:pPr>
              <w:spacing w:line="360" w:lineRule="auto"/>
              <w:jc w:val="center"/>
              <w:rPr>
                <w:rFonts w:cs="仿宋" w:asciiTheme="majorEastAsia" w:hAnsiTheme="majorEastAsia" w:eastAsiaTheme="majorEastAsia"/>
                <w:color w:val="auto"/>
                <w:sz w:val="24"/>
              </w:rPr>
            </w:pPr>
          </w:p>
        </w:tc>
      </w:tr>
      <w:tr w14:paraId="2848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7D1B7E5">
            <w:pP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投标报价（大写）</w:t>
            </w:r>
          </w:p>
        </w:tc>
        <w:tc>
          <w:tcPr>
            <w:tcW w:w="7655" w:type="dxa"/>
            <w:gridSpan w:val="4"/>
            <w:vAlign w:val="center"/>
          </w:tcPr>
          <w:p w14:paraId="0F06BCC7">
            <w:pPr>
              <w:spacing w:line="360" w:lineRule="auto"/>
              <w:jc w:val="center"/>
              <w:rPr>
                <w:rFonts w:cs="仿宋" w:asciiTheme="majorEastAsia" w:hAnsiTheme="majorEastAsia" w:eastAsiaTheme="majorEastAsia"/>
                <w:color w:val="auto"/>
                <w:sz w:val="24"/>
              </w:rPr>
            </w:pPr>
          </w:p>
        </w:tc>
      </w:tr>
    </w:tbl>
    <w:p w14:paraId="696BC38C">
      <w:pPr>
        <w:rPr>
          <w:rFonts w:hint="eastAsia" w:ascii="仿宋" w:hAnsi="仿宋" w:eastAsia="仿宋" w:cs="仿宋"/>
          <w:color w:val="auto"/>
          <w:kern w:val="0"/>
          <w:sz w:val="24"/>
          <w:szCs w:val="24"/>
          <w:lang w:val="zh-CN"/>
        </w:rPr>
      </w:pPr>
      <w:r>
        <w:rPr>
          <w:rFonts w:hint="eastAsia" w:ascii="仿宋" w:hAnsi="仿宋" w:eastAsia="仿宋" w:cs="仿宋"/>
          <w:b/>
          <w:color w:val="auto"/>
          <w:kern w:val="0"/>
          <w:sz w:val="24"/>
          <w:szCs w:val="24"/>
          <w:lang w:val="zh-CN"/>
        </w:rPr>
        <w:t>注：</w:t>
      </w:r>
      <w:r>
        <w:rPr>
          <w:rFonts w:hint="eastAsia" w:ascii="仿宋" w:hAnsi="仿宋" w:eastAsia="仿宋" w:cs="仿宋"/>
          <w:color w:val="auto"/>
          <w:kern w:val="0"/>
          <w:sz w:val="24"/>
          <w:szCs w:val="24"/>
          <w:lang w:val="zh-CN"/>
        </w:rPr>
        <w:t>1、投标人需按本表格式填写，不得自行更改。</w:t>
      </w:r>
    </w:p>
    <w:p w14:paraId="56BE0240">
      <w:pPr>
        <w:spacing w:line="360" w:lineRule="auto"/>
        <w:ind w:left="-2" w:leftChars="-1" w:firstLine="480" w:firstLineChars="2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9F767DC">
      <w:pPr>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3、以上表格要求细分项目及报价，在“规格型号（或具体服务）”一栏中，货物类项目填写规格型号，服务类项目填写具体服务。</w:t>
      </w:r>
    </w:p>
    <w:p w14:paraId="4F4A3B1F">
      <w:pPr>
        <w:spacing w:line="360" w:lineRule="auto"/>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法定代表人或其授权委托人（签名或印章）：        </w:t>
      </w:r>
    </w:p>
    <w:p w14:paraId="28C98497">
      <w:pPr>
        <w:spacing w:line="360" w:lineRule="auto"/>
        <w:ind w:left="7560" w:leftChars="3600" w:firstLine="1920" w:firstLineChars="80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投标人（盖章）：         </w:t>
      </w:r>
    </w:p>
    <w:p w14:paraId="028B10E6">
      <w:pPr>
        <w:pStyle w:val="30"/>
        <w:ind w:firstLine="9600" w:firstLineChars="4000"/>
        <w:jc w:val="both"/>
        <w:rPr>
          <w:rFonts w:hint="eastAsia" w:ascii="仿宋" w:hAnsi="仿宋" w:eastAsia="仿宋" w:cs="仿宋"/>
          <w:color w:val="auto"/>
          <w:sz w:val="24"/>
          <w:szCs w:val="24"/>
        </w:rPr>
        <w:sectPr>
          <w:pgSz w:w="16838" w:h="11906" w:orient="landscape"/>
          <w:pgMar w:top="1418" w:right="1247" w:bottom="1418" w:left="1276" w:header="851" w:footer="992" w:gutter="0"/>
          <w:pgNumType w:fmt="decimal"/>
          <w:cols w:space="720" w:num="1"/>
          <w:titlePg/>
          <w:docGrid w:linePitch="312" w:charSpace="0"/>
        </w:sectPr>
      </w:pPr>
      <w:r>
        <w:rPr>
          <w:rFonts w:hint="eastAsia" w:ascii="仿宋" w:hAnsi="仿宋" w:eastAsia="仿宋" w:cs="仿宋"/>
          <w:color w:val="auto"/>
          <w:sz w:val="24"/>
          <w:szCs w:val="24"/>
        </w:rPr>
        <w:t xml:space="preserve">日  期： </w:t>
      </w:r>
    </w:p>
    <w:p w14:paraId="55EBE814">
      <w:pPr>
        <w:pStyle w:val="39"/>
        <w:keepNext w:val="0"/>
        <w:pageBreakBefore w:val="0"/>
        <w:tabs>
          <w:tab w:val="clear" w:pos="720"/>
        </w:tabs>
        <w:snapToGrid w:val="0"/>
        <w:spacing w:before="120" w:after="120"/>
        <w:ind w:firstLine="643"/>
        <w:outlineLvl w:val="9"/>
        <w:rPr>
          <w:rFonts w:hint="eastAsia" w:ascii="仿宋" w:hAnsi="仿宋" w:eastAsia="仿宋" w:cs="仿宋"/>
          <w:color w:val="auto"/>
          <w:kern w:val="2"/>
          <w:sz w:val="24"/>
          <w:szCs w:val="24"/>
        </w:rPr>
      </w:pPr>
      <w:r>
        <w:rPr>
          <w:rFonts w:hint="eastAsia" w:ascii="仿宋" w:hAnsi="仿宋" w:eastAsia="仿宋" w:cs="仿宋"/>
          <w:color w:val="auto"/>
          <w:kern w:val="2"/>
          <w:sz w:val="32"/>
          <w:szCs w:val="32"/>
        </w:rPr>
        <w:t>二、投标报价明细表</w:t>
      </w:r>
    </w:p>
    <w:p w14:paraId="269D8529">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r>
        <w:rPr>
          <w:rFonts w:hint="eastAsia" w:ascii="仿宋" w:hAnsi="仿宋" w:eastAsia="仿宋" w:cs="仿宋"/>
          <w:color w:val="auto"/>
          <w:kern w:val="0"/>
          <w:sz w:val="24"/>
          <w:szCs w:val="24"/>
          <w:u w:val="single"/>
        </w:rPr>
        <w:t xml:space="preserve">                            </w:t>
      </w:r>
    </w:p>
    <w:p w14:paraId="7E578B14">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标    项：</w:t>
      </w:r>
      <w:r>
        <w:rPr>
          <w:rFonts w:hint="eastAsia" w:ascii="仿宋" w:hAnsi="仿宋" w:eastAsia="仿宋" w:cs="仿宋"/>
          <w:color w:val="auto"/>
          <w:kern w:val="0"/>
          <w:sz w:val="24"/>
          <w:szCs w:val="24"/>
          <w:u w:val="single"/>
        </w:rPr>
        <w:t xml:space="preserve">                              </w:t>
      </w:r>
    </w:p>
    <w:p w14:paraId="046E043B">
      <w:pPr>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项目编号：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sz w:val="24"/>
          <w:szCs w:val="24"/>
        </w:rPr>
        <w:t xml:space="preserve">           金额单位：人民币（元）</w:t>
      </w:r>
    </w:p>
    <w:tbl>
      <w:tblPr>
        <w:tblStyle w:val="23"/>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399"/>
        <w:gridCol w:w="1846"/>
        <w:gridCol w:w="2176"/>
        <w:gridCol w:w="1517"/>
        <w:gridCol w:w="1317"/>
        <w:gridCol w:w="1051"/>
      </w:tblGrid>
      <w:tr w14:paraId="21578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06A4F4F">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399" w:type="dxa"/>
            <w:tcBorders>
              <w:top w:val="single" w:color="auto" w:sz="4" w:space="0"/>
              <w:left w:val="single" w:color="auto" w:sz="4" w:space="0"/>
              <w:bottom w:val="single" w:color="auto" w:sz="4" w:space="0"/>
              <w:right w:val="single" w:color="auto" w:sz="4" w:space="0"/>
            </w:tcBorders>
            <w:vAlign w:val="center"/>
          </w:tcPr>
          <w:p w14:paraId="33E7020A">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名称</w:t>
            </w:r>
          </w:p>
        </w:tc>
        <w:tc>
          <w:tcPr>
            <w:tcW w:w="1846" w:type="dxa"/>
            <w:tcBorders>
              <w:top w:val="single" w:color="auto" w:sz="4" w:space="0"/>
              <w:left w:val="single" w:color="auto" w:sz="4" w:space="0"/>
              <w:bottom w:val="single" w:color="auto" w:sz="4" w:space="0"/>
              <w:right w:val="single" w:color="auto" w:sz="4" w:space="0"/>
            </w:tcBorders>
            <w:vAlign w:val="center"/>
          </w:tcPr>
          <w:p w14:paraId="7B8BCAC3">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品牌（如有）</w:t>
            </w:r>
          </w:p>
        </w:tc>
        <w:tc>
          <w:tcPr>
            <w:tcW w:w="2176" w:type="dxa"/>
            <w:tcBorders>
              <w:top w:val="single" w:color="auto" w:sz="4" w:space="0"/>
              <w:left w:val="single" w:color="auto" w:sz="4" w:space="0"/>
              <w:bottom w:val="single" w:color="auto" w:sz="4" w:space="0"/>
              <w:right w:val="single" w:color="auto" w:sz="4" w:space="0"/>
            </w:tcBorders>
            <w:vAlign w:val="center"/>
          </w:tcPr>
          <w:p w14:paraId="3855DA62">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规格型号（如有）</w:t>
            </w:r>
          </w:p>
        </w:tc>
        <w:tc>
          <w:tcPr>
            <w:tcW w:w="1517" w:type="dxa"/>
            <w:tcBorders>
              <w:top w:val="single" w:color="auto" w:sz="4" w:space="0"/>
              <w:left w:val="single" w:color="auto" w:sz="4" w:space="0"/>
              <w:bottom w:val="single" w:color="auto" w:sz="4" w:space="0"/>
              <w:right w:val="single" w:color="auto" w:sz="4" w:space="0"/>
            </w:tcBorders>
            <w:vAlign w:val="center"/>
          </w:tcPr>
          <w:p w14:paraId="43A9C0BD">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单位及数量</w:t>
            </w:r>
          </w:p>
        </w:tc>
        <w:tc>
          <w:tcPr>
            <w:tcW w:w="1317" w:type="dxa"/>
            <w:tcBorders>
              <w:top w:val="single" w:color="auto" w:sz="4" w:space="0"/>
              <w:left w:val="single" w:color="auto" w:sz="4" w:space="0"/>
              <w:bottom w:val="single" w:color="auto" w:sz="4" w:space="0"/>
              <w:right w:val="single" w:color="auto" w:sz="4" w:space="0"/>
            </w:tcBorders>
            <w:vAlign w:val="center"/>
          </w:tcPr>
          <w:p w14:paraId="15257D24">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1051" w:type="dxa"/>
            <w:tcBorders>
              <w:top w:val="single" w:color="auto" w:sz="4" w:space="0"/>
              <w:left w:val="single" w:color="auto" w:sz="4" w:space="0"/>
              <w:bottom w:val="single" w:color="auto" w:sz="4" w:space="0"/>
              <w:right w:val="single" w:color="auto" w:sz="4" w:space="0"/>
            </w:tcBorders>
            <w:vAlign w:val="center"/>
          </w:tcPr>
          <w:p w14:paraId="2BB6EE58">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r>
      <w:tr w14:paraId="11FB4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3399A93B">
            <w:pPr>
              <w:spacing w:line="360" w:lineRule="auto"/>
              <w:rPr>
                <w:rFonts w:hint="eastAsia" w:ascii="仿宋" w:hAnsi="仿宋" w:eastAsia="仿宋" w:cs="仿宋"/>
                <w:color w:val="auto"/>
                <w:sz w:val="24"/>
                <w:szCs w:val="24"/>
              </w:rPr>
            </w:pPr>
          </w:p>
        </w:tc>
        <w:tc>
          <w:tcPr>
            <w:tcW w:w="1399" w:type="dxa"/>
            <w:tcBorders>
              <w:top w:val="single" w:color="auto" w:sz="4" w:space="0"/>
              <w:left w:val="single" w:color="auto" w:sz="4" w:space="0"/>
              <w:bottom w:val="single" w:color="auto" w:sz="4" w:space="0"/>
              <w:right w:val="single" w:color="auto" w:sz="4" w:space="0"/>
            </w:tcBorders>
          </w:tcPr>
          <w:p w14:paraId="2DBFFA52">
            <w:pPr>
              <w:spacing w:line="360" w:lineRule="auto"/>
              <w:rPr>
                <w:rFonts w:hint="eastAsia" w:ascii="仿宋" w:hAnsi="仿宋" w:eastAsia="仿宋" w:cs="仿宋"/>
                <w:color w:val="auto"/>
                <w:sz w:val="24"/>
                <w:szCs w:val="24"/>
              </w:rPr>
            </w:pPr>
          </w:p>
        </w:tc>
        <w:tc>
          <w:tcPr>
            <w:tcW w:w="1846" w:type="dxa"/>
            <w:tcBorders>
              <w:top w:val="single" w:color="auto" w:sz="4" w:space="0"/>
              <w:left w:val="single" w:color="auto" w:sz="4" w:space="0"/>
              <w:bottom w:val="single" w:color="auto" w:sz="4" w:space="0"/>
              <w:right w:val="single" w:color="auto" w:sz="4" w:space="0"/>
            </w:tcBorders>
          </w:tcPr>
          <w:p w14:paraId="49DCC42D">
            <w:pPr>
              <w:spacing w:line="360" w:lineRule="auto"/>
              <w:rPr>
                <w:rFonts w:hint="eastAsia" w:ascii="仿宋" w:hAnsi="仿宋" w:eastAsia="仿宋" w:cs="仿宋"/>
                <w:color w:val="auto"/>
                <w:sz w:val="24"/>
                <w:szCs w:val="24"/>
              </w:rPr>
            </w:pPr>
          </w:p>
        </w:tc>
        <w:tc>
          <w:tcPr>
            <w:tcW w:w="2176" w:type="dxa"/>
            <w:tcBorders>
              <w:top w:val="single" w:color="auto" w:sz="4" w:space="0"/>
              <w:left w:val="single" w:color="auto" w:sz="4" w:space="0"/>
              <w:bottom w:val="single" w:color="auto" w:sz="4" w:space="0"/>
              <w:right w:val="single" w:color="auto" w:sz="4" w:space="0"/>
            </w:tcBorders>
          </w:tcPr>
          <w:p w14:paraId="19B7FD19">
            <w:pPr>
              <w:spacing w:line="360" w:lineRule="auto"/>
              <w:rPr>
                <w:rFonts w:hint="eastAsia" w:ascii="仿宋" w:hAnsi="仿宋" w:eastAsia="仿宋" w:cs="仿宋"/>
                <w:color w:val="auto"/>
                <w:sz w:val="24"/>
                <w:szCs w:val="24"/>
              </w:rPr>
            </w:pPr>
          </w:p>
        </w:tc>
        <w:tc>
          <w:tcPr>
            <w:tcW w:w="1517" w:type="dxa"/>
            <w:tcBorders>
              <w:top w:val="single" w:color="auto" w:sz="4" w:space="0"/>
              <w:left w:val="single" w:color="auto" w:sz="4" w:space="0"/>
              <w:bottom w:val="single" w:color="auto" w:sz="4" w:space="0"/>
              <w:right w:val="single" w:color="auto" w:sz="4" w:space="0"/>
            </w:tcBorders>
          </w:tcPr>
          <w:p w14:paraId="707F9C9A">
            <w:pPr>
              <w:spacing w:line="360" w:lineRule="auto"/>
              <w:rPr>
                <w:rFonts w:hint="eastAsia" w:ascii="仿宋" w:hAnsi="仿宋" w:eastAsia="仿宋" w:cs="仿宋"/>
                <w:color w:val="auto"/>
                <w:sz w:val="24"/>
                <w:szCs w:val="24"/>
              </w:rPr>
            </w:pPr>
          </w:p>
        </w:tc>
        <w:tc>
          <w:tcPr>
            <w:tcW w:w="1317" w:type="dxa"/>
            <w:tcBorders>
              <w:top w:val="single" w:color="auto" w:sz="4" w:space="0"/>
              <w:left w:val="single" w:color="auto" w:sz="4" w:space="0"/>
              <w:bottom w:val="single" w:color="auto" w:sz="4" w:space="0"/>
              <w:right w:val="single" w:color="auto" w:sz="4" w:space="0"/>
            </w:tcBorders>
          </w:tcPr>
          <w:p w14:paraId="65FB73D1">
            <w:pPr>
              <w:spacing w:line="360" w:lineRule="auto"/>
              <w:rPr>
                <w:rFonts w:hint="eastAsia" w:ascii="仿宋" w:hAnsi="仿宋" w:eastAsia="仿宋" w:cs="仿宋"/>
                <w:color w:val="auto"/>
                <w:sz w:val="24"/>
                <w:szCs w:val="24"/>
              </w:rPr>
            </w:pPr>
          </w:p>
        </w:tc>
        <w:tc>
          <w:tcPr>
            <w:tcW w:w="1051" w:type="dxa"/>
            <w:tcBorders>
              <w:top w:val="single" w:color="auto" w:sz="4" w:space="0"/>
              <w:left w:val="single" w:color="auto" w:sz="4" w:space="0"/>
              <w:bottom w:val="single" w:color="auto" w:sz="4" w:space="0"/>
              <w:right w:val="single" w:color="auto" w:sz="4" w:space="0"/>
            </w:tcBorders>
          </w:tcPr>
          <w:p w14:paraId="784ED6EB">
            <w:pPr>
              <w:spacing w:line="360" w:lineRule="auto"/>
              <w:rPr>
                <w:rFonts w:hint="eastAsia" w:ascii="仿宋" w:hAnsi="仿宋" w:eastAsia="仿宋" w:cs="仿宋"/>
                <w:color w:val="auto"/>
                <w:sz w:val="24"/>
                <w:szCs w:val="24"/>
              </w:rPr>
            </w:pPr>
          </w:p>
        </w:tc>
      </w:tr>
      <w:tr w14:paraId="32C6A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079B4BC5">
            <w:pPr>
              <w:spacing w:line="360" w:lineRule="auto"/>
              <w:rPr>
                <w:rFonts w:hint="eastAsia" w:ascii="仿宋" w:hAnsi="仿宋" w:eastAsia="仿宋" w:cs="仿宋"/>
                <w:color w:val="auto"/>
                <w:sz w:val="24"/>
                <w:szCs w:val="24"/>
              </w:rPr>
            </w:pPr>
          </w:p>
        </w:tc>
        <w:tc>
          <w:tcPr>
            <w:tcW w:w="1399" w:type="dxa"/>
            <w:tcBorders>
              <w:top w:val="single" w:color="auto" w:sz="4" w:space="0"/>
              <w:left w:val="single" w:color="auto" w:sz="4" w:space="0"/>
              <w:bottom w:val="single" w:color="auto" w:sz="4" w:space="0"/>
              <w:right w:val="single" w:color="auto" w:sz="4" w:space="0"/>
            </w:tcBorders>
          </w:tcPr>
          <w:p w14:paraId="032781A0">
            <w:pPr>
              <w:spacing w:line="360" w:lineRule="auto"/>
              <w:rPr>
                <w:rFonts w:hint="eastAsia" w:ascii="仿宋" w:hAnsi="仿宋" w:eastAsia="仿宋" w:cs="仿宋"/>
                <w:color w:val="auto"/>
                <w:sz w:val="24"/>
                <w:szCs w:val="24"/>
              </w:rPr>
            </w:pPr>
          </w:p>
        </w:tc>
        <w:tc>
          <w:tcPr>
            <w:tcW w:w="1846" w:type="dxa"/>
            <w:tcBorders>
              <w:top w:val="single" w:color="auto" w:sz="4" w:space="0"/>
              <w:left w:val="single" w:color="auto" w:sz="4" w:space="0"/>
              <w:bottom w:val="single" w:color="auto" w:sz="4" w:space="0"/>
              <w:right w:val="single" w:color="auto" w:sz="4" w:space="0"/>
            </w:tcBorders>
          </w:tcPr>
          <w:p w14:paraId="0FA361F3">
            <w:pPr>
              <w:spacing w:line="360" w:lineRule="auto"/>
              <w:rPr>
                <w:rFonts w:hint="eastAsia" w:ascii="仿宋" w:hAnsi="仿宋" w:eastAsia="仿宋" w:cs="仿宋"/>
                <w:color w:val="auto"/>
                <w:sz w:val="24"/>
                <w:szCs w:val="24"/>
              </w:rPr>
            </w:pPr>
          </w:p>
        </w:tc>
        <w:tc>
          <w:tcPr>
            <w:tcW w:w="2176" w:type="dxa"/>
            <w:tcBorders>
              <w:top w:val="single" w:color="auto" w:sz="4" w:space="0"/>
              <w:left w:val="single" w:color="auto" w:sz="4" w:space="0"/>
              <w:bottom w:val="single" w:color="auto" w:sz="4" w:space="0"/>
              <w:right w:val="single" w:color="auto" w:sz="4" w:space="0"/>
            </w:tcBorders>
          </w:tcPr>
          <w:p w14:paraId="691D76C2">
            <w:pPr>
              <w:spacing w:line="360" w:lineRule="auto"/>
              <w:rPr>
                <w:rFonts w:hint="eastAsia" w:ascii="仿宋" w:hAnsi="仿宋" w:eastAsia="仿宋" w:cs="仿宋"/>
                <w:color w:val="auto"/>
                <w:sz w:val="24"/>
                <w:szCs w:val="24"/>
              </w:rPr>
            </w:pPr>
          </w:p>
        </w:tc>
        <w:tc>
          <w:tcPr>
            <w:tcW w:w="1517" w:type="dxa"/>
            <w:tcBorders>
              <w:top w:val="single" w:color="auto" w:sz="4" w:space="0"/>
              <w:left w:val="single" w:color="auto" w:sz="4" w:space="0"/>
              <w:bottom w:val="single" w:color="auto" w:sz="4" w:space="0"/>
              <w:right w:val="single" w:color="auto" w:sz="4" w:space="0"/>
            </w:tcBorders>
          </w:tcPr>
          <w:p w14:paraId="0D312915">
            <w:pPr>
              <w:spacing w:line="360" w:lineRule="auto"/>
              <w:rPr>
                <w:rFonts w:hint="eastAsia" w:ascii="仿宋" w:hAnsi="仿宋" w:eastAsia="仿宋" w:cs="仿宋"/>
                <w:color w:val="auto"/>
                <w:sz w:val="24"/>
                <w:szCs w:val="24"/>
              </w:rPr>
            </w:pPr>
          </w:p>
        </w:tc>
        <w:tc>
          <w:tcPr>
            <w:tcW w:w="1317" w:type="dxa"/>
            <w:tcBorders>
              <w:top w:val="single" w:color="auto" w:sz="4" w:space="0"/>
              <w:left w:val="single" w:color="auto" w:sz="4" w:space="0"/>
              <w:bottom w:val="single" w:color="auto" w:sz="4" w:space="0"/>
              <w:right w:val="single" w:color="auto" w:sz="4" w:space="0"/>
            </w:tcBorders>
          </w:tcPr>
          <w:p w14:paraId="6E9DD9A9">
            <w:pPr>
              <w:spacing w:line="360" w:lineRule="auto"/>
              <w:rPr>
                <w:rFonts w:hint="eastAsia" w:ascii="仿宋" w:hAnsi="仿宋" w:eastAsia="仿宋" w:cs="仿宋"/>
                <w:color w:val="auto"/>
                <w:sz w:val="24"/>
                <w:szCs w:val="24"/>
              </w:rPr>
            </w:pPr>
          </w:p>
        </w:tc>
        <w:tc>
          <w:tcPr>
            <w:tcW w:w="1051" w:type="dxa"/>
            <w:tcBorders>
              <w:top w:val="single" w:color="auto" w:sz="4" w:space="0"/>
              <w:left w:val="single" w:color="auto" w:sz="4" w:space="0"/>
              <w:bottom w:val="single" w:color="auto" w:sz="4" w:space="0"/>
              <w:right w:val="single" w:color="auto" w:sz="4" w:space="0"/>
            </w:tcBorders>
          </w:tcPr>
          <w:p w14:paraId="08556F55">
            <w:pPr>
              <w:spacing w:line="360" w:lineRule="auto"/>
              <w:rPr>
                <w:rFonts w:hint="eastAsia" w:ascii="仿宋" w:hAnsi="仿宋" w:eastAsia="仿宋" w:cs="仿宋"/>
                <w:color w:val="auto"/>
                <w:sz w:val="24"/>
                <w:szCs w:val="24"/>
              </w:rPr>
            </w:pPr>
          </w:p>
        </w:tc>
      </w:tr>
      <w:tr w14:paraId="27800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420954BD">
            <w:pPr>
              <w:spacing w:line="360" w:lineRule="auto"/>
              <w:rPr>
                <w:rFonts w:hint="eastAsia" w:ascii="仿宋" w:hAnsi="仿宋" w:eastAsia="仿宋" w:cs="仿宋"/>
                <w:color w:val="auto"/>
                <w:sz w:val="24"/>
                <w:szCs w:val="24"/>
              </w:rPr>
            </w:pPr>
          </w:p>
        </w:tc>
        <w:tc>
          <w:tcPr>
            <w:tcW w:w="1399" w:type="dxa"/>
            <w:tcBorders>
              <w:top w:val="single" w:color="auto" w:sz="4" w:space="0"/>
              <w:left w:val="single" w:color="auto" w:sz="4" w:space="0"/>
              <w:bottom w:val="single" w:color="auto" w:sz="4" w:space="0"/>
              <w:right w:val="single" w:color="auto" w:sz="4" w:space="0"/>
            </w:tcBorders>
          </w:tcPr>
          <w:p w14:paraId="3056FADA">
            <w:pPr>
              <w:spacing w:line="360" w:lineRule="auto"/>
              <w:rPr>
                <w:rFonts w:hint="eastAsia" w:ascii="仿宋" w:hAnsi="仿宋" w:eastAsia="仿宋" w:cs="仿宋"/>
                <w:color w:val="auto"/>
                <w:sz w:val="24"/>
                <w:szCs w:val="24"/>
              </w:rPr>
            </w:pPr>
          </w:p>
        </w:tc>
        <w:tc>
          <w:tcPr>
            <w:tcW w:w="1846" w:type="dxa"/>
            <w:tcBorders>
              <w:top w:val="single" w:color="auto" w:sz="4" w:space="0"/>
              <w:left w:val="single" w:color="auto" w:sz="4" w:space="0"/>
              <w:bottom w:val="single" w:color="auto" w:sz="4" w:space="0"/>
              <w:right w:val="single" w:color="auto" w:sz="4" w:space="0"/>
            </w:tcBorders>
          </w:tcPr>
          <w:p w14:paraId="16B1C5E8">
            <w:pPr>
              <w:spacing w:line="360" w:lineRule="auto"/>
              <w:rPr>
                <w:rFonts w:hint="eastAsia" w:ascii="仿宋" w:hAnsi="仿宋" w:eastAsia="仿宋" w:cs="仿宋"/>
                <w:color w:val="auto"/>
                <w:sz w:val="24"/>
                <w:szCs w:val="24"/>
              </w:rPr>
            </w:pPr>
          </w:p>
        </w:tc>
        <w:tc>
          <w:tcPr>
            <w:tcW w:w="2176" w:type="dxa"/>
            <w:tcBorders>
              <w:top w:val="single" w:color="auto" w:sz="4" w:space="0"/>
              <w:left w:val="single" w:color="auto" w:sz="4" w:space="0"/>
              <w:bottom w:val="single" w:color="auto" w:sz="4" w:space="0"/>
              <w:right w:val="single" w:color="auto" w:sz="4" w:space="0"/>
            </w:tcBorders>
          </w:tcPr>
          <w:p w14:paraId="6B93A9C5">
            <w:pPr>
              <w:spacing w:line="360" w:lineRule="auto"/>
              <w:rPr>
                <w:rFonts w:hint="eastAsia" w:ascii="仿宋" w:hAnsi="仿宋" w:eastAsia="仿宋" w:cs="仿宋"/>
                <w:color w:val="auto"/>
                <w:sz w:val="24"/>
                <w:szCs w:val="24"/>
              </w:rPr>
            </w:pPr>
          </w:p>
        </w:tc>
        <w:tc>
          <w:tcPr>
            <w:tcW w:w="1517" w:type="dxa"/>
            <w:tcBorders>
              <w:top w:val="single" w:color="auto" w:sz="4" w:space="0"/>
              <w:left w:val="single" w:color="auto" w:sz="4" w:space="0"/>
              <w:bottom w:val="single" w:color="auto" w:sz="4" w:space="0"/>
              <w:right w:val="single" w:color="auto" w:sz="4" w:space="0"/>
            </w:tcBorders>
          </w:tcPr>
          <w:p w14:paraId="1AAA049B">
            <w:pPr>
              <w:spacing w:line="360" w:lineRule="auto"/>
              <w:rPr>
                <w:rFonts w:hint="eastAsia" w:ascii="仿宋" w:hAnsi="仿宋" w:eastAsia="仿宋" w:cs="仿宋"/>
                <w:color w:val="auto"/>
                <w:sz w:val="24"/>
                <w:szCs w:val="24"/>
              </w:rPr>
            </w:pPr>
          </w:p>
        </w:tc>
        <w:tc>
          <w:tcPr>
            <w:tcW w:w="1317" w:type="dxa"/>
            <w:tcBorders>
              <w:top w:val="single" w:color="auto" w:sz="4" w:space="0"/>
              <w:left w:val="single" w:color="auto" w:sz="4" w:space="0"/>
              <w:bottom w:val="single" w:color="auto" w:sz="4" w:space="0"/>
              <w:right w:val="single" w:color="auto" w:sz="4" w:space="0"/>
            </w:tcBorders>
          </w:tcPr>
          <w:p w14:paraId="4E7B8E75">
            <w:pPr>
              <w:spacing w:line="360" w:lineRule="auto"/>
              <w:rPr>
                <w:rFonts w:hint="eastAsia" w:ascii="仿宋" w:hAnsi="仿宋" w:eastAsia="仿宋" w:cs="仿宋"/>
                <w:color w:val="auto"/>
                <w:sz w:val="24"/>
                <w:szCs w:val="24"/>
              </w:rPr>
            </w:pPr>
          </w:p>
        </w:tc>
        <w:tc>
          <w:tcPr>
            <w:tcW w:w="1051" w:type="dxa"/>
            <w:tcBorders>
              <w:top w:val="single" w:color="auto" w:sz="4" w:space="0"/>
              <w:left w:val="single" w:color="auto" w:sz="4" w:space="0"/>
              <w:bottom w:val="single" w:color="auto" w:sz="4" w:space="0"/>
              <w:right w:val="single" w:color="auto" w:sz="4" w:space="0"/>
            </w:tcBorders>
          </w:tcPr>
          <w:p w14:paraId="1E7CF818">
            <w:pPr>
              <w:spacing w:line="360" w:lineRule="auto"/>
              <w:rPr>
                <w:rFonts w:hint="eastAsia" w:ascii="仿宋" w:hAnsi="仿宋" w:eastAsia="仿宋" w:cs="仿宋"/>
                <w:color w:val="auto"/>
                <w:sz w:val="24"/>
                <w:szCs w:val="24"/>
              </w:rPr>
            </w:pPr>
          </w:p>
        </w:tc>
      </w:tr>
      <w:tr w14:paraId="2A5D6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6CABEEDB">
            <w:pPr>
              <w:spacing w:line="360" w:lineRule="auto"/>
              <w:rPr>
                <w:rFonts w:hint="eastAsia" w:ascii="仿宋" w:hAnsi="仿宋" w:eastAsia="仿宋" w:cs="仿宋"/>
                <w:color w:val="auto"/>
                <w:sz w:val="24"/>
                <w:szCs w:val="24"/>
              </w:rPr>
            </w:pPr>
          </w:p>
        </w:tc>
        <w:tc>
          <w:tcPr>
            <w:tcW w:w="1399" w:type="dxa"/>
            <w:tcBorders>
              <w:top w:val="single" w:color="auto" w:sz="4" w:space="0"/>
              <w:left w:val="single" w:color="auto" w:sz="4" w:space="0"/>
              <w:bottom w:val="single" w:color="auto" w:sz="4" w:space="0"/>
              <w:right w:val="single" w:color="auto" w:sz="4" w:space="0"/>
            </w:tcBorders>
          </w:tcPr>
          <w:p w14:paraId="78B402B0">
            <w:pPr>
              <w:spacing w:line="360" w:lineRule="auto"/>
              <w:rPr>
                <w:rFonts w:hint="eastAsia" w:ascii="仿宋" w:hAnsi="仿宋" w:eastAsia="仿宋" w:cs="仿宋"/>
                <w:color w:val="auto"/>
                <w:sz w:val="24"/>
                <w:szCs w:val="24"/>
              </w:rPr>
            </w:pPr>
          </w:p>
        </w:tc>
        <w:tc>
          <w:tcPr>
            <w:tcW w:w="1846" w:type="dxa"/>
            <w:tcBorders>
              <w:top w:val="single" w:color="auto" w:sz="4" w:space="0"/>
              <w:left w:val="single" w:color="auto" w:sz="4" w:space="0"/>
              <w:bottom w:val="single" w:color="auto" w:sz="4" w:space="0"/>
              <w:right w:val="single" w:color="auto" w:sz="4" w:space="0"/>
            </w:tcBorders>
          </w:tcPr>
          <w:p w14:paraId="379F2E69">
            <w:pPr>
              <w:spacing w:line="360" w:lineRule="auto"/>
              <w:rPr>
                <w:rFonts w:hint="eastAsia" w:ascii="仿宋" w:hAnsi="仿宋" w:eastAsia="仿宋" w:cs="仿宋"/>
                <w:color w:val="auto"/>
                <w:sz w:val="24"/>
                <w:szCs w:val="24"/>
              </w:rPr>
            </w:pPr>
          </w:p>
        </w:tc>
        <w:tc>
          <w:tcPr>
            <w:tcW w:w="2176" w:type="dxa"/>
            <w:tcBorders>
              <w:top w:val="single" w:color="auto" w:sz="4" w:space="0"/>
              <w:left w:val="single" w:color="auto" w:sz="4" w:space="0"/>
              <w:bottom w:val="single" w:color="auto" w:sz="4" w:space="0"/>
              <w:right w:val="single" w:color="auto" w:sz="4" w:space="0"/>
            </w:tcBorders>
          </w:tcPr>
          <w:p w14:paraId="7A518F79">
            <w:pPr>
              <w:spacing w:line="360" w:lineRule="auto"/>
              <w:rPr>
                <w:rFonts w:hint="eastAsia" w:ascii="仿宋" w:hAnsi="仿宋" w:eastAsia="仿宋" w:cs="仿宋"/>
                <w:color w:val="auto"/>
                <w:sz w:val="24"/>
                <w:szCs w:val="24"/>
              </w:rPr>
            </w:pPr>
          </w:p>
        </w:tc>
        <w:tc>
          <w:tcPr>
            <w:tcW w:w="1517" w:type="dxa"/>
            <w:tcBorders>
              <w:top w:val="single" w:color="auto" w:sz="4" w:space="0"/>
              <w:left w:val="single" w:color="auto" w:sz="4" w:space="0"/>
              <w:bottom w:val="single" w:color="auto" w:sz="4" w:space="0"/>
              <w:right w:val="single" w:color="auto" w:sz="4" w:space="0"/>
            </w:tcBorders>
          </w:tcPr>
          <w:p w14:paraId="71AEAC22">
            <w:pPr>
              <w:spacing w:line="360" w:lineRule="auto"/>
              <w:rPr>
                <w:rFonts w:hint="eastAsia" w:ascii="仿宋" w:hAnsi="仿宋" w:eastAsia="仿宋" w:cs="仿宋"/>
                <w:color w:val="auto"/>
                <w:sz w:val="24"/>
                <w:szCs w:val="24"/>
              </w:rPr>
            </w:pPr>
          </w:p>
        </w:tc>
        <w:tc>
          <w:tcPr>
            <w:tcW w:w="1317" w:type="dxa"/>
            <w:tcBorders>
              <w:top w:val="single" w:color="auto" w:sz="4" w:space="0"/>
              <w:left w:val="single" w:color="auto" w:sz="4" w:space="0"/>
              <w:bottom w:val="single" w:color="auto" w:sz="4" w:space="0"/>
              <w:right w:val="single" w:color="auto" w:sz="4" w:space="0"/>
            </w:tcBorders>
          </w:tcPr>
          <w:p w14:paraId="3127BF27">
            <w:pPr>
              <w:spacing w:line="360" w:lineRule="auto"/>
              <w:rPr>
                <w:rFonts w:hint="eastAsia" w:ascii="仿宋" w:hAnsi="仿宋" w:eastAsia="仿宋" w:cs="仿宋"/>
                <w:color w:val="auto"/>
                <w:sz w:val="24"/>
                <w:szCs w:val="24"/>
              </w:rPr>
            </w:pPr>
          </w:p>
        </w:tc>
        <w:tc>
          <w:tcPr>
            <w:tcW w:w="1051" w:type="dxa"/>
            <w:tcBorders>
              <w:top w:val="single" w:color="auto" w:sz="4" w:space="0"/>
              <w:left w:val="single" w:color="auto" w:sz="4" w:space="0"/>
              <w:bottom w:val="single" w:color="auto" w:sz="4" w:space="0"/>
              <w:right w:val="single" w:color="auto" w:sz="4" w:space="0"/>
            </w:tcBorders>
          </w:tcPr>
          <w:p w14:paraId="10772B08">
            <w:pPr>
              <w:spacing w:line="360" w:lineRule="auto"/>
              <w:rPr>
                <w:rFonts w:hint="eastAsia" w:ascii="仿宋" w:hAnsi="仿宋" w:eastAsia="仿宋" w:cs="仿宋"/>
                <w:color w:val="auto"/>
                <w:sz w:val="24"/>
                <w:szCs w:val="24"/>
              </w:rPr>
            </w:pPr>
          </w:p>
        </w:tc>
      </w:tr>
      <w:tr w14:paraId="042AD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228D929A">
            <w:pPr>
              <w:spacing w:line="360" w:lineRule="auto"/>
              <w:rPr>
                <w:rFonts w:hint="eastAsia" w:ascii="仿宋" w:hAnsi="仿宋" w:eastAsia="仿宋" w:cs="仿宋"/>
                <w:color w:val="auto"/>
                <w:sz w:val="24"/>
                <w:szCs w:val="24"/>
              </w:rPr>
            </w:pPr>
          </w:p>
        </w:tc>
        <w:tc>
          <w:tcPr>
            <w:tcW w:w="1399" w:type="dxa"/>
            <w:tcBorders>
              <w:top w:val="single" w:color="auto" w:sz="4" w:space="0"/>
              <w:left w:val="single" w:color="auto" w:sz="4" w:space="0"/>
              <w:bottom w:val="single" w:color="auto" w:sz="4" w:space="0"/>
              <w:right w:val="single" w:color="auto" w:sz="4" w:space="0"/>
            </w:tcBorders>
          </w:tcPr>
          <w:p w14:paraId="35F3CDF6">
            <w:pPr>
              <w:spacing w:line="360" w:lineRule="auto"/>
              <w:rPr>
                <w:rFonts w:hint="eastAsia" w:ascii="仿宋" w:hAnsi="仿宋" w:eastAsia="仿宋" w:cs="仿宋"/>
                <w:color w:val="auto"/>
                <w:sz w:val="24"/>
                <w:szCs w:val="24"/>
              </w:rPr>
            </w:pPr>
          </w:p>
        </w:tc>
        <w:tc>
          <w:tcPr>
            <w:tcW w:w="1846" w:type="dxa"/>
            <w:tcBorders>
              <w:top w:val="single" w:color="auto" w:sz="4" w:space="0"/>
              <w:left w:val="single" w:color="auto" w:sz="4" w:space="0"/>
              <w:bottom w:val="single" w:color="auto" w:sz="4" w:space="0"/>
              <w:right w:val="single" w:color="auto" w:sz="4" w:space="0"/>
            </w:tcBorders>
          </w:tcPr>
          <w:p w14:paraId="7B80F79A">
            <w:pPr>
              <w:spacing w:line="360" w:lineRule="auto"/>
              <w:rPr>
                <w:rFonts w:hint="eastAsia" w:ascii="仿宋" w:hAnsi="仿宋" w:eastAsia="仿宋" w:cs="仿宋"/>
                <w:color w:val="auto"/>
                <w:sz w:val="24"/>
                <w:szCs w:val="24"/>
              </w:rPr>
            </w:pPr>
          </w:p>
        </w:tc>
        <w:tc>
          <w:tcPr>
            <w:tcW w:w="2176" w:type="dxa"/>
            <w:tcBorders>
              <w:top w:val="single" w:color="auto" w:sz="4" w:space="0"/>
              <w:left w:val="single" w:color="auto" w:sz="4" w:space="0"/>
              <w:bottom w:val="single" w:color="auto" w:sz="4" w:space="0"/>
              <w:right w:val="single" w:color="auto" w:sz="4" w:space="0"/>
            </w:tcBorders>
          </w:tcPr>
          <w:p w14:paraId="044C7DCD">
            <w:pPr>
              <w:spacing w:line="360" w:lineRule="auto"/>
              <w:rPr>
                <w:rFonts w:hint="eastAsia" w:ascii="仿宋" w:hAnsi="仿宋" w:eastAsia="仿宋" w:cs="仿宋"/>
                <w:color w:val="auto"/>
                <w:sz w:val="24"/>
                <w:szCs w:val="24"/>
              </w:rPr>
            </w:pPr>
          </w:p>
        </w:tc>
        <w:tc>
          <w:tcPr>
            <w:tcW w:w="1517" w:type="dxa"/>
            <w:tcBorders>
              <w:top w:val="single" w:color="auto" w:sz="4" w:space="0"/>
              <w:left w:val="single" w:color="auto" w:sz="4" w:space="0"/>
              <w:bottom w:val="single" w:color="auto" w:sz="4" w:space="0"/>
              <w:right w:val="single" w:color="auto" w:sz="4" w:space="0"/>
            </w:tcBorders>
          </w:tcPr>
          <w:p w14:paraId="2E3AED80">
            <w:pPr>
              <w:spacing w:line="360" w:lineRule="auto"/>
              <w:rPr>
                <w:rFonts w:hint="eastAsia" w:ascii="仿宋" w:hAnsi="仿宋" w:eastAsia="仿宋" w:cs="仿宋"/>
                <w:color w:val="auto"/>
                <w:sz w:val="24"/>
                <w:szCs w:val="24"/>
              </w:rPr>
            </w:pPr>
          </w:p>
        </w:tc>
        <w:tc>
          <w:tcPr>
            <w:tcW w:w="1317" w:type="dxa"/>
            <w:tcBorders>
              <w:top w:val="single" w:color="auto" w:sz="4" w:space="0"/>
              <w:left w:val="single" w:color="auto" w:sz="4" w:space="0"/>
              <w:bottom w:val="single" w:color="auto" w:sz="4" w:space="0"/>
              <w:right w:val="single" w:color="auto" w:sz="4" w:space="0"/>
            </w:tcBorders>
          </w:tcPr>
          <w:p w14:paraId="7BCD4510">
            <w:pPr>
              <w:spacing w:line="360" w:lineRule="auto"/>
              <w:rPr>
                <w:rFonts w:hint="eastAsia" w:ascii="仿宋" w:hAnsi="仿宋" w:eastAsia="仿宋" w:cs="仿宋"/>
                <w:color w:val="auto"/>
                <w:sz w:val="24"/>
                <w:szCs w:val="24"/>
              </w:rPr>
            </w:pPr>
          </w:p>
        </w:tc>
        <w:tc>
          <w:tcPr>
            <w:tcW w:w="1051" w:type="dxa"/>
            <w:tcBorders>
              <w:top w:val="single" w:color="auto" w:sz="4" w:space="0"/>
              <w:left w:val="single" w:color="auto" w:sz="4" w:space="0"/>
              <w:bottom w:val="single" w:color="auto" w:sz="4" w:space="0"/>
              <w:right w:val="single" w:color="auto" w:sz="4" w:space="0"/>
            </w:tcBorders>
          </w:tcPr>
          <w:p w14:paraId="48A1C319">
            <w:pPr>
              <w:spacing w:line="360" w:lineRule="auto"/>
              <w:rPr>
                <w:rFonts w:hint="eastAsia" w:ascii="仿宋" w:hAnsi="仿宋" w:eastAsia="仿宋" w:cs="仿宋"/>
                <w:color w:val="auto"/>
                <w:sz w:val="24"/>
                <w:szCs w:val="24"/>
              </w:rPr>
            </w:pPr>
          </w:p>
        </w:tc>
      </w:tr>
      <w:tr w14:paraId="291E7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009C55DA">
            <w:pPr>
              <w:spacing w:line="360" w:lineRule="auto"/>
              <w:rPr>
                <w:rFonts w:hint="eastAsia" w:ascii="仿宋" w:hAnsi="仿宋" w:eastAsia="仿宋" w:cs="仿宋"/>
                <w:color w:val="auto"/>
                <w:sz w:val="24"/>
                <w:szCs w:val="24"/>
              </w:rPr>
            </w:pPr>
          </w:p>
        </w:tc>
        <w:tc>
          <w:tcPr>
            <w:tcW w:w="1399" w:type="dxa"/>
            <w:tcBorders>
              <w:top w:val="single" w:color="auto" w:sz="4" w:space="0"/>
              <w:left w:val="single" w:color="auto" w:sz="4" w:space="0"/>
              <w:bottom w:val="single" w:color="auto" w:sz="4" w:space="0"/>
              <w:right w:val="single" w:color="auto" w:sz="4" w:space="0"/>
            </w:tcBorders>
          </w:tcPr>
          <w:p w14:paraId="150B5CAA">
            <w:pPr>
              <w:spacing w:line="360" w:lineRule="auto"/>
              <w:rPr>
                <w:rFonts w:hint="eastAsia" w:ascii="仿宋" w:hAnsi="仿宋" w:eastAsia="仿宋" w:cs="仿宋"/>
                <w:color w:val="auto"/>
                <w:sz w:val="24"/>
                <w:szCs w:val="24"/>
              </w:rPr>
            </w:pPr>
          </w:p>
        </w:tc>
        <w:tc>
          <w:tcPr>
            <w:tcW w:w="1846" w:type="dxa"/>
            <w:tcBorders>
              <w:top w:val="single" w:color="auto" w:sz="4" w:space="0"/>
              <w:left w:val="single" w:color="auto" w:sz="4" w:space="0"/>
              <w:bottom w:val="single" w:color="auto" w:sz="4" w:space="0"/>
              <w:right w:val="single" w:color="auto" w:sz="4" w:space="0"/>
            </w:tcBorders>
          </w:tcPr>
          <w:p w14:paraId="7D4ADDDB">
            <w:pPr>
              <w:spacing w:line="360" w:lineRule="auto"/>
              <w:rPr>
                <w:rFonts w:hint="eastAsia" w:ascii="仿宋" w:hAnsi="仿宋" w:eastAsia="仿宋" w:cs="仿宋"/>
                <w:color w:val="auto"/>
                <w:sz w:val="24"/>
                <w:szCs w:val="24"/>
              </w:rPr>
            </w:pPr>
          </w:p>
        </w:tc>
        <w:tc>
          <w:tcPr>
            <w:tcW w:w="2176" w:type="dxa"/>
            <w:tcBorders>
              <w:top w:val="single" w:color="auto" w:sz="4" w:space="0"/>
              <w:left w:val="single" w:color="auto" w:sz="4" w:space="0"/>
              <w:bottom w:val="single" w:color="auto" w:sz="4" w:space="0"/>
              <w:right w:val="single" w:color="auto" w:sz="4" w:space="0"/>
            </w:tcBorders>
          </w:tcPr>
          <w:p w14:paraId="389489D9">
            <w:pPr>
              <w:spacing w:line="360" w:lineRule="auto"/>
              <w:rPr>
                <w:rFonts w:hint="eastAsia" w:ascii="仿宋" w:hAnsi="仿宋" w:eastAsia="仿宋" w:cs="仿宋"/>
                <w:color w:val="auto"/>
                <w:sz w:val="24"/>
                <w:szCs w:val="24"/>
              </w:rPr>
            </w:pPr>
          </w:p>
        </w:tc>
        <w:tc>
          <w:tcPr>
            <w:tcW w:w="1517" w:type="dxa"/>
            <w:tcBorders>
              <w:top w:val="single" w:color="auto" w:sz="4" w:space="0"/>
              <w:left w:val="single" w:color="auto" w:sz="4" w:space="0"/>
              <w:bottom w:val="single" w:color="auto" w:sz="4" w:space="0"/>
              <w:right w:val="single" w:color="auto" w:sz="4" w:space="0"/>
            </w:tcBorders>
          </w:tcPr>
          <w:p w14:paraId="6FB78BE2">
            <w:pPr>
              <w:spacing w:line="360" w:lineRule="auto"/>
              <w:rPr>
                <w:rFonts w:hint="eastAsia" w:ascii="仿宋" w:hAnsi="仿宋" w:eastAsia="仿宋" w:cs="仿宋"/>
                <w:color w:val="auto"/>
                <w:sz w:val="24"/>
                <w:szCs w:val="24"/>
              </w:rPr>
            </w:pPr>
          </w:p>
        </w:tc>
        <w:tc>
          <w:tcPr>
            <w:tcW w:w="1317" w:type="dxa"/>
            <w:tcBorders>
              <w:top w:val="single" w:color="auto" w:sz="4" w:space="0"/>
              <w:left w:val="single" w:color="auto" w:sz="4" w:space="0"/>
              <w:bottom w:val="single" w:color="auto" w:sz="4" w:space="0"/>
              <w:right w:val="single" w:color="auto" w:sz="4" w:space="0"/>
            </w:tcBorders>
          </w:tcPr>
          <w:p w14:paraId="10B36566">
            <w:pPr>
              <w:spacing w:line="360" w:lineRule="auto"/>
              <w:rPr>
                <w:rFonts w:hint="eastAsia" w:ascii="仿宋" w:hAnsi="仿宋" w:eastAsia="仿宋" w:cs="仿宋"/>
                <w:color w:val="auto"/>
                <w:sz w:val="24"/>
                <w:szCs w:val="24"/>
              </w:rPr>
            </w:pPr>
          </w:p>
        </w:tc>
        <w:tc>
          <w:tcPr>
            <w:tcW w:w="1051" w:type="dxa"/>
            <w:tcBorders>
              <w:top w:val="single" w:color="auto" w:sz="4" w:space="0"/>
              <w:left w:val="single" w:color="auto" w:sz="4" w:space="0"/>
              <w:bottom w:val="single" w:color="auto" w:sz="4" w:space="0"/>
              <w:right w:val="single" w:color="auto" w:sz="4" w:space="0"/>
            </w:tcBorders>
          </w:tcPr>
          <w:p w14:paraId="62260187">
            <w:pPr>
              <w:spacing w:line="360" w:lineRule="auto"/>
              <w:rPr>
                <w:rFonts w:hint="eastAsia" w:ascii="仿宋" w:hAnsi="仿宋" w:eastAsia="仿宋" w:cs="仿宋"/>
                <w:color w:val="auto"/>
                <w:sz w:val="24"/>
                <w:szCs w:val="24"/>
              </w:rPr>
            </w:pPr>
          </w:p>
        </w:tc>
      </w:tr>
      <w:tr w14:paraId="733CF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4C445928">
            <w:pPr>
              <w:spacing w:line="360" w:lineRule="auto"/>
              <w:rPr>
                <w:rFonts w:hint="eastAsia" w:ascii="仿宋" w:hAnsi="仿宋" w:eastAsia="仿宋" w:cs="仿宋"/>
                <w:color w:val="auto"/>
                <w:sz w:val="24"/>
                <w:szCs w:val="24"/>
              </w:rPr>
            </w:pPr>
          </w:p>
        </w:tc>
        <w:tc>
          <w:tcPr>
            <w:tcW w:w="1399" w:type="dxa"/>
            <w:tcBorders>
              <w:top w:val="single" w:color="auto" w:sz="4" w:space="0"/>
              <w:left w:val="single" w:color="auto" w:sz="4" w:space="0"/>
              <w:bottom w:val="single" w:color="auto" w:sz="4" w:space="0"/>
              <w:right w:val="single" w:color="auto" w:sz="4" w:space="0"/>
            </w:tcBorders>
          </w:tcPr>
          <w:p w14:paraId="625EDEA4">
            <w:pPr>
              <w:spacing w:line="360" w:lineRule="auto"/>
              <w:rPr>
                <w:rFonts w:hint="eastAsia" w:ascii="仿宋" w:hAnsi="仿宋" w:eastAsia="仿宋" w:cs="仿宋"/>
                <w:color w:val="auto"/>
                <w:sz w:val="24"/>
                <w:szCs w:val="24"/>
              </w:rPr>
            </w:pPr>
          </w:p>
        </w:tc>
        <w:tc>
          <w:tcPr>
            <w:tcW w:w="1846" w:type="dxa"/>
            <w:tcBorders>
              <w:top w:val="single" w:color="auto" w:sz="4" w:space="0"/>
              <w:left w:val="single" w:color="auto" w:sz="4" w:space="0"/>
              <w:bottom w:val="single" w:color="auto" w:sz="4" w:space="0"/>
              <w:right w:val="single" w:color="auto" w:sz="4" w:space="0"/>
            </w:tcBorders>
          </w:tcPr>
          <w:p w14:paraId="20052D76">
            <w:pPr>
              <w:spacing w:line="360" w:lineRule="auto"/>
              <w:rPr>
                <w:rFonts w:hint="eastAsia" w:ascii="仿宋" w:hAnsi="仿宋" w:eastAsia="仿宋" w:cs="仿宋"/>
                <w:color w:val="auto"/>
                <w:sz w:val="24"/>
                <w:szCs w:val="24"/>
              </w:rPr>
            </w:pPr>
          </w:p>
        </w:tc>
        <w:tc>
          <w:tcPr>
            <w:tcW w:w="2176" w:type="dxa"/>
            <w:tcBorders>
              <w:top w:val="single" w:color="auto" w:sz="4" w:space="0"/>
              <w:left w:val="single" w:color="auto" w:sz="4" w:space="0"/>
              <w:bottom w:val="single" w:color="auto" w:sz="4" w:space="0"/>
              <w:right w:val="single" w:color="auto" w:sz="4" w:space="0"/>
            </w:tcBorders>
          </w:tcPr>
          <w:p w14:paraId="2890A45E">
            <w:pPr>
              <w:spacing w:line="360" w:lineRule="auto"/>
              <w:rPr>
                <w:rFonts w:hint="eastAsia" w:ascii="仿宋" w:hAnsi="仿宋" w:eastAsia="仿宋" w:cs="仿宋"/>
                <w:color w:val="auto"/>
                <w:sz w:val="24"/>
                <w:szCs w:val="24"/>
              </w:rPr>
            </w:pPr>
          </w:p>
        </w:tc>
        <w:tc>
          <w:tcPr>
            <w:tcW w:w="1517" w:type="dxa"/>
            <w:tcBorders>
              <w:top w:val="single" w:color="auto" w:sz="4" w:space="0"/>
              <w:left w:val="single" w:color="auto" w:sz="4" w:space="0"/>
              <w:bottom w:val="single" w:color="auto" w:sz="4" w:space="0"/>
              <w:right w:val="single" w:color="auto" w:sz="4" w:space="0"/>
            </w:tcBorders>
          </w:tcPr>
          <w:p w14:paraId="6CD9B32A">
            <w:pPr>
              <w:spacing w:line="360" w:lineRule="auto"/>
              <w:rPr>
                <w:rFonts w:hint="eastAsia" w:ascii="仿宋" w:hAnsi="仿宋" w:eastAsia="仿宋" w:cs="仿宋"/>
                <w:color w:val="auto"/>
                <w:sz w:val="24"/>
                <w:szCs w:val="24"/>
              </w:rPr>
            </w:pPr>
          </w:p>
        </w:tc>
        <w:tc>
          <w:tcPr>
            <w:tcW w:w="1317" w:type="dxa"/>
            <w:tcBorders>
              <w:top w:val="single" w:color="auto" w:sz="4" w:space="0"/>
              <w:left w:val="single" w:color="auto" w:sz="4" w:space="0"/>
              <w:bottom w:val="single" w:color="auto" w:sz="4" w:space="0"/>
              <w:right w:val="single" w:color="auto" w:sz="4" w:space="0"/>
            </w:tcBorders>
          </w:tcPr>
          <w:p w14:paraId="4A9228F5">
            <w:pPr>
              <w:spacing w:line="360" w:lineRule="auto"/>
              <w:rPr>
                <w:rFonts w:hint="eastAsia" w:ascii="仿宋" w:hAnsi="仿宋" w:eastAsia="仿宋" w:cs="仿宋"/>
                <w:color w:val="auto"/>
                <w:sz w:val="24"/>
                <w:szCs w:val="24"/>
              </w:rPr>
            </w:pPr>
          </w:p>
        </w:tc>
        <w:tc>
          <w:tcPr>
            <w:tcW w:w="1051" w:type="dxa"/>
            <w:tcBorders>
              <w:top w:val="single" w:color="auto" w:sz="4" w:space="0"/>
              <w:left w:val="single" w:color="auto" w:sz="4" w:space="0"/>
              <w:bottom w:val="single" w:color="auto" w:sz="4" w:space="0"/>
              <w:right w:val="single" w:color="auto" w:sz="4" w:space="0"/>
            </w:tcBorders>
          </w:tcPr>
          <w:p w14:paraId="4771C931">
            <w:pPr>
              <w:spacing w:line="360" w:lineRule="auto"/>
              <w:rPr>
                <w:rFonts w:hint="eastAsia" w:ascii="仿宋" w:hAnsi="仿宋" w:eastAsia="仿宋" w:cs="仿宋"/>
                <w:color w:val="auto"/>
                <w:sz w:val="24"/>
                <w:szCs w:val="24"/>
              </w:rPr>
            </w:pPr>
          </w:p>
        </w:tc>
      </w:tr>
      <w:tr w14:paraId="317B4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06C69E82">
            <w:pPr>
              <w:spacing w:line="360" w:lineRule="auto"/>
              <w:rPr>
                <w:rFonts w:hint="eastAsia" w:ascii="仿宋" w:hAnsi="仿宋" w:eastAsia="仿宋" w:cs="仿宋"/>
                <w:color w:val="auto"/>
                <w:sz w:val="24"/>
                <w:szCs w:val="24"/>
              </w:rPr>
            </w:pPr>
          </w:p>
        </w:tc>
        <w:tc>
          <w:tcPr>
            <w:tcW w:w="1399" w:type="dxa"/>
            <w:tcBorders>
              <w:top w:val="single" w:color="auto" w:sz="4" w:space="0"/>
              <w:left w:val="single" w:color="auto" w:sz="4" w:space="0"/>
              <w:bottom w:val="single" w:color="auto" w:sz="4" w:space="0"/>
              <w:right w:val="single" w:color="auto" w:sz="4" w:space="0"/>
            </w:tcBorders>
          </w:tcPr>
          <w:p w14:paraId="5A692A46">
            <w:pPr>
              <w:spacing w:line="360" w:lineRule="auto"/>
              <w:rPr>
                <w:rFonts w:hint="eastAsia" w:ascii="仿宋" w:hAnsi="仿宋" w:eastAsia="仿宋" w:cs="仿宋"/>
                <w:color w:val="auto"/>
                <w:sz w:val="24"/>
                <w:szCs w:val="24"/>
              </w:rPr>
            </w:pPr>
          </w:p>
        </w:tc>
        <w:tc>
          <w:tcPr>
            <w:tcW w:w="1846" w:type="dxa"/>
            <w:tcBorders>
              <w:top w:val="single" w:color="auto" w:sz="4" w:space="0"/>
              <w:left w:val="single" w:color="auto" w:sz="4" w:space="0"/>
              <w:bottom w:val="single" w:color="auto" w:sz="4" w:space="0"/>
              <w:right w:val="single" w:color="auto" w:sz="4" w:space="0"/>
            </w:tcBorders>
          </w:tcPr>
          <w:p w14:paraId="15A8621A">
            <w:pPr>
              <w:spacing w:line="360" w:lineRule="auto"/>
              <w:rPr>
                <w:rFonts w:hint="eastAsia" w:ascii="仿宋" w:hAnsi="仿宋" w:eastAsia="仿宋" w:cs="仿宋"/>
                <w:color w:val="auto"/>
                <w:sz w:val="24"/>
                <w:szCs w:val="24"/>
              </w:rPr>
            </w:pPr>
          </w:p>
        </w:tc>
        <w:tc>
          <w:tcPr>
            <w:tcW w:w="2176" w:type="dxa"/>
            <w:tcBorders>
              <w:top w:val="single" w:color="auto" w:sz="4" w:space="0"/>
              <w:left w:val="single" w:color="auto" w:sz="4" w:space="0"/>
              <w:bottom w:val="single" w:color="auto" w:sz="4" w:space="0"/>
              <w:right w:val="single" w:color="auto" w:sz="4" w:space="0"/>
            </w:tcBorders>
          </w:tcPr>
          <w:p w14:paraId="4FED06BF">
            <w:pPr>
              <w:spacing w:line="360" w:lineRule="auto"/>
              <w:rPr>
                <w:rFonts w:hint="eastAsia" w:ascii="仿宋" w:hAnsi="仿宋" w:eastAsia="仿宋" w:cs="仿宋"/>
                <w:color w:val="auto"/>
                <w:sz w:val="24"/>
                <w:szCs w:val="24"/>
              </w:rPr>
            </w:pPr>
          </w:p>
        </w:tc>
        <w:tc>
          <w:tcPr>
            <w:tcW w:w="1517" w:type="dxa"/>
            <w:tcBorders>
              <w:top w:val="single" w:color="auto" w:sz="4" w:space="0"/>
              <w:left w:val="single" w:color="auto" w:sz="4" w:space="0"/>
              <w:bottom w:val="single" w:color="auto" w:sz="4" w:space="0"/>
              <w:right w:val="single" w:color="auto" w:sz="4" w:space="0"/>
            </w:tcBorders>
          </w:tcPr>
          <w:p w14:paraId="3AEE28DE">
            <w:pPr>
              <w:spacing w:line="360" w:lineRule="auto"/>
              <w:rPr>
                <w:rFonts w:hint="eastAsia" w:ascii="仿宋" w:hAnsi="仿宋" w:eastAsia="仿宋" w:cs="仿宋"/>
                <w:color w:val="auto"/>
                <w:sz w:val="24"/>
                <w:szCs w:val="24"/>
              </w:rPr>
            </w:pPr>
          </w:p>
        </w:tc>
        <w:tc>
          <w:tcPr>
            <w:tcW w:w="1317" w:type="dxa"/>
            <w:tcBorders>
              <w:top w:val="single" w:color="auto" w:sz="4" w:space="0"/>
              <w:left w:val="single" w:color="auto" w:sz="4" w:space="0"/>
              <w:bottom w:val="single" w:color="auto" w:sz="4" w:space="0"/>
              <w:right w:val="single" w:color="auto" w:sz="4" w:space="0"/>
            </w:tcBorders>
          </w:tcPr>
          <w:p w14:paraId="06513C29">
            <w:pPr>
              <w:spacing w:line="360" w:lineRule="auto"/>
              <w:rPr>
                <w:rFonts w:hint="eastAsia" w:ascii="仿宋" w:hAnsi="仿宋" w:eastAsia="仿宋" w:cs="仿宋"/>
                <w:color w:val="auto"/>
                <w:sz w:val="24"/>
                <w:szCs w:val="24"/>
              </w:rPr>
            </w:pPr>
          </w:p>
        </w:tc>
        <w:tc>
          <w:tcPr>
            <w:tcW w:w="1051" w:type="dxa"/>
            <w:tcBorders>
              <w:top w:val="single" w:color="auto" w:sz="4" w:space="0"/>
              <w:left w:val="single" w:color="auto" w:sz="4" w:space="0"/>
              <w:bottom w:val="single" w:color="auto" w:sz="4" w:space="0"/>
              <w:right w:val="single" w:color="auto" w:sz="4" w:space="0"/>
            </w:tcBorders>
          </w:tcPr>
          <w:p w14:paraId="2407E87B">
            <w:pPr>
              <w:spacing w:line="360" w:lineRule="auto"/>
              <w:rPr>
                <w:rFonts w:hint="eastAsia" w:ascii="仿宋" w:hAnsi="仿宋" w:eastAsia="仿宋" w:cs="仿宋"/>
                <w:color w:val="auto"/>
                <w:sz w:val="24"/>
                <w:szCs w:val="24"/>
              </w:rPr>
            </w:pPr>
          </w:p>
        </w:tc>
      </w:tr>
      <w:tr w14:paraId="52C85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377775AA">
            <w:pPr>
              <w:spacing w:line="360" w:lineRule="auto"/>
              <w:rPr>
                <w:rFonts w:hint="eastAsia" w:ascii="仿宋" w:hAnsi="仿宋" w:eastAsia="仿宋" w:cs="仿宋"/>
                <w:color w:val="auto"/>
                <w:sz w:val="24"/>
                <w:szCs w:val="24"/>
              </w:rPr>
            </w:pPr>
          </w:p>
        </w:tc>
        <w:tc>
          <w:tcPr>
            <w:tcW w:w="1399" w:type="dxa"/>
            <w:tcBorders>
              <w:top w:val="single" w:color="auto" w:sz="4" w:space="0"/>
              <w:left w:val="single" w:color="auto" w:sz="4" w:space="0"/>
              <w:bottom w:val="single" w:color="auto" w:sz="4" w:space="0"/>
              <w:right w:val="single" w:color="auto" w:sz="4" w:space="0"/>
            </w:tcBorders>
          </w:tcPr>
          <w:p w14:paraId="1A4EEEC2">
            <w:pPr>
              <w:spacing w:line="360" w:lineRule="auto"/>
              <w:rPr>
                <w:rFonts w:hint="eastAsia" w:ascii="仿宋" w:hAnsi="仿宋" w:eastAsia="仿宋" w:cs="仿宋"/>
                <w:color w:val="auto"/>
                <w:sz w:val="24"/>
                <w:szCs w:val="24"/>
              </w:rPr>
            </w:pPr>
          </w:p>
        </w:tc>
        <w:tc>
          <w:tcPr>
            <w:tcW w:w="1846" w:type="dxa"/>
            <w:tcBorders>
              <w:top w:val="single" w:color="auto" w:sz="4" w:space="0"/>
              <w:left w:val="single" w:color="auto" w:sz="4" w:space="0"/>
              <w:bottom w:val="single" w:color="auto" w:sz="4" w:space="0"/>
              <w:right w:val="single" w:color="auto" w:sz="4" w:space="0"/>
            </w:tcBorders>
          </w:tcPr>
          <w:p w14:paraId="5E9BD272">
            <w:pPr>
              <w:spacing w:line="360" w:lineRule="auto"/>
              <w:rPr>
                <w:rFonts w:hint="eastAsia" w:ascii="仿宋" w:hAnsi="仿宋" w:eastAsia="仿宋" w:cs="仿宋"/>
                <w:color w:val="auto"/>
                <w:sz w:val="24"/>
                <w:szCs w:val="24"/>
              </w:rPr>
            </w:pPr>
          </w:p>
        </w:tc>
        <w:tc>
          <w:tcPr>
            <w:tcW w:w="2176" w:type="dxa"/>
            <w:tcBorders>
              <w:top w:val="single" w:color="auto" w:sz="4" w:space="0"/>
              <w:left w:val="single" w:color="auto" w:sz="4" w:space="0"/>
              <w:bottom w:val="single" w:color="auto" w:sz="4" w:space="0"/>
              <w:right w:val="single" w:color="auto" w:sz="4" w:space="0"/>
            </w:tcBorders>
          </w:tcPr>
          <w:p w14:paraId="26F7C2B2">
            <w:pPr>
              <w:spacing w:line="360" w:lineRule="auto"/>
              <w:rPr>
                <w:rFonts w:hint="eastAsia" w:ascii="仿宋" w:hAnsi="仿宋" w:eastAsia="仿宋" w:cs="仿宋"/>
                <w:color w:val="auto"/>
                <w:sz w:val="24"/>
                <w:szCs w:val="24"/>
              </w:rPr>
            </w:pPr>
          </w:p>
        </w:tc>
        <w:tc>
          <w:tcPr>
            <w:tcW w:w="1517" w:type="dxa"/>
            <w:tcBorders>
              <w:top w:val="single" w:color="auto" w:sz="4" w:space="0"/>
              <w:left w:val="single" w:color="auto" w:sz="4" w:space="0"/>
              <w:bottom w:val="single" w:color="auto" w:sz="4" w:space="0"/>
              <w:right w:val="single" w:color="auto" w:sz="4" w:space="0"/>
            </w:tcBorders>
          </w:tcPr>
          <w:p w14:paraId="149F34D9">
            <w:pPr>
              <w:spacing w:line="360" w:lineRule="auto"/>
              <w:rPr>
                <w:rFonts w:hint="eastAsia" w:ascii="仿宋" w:hAnsi="仿宋" w:eastAsia="仿宋" w:cs="仿宋"/>
                <w:color w:val="auto"/>
                <w:sz w:val="24"/>
                <w:szCs w:val="24"/>
              </w:rPr>
            </w:pPr>
          </w:p>
        </w:tc>
        <w:tc>
          <w:tcPr>
            <w:tcW w:w="1317" w:type="dxa"/>
            <w:tcBorders>
              <w:top w:val="single" w:color="auto" w:sz="4" w:space="0"/>
              <w:left w:val="single" w:color="auto" w:sz="4" w:space="0"/>
              <w:bottom w:val="single" w:color="auto" w:sz="4" w:space="0"/>
              <w:right w:val="single" w:color="auto" w:sz="4" w:space="0"/>
            </w:tcBorders>
          </w:tcPr>
          <w:p w14:paraId="52FD5F2E">
            <w:pPr>
              <w:spacing w:line="360" w:lineRule="auto"/>
              <w:rPr>
                <w:rFonts w:hint="eastAsia" w:ascii="仿宋" w:hAnsi="仿宋" w:eastAsia="仿宋" w:cs="仿宋"/>
                <w:color w:val="auto"/>
                <w:sz w:val="24"/>
                <w:szCs w:val="24"/>
              </w:rPr>
            </w:pPr>
          </w:p>
        </w:tc>
        <w:tc>
          <w:tcPr>
            <w:tcW w:w="1051" w:type="dxa"/>
            <w:tcBorders>
              <w:top w:val="single" w:color="auto" w:sz="4" w:space="0"/>
              <w:left w:val="single" w:color="auto" w:sz="4" w:space="0"/>
              <w:bottom w:val="single" w:color="auto" w:sz="4" w:space="0"/>
              <w:right w:val="single" w:color="auto" w:sz="4" w:space="0"/>
            </w:tcBorders>
          </w:tcPr>
          <w:p w14:paraId="3E7A1731">
            <w:pPr>
              <w:spacing w:line="360" w:lineRule="auto"/>
              <w:rPr>
                <w:rFonts w:hint="eastAsia" w:ascii="仿宋" w:hAnsi="仿宋" w:eastAsia="仿宋" w:cs="仿宋"/>
                <w:color w:val="auto"/>
                <w:sz w:val="24"/>
                <w:szCs w:val="24"/>
              </w:rPr>
            </w:pPr>
          </w:p>
        </w:tc>
      </w:tr>
      <w:tr w14:paraId="60F42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2E2EC849">
            <w:pPr>
              <w:spacing w:line="360" w:lineRule="auto"/>
              <w:rPr>
                <w:rFonts w:hint="eastAsia" w:ascii="仿宋" w:hAnsi="仿宋" w:eastAsia="仿宋" w:cs="仿宋"/>
                <w:color w:val="auto"/>
                <w:sz w:val="24"/>
                <w:szCs w:val="24"/>
              </w:rPr>
            </w:pPr>
          </w:p>
        </w:tc>
        <w:tc>
          <w:tcPr>
            <w:tcW w:w="1399" w:type="dxa"/>
            <w:tcBorders>
              <w:top w:val="single" w:color="auto" w:sz="4" w:space="0"/>
              <w:left w:val="single" w:color="auto" w:sz="4" w:space="0"/>
              <w:bottom w:val="single" w:color="auto" w:sz="4" w:space="0"/>
              <w:right w:val="single" w:color="auto" w:sz="4" w:space="0"/>
            </w:tcBorders>
          </w:tcPr>
          <w:p w14:paraId="392C39C1">
            <w:pPr>
              <w:spacing w:line="360" w:lineRule="auto"/>
              <w:rPr>
                <w:rFonts w:hint="eastAsia" w:ascii="仿宋" w:hAnsi="仿宋" w:eastAsia="仿宋" w:cs="仿宋"/>
                <w:color w:val="auto"/>
                <w:sz w:val="24"/>
                <w:szCs w:val="24"/>
              </w:rPr>
            </w:pPr>
          </w:p>
        </w:tc>
        <w:tc>
          <w:tcPr>
            <w:tcW w:w="1846" w:type="dxa"/>
            <w:tcBorders>
              <w:top w:val="single" w:color="auto" w:sz="4" w:space="0"/>
              <w:left w:val="single" w:color="auto" w:sz="4" w:space="0"/>
              <w:bottom w:val="single" w:color="auto" w:sz="4" w:space="0"/>
              <w:right w:val="single" w:color="auto" w:sz="4" w:space="0"/>
            </w:tcBorders>
          </w:tcPr>
          <w:p w14:paraId="0434DA3A">
            <w:pPr>
              <w:spacing w:line="360" w:lineRule="auto"/>
              <w:rPr>
                <w:rFonts w:hint="eastAsia" w:ascii="仿宋" w:hAnsi="仿宋" w:eastAsia="仿宋" w:cs="仿宋"/>
                <w:color w:val="auto"/>
                <w:sz w:val="24"/>
                <w:szCs w:val="24"/>
              </w:rPr>
            </w:pPr>
          </w:p>
        </w:tc>
        <w:tc>
          <w:tcPr>
            <w:tcW w:w="2176" w:type="dxa"/>
            <w:tcBorders>
              <w:top w:val="single" w:color="auto" w:sz="4" w:space="0"/>
              <w:left w:val="single" w:color="auto" w:sz="4" w:space="0"/>
              <w:bottom w:val="single" w:color="auto" w:sz="4" w:space="0"/>
              <w:right w:val="single" w:color="auto" w:sz="4" w:space="0"/>
            </w:tcBorders>
          </w:tcPr>
          <w:p w14:paraId="2E8B0399">
            <w:pPr>
              <w:spacing w:line="360" w:lineRule="auto"/>
              <w:rPr>
                <w:rFonts w:hint="eastAsia" w:ascii="仿宋" w:hAnsi="仿宋" w:eastAsia="仿宋" w:cs="仿宋"/>
                <w:color w:val="auto"/>
                <w:sz w:val="24"/>
                <w:szCs w:val="24"/>
              </w:rPr>
            </w:pPr>
          </w:p>
        </w:tc>
        <w:tc>
          <w:tcPr>
            <w:tcW w:w="1517" w:type="dxa"/>
            <w:tcBorders>
              <w:top w:val="single" w:color="auto" w:sz="4" w:space="0"/>
              <w:left w:val="single" w:color="auto" w:sz="4" w:space="0"/>
              <w:bottom w:val="single" w:color="auto" w:sz="4" w:space="0"/>
              <w:right w:val="single" w:color="auto" w:sz="4" w:space="0"/>
            </w:tcBorders>
          </w:tcPr>
          <w:p w14:paraId="26510661">
            <w:pPr>
              <w:spacing w:line="360" w:lineRule="auto"/>
              <w:rPr>
                <w:rFonts w:hint="eastAsia" w:ascii="仿宋" w:hAnsi="仿宋" w:eastAsia="仿宋" w:cs="仿宋"/>
                <w:color w:val="auto"/>
                <w:sz w:val="24"/>
                <w:szCs w:val="24"/>
              </w:rPr>
            </w:pPr>
          </w:p>
        </w:tc>
        <w:tc>
          <w:tcPr>
            <w:tcW w:w="1317" w:type="dxa"/>
            <w:tcBorders>
              <w:top w:val="single" w:color="auto" w:sz="4" w:space="0"/>
              <w:left w:val="single" w:color="auto" w:sz="4" w:space="0"/>
              <w:bottom w:val="single" w:color="auto" w:sz="4" w:space="0"/>
              <w:right w:val="single" w:color="auto" w:sz="4" w:space="0"/>
            </w:tcBorders>
          </w:tcPr>
          <w:p w14:paraId="7C9E75F5">
            <w:pPr>
              <w:spacing w:line="360" w:lineRule="auto"/>
              <w:rPr>
                <w:rFonts w:hint="eastAsia" w:ascii="仿宋" w:hAnsi="仿宋" w:eastAsia="仿宋" w:cs="仿宋"/>
                <w:color w:val="auto"/>
                <w:sz w:val="24"/>
                <w:szCs w:val="24"/>
              </w:rPr>
            </w:pPr>
          </w:p>
        </w:tc>
        <w:tc>
          <w:tcPr>
            <w:tcW w:w="1051" w:type="dxa"/>
            <w:tcBorders>
              <w:top w:val="single" w:color="auto" w:sz="4" w:space="0"/>
              <w:left w:val="single" w:color="auto" w:sz="4" w:space="0"/>
              <w:bottom w:val="single" w:color="auto" w:sz="4" w:space="0"/>
              <w:right w:val="single" w:color="auto" w:sz="4" w:space="0"/>
            </w:tcBorders>
          </w:tcPr>
          <w:p w14:paraId="4D629971">
            <w:pPr>
              <w:spacing w:line="360" w:lineRule="auto"/>
              <w:rPr>
                <w:rFonts w:hint="eastAsia" w:ascii="仿宋" w:hAnsi="仿宋" w:eastAsia="仿宋" w:cs="仿宋"/>
                <w:color w:val="auto"/>
                <w:sz w:val="24"/>
                <w:szCs w:val="24"/>
              </w:rPr>
            </w:pPr>
          </w:p>
        </w:tc>
      </w:tr>
      <w:tr w14:paraId="30F83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2E54AE58">
            <w:pPr>
              <w:spacing w:line="360" w:lineRule="auto"/>
              <w:rPr>
                <w:rFonts w:hint="eastAsia" w:ascii="仿宋" w:hAnsi="仿宋" w:eastAsia="仿宋" w:cs="仿宋"/>
                <w:color w:val="auto"/>
                <w:sz w:val="24"/>
                <w:szCs w:val="24"/>
              </w:rPr>
            </w:pPr>
          </w:p>
        </w:tc>
        <w:tc>
          <w:tcPr>
            <w:tcW w:w="1399" w:type="dxa"/>
            <w:tcBorders>
              <w:top w:val="single" w:color="auto" w:sz="4" w:space="0"/>
              <w:left w:val="single" w:color="auto" w:sz="4" w:space="0"/>
              <w:bottom w:val="single" w:color="auto" w:sz="4" w:space="0"/>
              <w:right w:val="single" w:color="auto" w:sz="4" w:space="0"/>
            </w:tcBorders>
          </w:tcPr>
          <w:p w14:paraId="0ED216E9">
            <w:pPr>
              <w:spacing w:line="360" w:lineRule="auto"/>
              <w:rPr>
                <w:rFonts w:hint="eastAsia" w:ascii="仿宋" w:hAnsi="仿宋" w:eastAsia="仿宋" w:cs="仿宋"/>
                <w:color w:val="auto"/>
                <w:sz w:val="24"/>
                <w:szCs w:val="24"/>
              </w:rPr>
            </w:pPr>
          </w:p>
        </w:tc>
        <w:tc>
          <w:tcPr>
            <w:tcW w:w="1846" w:type="dxa"/>
            <w:tcBorders>
              <w:top w:val="single" w:color="auto" w:sz="4" w:space="0"/>
              <w:left w:val="single" w:color="auto" w:sz="4" w:space="0"/>
              <w:bottom w:val="single" w:color="auto" w:sz="4" w:space="0"/>
              <w:right w:val="single" w:color="auto" w:sz="4" w:space="0"/>
            </w:tcBorders>
          </w:tcPr>
          <w:p w14:paraId="16C618CD">
            <w:pPr>
              <w:spacing w:line="360" w:lineRule="auto"/>
              <w:rPr>
                <w:rFonts w:hint="eastAsia" w:ascii="仿宋" w:hAnsi="仿宋" w:eastAsia="仿宋" w:cs="仿宋"/>
                <w:color w:val="auto"/>
                <w:sz w:val="24"/>
                <w:szCs w:val="24"/>
              </w:rPr>
            </w:pPr>
          </w:p>
        </w:tc>
        <w:tc>
          <w:tcPr>
            <w:tcW w:w="2176" w:type="dxa"/>
            <w:tcBorders>
              <w:top w:val="single" w:color="auto" w:sz="4" w:space="0"/>
              <w:left w:val="single" w:color="auto" w:sz="4" w:space="0"/>
              <w:bottom w:val="single" w:color="auto" w:sz="4" w:space="0"/>
              <w:right w:val="single" w:color="auto" w:sz="4" w:space="0"/>
            </w:tcBorders>
          </w:tcPr>
          <w:p w14:paraId="02849B7A">
            <w:pPr>
              <w:spacing w:line="360" w:lineRule="auto"/>
              <w:rPr>
                <w:rFonts w:hint="eastAsia" w:ascii="仿宋" w:hAnsi="仿宋" w:eastAsia="仿宋" w:cs="仿宋"/>
                <w:color w:val="auto"/>
                <w:sz w:val="24"/>
                <w:szCs w:val="24"/>
              </w:rPr>
            </w:pPr>
          </w:p>
        </w:tc>
        <w:tc>
          <w:tcPr>
            <w:tcW w:w="1517" w:type="dxa"/>
            <w:tcBorders>
              <w:top w:val="single" w:color="auto" w:sz="4" w:space="0"/>
              <w:left w:val="single" w:color="auto" w:sz="4" w:space="0"/>
              <w:bottom w:val="single" w:color="auto" w:sz="4" w:space="0"/>
              <w:right w:val="single" w:color="auto" w:sz="4" w:space="0"/>
            </w:tcBorders>
          </w:tcPr>
          <w:p w14:paraId="02078DCF">
            <w:pPr>
              <w:spacing w:line="360" w:lineRule="auto"/>
              <w:rPr>
                <w:rFonts w:hint="eastAsia" w:ascii="仿宋" w:hAnsi="仿宋" w:eastAsia="仿宋" w:cs="仿宋"/>
                <w:color w:val="auto"/>
                <w:sz w:val="24"/>
                <w:szCs w:val="24"/>
              </w:rPr>
            </w:pPr>
          </w:p>
        </w:tc>
        <w:tc>
          <w:tcPr>
            <w:tcW w:w="1317" w:type="dxa"/>
            <w:tcBorders>
              <w:top w:val="single" w:color="auto" w:sz="4" w:space="0"/>
              <w:left w:val="single" w:color="auto" w:sz="4" w:space="0"/>
              <w:bottom w:val="single" w:color="auto" w:sz="4" w:space="0"/>
              <w:right w:val="single" w:color="auto" w:sz="4" w:space="0"/>
            </w:tcBorders>
          </w:tcPr>
          <w:p w14:paraId="0FB8F6A9">
            <w:pPr>
              <w:spacing w:line="360" w:lineRule="auto"/>
              <w:rPr>
                <w:rFonts w:hint="eastAsia" w:ascii="仿宋" w:hAnsi="仿宋" w:eastAsia="仿宋" w:cs="仿宋"/>
                <w:color w:val="auto"/>
                <w:sz w:val="24"/>
                <w:szCs w:val="24"/>
              </w:rPr>
            </w:pPr>
          </w:p>
        </w:tc>
        <w:tc>
          <w:tcPr>
            <w:tcW w:w="1051" w:type="dxa"/>
            <w:tcBorders>
              <w:top w:val="single" w:color="auto" w:sz="4" w:space="0"/>
              <w:left w:val="single" w:color="auto" w:sz="4" w:space="0"/>
              <w:bottom w:val="single" w:color="auto" w:sz="4" w:space="0"/>
              <w:right w:val="single" w:color="auto" w:sz="4" w:space="0"/>
            </w:tcBorders>
          </w:tcPr>
          <w:p w14:paraId="0264DD70">
            <w:pPr>
              <w:spacing w:line="360" w:lineRule="auto"/>
              <w:rPr>
                <w:rFonts w:hint="eastAsia" w:ascii="仿宋" w:hAnsi="仿宋" w:eastAsia="仿宋" w:cs="仿宋"/>
                <w:color w:val="auto"/>
                <w:sz w:val="24"/>
                <w:szCs w:val="24"/>
              </w:rPr>
            </w:pPr>
          </w:p>
        </w:tc>
      </w:tr>
      <w:tr w14:paraId="76875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00C58AA2">
            <w:pPr>
              <w:spacing w:line="360" w:lineRule="auto"/>
              <w:rPr>
                <w:rFonts w:hint="eastAsia" w:ascii="仿宋" w:hAnsi="仿宋" w:eastAsia="仿宋" w:cs="仿宋"/>
                <w:color w:val="auto"/>
                <w:sz w:val="24"/>
                <w:szCs w:val="24"/>
              </w:rPr>
            </w:pPr>
          </w:p>
        </w:tc>
        <w:tc>
          <w:tcPr>
            <w:tcW w:w="1399" w:type="dxa"/>
            <w:tcBorders>
              <w:top w:val="single" w:color="auto" w:sz="4" w:space="0"/>
              <w:left w:val="single" w:color="auto" w:sz="4" w:space="0"/>
              <w:bottom w:val="single" w:color="auto" w:sz="4" w:space="0"/>
              <w:right w:val="single" w:color="auto" w:sz="4" w:space="0"/>
            </w:tcBorders>
          </w:tcPr>
          <w:p w14:paraId="6B998EE2">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846" w:type="dxa"/>
            <w:tcBorders>
              <w:top w:val="single" w:color="auto" w:sz="4" w:space="0"/>
              <w:left w:val="single" w:color="auto" w:sz="4" w:space="0"/>
              <w:bottom w:val="single" w:color="auto" w:sz="4" w:space="0"/>
              <w:right w:val="single" w:color="auto" w:sz="4" w:space="0"/>
            </w:tcBorders>
          </w:tcPr>
          <w:p w14:paraId="2E839DF0">
            <w:pPr>
              <w:spacing w:line="360" w:lineRule="auto"/>
              <w:rPr>
                <w:rFonts w:hint="eastAsia" w:ascii="仿宋" w:hAnsi="仿宋" w:eastAsia="仿宋" w:cs="仿宋"/>
                <w:color w:val="auto"/>
                <w:sz w:val="24"/>
                <w:szCs w:val="24"/>
              </w:rPr>
            </w:pPr>
          </w:p>
        </w:tc>
        <w:tc>
          <w:tcPr>
            <w:tcW w:w="2176" w:type="dxa"/>
            <w:tcBorders>
              <w:top w:val="single" w:color="auto" w:sz="4" w:space="0"/>
              <w:left w:val="single" w:color="auto" w:sz="4" w:space="0"/>
              <w:bottom w:val="single" w:color="auto" w:sz="4" w:space="0"/>
              <w:right w:val="single" w:color="auto" w:sz="4" w:space="0"/>
            </w:tcBorders>
          </w:tcPr>
          <w:p w14:paraId="53B841B3">
            <w:pPr>
              <w:spacing w:line="360" w:lineRule="auto"/>
              <w:rPr>
                <w:rFonts w:hint="eastAsia" w:ascii="仿宋" w:hAnsi="仿宋" w:eastAsia="仿宋" w:cs="仿宋"/>
                <w:color w:val="auto"/>
                <w:sz w:val="24"/>
                <w:szCs w:val="24"/>
              </w:rPr>
            </w:pPr>
          </w:p>
        </w:tc>
        <w:tc>
          <w:tcPr>
            <w:tcW w:w="1517" w:type="dxa"/>
            <w:tcBorders>
              <w:top w:val="single" w:color="auto" w:sz="4" w:space="0"/>
              <w:left w:val="single" w:color="auto" w:sz="4" w:space="0"/>
              <w:bottom w:val="single" w:color="auto" w:sz="4" w:space="0"/>
              <w:right w:val="single" w:color="auto" w:sz="4" w:space="0"/>
            </w:tcBorders>
          </w:tcPr>
          <w:p w14:paraId="392BBC5F">
            <w:pPr>
              <w:spacing w:line="360" w:lineRule="auto"/>
              <w:rPr>
                <w:rFonts w:hint="eastAsia" w:ascii="仿宋" w:hAnsi="仿宋" w:eastAsia="仿宋" w:cs="仿宋"/>
                <w:color w:val="auto"/>
                <w:sz w:val="24"/>
                <w:szCs w:val="24"/>
              </w:rPr>
            </w:pPr>
          </w:p>
        </w:tc>
        <w:tc>
          <w:tcPr>
            <w:tcW w:w="1317" w:type="dxa"/>
            <w:tcBorders>
              <w:top w:val="single" w:color="auto" w:sz="4" w:space="0"/>
              <w:left w:val="single" w:color="auto" w:sz="4" w:space="0"/>
              <w:bottom w:val="single" w:color="auto" w:sz="4" w:space="0"/>
              <w:right w:val="single" w:color="auto" w:sz="4" w:space="0"/>
            </w:tcBorders>
          </w:tcPr>
          <w:p w14:paraId="470FF293">
            <w:pPr>
              <w:spacing w:line="360" w:lineRule="auto"/>
              <w:rPr>
                <w:rFonts w:hint="eastAsia" w:ascii="仿宋" w:hAnsi="仿宋" w:eastAsia="仿宋" w:cs="仿宋"/>
                <w:color w:val="auto"/>
                <w:sz w:val="24"/>
                <w:szCs w:val="24"/>
              </w:rPr>
            </w:pPr>
          </w:p>
        </w:tc>
        <w:tc>
          <w:tcPr>
            <w:tcW w:w="1051" w:type="dxa"/>
            <w:tcBorders>
              <w:top w:val="single" w:color="auto" w:sz="4" w:space="0"/>
              <w:left w:val="single" w:color="auto" w:sz="4" w:space="0"/>
              <w:bottom w:val="single" w:color="auto" w:sz="4" w:space="0"/>
              <w:right w:val="single" w:color="auto" w:sz="4" w:space="0"/>
            </w:tcBorders>
          </w:tcPr>
          <w:p w14:paraId="6160E0CF">
            <w:pPr>
              <w:spacing w:line="360" w:lineRule="auto"/>
              <w:rPr>
                <w:rFonts w:hint="eastAsia" w:ascii="仿宋" w:hAnsi="仿宋" w:eastAsia="仿宋" w:cs="仿宋"/>
                <w:color w:val="auto"/>
                <w:sz w:val="24"/>
                <w:szCs w:val="24"/>
              </w:rPr>
            </w:pPr>
          </w:p>
        </w:tc>
      </w:tr>
      <w:tr w14:paraId="71EEE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11" w:type="dxa"/>
            <w:tcBorders>
              <w:top w:val="single" w:color="auto" w:sz="4" w:space="0"/>
              <w:left w:val="single" w:color="auto" w:sz="4" w:space="0"/>
              <w:bottom w:val="single" w:color="auto" w:sz="4" w:space="0"/>
              <w:right w:val="single" w:color="auto" w:sz="4" w:space="0"/>
            </w:tcBorders>
          </w:tcPr>
          <w:p w14:paraId="1E70AA5F">
            <w:pPr>
              <w:spacing w:line="360" w:lineRule="auto"/>
              <w:rPr>
                <w:rFonts w:hint="eastAsia" w:ascii="仿宋" w:hAnsi="仿宋" w:eastAsia="仿宋" w:cs="仿宋"/>
                <w:color w:val="auto"/>
                <w:sz w:val="24"/>
                <w:szCs w:val="24"/>
              </w:rPr>
            </w:pPr>
          </w:p>
        </w:tc>
        <w:tc>
          <w:tcPr>
            <w:tcW w:w="5421" w:type="dxa"/>
            <w:gridSpan w:val="3"/>
            <w:tcBorders>
              <w:top w:val="single" w:color="auto" w:sz="4" w:space="0"/>
              <w:left w:val="single" w:color="auto" w:sz="4" w:space="0"/>
              <w:bottom w:val="single" w:color="auto" w:sz="4" w:space="0"/>
              <w:right w:val="single" w:color="auto" w:sz="4" w:space="0"/>
            </w:tcBorders>
          </w:tcPr>
          <w:p w14:paraId="0AD29BC1">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总报价：</w:t>
            </w:r>
          </w:p>
        </w:tc>
        <w:tc>
          <w:tcPr>
            <w:tcW w:w="1517" w:type="dxa"/>
            <w:tcBorders>
              <w:top w:val="single" w:color="auto" w:sz="4" w:space="0"/>
              <w:left w:val="single" w:color="auto" w:sz="4" w:space="0"/>
              <w:bottom w:val="single" w:color="auto" w:sz="4" w:space="0"/>
              <w:right w:val="single" w:color="auto" w:sz="4" w:space="0"/>
            </w:tcBorders>
          </w:tcPr>
          <w:p w14:paraId="4C3CCFCC">
            <w:pPr>
              <w:spacing w:line="360" w:lineRule="auto"/>
              <w:rPr>
                <w:rFonts w:hint="eastAsia" w:ascii="仿宋" w:hAnsi="仿宋" w:eastAsia="仿宋" w:cs="仿宋"/>
                <w:color w:val="auto"/>
                <w:sz w:val="24"/>
                <w:szCs w:val="24"/>
              </w:rPr>
            </w:pPr>
          </w:p>
        </w:tc>
        <w:tc>
          <w:tcPr>
            <w:tcW w:w="1317" w:type="dxa"/>
            <w:tcBorders>
              <w:top w:val="single" w:color="auto" w:sz="4" w:space="0"/>
              <w:left w:val="single" w:color="auto" w:sz="4" w:space="0"/>
              <w:bottom w:val="single" w:color="auto" w:sz="4" w:space="0"/>
              <w:right w:val="single" w:color="auto" w:sz="4" w:space="0"/>
            </w:tcBorders>
          </w:tcPr>
          <w:p w14:paraId="02C418C2">
            <w:pPr>
              <w:spacing w:line="360" w:lineRule="auto"/>
              <w:rPr>
                <w:rFonts w:hint="eastAsia" w:ascii="仿宋" w:hAnsi="仿宋" w:eastAsia="仿宋" w:cs="仿宋"/>
                <w:color w:val="auto"/>
                <w:sz w:val="24"/>
                <w:szCs w:val="24"/>
              </w:rPr>
            </w:pPr>
          </w:p>
        </w:tc>
        <w:tc>
          <w:tcPr>
            <w:tcW w:w="1051" w:type="dxa"/>
            <w:tcBorders>
              <w:top w:val="single" w:color="auto" w:sz="4" w:space="0"/>
              <w:left w:val="single" w:color="auto" w:sz="4" w:space="0"/>
              <w:bottom w:val="single" w:color="auto" w:sz="4" w:space="0"/>
              <w:right w:val="single" w:color="auto" w:sz="4" w:space="0"/>
            </w:tcBorders>
          </w:tcPr>
          <w:p w14:paraId="25FF4F4C">
            <w:pPr>
              <w:spacing w:line="360" w:lineRule="auto"/>
              <w:rPr>
                <w:rFonts w:hint="eastAsia" w:ascii="仿宋" w:hAnsi="仿宋" w:eastAsia="仿宋" w:cs="仿宋"/>
                <w:color w:val="auto"/>
                <w:sz w:val="24"/>
                <w:szCs w:val="24"/>
              </w:rPr>
            </w:pPr>
          </w:p>
        </w:tc>
      </w:tr>
    </w:tbl>
    <w:p w14:paraId="690C7C14">
      <w:pPr>
        <w:pStyle w:val="9"/>
        <w:spacing w:line="360" w:lineRule="auto"/>
        <w:ind w:left="-178" w:leftChars="-85"/>
        <w:rPr>
          <w:rFonts w:hint="eastAsia" w:ascii="仿宋" w:hAnsi="仿宋" w:eastAsia="仿宋" w:cs="仿宋"/>
          <w:color w:val="auto"/>
          <w:sz w:val="24"/>
          <w:szCs w:val="24"/>
        </w:rPr>
      </w:pPr>
      <w:r>
        <w:rPr>
          <w:rFonts w:hint="eastAsia" w:ascii="仿宋" w:hAnsi="仿宋" w:eastAsia="仿宋" w:cs="仿宋"/>
          <w:color w:val="auto"/>
          <w:sz w:val="24"/>
          <w:szCs w:val="24"/>
        </w:rPr>
        <w:t>注：</w:t>
      </w:r>
    </w:p>
    <w:p w14:paraId="02ADF549">
      <w:pPr>
        <w:pStyle w:val="9"/>
        <w:spacing w:line="360" w:lineRule="auto"/>
        <w:ind w:left="-178" w:leftChars="-85"/>
        <w:rPr>
          <w:rFonts w:hint="eastAsia" w:ascii="仿宋" w:hAnsi="仿宋" w:eastAsia="仿宋" w:cs="仿宋"/>
          <w:color w:val="auto"/>
          <w:sz w:val="24"/>
          <w:szCs w:val="24"/>
        </w:rPr>
      </w:pPr>
      <w:r>
        <w:rPr>
          <w:rFonts w:hint="eastAsia" w:ascii="仿宋" w:hAnsi="仿宋" w:eastAsia="仿宋" w:cs="仿宋"/>
          <w:color w:val="auto"/>
          <w:sz w:val="24"/>
          <w:szCs w:val="24"/>
        </w:rPr>
        <w:t>1.本表格仅供参考，投标人可根据项目实际情况扩展表格。</w:t>
      </w:r>
    </w:p>
    <w:p w14:paraId="4B479BDD">
      <w:pPr>
        <w:pStyle w:val="9"/>
        <w:spacing w:line="360" w:lineRule="auto"/>
        <w:ind w:left="-178" w:leftChars="-85"/>
        <w:rPr>
          <w:rFonts w:hint="eastAsia" w:ascii="仿宋" w:hAnsi="仿宋" w:eastAsia="仿宋" w:cs="仿宋"/>
          <w:color w:val="auto"/>
          <w:sz w:val="24"/>
          <w:szCs w:val="24"/>
        </w:rPr>
      </w:pPr>
      <w:r>
        <w:rPr>
          <w:rFonts w:hint="eastAsia" w:ascii="仿宋" w:hAnsi="仿宋" w:eastAsia="仿宋" w:cs="仿宋"/>
          <w:color w:val="auto"/>
          <w:sz w:val="24"/>
          <w:szCs w:val="24"/>
        </w:rPr>
        <w:t>2.投标总价应与开标一览表的投标报价一致。</w:t>
      </w:r>
    </w:p>
    <w:p w14:paraId="59666342">
      <w:pPr>
        <w:spacing w:line="360" w:lineRule="auto"/>
        <w:rPr>
          <w:rFonts w:hint="eastAsia" w:ascii="仿宋" w:hAnsi="仿宋" w:eastAsia="仿宋" w:cs="仿宋"/>
          <w:color w:val="auto"/>
          <w:sz w:val="24"/>
          <w:szCs w:val="24"/>
        </w:rPr>
      </w:pPr>
    </w:p>
    <w:p w14:paraId="30E46331">
      <w:pPr>
        <w:spacing w:line="360" w:lineRule="auto"/>
        <w:ind w:left="3780" w:left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法定代表人或其授权委托人（签名或印章）：        </w:t>
      </w:r>
    </w:p>
    <w:p w14:paraId="6D8FD019">
      <w:pPr>
        <w:spacing w:line="360" w:lineRule="auto"/>
        <w:ind w:left="3780" w:left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投标人（盖章）：         </w:t>
      </w:r>
    </w:p>
    <w:p w14:paraId="0F8C3477">
      <w:pPr>
        <w:pStyle w:val="39"/>
        <w:keepNext w:val="0"/>
        <w:pageBreakBefore w:val="0"/>
        <w:tabs>
          <w:tab w:val="clear" w:pos="720"/>
        </w:tabs>
        <w:snapToGrid w:val="0"/>
        <w:spacing w:before="120" w:after="120"/>
        <w:ind w:left="3780" w:leftChars="1800"/>
        <w:jc w:val="both"/>
        <w:outlineLvl w:val="9"/>
        <w:rPr>
          <w:rFonts w:hint="eastAsia" w:ascii="仿宋" w:hAnsi="仿宋" w:eastAsia="仿宋" w:cs="仿宋"/>
          <w:b w:val="0"/>
          <w:color w:val="auto"/>
          <w:kern w:val="2"/>
          <w:sz w:val="24"/>
          <w:szCs w:val="24"/>
        </w:rPr>
      </w:pPr>
      <w:r>
        <w:rPr>
          <w:rFonts w:hint="eastAsia" w:ascii="仿宋" w:hAnsi="仿宋" w:eastAsia="仿宋" w:cs="仿宋"/>
          <w:b w:val="0"/>
          <w:color w:val="auto"/>
          <w:kern w:val="2"/>
          <w:sz w:val="24"/>
          <w:szCs w:val="24"/>
        </w:rPr>
        <w:t xml:space="preserve">日  期：  </w:t>
      </w:r>
    </w:p>
    <w:p w14:paraId="7B580AEB">
      <w:pPr>
        <w:pStyle w:val="39"/>
        <w:keepNext w:val="0"/>
        <w:pageBreakBefore w:val="0"/>
        <w:tabs>
          <w:tab w:val="clear" w:pos="720"/>
        </w:tabs>
        <w:snapToGrid w:val="0"/>
        <w:spacing w:before="120" w:after="120"/>
        <w:outlineLvl w:val="9"/>
        <w:rPr>
          <w:rFonts w:hint="eastAsia" w:ascii="仿宋" w:hAnsi="仿宋" w:eastAsia="仿宋" w:cs="仿宋"/>
          <w:color w:val="auto"/>
          <w:sz w:val="24"/>
          <w:szCs w:val="24"/>
        </w:rPr>
      </w:pPr>
      <w:r>
        <w:rPr>
          <w:rFonts w:hint="eastAsia" w:ascii="仿宋" w:hAnsi="仿宋" w:eastAsia="仿宋" w:cs="仿宋"/>
          <w:b w:val="0"/>
          <w:color w:val="auto"/>
          <w:kern w:val="2"/>
          <w:sz w:val="24"/>
          <w:szCs w:val="24"/>
        </w:rPr>
        <w:br w:type="page"/>
      </w:r>
      <w:r>
        <w:rPr>
          <w:rFonts w:hint="eastAsia" w:ascii="仿宋" w:hAnsi="仿宋" w:eastAsia="仿宋" w:cs="仿宋"/>
          <w:color w:val="auto"/>
          <w:kern w:val="2"/>
          <w:sz w:val="32"/>
          <w:szCs w:val="32"/>
        </w:rPr>
        <w:t>三、</w:t>
      </w:r>
      <w:r>
        <w:rPr>
          <w:rFonts w:hint="eastAsia" w:ascii="仿宋" w:hAnsi="仿宋" w:eastAsia="仿宋" w:cs="仿宋"/>
          <w:color w:val="auto"/>
          <w:sz w:val="32"/>
          <w:szCs w:val="32"/>
        </w:rPr>
        <w:t>中小企业声明函</w:t>
      </w:r>
    </w:p>
    <w:p w14:paraId="17B36F8F">
      <w:pPr>
        <w:widowControl/>
        <w:spacing w:line="360" w:lineRule="auto"/>
        <w:ind w:firstLine="120" w:firstLineChars="50"/>
        <w:jc w:val="left"/>
        <w:rPr>
          <w:rFonts w:hint="eastAsia" w:ascii="仿宋" w:hAnsi="仿宋" w:eastAsia="仿宋" w:cs="仿宋"/>
          <w:b/>
          <w:color w:val="auto"/>
          <w:sz w:val="24"/>
          <w:szCs w:val="24"/>
        </w:rPr>
      </w:pPr>
      <w:r>
        <w:rPr>
          <w:rFonts w:hint="eastAsia" w:ascii="仿宋" w:hAnsi="仿宋" w:eastAsia="仿宋" w:cs="仿宋"/>
          <w:b/>
          <w:color w:val="auto"/>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4EAE5A3D">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中小企业声明函（货物）</w:t>
      </w:r>
    </w:p>
    <w:p w14:paraId="15001C8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szCs w:val="24"/>
          <w:highlight w:val="none"/>
          <w:u w:val="single"/>
          <w:lang w:eastAsia="zh-CN"/>
        </w:rPr>
        <w:t>奉化区裘村镇污水主干管沿海中线段管网迁改工程一体化设备采购项目</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14:paraId="3AD431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kern w:val="0"/>
          <w:sz w:val="24"/>
          <w:szCs w:val="24"/>
          <w:highlight w:val="none"/>
          <w:u w:val="single"/>
          <w:lang w:eastAsia="zh-CN"/>
        </w:rPr>
        <w:t>一体化预制泵站</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6439AD1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kern w:val="0"/>
          <w:sz w:val="24"/>
          <w:szCs w:val="24"/>
          <w:highlight w:val="none"/>
          <w:u w:val="single"/>
          <w:lang w:eastAsia="zh-CN"/>
        </w:rPr>
        <w:t>潜污泵</w:t>
      </w:r>
      <w:r>
        <w:rPr>
          <w:rFonts w:hint="eastAsia" w:ascii="仿宋" w:hAnsi="仿宋" w:eastAsia="仿宋" w:cs="仿宋"/>
          <w:color w:val="auto"/>
          <w:sz w:val="24"/>
        </w:rPr>
        <w:t>，属于</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5F44ED0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66C39E2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07410B7C">
      <w:pPr>
        <w:snapToGrid w:val="0"/>
        <w:spacing w:line="360" w:lineRule="auto"/>
        <w:ind w:firstLine="5160" w:firstLineChars="2150"/>
        <w:rPr>
          <w:rFonts w:hint="eastAsia" w:ascii="仿宋" w:hAnsi="仿宋" w:eastAsia="仿宋" w:cs="仿宋"/>
          <w:color w:val="auto"/>
          <w:kern w:val="0"/>
          <w:sz w:val="24"/>
          <w:lang w:val="zh-CN"/>
        </w:rPr>
      </w:pPr>
    </w:p>
    <w:p w14:paraId="2E272947">
      <w:pPr>
        <w:keepNext w:val="0"/>
        <w:keepLines w:val="0"/>
        <w:pageBreakBefore w:val="0"/>
        <w:widowControl w:val="0"/>
        <w:kinsoku/>
        <w:wordWrap/>
        <w:overflowPunct/>
        <w:topLinePunct w:val="0"/>
        <w:autoSpaceDE/>
        <w:autoSpaceDN/>
        <w:bidi w:val="0"/>
        <w:adjustRightInd w:val="0"/>
        <w:snapToGrid w:val="0"/>
        <w:spacing w:line="360" w:lineRule="auto"/>
        <w:ind w:leftChars="1600" w:firstLine="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法定代表人或其授权委托人（签名或印章）：</w:t>
      </w:r>
    </w:p>
    <w:p w14:paraId="662170E1">
      <w:pPr>
        <w:keepNext w:val="0"/>
        <w:keepLines w:val="0"/>
        <w:pageBreakBefore w:val="0"/>
        <w:widowControl w:val="0"/>
        <w:kinsoku/>
        <w:wordWrap/>
        <w:overflowPunct/>
        <w:topLinePunct w:val="0"/>
        <w:autoSpaceDE/>
        <w:autoSpaceDN/>
        <w:bidi w:val="0"/>
        <w:adjustRightInd w:val="0"/>
        <w:snapToGrid w:val="0"/>
        <w:spacing w:line="360" w:lineRule="auto"/>
        <w:ind w:leftChars="1600" w:firstLine="0"/>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投标人（盖章）：</w:t>
      </w:r>
    </w:p>
    <w:p w14:paraId="7EE5192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textAlignment w:val="auto"/>
        <w:rPr>
          <w:rFonts w:hint="eastAsia" w:ascii="仿宋" w:hAnsi="仿宋" w:eastAsia="仿宋" w:cs="仿宋"/>
          <w:b/>
          <w:color w:val="auto"/>
          <w:kern w:val="0"/>
          <w:sz w:val="32"/>
          <w:szCs w:val="32"/>
          <w:lang w:val="zh-CN"/>
        </w:rPr>
      </w:pPr>
      <w:r>
        <w:rPr>
          <w:rFonts w:hint="eastAsia" w:ascii="仿宋" w:hAnsi="仿宋" w:eastAsia="仿宋" w:cs="仿宋"/>
          <w:color w:val="auto"/>
          <w:kern w:val="0"/>
          <w:sz w:val="24"/>
          <w:lang w:val="zh-CN"/>
        </w:rPr>
        <w:t xml:space="preserve">                            日期</w:t>
      </w:r>
      <w:r>
        <w:rPr>
          <w:rFonts w:hint="eastAsia" w:ascii="仿宋" w:hAnsi="仿宋" w:eastAsia="仿宋" w:cs="仿宋"/>
          <w:color w:val="auto"/>
          <w:kern w:val="0"/>
          <w:sz w:val="24"/>
          <w:lang w:val="en-US" w:eastAsia="zh-CN"/>
        </w:rPr>
        <w:t>:</w:t>
      </w:r>
    </w:p>
    <w:p w14:paraId="523693CF">
      <w:pPr>
        <w:spacing w:line="360" w:lineRule="auto"/>
        <w:jc w:val="left"/>
        <w:rPr>
          <w:rFonts w:hint="eastAsia" w:ascii="仿宋" w:hAnsi="仿宋" w:eastAsia="仿宋" w:cs="仿宋"/>
          <w:color w:val="auto"/>
          <w:sz w:val="18"/>
          <w:szCs w:val="18"/>
        </w:rPr>
      </w:pPr>
      <w:r>
        <w:rPr>
          <w:rFonts w:hint="eastAsia" w:ascii="仿宋" w:hAnsi="仿宋" w:eastAsia="仿宋" w:cs="仿宋"/>
          <w:color w:val="auto"/>
          <w:sz w:val="18"/>
          <w:szCs w:val="18"/>
        </w:rPr>
        <w:t>从业人员、营业收入、资产总额填报上一年度数据，无上一年度数据的新成立企业可不填报。</w:t>
      </w:r>
    </w:p>
    <w:p w14:paraId="1AAA31AA">
      <w:pPr>
        <w:spacing w:line="360" w:lineRule="auto"/>
        <w:ind w:right="-420" w:rightChars="-200" w:firstLine="480" w:firstLineChars="200"/>
        <w:rPr>
          <w:rFonts w:hint="eastAsia" w:ascii="仿宋" w:hAnsi="仿宋" w:eastAsia="仿宋" w:cs="仿宋"/>
          <w:color w:val="auto"/>
          <w:sz w:val="24"/>
        </w:rPr>
      </w:pPr>
      <w:r>
        <w:rPr>
          <w:rFonts w:hint="eastAsia" w:ascii="仿宋" w:hAnsi="仿宋" w:eastAsia="仿宋" w:cs="仿宋"/>
          <w:color w:val="auto"/>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03DA1BE">
      <w:pPr>
        <w:pStyle w:val="30"/>
        <w:rPr>
          <w:rFonts w:hint="eastAsia" w:ascii="仿宋" w:hAnsi="仿宋" w:eastAsia="仿宋" w:cs="仿宋"/>
          <w:color w:val="auto"/>
          <w:sz w:val="24"/>
        </w:rPr>
      </w:pPr>
    </w:p>
    <w:p w14:paraId="5CFF74E4">
      <w:pPr>
        <w:pStyle w:val="30"/>
        <w:rPr>
          <w:rFonts w:hint="eastAsia" w:ascii="仿宋" w:hAnsi="仿宋" w:eastAsia="仿宋" w:cs="仿宋"/>
          <w:color w:val="auto"/>
          <w:sz w:val="24"/>
        </w:rPr>
      </w:pPr>
    </w:p>
    <w:p w14:paraId="5DD1694F">
      <w:pPr>
        <w:pStyle w:val="30"/>
        <w:rPr>
          <w:rFonts w:hint="eastAsia" w:ascii="仿宋" w:hAnsi="仿宋" w:eastAsia="仿宋" w:cs="仿宋"/>
          <w:color w:val="auto"/>
          <w:sz w:val="24"/>
        </w:rPr>
      </w:pPr>
    </w:p>
    <w:p w14:paraId="57EE7D82">
      <w:pPr>
        <w:pStyle w:val="30"/>
        <w:rPr>
          <w:rFonts w:hint="eastAsia" w:ascii="仿宋" w:hAnsi="仿宋" w:eastAsia="仿宋" w:cs="仿宋"/>
          <w:color w:val="auto"/>
          <w:sz w:val="24"/>
        </w:rPr>
      </w:pPr>
    </w:p>
    <w:p w14:paraId="55D24CB4">
      <w:pPr>
        <w:pStyle w:val="30"/>
        <w:rPr>
          <w:rFonts w:hint="eastAsia" w:ascii="仿宋" w:hAnsi="仿宋" w:eastAsia="仿宋" w:cs="仿宋"/>
          <w:color w:val="auto"/>
          <w:sz w:val="24"/>
        </w:rPr>
      </w:pPr>
    </w:p>
    <w:p w14:paraId="71A3DA92">
      <w:pPr>
        <w:pStyle w:val="30"/>
        <w:rPr>
          <w:rFonts w:hint="eastAsia" w:ascii="仿宋" w:hAnsi="仿宋" w:eastAsia="仿宋" w:cs="仿宋"/>
          <w:color w:val="auto"/>
          <w:sz w:val="24"/>
        </w:rPr>
      </w:pPr>
    </w:p>
    <w:p w14:paraId="658C1108">
      <w:pPr>
        <w:pStyle w:val="30"/>
        <w:rPr>
          <w:rFonts w:hint="eastAsia" w:ascii="仿宋" w:hAnsi="仿宋" w:eastAsia="仿宋" w:cs="仿宋"/>
          <w:color w:val="auto"/>
          <w:sz w:val="24"/>
        </w:rPr>
      </w:pPr>
    </w:p>
    <w:p w14:paraId="106C7494">
      <w:pPr>
        <w:pStyle w:val="30"/>
        <w:rPr>
          <w:rFonts w:hint="eastAsia" w:ascii="仿宋" w:hAnsi="仿宋" w:eastAsia="仿宋" w:cs="仿宋"/>
          <w:color w:val="auto"/>
          <w:sz w:val="24"/>
        </w:rPr>
      </w:pPr>
    </w:p>
    <w:p w14:paraId="3BF9C38B">
      <w:pPr>
        <w:pStyle w:val="30"/>
        <w:rPr>
          <w:rFonts w:hint="eastAsia" w:ascii="仿宋" w:hAnsi="仿宋" w:eastAsia="仿宋" w:cs="仿宋"/>
          <w:color w:val="auto"/>
          <w:sz w:val="24"/>
        </w:rPr>
      </w:pPr>
    </w:p>
    <w:p w14:paraId="5FDFE0FC">
      <w:pPr>
        <w:pStyle w:val="30"/>
        <w:rPr>
          <w:rFonts w:hint="eastAsia" w:ascii="仿宋" w:hAnsi="仿宋" w:eastAsia="仿宋" w:cs="仿宋"/>
          <w:color w:val="auto"/>
          <w:sz w:val="24"/>
        </w:rPr>
      </w:pPr>
    </w:p>
    <w:p w14:paraId="6E13D54D">
      <w:pPr>
        <w:pStyle w:val="30"/>
        <w:rPr>
          <w:rFonts w:hint="eastAsia" w:ascii="仿宋" w:hAnsi="仿宋" w:eastAsia="仿宋" w:cs="仿宋"/>
          <w:color w:val="auto"/>
          <w:sz w:val="24"/>
        </w:rPr>
        <w:sectPr>
          <w:pgSz w:w="11906" w:h="16838"/>
          <w:pgMar w:top="1440" w:right="1800" w:bottom="1440" w:left="1800" w:header="851" w:footer="992" w:gutter="0"/>
          <w:pgNumType w:fmt="decimal"/>
          <w:cols w:space="425" w:num="1"/>
          <w:docGrid w:type="lines" w:linePitch="312" w:charSpace="0"/>
        </w:sectPr>
      </w:pPr>
    </w:p>
    <w:p w14:paraId="1EF9B425">
      <w:pPr>
        <w:pStyle w:val="30"/>
        <w:ind w:left="0" w:leftChars="0" w:firstLine="0" w:firstLineChars="0"/>
        <w:rPr>
          <w:rFonts w:hint="eastAsia" w:ascii="仿宋" w:hAnsi="仿宋" w:eastAsia="仿宋" w:cs="仿宋"/>
          <w:color w:val="auto"/>
          <w:sz w:val="24"/>
        </w:rPr>
      </w:pPr>
    </w:p>
    <w:tbl>
      <w:tblPr>
        <w:tblStyle w:val="23"/>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4955615B">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14:paraId="1DC50FFA">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中小微行业划型标准规定（根据工信部联企业〔2011〕300号制定）</w:t>
            </w:r>
          </w:p>
        </w:tc>
      </w:tr>
      <w:tr w14:paraId="3AC6B741">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3912E65A">
            <w:pPr>
              <w:widowControl/>
              <w:jc w:val="center"/>
              <w:rPr>
                <w:rFonts w:ascii="宋体" w:hAnsi="宋体" w:cs="宋体"/>
                <w:b/>
                <w:bCs/>
                <w:kern w:val="0"/>
                <w:sz w:val="24"/>
              </w:rPr>
            </w:pPr>
            <w:r>
              <w:rPr>
                <w:rFonts w:hint="eastAsia" w:ascii="宋体" w:hAnsi="宋体" w:cs="宋体"/>
                <w:b/>
                <w:bCs/>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14:paraId="6184523D">
            <w:pPr>
              <w:widowControl/>
              <w:jc w:val="center"/>
              <w:rPr>
                <w:rFonts w:ascii="宋体" w:hAnsi="宋体" w:cs="宋体"/>
                <w:b/>
                <w:bCs/>
                <w:kern w:val="0"/>
                <w:sz w:val="24"/>
              </w:rPr>
            </w:pPr>
            <w:r>
              <w:rPr>
                <w:rFonts w:hint="eastAsia" w:ascii="宋体" w:hAnsi="宋体" w:cs="宋体"/>
                <w:b/>
                <w:bCs/>
                <w:kern w:val="0"/>
                <w:sz w:val="24"/>
              </w:rPr>
              <w:t>中型企业</w:t>
            </w:r>
          </w:p>
        </w:tc>
        <w:tc>
          <w:tcPr>
            <w:tcW w:w="4396" w:type="dxa"/>
            <w:gridSpan w:val="3"/>
            <w:tcBorders>
              <w:top w:val="single" w:color="auto" w:sz="8" w:space="0"/>
              <w:left w:val="nil"/>
              <w:bottom w:val="single" w:color="auto" w:sz="4" w:space="0"/>
              <w:right w:val="single" w:color="000000" w:sz="8" w:space="0"/>
            </w:tcBorders>
            <w:vAlign w:val="bottom"/>
          </w:tcPr>
          <w:p w14:paraId="2BAFBE39">
            <w:pPr>
              <w:widowControl/>
              <w:jc w:val="center"/>
              <w:rPr>
                <w:rFonts w:ascii="宋体" w:hAnsi="宋体" w:cs="宋体"/>
                <w:b/>
                <w:bCs/>
                <w:kern w:val="0"/>
                <w:sz w:val="24"/>
              </w:rPr>
            </w:pPr>
            <w:r>
              <w:rPr>
                <w:rFonts w:hint="eastAsia" w:ascii="宋体" w:hAnsi="宋体" w:cs="宋体"/>
                <w:b/>
                <w:bCs/>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0688DAB3">
            <w:pPr>
              <w:widowControl/>
              <w:jc w:val="center"/>
              <w:rPr>
                <w:rFonts w:ascii="宋体" w:hAnsi="宋体" w:cs="宋体"/>
                <w:b/>
                <w:bCs/>
                <w:kern w:val="0"/>
                <w:sz w:val="24"/>
              </w:rPr>
            </w:pPr>
            <w:r>
              <w:rPr>
                <w:rFonts w:hint="eastAsia" w:ascii="宋体" w:hAnsi="宋体" w:cs="宋体"/>
                <w:b/>
                <w:bCs/>
                <w:kern w:val="0"/>
                <w:sz w:val="24"/>
              </w:rPr>
              <w:t>微型企业</w:t>
            </w:r>
          </w:p>
        </w:tc>
      </w:tr>
      <w:tr w14:paraId="7E557ED3">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7BBD112B">
            <w:pPr>
              <w:widowControl/>
              <w:jc w:val="left"/>
              <w:rPr>
                <w:rFonts w:ascii="宋体" w:hAnsi="宋体" w:cs="宋体"/>
                <w:b/>
                <w:bCs/>
                <w:kern w:val="0"/>
                <w:sz w:val="24"/>
              </w:rPr>
            </w:pPr>
          </w:p>
        </w:tc>
        <w:tc>
          <w:tcPr>
            <w:tcW w:w="1498" w:type="dxa"/>
            <w:tcBorders>
              <w:top w:val="nil"/>
              <w:left w:val="nil"/>
              <w:bottom w:val="single" w:color="auto" w:sz="4" w:space="0"/>
              <w:right w:val="single" w:color="auto" w:sz="4" w:space="0"/>
            </w:tcBorders>
            <w:vAlign w:val="bottom"/>
          </w:tcPr>
          <w:p w14:paraId="405D3BEC">
            <w:pPr>
              <w:widowControl/>
              <w:jc w:val="center"/>
              <w:rPr>
                <w:rFonts w:ascii="宋体" w:hAnsi="宋体" w:cs="宋体"/>
                <w:kern w:val="0"/>
                <w:sz w:val="20"/>
              </w:rPr>
            </w:pPr>
            <w:r>
              <w:rPr>
                <w:rFonts w:hint="eastAsia" w:ascii="宋体" w:hAnsi="宋体" w:cs="宋体"/>
                <w:kern w:val="0"/>
                <w:sz w:val="20"/>
              </w:rPr>
              <w:t>从业人员X（人）</w:t>
            </w:r>
          </w:p>
        </w:tc>
        <w:tc>
          <w:tcPr>
            <w:tcW w:w="1763" w:type="dxa"/>
            <w:tcBorders>
              <w:top w:val="nil"/>
              <w:left w:val="nil"/>
              <w:bottom w:val="single" w:color="auto" w:sz="4" w:space="0"/>
              <w:right w:val="single" w:color="auto" w:sz="4" w:space="0"/>
            </w:tcBorders>
            <w:vAlign w:val="bottom"/>
          </w:tcPr>
          <w:p w14:paraId="0ECE59AD">
            <w:pPr>
              <w:widowControl/>
              <w:jc w:val="center"/>
              <w:rPr>
                <w:rFonts w:ascii="宋体" w:hAnsi="宋体" w:cs="宋体"/>
                <w:kern w:val="0"/>
                <w:sz w:val="20"/>
              </w:rPr>
            </w:pPr>
            <w:r>
              <w:rPr>
                <w:rFonts w:hint="eastAsia" w:ascii="宋体" w:hAnsi="宋体" w:cs="宋体"/>
                <w:kern w:val="0"/>
                <w:sz w:val="20"/>
              </w:rPr>
              <w:t>营业收入Y</w:t>
            </w:r>
          </w:p>
          <w:p w14:paraId="319BAD44">
            <w:pPr>
              <w:widowControl/>
              <w:jc w:val="center"/>
              <w:rPr>
                <w:rFonts w:ascii="宋体" w:hAnsi="宋体" w:cs="宋体"/>
                <w:kern w:val="0"/>
                <w:sz w:val="20"/>
              </w:rPr>
            </w:pPr>
            <w:r>
              <w:rPr>
                <w:rFonts w:hint="eastAsia" w:ascii="宋体" w:hAnsi="宋体" w:cs="宋体"/>
                <w:kern w:val="0"/>
                <w:sz w:val="20"/>
              </w:rPr>
              <w:t>（万元）</w:t>
            </w:r>
          </w:p>
        </w:tc>
        <w:tc>
          <w:tcPr>
            <w:tcW w:w="1660" w:type="dxa"/>
            <w:tcBorders>
              <w:top w:val="nil"/>
              <w:left w:val="nil"/>
              <w:bottom w:val="single" w:color="auto" w:sz="4" w:space="0"/>
              <w:right w:val="single" w:color="auto" w:sz="8" w:space="0"/>
            </w:tcBorders>
            <w:vAlign w:val="bottom"/>
          </w:tcPr>
          <w:p w14:paraId="1D2DF3FD">
            <w:pPr>
              <w:widowControl/>
              <w:jc w:val="center"/>
              <w:rPr>
                <w:rFonts w:ascii="宋体" w:hAnsi="宋体" w:cs="宋体"/>
                <w:kern w:val="0"/>
                <w:sz w:val="20"/>
              </w:rPr>
            </w:pPr>
            <w:r>
              <w:rPr>
                <w:rFonts w:hint="eastAsia" w:ascii="宋体" w:hAnsi="宋体" w:cs="宋体"/>
                <w:kern w:val="0"/>
                <w:sz w:val="20"/>
              </w:rPr>
              <w:t>资产总额Z</w:t>
            </w:r>
          </w:p>
          <w:p w14:paraId="4D477AE7">
            <w:pPr>
              <w:widowControl/>
              <w:jc w:val="center"/>
              <w:rPr>
                <w:rFonts w:ascii="宋体" w:hAnsi="宋体" w:cs="宋体"/>
                <w:kern w:val="0"/>
                <w:sz w:val="20"/>
              </w:rPr>
            </w:pPr>
            <w:r>
              <w:rPr>
                <w:rFonts w:hint="eastAsia" w:ascii="宋体" w:hAnsi="宋体" w:cs="宋体"/>
                <w:kern w:val="0"/>
                <w:sz w:val="20"/>
              </w:rPr>
              <w:t>（万元）</w:t>
            </w:r>
          </w:p>
        </w:tc>
        <w:tc>
          <w:tcPr>
            <w:tcW w:w="1240" w:type="dxa"/>
            <w:tcBorders>
              <w:top w:val="nil"/>
              <w:left w:val="nil"/>
              <w:bottom w:val="single" w:color="auto" w:sz="4" w:space="0"/>
              <w:right w:val="single" w:color="auto" w:sz="4" w:space="0"/>
            </w:tcBorders>
            <w:vAlign w:val="bottom"/>
          </w:tcPr>
          <w:p w14:paraId="17062CE0">
            <w:pPr>
              <w:widowControl/>
              <w:jc w:val="center"/>
              <w:rPr>
                <w:rFonts w:ascii="宋体" w:hAnsi="宋体" w:cs="宋体"/>
                <w:kern w:val="0"/>
                <w:sz w:val="20"/>
              </w:rPr>
            </w:pPr>
            <w:r>
              <w:rPr>
                <w:rFonts w:hint="eastAsia" w:ascii="宋体" w:hAnsi="宋体" w:cs="宋体"/>
                <w:kern w:val="0"/>
                <w:sz w:val="20"/>
              </w:rPr>
              <w:t>从业人员X（人）</w:t>
            </w:r>
          </w:p>
        </w:tc>
        <w:tc>
          <w:tcPr>
            <w:tcW w:w="1636" w:type="dxa"/>
            <w:tcBorders>
              <w:top w:val="nil"/>
              <w:left w:val="nil"/>
              <w:bottom w:val="single" w:color="auto" w:sz="4" w:space="0"/>
              <w:right w:val="single" w:color="auto" w:sz="4" w:space="0"/>
            </w:tcBorders>
            <w:vAlign w:val="bottom"/>
          </w:tcPr>
          <w:p w14:paraId="362A4E78">
            <w:pPr>
              <w:widowControl/>
              <w:jc w:val="center"/>
              <w:rPr>
                <w:rFonts w:ascii="宋体" w:hAnsi="宋体" w:cs="宋体"/>
                <w:kern w:val="0"/>
                <w:sz w:val="20"/>
              </w:rPr>
            </w:pPr>
            <w:r>
              <w:rPr>
                <w:rFonts w:hint="eastAsia" w:ascii="宋体" w:hAnsi="宋体" w:cs="宋体"/>
                <w:kern w:val="0"/>
                <w:sz w:val="20"/>
              </w:rPr>
              <w:t>营业收入Y</w:t>
            </w:r>
          </w:p>
          <w:p w14:paraId="6FDABF62">
            <w:pPr>
              <w:widowControl/>
              <w:jc w:val="center"/>
              <w:rPr>
                <w:rFonts w:ascii="宋体" w:hAnsi="宋体" w:cs="宋体"/>
                <w:kern w:val="0"/>
                <w:sz w:val="20"/>
              </w:rPr>
            </w:pPr>
            <w:r>
              <w:rPr>
                <w:rFonts w:hint="eastAsia" w:ascii="宋体" w:hAnsi="宋体" w:cs="宋体"/>
                <w:kern w:val="0"/>
                <w:sz w:val="20"/>
              </w:rPr>
              <w:t>（万元）</w:t>
            </w:r>
          </w:p>
        </w:tc>
        <w:tc>
          <w:tcPr>
            <w:tcW w:w="1520" w:type="dxa"/>
            <w:tcBorders>
              <w:top w:val="nil"/>
              <w:left w:val="nil"/>
              <w:bottom w:val="single" w:color="auto" w:sz="4" w:space="0"/>
              <w:right w:val="single" w:color="auto" w:sz="8" w:space="0"/>
            </w:tcBorders>
            <w:vAlign w:val="bottom"/>
          </w:tcPr>
          <w:p w14:paraId="7B45064B">
            <w:pPr>
              <w:widowControl/>
              <w:jc w:val="center"/>
              <w:rPr>
                <w:rFonts w:ascii="宋体" w:hAnsi="宋体" w:cs="宋体"/>
                <w:kern w:val="0"/>
                <w:sz w:val="20"/>
              </w:rPr>
            </w:pPr>
            <w:r>
              <w:rPr>
                <w:rFonts w:hint="eastAsia" w:ascii="宋体" w:hAnsi="宋体" w:cs="宋体"/>
                <w:kern w:val="0"/>
                <w:sz w:val="20"/>
              </w:rPr>
              <w:t>资产总额Z</w:t>
            </w:r>
          </w:p>
          <w:p w14:paraId="4F927F12">
            <w:pPr>
              <w:widowControl/>
              <w:jc w:val="center"/>
              <w:rPr>
                <w:rFonts w:ascii="宋体" w:hAnsi="宋体" w:cs="宋体"/>
                <w:kern w:val="0"/>
                <w:sz w:val="20"/>
              </w:rPr>
            </w:pPr>
            <w:r>
              <w:rPr>
                <w:rFonts w:hint="eastAsia" w:ascii="宋体" w:hAnsi="宋体" w:cs="宋体"/>
                <w:kern w:val="0"/>
                <w:sz w:val="20"/>
              </w:rPr>
              <w:t>（万元）</w:t>
            </w:r>
          </w:p>
        </w:tc>
        <w:tc>
          <w:tcPr>
            <w:tcW w:w="1285" w:type="dxa"/>
            <w:tcBorders>
              <w:top w:val="nil"/>
              <w:left w:val="nil"/>
              <w:bottom w:val="single" w:color="auto" w:sz="4" w:space="0"/>
              <w:right w:val="single" w:color="auto" w:sz="4" w:space="0"/>
            </w:tcBorders>
            <w:vAlign w:val="bottom"/>
          </w:tcPr>
          <w:p w14:paraId="14B915EA">
            <w:pPr>
              <w:widowControl/>
              <w:jc w:val="center"/>
              <w:rPr>
                <w:rFonts w:ascii="宋体" w:hAnsi="宋体" w:cs="宋体"/>
                <w:kern w:val="0"/>
                <w:sz w:val="20"/>
              </w:rPr>
            </w:pPr>
            <w:r>
              <w:rPr>
                <w:rFonts w:hint="eastAsia" w:ascii="宋体" w:hAnsi="宋体" w:cs="宋体"/>
                <w:kern w:val="0"/>
                <w:sz w:val="20"/>
              </w:rPr>
              <w:t>从业人员X（人）</w:t>
            </w:r>
          </w:p>
        </w:tc>
        <w:tc>
          <w:tcPr>
            <w:tcW w:w="1275" w:type="dxa"/>
            <w:tcBorders>
              <w:top w:val="nil"/>
              <w:left w:val="nil"/>
              <w:bottom w:val="single" w:color="auto" w:sz="4" w:space="0"/>
              <w:right w:val="single" w:color="auto" w:sz="4" w:space="0"/>
            </w:tcBorders>
            <w:vAlign w:val="bottom"/>
          </w:tcPr>
          <w:p w14:paraId="1F6FBE46">
            <w:pPr>
              <w:widowControl/>
              <w:jc w:val="center"/>
              <w:rPr>
                <w:rFonts w:ascii="宋体" w:hAnsi="宋体" w:cs="宋体"/>
                <w:kern w:val="0"/>
                <w:sz w:val="20"/>
              </w:rPr>
            </w:pPr>
            <w:r>
              <w:rPr>
                <w:rFonts w:hint="eastAsia" w:ascii="宋体" w:hAnsi="宋体" w:cs="宋体"/>
                <w:kern w:val="0"/>
                <w:sz w:val="20"/>
              </w:rPr>
              <w:t>营业收入Y（万元）</w:t>
            </w:r>
          </w:p>
        </w:tc>
        <w:tc>
          <w:tcPr>
            <w:tcW w:w="1221" w:type="dxa"/>
            <w:tcBorders>
              <w:top w:val="nil"/>
              <w:left w:val="nil"/>
              <w:bottom w:val="single" w:color="auto" w:sz="4" w:space="0"/>
              <w:right w:val="single" w:color="auto" w:sz="8" w:space="0"/>
            </w:tcBorders>
            <w:vAlign w:val="bottom"/>
          </w:tcPr>
          <w:p w14:paraId="452E8F24">
            <w:pPr>
              <w:widowControl/>
              <w:jc w:val="center"/>
              <w:rPr>
                <w:rFonts w:ascii="宋体" w:hAnsi="宋体" w:cs="宋体"/>
                <w:kern w:val="0"/>
                <w:sz w:val="20"/>
              </w:rPr>
            </w:pPr>
            <w:r>
              <w:rPr>
                <w:rFonts w:hint="eastAsia" w:ascii="宋体" w:hAnsi="宋体" w:cs="宋体"/>
                <w:kern w:val="0"/>
                <w:sz w:val="20"/>
              </w:rPr>
              <w:t>资产总额Z（万元）</w:t>
            </w:r>
          </w:p>
        </w:tc>
      </w:tr>
      <w:tr w14:paraId="72F551E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587F9C1">
            <w:pPr>
              <w:widowControl/>
              <w:jc w:val="left"/>
              <w:rPr>
                <w:rFonts w:ascii="宋体" w:hAnsi="宋体" w:cs="宋体"/>
                <w:kern w:val="0"/>
                <w:sz w:val="20"/>
              </w:rPr>
            </w:pPr>
            <w:r>
              <w:rPr>
                <w:rFonts w:hint="eastAsia" w:ascii="宋体" w:hAnsi="宋体" w:cs="宋体"/>
                <w:kern w:val="0"/>
                <w:sz w:val="20"/>
              </w:rPr>
              <w:t xml:space="preserve"> 1、农林牧渔业</w:t>
            </w:r>
          </w:p>
        </w:tc>
        <w:tc>
          <w:tcPr>
            <w:tcW w:w="1498" w:type="dxa"/>
            <w:tcBorders>
              <w:top w:val="nil"/>
              <w:left w:val="nil"/>
              <w:bottom w:val="single" w:color="auto" w:sz="4" w:space="0"/>
              <w:right w:val="single" w:color="auto" w:sz="4" w:space="0"/>
            </w:tcBorders>
            <w:vAlign w:val="bottom"/>
          </w:tcPr>
          <w:p w14:paraId="30120E7F">
            <w:pPr>
              <w:widowControl/>
              <w:jc w:val="left"/>
              <w:rPr>
                <w:rFonts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vAlign w:val="bottom"/>
          </w:tcPr>
          <w:p w14:paraId="65BD0FA1">
            <w:pPr>
              <w:widowControl/>
              <w:jc w:val="left"/>
              <w:rPr>
                <w:rFonts w:ascii="宋体" w:hAnsi="宋体" w:cs="宋体"/>
                <w:kern w:val="0"/>
                <w:sz w:val="20"/>
              </w:rPr>
            </w:pPr>
            <w:r>
              <w:rPr>
                <w:rFonts w:hint="eastAsia" w:ascii="宋体" w:hAnsi="宋体" w:cs="宋体"/>
                <w:kern w:val="0"/>
                <w:sz w:val="20"/>
              </w:rPr>
              <w:t xml:space="preserve"> 500≤Y＜20000</w:t>
            </w:r>
          </w:p>
        </w:tc>
        <w:tc>
          <w:tcPr>
            <w:tcW w:w="1660" w:type="dxa"/>
            <w:tcBorders>
              <w:top w:val="nil"/>
              <w:left w:val="nil"/>
              <w:bottom w:val="single" w:color="auto" w:sz="4" w:space="0"/>
              <w:right w:val="single" w:color="auto" w:sz="8" w:space="0"/>
            </w:tcBorders>
            <w:vAlign w:val="bottom"/>
          </w:tcPr>
          <w:p w14:paraId="26711EC1">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2923B064">
            <w:pPr>
              <w:widowControl/>
              <w:jc w:val="left"/>
              <w:rPr>
                <w:rFonts w:ascii="宋体" w:hAnsi="宋体" w:cs="宋体"/>
                <w:kern w:val="0"/>
                <w:sz w:val="20"/>
              </w:rPr>
            </w:pPr>
            <w:r>
              <w:rPr>
                <w:rFonts w:hint="eastAsia" w:ascii="宋体" w:hAnsi="宋体" w:cs="宋体"/>
                <w:kern w:val="0"/>
                <w:sz w:val="20"/>
              </w:rPr>
              <w:t>　</w:t>
            </w:r>
          </w:p>
        </w:tc>
        <w:tc>
          <w:tcPr>
            <w:tcW w:w="1636" w:type="dxa"/>
            <w:tcBorders>
              <w:top w:val="nil"/>
              <w:left w:val="nil"/>
              <w:bottom w:val="single" w:color="auto" w:sz="4" w:space="0"/>
              <w:right w:val="single" w:color="auto" w:sz="4" w:space="0"/>
            </w:tcBorders>
            <w:vAlign w:val="bottom"/>
          </w:tcPr>
          <w:p w14:paraId="284A9F8D">
            <w:pPr>
              <w:widowControl/>
              <w:jc w:val="left"/>
              <w:rPr>
                <w:rFonts w:ascii="宋体" w:hAnsi="宋体" w:cs="宋体"/>
                <w:kern w:val="0"/>
                <w:sz w:val="20"/>
              </w:rPr>
            </w:pPr>
            <w:r>
              <w:rPr>
                <w:rFonts w:hint="eastAsia" w:ascii="宋体" w:hAnsi="宋体" w:cs="宋体"/>
                <w:kern w:val="0"/>
                <w:sz w:val="20"/>
              </w:rPr>
              <w:t xml:space="preserve"> 50≤Y＜500</w:t>
            </w:r>
          </w:p>
        </w:tc>
        <w:tc>
          <w:tcPr>
            <w:tcW w:w="1520" w:type="dxa"/>
            <w:tcBorders>
              <w:top w:val="nil"/>
              <w:left w:val="nil"/>
              <w:bottom w:val="single" w:color="auto" w:sz="4" w:space="0"/>
              <w:right w:val="single" w:color="auto" w:sz="8" w:space="0"/>
            </w:tcBorders>
            <w:vAlign w:val="bottom"/>
          </w:tcPr>
          <w:p w14:paraId="065492EE">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5AC744E9">
            <w:pPr>
              <w:widowControl/>
              <w:jc w:val="left"/>
              <w:rPr>
                <w:rFonts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vAlign w:val="bottom"/>
          </w:tcPr>
          <w:p w14:paraId="7B5CF05F">
            <w:pPr>
              <w:widowControl/>
              <w:jc w:val="left"/>
              <w:rPr>
                <w:rFonts w:ascii="宋体" w:hAnsi="宋体" w:cs="宋体"/>
                <w:kern w:val="0"/>
                <w:sz w:val="20"/>
              </w:rPr>
            </w:pPr>
            <w:r>
              <w:rPr>
                <w:rFonts w:hint="eastAsia" w:ascii="宋体" w:hAnsi="宋体" w:cs="宋体"/>
                <w:kern w:val="0"/>
                <w:sz w:val="20"/>
              </w:rPr>
              <w:t>Y＜50</w:t>
            </w:r>
          </w:p>
        </w:tc>
        <w:tc>
          <w:tcPr>
            <w:tcW w:w="1221" w:type="dxa"/>
            <w:tcBorders>
              <w:top w:val="nil"/>
              <w:left w:val="nil"/>
              <w:bottom w:val="single" w:color="auto" w:sz="4" w:space="0"/>
              <w:right w:val="single" w:color="auto" w:sz="8" w:space="0"/>
            </w:tcBorders>
            <w:vAlign w:val="bottom"/>
          </w:tcPr>
          <w:p w14:paraId="40C63307">
            <w:pPr>
              <w:widowControl/>
              <w:jc w:val="left"/>
              <w:rPr>
                <w:rFonts w:ascii="宋体" w:hAnsi="宋体" w:cs="宋体"/>
                <w:kern w:val="0"/>
                <w:sz w:val="20"/>
              </w:rPr>
            </w:pPr>
            <w:r>
              <w:rPr>
                <w:rFonts w:hint="eastAsia" w:ascii="宋体" w:hAnsi="宋体" w:cs="宋体"/>
                <w:kern w:val="0"/>
                <w:sz w:val="20"/>
              </w:rPr>
              <w:t>　</w:t>
            </w:r>
          </w:p>
        </w:tc>
      </w:tr>
      <w:tr w14:paraId="54F94D6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ADA98E1">
            <w:pPr>
              <w:widowControl/>
              <w:jc w:val="left"/>
              <w:rPr>
                <w:rFonts w:ascii="宋体" w:hAnsi="宋体" w:cs="宋体"/>
                <w:kern w:val="0"/>
                <w:sz w:val="20"/>
              </w:rPr>
            </w:pPr>
            <w:r>
              <w:rPr>
                <w:rFonts w:hint="eastAsia" w:ascii="宋体" w:hAnsi="宋体" w:cs="宋体"/>
                <w:kern w:val="0"/>
                <w:sz w:val="20"/>
              </w:rPr>
              <w:t xml:space="preserve"> 2、工业</w:t>
            </w:r>
          </w:p>
        </w:tc>
        <w:tc>
          <w:tcPr>
            <w:tcW w:w="1498" w:type="dxa"/>
            <w:tcBorders>
              <w:top w:val="nil"/>
              <w:left w:val="nil"/>
              <w:bottom w:val="single" w:color="auto" w:sz="4" w:space="0"/>
              <w:right w:val="single" w:color="auto" w:sz="4" w:space="0"/>
            </w:tcBorders>
            <w:vAlign w:val="bottom"/>
          </w:tcPr>
          <w:p w14:paraId="1774FDE7">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228C666E">
            <w:pPr>
              <w:widowControl/>
              <w:jc w:val="left"/>
              <w:rPr>
                <w:rFonts w:ascii="宋体" w:hAnsi="宋体" w:cs="宋体"/>
                <w:kern w:val="0"/>
                <w:sz w:val="20"/>
              </w:rPr>
            </w:pPr>
            <w:r>
              <w:rPr>
                <w:rFonts w:hint="eastAsia" w:ascii="宋体" w:hAnsi="宋体" w:cs="宋体"/>
                <w:kern w:val="0"/>
                <w:sz w:val="20"/>
              </w:rPr>
              <w:t>2000≤Y＜40000</w:t>
            </w:r>
          </w:p>
        </w:tc>
        <w:tc>
          <w:tcPr>
            <w:tcW w:w="1660" w:type="dxa"/>
            <w:tcBorders>
              <w:top w:val="nil"/>
              <w:left w:val="nil"/>
              <w:bottom w:val="single" w:color="auto" w:sz="4" w:space="0"/>
              <w:right w:val="single" w:color="auto" w:sz="8" w:space="0"/>
            </w:tcBorders>
            <w:vAlign w:val="bottom"/>
          </w:tcPr>
          <w:p w14:paraId="1A24E17A">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6AC300AC">
            <w:pPr>
              <w:widowControl/>
              <w:jc w:val="left"/>
              <w:rPr>
                <w:rFonts w:ascii="宋体" w:hAnsi="宋体" w:cs="宋体"/>
                <w:kern w:val="0"/>
                <w:sz w:val="20"/>
              </w:rPr>
            </w:pPr>
            <w:r>
              <w:rPr>
                <w:rFonts w:hint="eastAsia" w:ascii="宋体" w:hAnsi="宋体" w:cs="宋体"/>
                <w:kern w:val="0"/>
                <w:sz w:val="20"/>
              </w:rPr>
              <w:t>20≤X＜300</w:t>
            </w:r>
          </w:p>
        </w:tc>
        <w:tc>
          <w:tcPr>
            <w:tcW w:w="1636" w:type="dxa"/>
            <w:tcBorders>
              <w:top w:val="nil"/>
              <w:left w:val="nil"/>
              <w:bottom w:val="single" w:color="auto" w:sz="4" w:space="0"/>
              <w:right w:val="single" w:color="auto" w:sz="4" w:space="0"/>
            </w:tcBorders>
            <w:vAlign w:val="bottom"/>
          </w:tcPr>
          <w:p w14:paraId="26885E6A">
            <w:pPr>
              <w:widowControl/>
              <w:jc w:val="left"/>
              <w:rPr>
                <w:rFonts w:ascii="宋体" w:hAnsi="宋体" w:cs="宋体"/>
                <w:kern w:val="0"/>
                <w:sz w:val="20"/>
              </w:rPr>
            </w:pPr>
            <w:r>
              <w:rPr>
                <w:rFonts w:hint="eastAsia" w:ascii="宋体" w:hAnsi="宋体" w:cs="宋体"/>
                <w:kern w:val="0"/>
                <w:sz w:val="20"/>
              </w:rPr>
              <w:t>300≤Y＜2000</w:t>
            </w:r>
          </w:p>
        </w:tc>
        <w:tc>
          <w:tcPr>
            <w:tcW w:w="1520" w:type="dxa"/>
            <w:tcBorders>
              <w:top w:val="nil"/>
              <w:left w:val="nil"/>
              <w:bottom w:val="single" w:color="auto" w:sz="4" w:space="0"/>
              <w:right w:val="single" w:color="auto" w:sz="8" w:space="0"/>
            </w:tcBorders>
            <w:vAlign w:val="bottom"/>
          </w:tcPr>
          <w:p w14:paraId="507ACCDF">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24C8A886">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5A031312">
            <w:pPr>
              <w:widowControl/>
              <w:jc w:val="left"/>
              <w:rPr>
                <w:rFonts w:ascii="宋体" w:hAnsi="宋体" w:cs="宋体"/>
                <w:kern w:val="0"/>
                <w:sz w:val="20"/>
              </w:rPr>
            </w:pPr>
            <w:r>
              <w:rPr>
                <w:rFonts w:hint="eastAsia" w:ascii="宋体" w:hAnsi="宋体" w:cs="宋体"/>
                <w:kern w:val="0"/>
                <w:sz w:val="20"/>
              </w:rPr>
              <w:t>Y＜300</w:t>
            </w:r>
          </w:p>
        </w:tc>
        <w:tc>
          <w:tcPr>
            <w:tcW w:w="1221" w:type="dxa"/>
            <w:tcBorders>
              <w:top w:val="nil"/>
              <w:left w:val="nil"/>
              <w:bottom w:val="single" w:color="auto" w:sz="4" w:space="0"/>
              <w:right w:val="single" w:color="auto" w:sz="8" w:space="0"/>
            </w:tcBorders>
            <w:vAlign w:val="bottom"/>
          </w:tcPr>
          <w:p w14:paraId="7C4CEEFE">
            <w:pPr>
              <w:widowControl/>
              <w:jc w:val="left"/>
              <w:rPr>
                <w:rFonts w:ascii="宋体" w:hAnsi="宋体" w:cs="宋体"/>
                <w:kern w:val="0"/>
                <w:sz w:val="20"/>
              </w:rPr>
            </w:pPr>
            <w:r>
              <w:rPr>
                <w:rFonts w:hint="eastAsia" w:ascii="宋体" w:hAnsi="宋体" w:cs="宋体"/>
                <w:kern w:val="0"/>
                <w:sz w:val="20"/>
              </w:rPr>
              <w:t>　</w:t>
            </w:r>
          </w:p>
        </w:tc>
      </w:tr>
      <w:tr w14:paraId="26BC7E0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FC6DC9D">
            <w:pPr>
              <w:widowControl/>
              <w:jc w:val="left"/>
              <w:rPr>
                <w:rFonts w:ascii="宋体" w:hAnsi="宋体" w:cs="宋体"/>
                <w:kern w:val="0"/>
                <w:sz w:val="20"/>
              </w:rPr>
            </w:pPr>
            <w:r>
              <w:rPr>
                <w:rFonts w:hint="eastAsia" w:ascii="宋体" w:hAnsi="宋体" w:cs="宋体"/>
                <w:kern w:val="0"/>
                <w:sz w:val="20"/>
              </w:rPr>
              <w:t xml:space="preserve"> 3、建筑业</w:t>
            </w:r>
          </w:p>
        </w:tc>
        <w:tc>
          <w:tcPr>
            <w:tcW w:w="1498" w:type="dxa"/>
            <w:tcBorders>
              <w:top w:val="nil"/>
              <w:left w:val="nil"/>
              <w:bottom w:val="single" w:color="auto" w:sz="4" w:space="0"/>
              <w:right w:val="single" w:color="auto" w:sz="4" w:space="0"/>
            </w:tcBorders>
            <w:vAlign w:val="bottom"/>
          </w:tcPr>
          <w:p w14:paraId="6E76B07F">
            <w:pPr>
              <w:widowControl/>
              <w:jc w:val="left"/>
              <w:rPr>
                <w:rFonts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vAlign w:val="bottom"/>
          </w:tcPr>
          <w:p w14:paraId="0519CD76">
            <w:pPr>
              <w:widowControl/>
              <w:jc w:val="left"/>
              <w:rPr>
                <w:rFonts w:ascii="宋体" w:hAnsi="宋体" w:cs="宋体"/>
                <w:kern w:val="0"/>
                <w:sz w:val="20"/>
              </w:rPr>
            </w:pPr>
            <w:r>
              <w:rPr>
                <w:rFonts w:hint="eastAsia" w:ascii="宋体" w:hAnsi="宋体" w:cs="宋体"/>
                <w:kern w:val="0"/>
                <w:sz w:val="20"/>
              </w:rPr>
              <w:t>6000≤Y＜80000</w:t>
            </w:r>
          </w:p>
        </w:tc>
        <w:tc>
          <w:tcPr>
            <w:tcW w:w="1660" w:type="dxa"/>
            <w:tcBorders>
              <w:top w:val="nil"/>
              <w:left w:val="nil"/>
              <w:bottom w:val="single" w:color="auto" w:sz="4" w:space="0"/>
              <w:right w:val="single" w:color="auto" w:sz="8" w:space="0"/>
            </w:tcBorders>
            <w:vAlign w:val="bottom"/>
          </w:tcPr>
          <w:p w14:paraId="3DC2D618">
            <w:pPr>
              <w:widowControl/>
              <w:jc w:val="left"/>
              <w:rPr>
                <w:rFonts w:ascii="宋体" w:hAnsi="宋体" w:cs="宋体"/>
                <w:kern w:val="0"/>
                <w:sz w:val="20"/>
              </w:rPr>
            </w:pPr>
            <w:r>
              <w:rPr>
                <w:rFonts w:hint="eastAsia" w:ascii="宋体" w:hAnsi="宋体" w:cs="宋体"/>
                <w:kern w:val="0"/>
                <w:sz w:val="20"/>
              </w:rPr>
              <w:t>5000≤Z＜80000</w:t>
            </w:r>
          </w:p>
        </w:tc>
        <w:tc>
          <w:tcPr>
            <w:tcW w:w="1240" w:type="dxa"/>
            <w:tcBorders>
              <w:top w:val="nil"/>
              <w:left w:val="nil"/>
              <w:bottom w:val="single" w:color="auto" w:sz="4" w:space="0"/>
              <w:right w:val="single" w:color="auto" w:sz="4" w:space="0"/>
            </w:tcBorders>
            <w:vAlign w:val="bottom"/>
          </w:tcPr>
          <w:p w14:paraId="05D0EEF0">
            <w:pPr>
              <w:widowControl/>
              <w:jc w:val="left"/>
              <w:rPr>
                <w:rFonts w:ascii="宋体" w:hAnsi="宋体" w:cs="宋体"/>
                <w:kern w:val="0"/>
                <w:sz w:val="20"/>
              </w:rPr>
            </w:pPr>
            <w:r>
              <w:rPr>
                <w:rFonts w:hint="eastAsia" w:ascii="宋体" w:hAnsi="宋体" w:cs="宋体"/>
                <w:kern w:val="0"/>
                <w:sz w:val="20"/>
              </w:rPr>
              <w:t>　</w:t>
            </w:r>
          </w:p>
        </w:tc>
        <w:tc>
          <w:tcPr>
            <w:tcW w:w="1636" w:type="dxa"/>
            <w:tcBorders>
              <w:top w:val="nil"/>
              <w:left w:val="nil"/>
              <w:bottom w:val="single" w:color="auto" w:sz="4" w:space="0"/>
              <w:right w:val="single" w:color="auto" w:sz="4" w:space="0"/>
            </w:tcBorders>
            <w:vAlign w:val="bottom"/>
          </w:tcPr>
          <w:p w14:paraId="46300B30">
            <w:pPr>
              <w:widowControl/>
              <w:jc w:val="left"/>
              <w:rPr>
                <w:rFonts w:ascii="宋体" w:hAnsi="宋体" w:cs="宋体"/>
                <w:kern w:val="0"/>
                <w:sz w:val="20"/>
              </w:rPr>
            </w:pPr>
            <w:r>
              <w:rPr>
                <w:rFonts w:hint="eastAsia" w:ascii="宋体" w:hAnsi="宋体" w:cs="宋体"/>
                <w:kern w:val="0"/>
                <w:sz w:val="20"/>
              </w:rPr>
              <w:t>300≤Y＜6000</w:t>
            </w:r>
          </w:p>
        </w:tc>
        <w:tc>
          <w:tcPr>
            <w:tcW w:w="1520" w:type="dxa"/>
            <w:tcBorders>
              <w:top w:val="nil"/>
              <w:left w:val="nil"/>
              <w:bottom w:val="single" w:color="auto" w:sz="4" w:space="0"/>
              <w:right w:val="single" w:color="auto" w:sz="8" w:space="0"/>
            </w:tcBorders>
            <w:vAlign w:val="bottom"/>
          </w:tcPr>
          <w:p w14:paraId="0484005A">
            <w:pPr>
              <w:widowControl/>
              <w:jc w:val="left"/>
              <w:rPr>
                <w:rFonts w:ascii="宋体" w:hAnsi="宋体" w:cs="宋体"/>
                <w:kern w:val="0"/>
                <w:sz w:val="20"/>
              </w:rPr>
            </w:pPr>
            <w:r>
              <w:rPr>
                <w:rFonts w:hint="eastAsia" w:ascii="宋体" w:hAnsi="宋体" w:cs="宋体"/>
                <w:kern w:val="0"/>
                <w:sz w:val="20"/>
              </w:rPr>
              <w:t xml:space="preserve"> 300≤Z＜5000</w:t>
            </w:r>
          </w:p>
        </w:tc>
        <w:tc>
          <w:tcPr>
            <w:tcW w:w="1285" w:type="dxa"/>
            <w:tcBorders>
              <w:top w:val="nil"/>
              <w:left w:val="nil"/>
              <w:bottom w:val="single" w:color="auto" w:sz="4" w:space="0"/>
              <w:right w:val="single" w:color="auto" w:sz="4" w:space="0"/>
            </w:tcBorders>
            <w:vAlign w:val="bottom"/>
          </w:tcPr>
          <w:p w14:paraId="2C212E67">
            <w:pPr>
              <w:widowControl/>
              <w:jc w:val="left"/>
              <w:rPr>
                <w:rFonts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vAlign w:val="bottom"/>
          </w:tcPr>
          <w:p w14:paraId="7A164B0C">
            <w:pPr>
              <w:widowControl/>
              <w:jc w:val="left"/>
              <w:rPr>
                <w:rFonts w:ascii="宋体" w:hAnsi="宋体" w:cs="宋体"/>
                <w:kern w:val="0"/>
                <w:sz w:val="20"/>
              </w:rPr>
            </w:pPr>
            <w:r>
              <w:rPr>
                <w:rFonts w:hint="eastAsia" w:ascii="宋体" w:hAnsi="宋体" w:cs="宋体"/>
                <w:kern w:val="0"/>
                <w:sz w:val="20"/>
              </w:rPr>
              <w:t>Y＜300</w:t>
            </w:r>
          </w:p>
        </w:tc>
        <w:tc>
          <w:tcPr>
            <w:tcW w:w="1221" w:type="dxa"/>
            <w:tcBorders>
              <w:top w:val="nil"/>
              <w:left w:val="nil"/>
              <w:bottom w:val="single" w:color="auto" w:sz="4" w:space="0"/>
              <w:right w:val="single" w:color="auto" w:sz="8" w:space="0"/>
            </w:tcBorders>
            <w:vAlign w:val="bottom"/>
          </w:tcPr>
          <w:p w14:paraId="780B8808">
            <w:pPr>
              <w:widowControl/>
              <w:jc w:val="left"/>
              <w:rPr>
                <w:rFonts w:ascii="宋体" w:hAnsi="宋体" w:cs="宋体"/>
                <w:kern w:val="0"/>
                <w:sz w:val="20"/>
              </w:rPr>
            </w:pPr>
            <w:r>
              <w:rPr>
                <w:rFonts w:hint="eastAsia" w:ascii="宋体" w:hAnsi="宋体" w:cs="宋体"/>
                <w:kern w:val="0"/>
                <w:sz w:val="20"/>
              </w:rPr>
              <w:t>Z＜300</w:t>
            </w:r>
          </w:p>
        </w:tc>
      </w:tr>
      <w:tr w14:paraId="59FC2B2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7AEFBED">
            <w:pPr>
              <w:widowControl/>
              <w:jc w:val="left"/>
              <w:rPr>
                <w:rFonts w:ascii="宋体" w:hAnsi="宋体" w:cs="宋体"/>
                <w:kern w:val="0"/>
                <w:sz w:val="20"/>
              </w:rPr>
            </w:pPr>
            <w:r>
              <w:rPr>
                <w:rFonts w:hint="eastAsia" w:ascii="宋体" w:hAnsi="宋体" w:cs="宋体"/>
                <w:kern w:val="0"/>
                <w:sz w:val="20"/>
              </w:rPr>
              <w:t xml:space="preserve"> 4、批发业</w:t>
            </w:r>
          </w:p>
        </w:tc>
        <w:tc>
          <w:tcPr>
            <w:tcW w:w="1498" w:type="dxa"/>
            <w:tcBorders>
              <w:top w:val="nil"/>
              <w:left w:val="nil"/>
              <w:bottom w:val="single" w:color="auto" w:sz="4" w:space="0"/>
              <w:right w:val="single" w:color="auto" w:sz="4" w:space="0"/>
            </w:tcBorders>
            <w:vAlign w:val="bottom"/>
          </w:tcPr>
          <w:p w14:paraId="51ED3AEC">
            <w:pPr>
              <w:widowControl/>
              <w:jc w:val="left"/>
              <w:rPr>
                <w:rFonts w:ascii="宋体" w:hAnsi="宋体" w:cs="宋体"/>
                <w:kern w:val="0"/>
                <w:sz w:val="20"/>
              </w:rPr>
            </w:pPr>
            <w:r>
              <w:rPr>
                <w:rFonts w:hint="eastAsia" w:ascii="宋体" w:hAnsi="宋体" w:cs="宋体"/>
                <w:kern w:val="0"/>
                <w:sz w:val="20"/>
              </w:rPr>
              <w:t xml:space="preserve"> 20≤X＜200</w:t>
            </w:r>
          </w:p>
        </w:tc>
        <w:tc>
          <w:tcPr>
            <w:tcW w:w="1763" w:type="dxa"/>
            <w:tcBorders>
              <w:top w:val="nil"/>
              <w:left w:val="nil"/>
              <w:bottom w:val="single" w:color="auto" w:sz="4" w:space="0"/>
              <w:right w:val="single" w:color="auto" w:sz="4" w:space="0"/>
            </w:tcBorders>
            <w:vAlign w:val="bottom"/>
          </w:tcPr>
          <w:p w14:paraId="7A054962">
            <w:pPr>
              <w:widowControl/>
              <w:jc w:val="left"/>
              <w:rPr>
                <w:rFonts w:ascii="宋体" w:hAnsi="宋体" w:cs="宋体"/>
                <w:kern w:val="0"/>
                <w:sz w:val="20"/>
              </w:rPr>
            </w:pPr>
            <w:r>
              <w:rPr>
                <w:rFonts w:hint="eastAsia" w:ascii="宋体" w:hAnsi="宋体" w:cs="宋体"/>
                <w:kern w:val="0"/>
                <w:sz w:val="20"/>
              </w:rPr>
              <w:t>5000≤Y＜40000</w:t>
            </w:r>
          </w:p>
        </w:tc>
        <w:tc>
          <w:tcPr>
            <w:tcW w:w="1660" w:type="dxa"/>
            <w:tcBorders>
              <w:top w:val="nil"/>
              <w:left w:val="nil"/>
              <w:bottom w:val="single" w:color="auto" w:sz="4" w:space="0"/>
              <w:right w:val="single" w:color="auto" w:sz="8" w:space="0"/>
            </w:tcBorders>
            <w:vAlign w:val="bottom"/>
          </w:tcPr>
          <w:p w14:paraId="70E45814">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5A8AA74A">
            <w:pPr>
              <w:widowControl/>
              <w:jc w:val="left"/>
              <w:rPr>
                <w:rFonts w:ascii="宋体" w:hAnsi="宋体" w:cs="宋体"/>
                <w:kern w:val="0"/>
                <w:sz w:val="20"/>
              </w:rPr>
            </w:pPr>
            <w:r>
              <w:rPr>
                <w:rFonts w:hint="eastAsia" w:ascii="宋体" w:hAnsi="宋体" w:cs="宋体"/>
                <w:kern w:val="0"/>
                <w:sz w:val="20"/>
              </w:rPr>
              <w:t xml:space="preserve"> 5≤X＜20</w:t>
            </w:r>
          </w:p>
        </w:tc>
        <w:tc>
          <w:tcPr>
            <w:tcW w:w="1636" w:type="dxa"/>
            <w:tcBorders>
              <w:top w:val="nil"/>
              <w:left w:val="nil"/>
              <w:bottom w:val="single" w:color="auto" w:sz="4" w:space="0"/>
              <w:right w:val="single" w:color="auto" w:sz="4" w:space="0"/>
            </w:tcBorders>
            <w:vAlign w:val="bottom"/>
          </w:tcPr>
          <w:p w14:paraId="03A28971">
            <w:pPr>
              <w:widowControl/>
              <w:jc w:val="left"/>
              <w:rPr>
                <w:rFonts w:ascii="宋体" w:hAnsi="宋体" w:cs="宋体"/>
                <w:kern w:val="0"/>
                <w:sz w:val="20"/>
              </w:rPr>
            </w:pPr>
            <w:r>
              <w:rPr>
                <w:rFonts w:hint="eastAsia" w:ascii="宋体" w:hAnsi="宋体" w:cs="宋体"/>
                <w:kern w:val="0"/>
                <w:sz w:val="20"/>
              </w:rPr>
              <w:t>1000≤Y＜5000</w:t>
            </w:r>
          </w:p>
        </w:tc>
        <w:tc>
          <w:tcPr>
            <w:tcW w:w="1520" w:type="dxa"/>
            <w:tcBorders>
              <w:top w:val="nil"/>
              <w:left w:val="nil"/>
              <w:bottom w:val="single" w:color="auto" w:sz="4" w:space="0"/>
              <w:right w:val="single" w:color="auto" w:sz="8" w:space="0"/>
            </w:tcBorders>
            <w:vAlign w:val="bottom"/>
          </w:tcPr>
          <w:p w14:paraId="3FDE7EDD">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17F91B4A">
            <w:pPr>
              <w:widowControl/>
              <w:jc w:val="left"/>
              <w:rPr>
                <w:rFonts w:ascii="宋体" w:hAnsi="宋体" w:cs="宋体"/>
                <w:kern w:val="0"/>
                <w:sz w:val="20"/>
              </w:rPr>
            </w:pPr>
            <w:r>
              <w:rPr>
                <w:rFonts w:hint="eastAsia" w:ascii="宋体" w:hAnsi="宋体" w:cs="宋体"/>
                <w:kern w:val="0"/>
                <w:sz w:val="20"/>
              </w:rPr>
              <w:t>X＜5</w:t>
            </w:r>
          </w:p>
        </w:tc>
        <w:tc>
          <w:tcPr>
            <w:tcW w:w="1275" w:type="dxa"/>
            <w:tcBorders>
              <w:top w:val="nil"/>
              <w:left w:val="nil"/>
              <w:bottom w:val="single" w:color="auto" w:sz="4" w:space="0"/>
              <w:right w:val="single" w:color="auto" w:sz="4" w:space="0"/>
            </w:tcBorders>
            <w:vAlign w:val="bottom"/>
          </w:tcPr>
          <w:p w14:paraId="42151B0A">
            <w:pPr>
              <w:widowControl/>
              <w:jc w:val="left"/>
              <w:rPr>
                <w:rFonts w:ascii="宋体" w:hAnsi="宋体" w:cs="宋体"/>
                <w:kern w:val="0"/>
                <w:sz w:val="20"/>
              </w:rPr>
            </w:pPr>
            <w:r>
              <w:rPr>
                <w:rFonts w:hint="eastAsia" w:ascii="宋体" w:hAnsi="宋体" w:cs="宋体"/>
                <w:kern w:val="0"/>
                <w:sz w:val="20"/>
              </w:rPr>
              <w:t>Y＜1000</w:t>
            </w:r>
          </w:p>
        </w:tc>
        <w:tc>
          <w:tcPr>
            <w:tcW w:w="1221" w:type="dxa"/>
            <w:tcBorders>
              <w:top w:val="nil"/>
              <w:left w:val="nil"/>
              <w:bottom w:val="single" w:color="auto" w:sz="4" w:space="0"/>
              <w:right w:val="single" w:color="auto" w:sz="8" w:space="0"/>
            </w:tcBorders>
            <w:vAlign w:val="bottom"/>
          </w:tcPr>
          <w:p w14:paraId="56D75F14">
            <w:pPr>
              <w:widowControl/>
              <w:jc w:val="left"/>
              <w:rPr>
                <w:rFonts w:ascii="宋体" w:hAnsi="宋体" w:cs="宋体"/>
                <w:kern w:val="0"/>
                <w:sz w:val="20"/>
              </w:rPr>
            </w:pPr>
            <w:r>
              <w:rPr>
                <w:rFonts w:hint="eastAsia" w:ascii="宋体" w:hAnsi="宋体" w:cs="宋体"/>
                <w:kern w:val="0"/>
                <w:sz w:val="20"/>
              </w:rPr>
              <w:t>　</w:t>
            </w:r>
          </w:p>
        </w:tc>
      </w:tr>
      <w:tr w14:paraId="5FC8250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B524919">
            <w:pPr>
              <w:widowControl/>
              <w:jc w:val="left"/>
              <w:rPr>
                <w:rFonts w:ascii="宋体" w:hAnsi="宋体" w:cs="宋体"/>
                <w:kern w:val="0"/>
                <w:sz w:val="20"/>
              </w:rPr>
            </w:pPr>
            <w:r>
              <w:rPr>
                <w:rFonts w:hint="eastAsia" w:ascii="宋体" w:hAnsi="宋体" w:cs="宋体"/>
                <w:kern w:val="0"/>
                <w:sz w:val="20"/>
              </w:rPr>
              <w:t xml:space="preserve"> 5、零售业</w:t>
            </w:r>
          </w:p>
        </w:tc>
        <w:tc>
          <w:tcPr>
            <w:tcW w:w="1498" w:type="dxa"/>
            <w:tcBorders>
              <w:top w:val="nil"/>
              <w:left w:val="nil"/>
              <w:bottom w:val="single" w:color="auto" w:sz="4" w:space="0"/>
              <w:right w:val="single" w:color="auto" w:sz="4" w:space="0"/>
            </w:tcBorders>
            <w:vAlign w:val="bottom"/>
          </w:tcPr>
          <w:p w14:paraId="064FBF3E">
            <w:pPr>
              <w:widowControl/>
              <w:jc w:val="left"/>
              <w:rPr>
                <w:rFonts w:ascii="宋体" w:hAnsi="宋体" w:cs="宋体"/>
                <w:kern w:val="0"/>
                <w:sz w:val="20"/>
              </w:rPr>
            </w:pPr>
            <w:r>
              <w:rPr>
                <w:rFonts w:hint="eastAsia" w:ascii="宋体" w:hAnsi="宋体" w:cs="宋体"/>
                <w:kern w:val="0"/>
                <w:sz w:val="20"/>
              </w:rPr>
              <w:t xml:space="preserve"> 50≤X＜300</w:t>
            </w:r>
          </w:p>
        </w:tc>
        <w:tc>
          <w:tcPr>
            <w:tcW w:w="1763" w:type="dxa"/>
            <w:tcBorders>
              <w:top w:val="nil"/>
              <w:left w:val="nil"/>
              <w:bottom w:val="single" w:color="auto" w:sz="4" w:space="0"/>
              <w:right w:val="single" w:color="auto" w:sz="4" w:space="0"/>
            </w:tcBorders>
            <w:vAlign w:val="bottom"/>
          </w:tcPr>
          <w:p w14:paraId="1CE4B142">
            <w:pPr>
              <w:widowControl/>
              <w:jc w:val="left"/>
              <w:rPr>
                <w:rFonts w:ascii="宋体" w:hAnsi="宋体" w:cs="宋体"/>
                <w:kern w:val="0"/>
                <w:sz w:val="20"/>
              </w:rPr>
            </w:pPr>
            <w:r>
              <w:rPr>
                <w:rFonts w:hint="eastAsia" w:ascii="宋体" w:hAnsi="宋体" w:cs="宋体"/>
                <w:kern w:val="0"/>
                <w:sz w:val="20"/>
              </w:rPr>
              <w:t xml:space="preserve"> 500≤Y＜20000</w:t>
            </w:r>
          </w:p>
        </w:tc>
        <w:tc>
          <w:tcPr>
            <w:tcW w:w="1660" w:type="dxa"/>
            <w:tcBorders>
              <w:top w:val="nil"/>
              <w:left w:val="nil"/>
              <w:bottom w:val="single" w:color="auto" w:sz="4" w:space="0"/>
              <w:right w:val="single" w:color="auto" w:sz="8" w:space="0"/>
            </w:tcBorders>
            <w:vAlign w:val="bottom"/>
          </w:tcPr>
          <w:p w14:paraId="61047ACE">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12C1FA05">
            <w:pPr>
              <w:widowControl/>
              <w:jc w:val="left"/>
              <w:rPr>
                <w:rFonts w:ascii="宋体" w:hAnsi="宋体" w:cs="宋体"/>
                <w:kern w:val="0"/>
                <w:sz w:val="20"/>
              </w:rPr>
            </w:pPr>
            <w:r>
              <w:rPr>
                <w:rFonts w:hint="eastAsia" w:ascii="宋体" w:hAnsi="宋体" w:cs="宋体"/>
                <w:kern w:val="0"/>
                <w:sz w:val="20"/>
              </w:rPr>
              <w:t>10≤X＜50</w:t>
            </w:r>
          </w:p>
        </w:tc>
        <w:tc>
          <w:tcPr>
            <w:tcW w:w="1636" w:type="dxa"/>
            <w:tcBorders>
              <w:top w:val="nil"/>
              <w:left w:val="nil"/>
              <w:bottom w:val="single" w:color="auto" w:sz="4" w:space="0"/>
              <w:right w:val="single" w:color="auto" w:sz="4" w:space="0"/>
            </w:tcBorders>
            <w:vAlign w:val="bottom"/>
          </w:tcPr>
          <w:p w14:paraId="7642A476">
            <w:pPr>
              <w:widowControl/>
              <w:jc w:val="left"/>
              <w:rPr>
                <w:rFonts w:ascii="宋体" w:hAnsi="宋体" w:cs="宋体"/>
                <w:kern w:val="0"/>
                <w:sz w:val="20"/>
              </w:rPr>
            </w:pPr>
            <w:r>
              <w:rPr>
                <w:rFonts w:hint="eastAsia" w:ascii="宋体" w:hAnsi="宋体" w:cs="宋体"/>
                <w:kern w:val="0"/>
                <w:sz w:val="20"/>
              </w:rPr>
              <w:t>100≤Y＜500</w:t>
            </w:r>
          </w:p>
        </w:tc>
        <w:tc>
          <w:tcPr>
            <w:tcW w:w="1520" w:type="dxa"/>
            <w:tcBorders>
              <w:top w:val="nil"/>
              <w:left w:val="nil"/>
              <w:bottom w:val="single" w:color="auto" w:sz="4" w:space="0"/>
              <w:right w:val="single" w:color="auto" w:sz="8" w:space="0"/>
            </w:tcBorders>
            <w:vAlign w:val="bottom"/>
          </w:tcPr>
          <w:p w14:paraId="15525022">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53EFF645">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604C12BF">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1C7C9550">
            <w:pPr>
              <w:widowControl/>
              <w:jc w:val="left"/>
              <w:rPr>
                <w:rFonts w:ascii="宋体" w:hAnsi="宋体" w:cs="宋体"/>
                <w:kern w:val="0"/>
                <w:sz w:val="20"/>
              </w:rPr>
            </w:pPr>
            <w:r>
              <w:rPr>
                <w:rFonts w:hint="eastAsia" w:ascii="宋体" w:hAnsi="宋体" w:cs="宋体"/>
                <w:kern w:val="0"/>
                <w:sz w:val="20"/>
              </w:rPr>
              <w:t>　</w:t>
            </w:r>
          </w:p>
        </w:tc>
      </w:tr>
      <w:tr w14:paraId="24D756C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7E835A7">
            <w:pPr>
              <w:widowControl/>
              <w:jc w:val="left"/>
              <w:rPr>
                <w:rFonts w:ascii="宋体" w:hAnsi="宋体" w:cs="宋体"/>
                <w:kern w:val="0"/>
                <w:sz w:val="20"/>
              </w:rPr>
            </w:pPr>
            <w:r>
              <w:rPr>
                <w:rFonts w:hint="eastAsia" w:ascii="宋体" w:hAnsi="宋体" w:cs="宋体"/>
                <w:kern w:val="0"/>
                <w:sz w:val="20"/>
              </w:rPr>
              <w:t xml:space="preserve"> 6、交通运输业</w:t>
            </w:r>
          </w:p>
        </w:tc>
        <w:tc>
          <w:tcPr>
            <w:tcW w:w="1498" w:type="dxa"/>
            <w:tcBorders>
              <w:top w:val="nil"/>
              <w:left w:val="nil"/>
              <w:bottom w:val="single" w:color="auto" w:sz="4" w:space="0"/>
              <w:right w:val="single" w:color="auto" w:sz="4" w:space="0"/>
            </w:tcBorders>
            <w:vAlign w:val="bottom"/>
          </w:tcPr>
          <w:p w14:paraId="1595F926">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71F8EEAC">
            <w:pPr>
              <w:widowControl/>
              <w:jc w:val="left"/>
              <w:rPr>
                <w:rFonts w:ascii="宋体" w:hAnsi="宋体" w:cs="宋体"/>
                <w:kern w:val="0"/>
                <w:sz w:val="20"/>
              </w:rPr>
            </w:pPr>
            <w:r>
              <w:rPr>
                <w:rFonts w:hint="eastAsia" w:ascii="宋体" w:hAnsi="宋体" w:cs="宋体"/>
                <w:kern w:val="0"/>
                <w:sz w:val="20"/>
              </w:rPr>
              <w:t>3000≤Y＜30000</w:t>
            </w:r>
          </w:p>
        </w:tc>
        <w:tc>
          <w:tcPr>
            <w:tcW w:w="1660" w:type="dxa"/>
            <w:tcBorders>
              <w:top w:val="nil"/>
              <w:left w:val="nil"/>
              <w:bottom w:val="single" w:color="auto" w:sz="4" w:space="0"/>
              <w:right w:val="single" w:color="auto" w:sz="8" w:space="0"/>
            </w:tcBorders>
            <w:vAlign w:val="bottom"/>
          </w:tcPr>
          <w:p w14:paraId="03EE1B7F">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434DCFAB">
            <w:pPr>
              <w:widowControl/>
              <w:jc w:val="left"/>
              <w:rPr>
                <w:rFonts w:ascii="宋体" w:hAnsi="宋体" w:cs="宋体"/>
                <w:kern w:val="0"/>
                <w:sz w:val="20"/>
              </w:rPr>
            </w:pPr>
            <w:r>
              <w:rPr>
                <w:rFonts w:hint="eastAsia" w:ascii="宋体" w:hAnsi="宋体" w:cs="宋体"/>
                <w:kern w:val="0"/>
                <w:sz w:val="20"/>
              </w:rPr>
              <w:t>20≤X＜300</w:t>
            </w:r>
          </w:p>
        </w:tc>
        <w:tc>
          <w:tcPr>
            <w:tcW w:w="1636" w:type="dxa"/>
            <w:tcBorders>
              <w:top w:val="nil"/>
              <w:left w:val="nil"/>
              <w:bottom w:val="single" w:color="auto" w:sz="4" w:space="0"/>
              <w:right w:val="single" w:color="auto" w:sz="4" w:space="0"/>
            </w:tcBorders>
            <w:vAlign w:val="bottom"/>
          </w:tcPr>
          <w:p w14:paraId="3D3885B7">
            <w:pPr>
              <w:widowControl/>
              <w:jc w:val="left"/>
              <w:rPr>
                <w:rFonts w:ascii="宋体" w:hAnsi="宋体" w:cs="宋体"/>
                <w:kern w:val="0"/>
                <w:sz w:val="20"/>
              </w:rPr>
            </w:pPr>
            <w:r>
              <w:rPr>
                <w:rFonts w:hint="eastAsia" w:ascii="宋体" w:hAnsi="宋体" w:cs="宋体"/>
                <w:kern w:val="0"/>
                <w:sz w:val="20"/>
              </w:rPr>
              <w:t>200≤Y＜3000</w:t>
            </w:r>
          </w:p>
        </w:tc>
        <w:tc>
          <w:tcPr>
            <w:tcW w:w="1520" w:type="dxa"/>
            <w:tcBorders>
              <w:top w:val="nil"/>
              <w:left w:val="nil"/>
              <w:bottom w:val="single" w:color="auto" w:sz="4" w:space="0"/>
              <w:right w:val="single" w:color="auto" w:sz="8" w:space="0"/>
            </w:tcBorders>
            <w:vAlign w:val="bottom"/>
          </w:tcPr>
          <w:p w14:paraId="555730BC">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73E0F87B">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18D63FD4">
            <w:pPr>
              <w:widowControl/>
              <w:jc w:val="left"/>
              <w:rPr>
                <w:rFonts w:ascii="宋体" w:hAnsi="宋体" w:cs="宋体"/>
                <w:kern w:val="0"/>
                <w:sz w:val="20"/>
              </w:rPr>
            </w:pPr>
            <w:r>
              <w:rPr>
                <w:rFonts w:hint="eastAsia" w:ascii="宋体" w:hAnsi="宋体" w:cs="宋体"/>
                <w:kern w:val="0"/>
                <w:sz w:val="20"/>
              </w:rPr>
              <w:t>V＜200</w:t>
            </w:r>
          </w:p>
        </w:tc>
        <w:tc>
          <w:tcPr>
            <w:tcW w:w="1221" w:type="dxa"/>
            <w:tcBorders>
              <w:top w:val="nil"/>
              <w:left w:val="nil"/>
              <w:bottom w:val="single" w:color="auto" w:sz="4" w:space="0"/>
              <w:right w:val="single" w:color="auto" w:sz="8" w:space="0"/>
            </w:tcBorders>
            <w:vAlign w:val="bottom"/>
          </w:tcPr>
          <w:p w14:paraId="06C993AA">
            <w:pPr>
              <w:widowControl/>
              <w:jc w:val="left"/>
              <w:rPr>
                <w:rFonts w:ascii="宋体" w:hAnsi="宋体" w:cs="宋体"/>
                <w:kern w:val="0"/>
                <w:sz w:val="20"/>
              </w:rPr>
            </w:pPr>
            <w:r>
              <w:rPr>
                <w:rFonts w:hint="eastAsia" w:ascii="宋体" w:hAnsi="宋体" w:cs="宋体"/>
                <w:kern w:val="0"/>
                <w:sz w:val="20"/>
              </w:rPr>
              <w:t>　</w:t>
            </w:r>
          </w:p>
        </w:tc>
      </w:tr>
      <w:tr w14:paraId="3B6154F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B71B134">
            <w:pPr>
              <w:widowControl/>
              <w:jc w:val="left"/>
              <w:rPr>
                <w:rFonts w:ascii="宋体" w:hAnsi="宋体" w:cs="宋体"/>
                <w:kern w:val="0"/>
                <w:sz w:val="20"/>
              </w:rPr>
            </w:pPr>
            <w:r>
              <w:rPr>
                <w:rFonts w:hint="eastAsia" w:ascii="宋体" w:hAnsi="宋体" w:cs="宋体"/>
                <w:kern w:val="0"/>
                <w:sz w:val="20"/>
              </w:rPr>
              <w:t xml:space="preserve"> 7、仓储业</w:t>
            </w:r>
          </w:p>
        </w:tc>
        <w:tc>
          <w:tcPr>
            <w:tcW w:w="1498" w:type="dxa"/>
            <w:tcBorders>
              <w:top w:val="nil"/>
              <w:left w:val="nil"/>
              <w:bottom w:val="single" w:color="auto" w:sz="4" w:space="0"/>
              <w:right w:val="single" w:color="auto" w:sz="4" w:space="0"/>
            </w:tcBorders>
            <w:vAlign w:val="bottom"/>
          </w:tcPr>
          <w:p w14:paraId="47FB2E57">
            <w:pPr>
              <w:widowControl/>
              <w:jc w:val="left"/>
              <w:rPr>
                <w:rFonts w:ascii="宋体" w:hAnsi="宋体" w:cs="宋体"/>
                <w:kern w:val="0"/>
                <w:sz w:val="20"/>
              </w:rPr>
            </w:pPr>
            <w:r>
              <w:rPr>
                <w:rFonts w:hint="eastAsia" w:ascii="宋体" w:hAnsi="宋体" w:cs="宋体"/>
                <w:kern w:val="0"/>
                <w:sz w:val="20"/>
              </w:rPr>
              <w:t>100≤X＜200</w:t>
            </w:r>
          </w:p>
        </w:tc>
        <w:tc>
          <w:tcPr>
            <w:tcW w:w="1763" w:type="dxa"/>
            <w:tcBorders>
              <w:top w:val="nil"/>
              <w:left w:val="nil"/>
              <w:bottom w:val="single" w:color="auto" w:sz="4" w:space="0"/>
              <w:right w:val="single" w:color="auto" w:sz="4" w:space="0"/>
            </w:tcBorders>
            <w:vAlign w:val="bottom"/>
          </w:tcPr>
          <w:p w14:paraId="0E582493">
            <w:pPr>
              <w:widowControl/>
              <w:jc w:val="left"/>
              <w:rPr>
                <w:rFonts w:ascii="宋体" w:hAnsi="宋体" w:cs="宋体"/>
                <w:kern w:val="0"/>
                <w:sz w:val="20"/>
              </w:rPr>
            </w:pPr>
            <w:r>
              <w:rPr>
                <w:rFonts w:hint="eastAsia" w:ascii="宋体" w:hAnsi="宋体" w:cs="宋体"/>
                <w:kern w:val="0"/>
                <w:sz w:val="20"/>
              </w:rPr>
              <w:t>1000≤Y＜30000</w:t>
            </w:r>
          </w:p>
        </w:tc>
        <w:tc>
          <w:tcPr>
            <w:tcW w:w="1660" w:type="dxa"/>
            <w:tcBorders>
              <w:top w:val="nil"/>
              <w:left w:val="nil"/>
              <w:bottom w:val="single" w:color="auto" w:sz="4" w:space="0"/>
              <w:right w:val="single" w:color="auto" w:sz="8" w:space="0"/>
            </w:tcBorders>
            <w:vAlign w:val="bottom"/>
          </w:tcPr>
          <w:p w14:paraId="70920B63">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1FF10CD4">
            <w:pPr>
              <w:widowControl/>
              <w:jc w:val="left"/>
              <w:rPr>
                <w:rFonts w:ascii="宋体" w:hAnsi="宋体" w:cs="宋体"/>
                <w:kern w:val="0"/>
                <w:sz w:val="20"/>
              </w:rPr>
            </w:pPr>
            <w:r>
              <w:rPr>
                <w:rFonts w:hint="eastAsia" w:ascii="宋体" w:hAnsi="宋体" w:cs="宋体"/>
                <w:kern w:val="0"/>
                <w:sz w:val="20"/>
              </w:rPr>
              <w:t>20≤X＜100</w:t>
            </w:r>
          </w:p>
        </w:tc>
        <w:tc>
          <w:tcPr>
            <w:tcW w:w="1636" w:type="dxa"/>
            <w:tcBorders>
              <w:top w:val="nil"/>
              <w:left w:val="nil"/>
              <w:bottom w:val="single" w:color="auto" w:sz="4" w:space="0"/>
              <w:right w:val="single" w:color="auto" w:sz="4" w:space="0"/>
            </w:tcBorders>
            <w:vAlign w:val="bottom"/>
          </w:tcPr>
          <w:p w14:paraId="1F1EBE8C">
            <w:pPr>
              <w:widowControl/>
              <w:jc w:val="left"/>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77906313">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742806B1">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5B937B72">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0AFC725E">
            <w:pPr>
              <w:widowControl/>
              <w:jc w:val="left"/>
              <w:rPr>
                <w:rFonts w:ascii="宋体" w:hAnsi="宋体" w:cs="宋体"/>
                <w:kern w:val="0"/>
                <w:sz w:val="20"/>
              </w:rPr>
            </w:pPr>
            <w:r>
              <w:rPr>
                <w:rFonts w:hint="eastAsia" w:ascii="宋体" w:hAnsi="宋体" w:cs="宋体"/>
                <w:kern w:val="0"/>
                <w:sz w:val="20"/>
              </w:rPr>
              <w:t>　</w:t>
            </w:r>
          </w:p>
        </w:tc>
      </w:tr>
      <w:tr w14:paraId="6D34470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C7782DA">
            <w:pPr>
              <w:widowControl/>
              <w:jc w:val="left"/>
              <w:rPr>
                <w:rFonts w:ascii="宋体" w:hAnsi="宋体" w:cs="宋体"/>
                <w:kern w:val="0"/>
                <w:sz w:val="20"/>
              </w:rPr>
            </w:pPr>
            <w:r>
              <w:rPr>
                <w:rFonts w:hint="eastAsia" w:ascii="宋体" w:hAnsi="宋体" w:cs="宋体"/>
                <w:kern w:val="0"/>
                <w:sz w:val="20"/>
              </w:rPr>
              <w:t xml:space="preserve"> 8、邮政业</w:t>
            </w:r>
          </w:p>
        </w:tc>
        <w:tc>
          <w:tcPr>
            <w:tcW w:w="1498" w:type="dxa"/>
            <w:tcBorders>
              <w:top w:val="nil"/>
              <w:left w:val="nil"/>
              <w:bottom w:val="single" w:color="auto" w:sz="4" w:space="0"/>
              <w:right w:val="single" w:color="auto" w:sz="4" w:space="0"/>
            </w:tcBorders>
            <w:vAlign w:val="bottom"/>
          </w:tcPr>
          <w:p w14:paraId="6591DA73">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0D69E853">
            <w:pPr>
              <w:widowControl/>
              <w:jc w:val="left"/>
              <w:rPr>
                <w:rFonts w:ascii="宋体" w:hAnsi="宋体" w:cs="宋体"/>
                <w:kern w:val="0"/>
                <w:sz w:val="20"/>
              </w:rPr>
            </w:pPr>
            <w:r>
              <w:rPr>
                <w:rFonts w:hint="eastAsia" w:ascii="宋体" w:hAnsi="宋体" w:cs="宋体"/>
                <w:kern w:val="0"/>
                <w:sz w:val="20"/>
              </w:rPr>
              <w:t>2000≤Y＜30000</w:t>
            </w:r>
          </w:p>
        </w:tc>
        <w:tc>
          <w:tcPr>
            <w:tcW w:w="1660" w:type="dxa"/>
            <w:tcBorders>
              <w:top w:val="nil"/>
              <w:left w:val="nil"/>
              <w:bottom w:val="single" w:color="auto" w:sz="4" w:space="0"/>
              <w:right w:val="single" w:color="auto" w:sz="8" w:space="0"/>
            </w:tcBorders>
            <w:vAlign w:val="bottom"/>
          </w:tcPr>
          <w:p w14:paraId="27153160">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32243AE9">
            <w:pPr>
              <w:widowControl/>
              <w:jc w:val="left"/>
              <w:rPr>
                <w:rFonts w:ascii="宋体" w:hAnsi="宋体" w:cs="宋体"/>
                <w:kern w:val="0"/>
                <w:sz w:val="20"/>
              </w:rPr>
            </w:pPr>
            <w:r>
              <w:rPr>
                <w:rFonts w:hint="eastAsia" w:ascii="宋体" w:hAnsi="宋体" w:cs="宋体"/>
                <w:kern w:val="0"/>
                <w:sz w:val="20"/>
              </w:rPr>
              <w:t>20≤X＜300</w:t>
            </w:r>
          </w:p>
        </w:tc>
        <w:tc>
          <w:tcPr>
            <w:tcW w:w="1636" w:type="dxa"/>
            <w:tcBorders>
              <w:top w:val="nil"/>
              <w:left w:val="nil"/>
              <w:bottom w:val="single" w:color="auto" w:sz="4" w:space="0"/>
              <w:right w:val="single" w:color="auto" w:sz="4" w:space="0"/>
            </w:tcBorders>
            <w:vAlign w:val="bottom"/>
          </w:tcPr>
          <w:p w14:paraId="0A258C8A">
            <w:pPr>
              <w:widowControl/>
              <w:jc w:val="left"/>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5E48FB5C">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077E3EF1">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6592D66B">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7F40D810">
            <w:pPr>
              <w:widowControl/>
              <w:jc w:val="left"/>
              <w:rPr>
                <w:rFonts w:ascii="宋体" w:hAnsi="宋体" w:cs="宋体"/>
                <w:kern w:val="0"/>
                <w:sz w:val="20"/>
              </w:rPr>
            </w:pPr>
            <w:r>
              <w:rPr>
                <w:rFonts w:hint="eastAsia" w:ascii="宋体" w:hAnsi="宋体" w:cs="宋体"/>
                <w:kern w:val="0"/>
                <w:sz w:val="20"/>
              </w:rPr>
              <w:t>　</w:t>
            </w:r>
          </w:p>
        </w:tc>
      </w:tr>
      <w:tr w14:paraId="05CDA61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89E6CBF">
            <w:pPr>
              <w:widowControl/>
              <w:jc w:val="left"/>
              <w:rPr>
                <w:rFonts w:ascii="宋体" w:hAnsi="宋体" w:cs="宋体"/>
                <w:kern w:val="0"/>
                <w:sz w:val="20"/>
              </w:rPr>
            </w:pPr>
            <w:r>
              <w:rPr>
                <w:rFonts w:hint="eastAsia" w:ascii="宋体" w:hAnsi="宋体" w:cs="宋体"/>
                <w:kern w:val="0"/>
                <w:sz w:val="20"/>
              </w:rPr>
              <w:t xml:space="preserve"> 9、住宿业</w:t>
            </w:r>
          </w:p>
        </w:tc>
        <w:tc>
          <w:tcPr>
            <w:tcW w:w="1498" w:type="dxa"/>
            <w:tcBorders>
              <w:top w:val="nil"/>
              <w:left w:val="nil"/>
              <w:bottom w:val="single" w:color="auto" w:sz="4" w:space="0"/>
              <w:right w:val="single" w:color="auto" w:sz="4" w:space="0"/>
            </w:tcBorders>
            <w:vAlign w:val="bottom"/>
          </w:tcPr>
          <w:p w14:paraId="2ECA278F">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6BF11F5C">
            <w:pPr>
              <w:widowControl/>
              <w:jc w:val="left"/>
              <w:rPr>
                <w:rFonts w:ascii="宋体" w:hAnsi="宋体" w:cs="宋体"/>
                <w:kern w:val="0"/>
                <w:sz w:val="20"/>
              </w:rPr>
            </w:pPr>
            <w:r>
              <w:rPr>
                <w:rFonts w:hint="eastAsia" w:ascii="宋体" w:hAnsi="宋体" w:cs="宋体"/>
                <w:kern w:val="0"/>
                <w:sz w:val="20"/>
              </w:rPr>
              <w:t>2000≤Y＜10000</w:t>
            </w:r>
          </w:p>
        </w:tc>
        <w:tc>
          <w:tcPr>
            <w:tcW w:w="1660" w:type="dxa"/>
            <w:tcBorders>
              <w:top w:val="nil"/>
              <w:left w:val="nil"/>
              <w:bottom w:val="single" w:color="auto" w:sz="4" w:space="0"/>
              <w:right w:val="single" w:color="auto" w:sz="8" w:space="0"/>
            </w:tcBorders>
            <w:vAlign w:val="bottom"/>
          </w:tcPr>
          <w:p w14:paraId="58A4D103">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209623FC">
            <w:pPr>
              <w:widowControl/>
              <w:jc w:val="left"/>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vAlign w:val="bottom"/>
          </w:tcPr>
          <w:p w14:paraId="14DBC09A">
            <w:pPr>
              <w:widowControl/>
              <w:jc w:val="left"/>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730EF24F">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6EFA5489">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49D36F76">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3A875A24">
            <w:pPr>
              <w:widowControl/>
              <w:jc w:val="left"/>
              <w:rPr>
                <w:rFonts w:ascii="宋体" w:hAnsi="宋体" w:cs="宋体"/>
                <w:kern w:val="0"/>
                <w:sz w:val="20"/>
              </w:rPr>
            </w:pPr>
            <w:r>
              <w:rPr>
                <w:rFonts w:hint="eastAsia" w:ascii="宋体" w:hAnsi="宋体" w:cs="宋体"/>
                <w:kern w:val="0"/>
                <w:sz w:val="20"/>
              </w:rPr>
              <w:t>　</w:t>
            </w:r>
          </w:p>
        </w:tc>
      </w:tr>
      <w:tr w14:paraId="4E6F26D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10873DF">
            <w:pPr>
              <w:widowControl/>
              <w:jc w:val="left"/>
              <w:rPr>
                <w:rFonts w:ascii="宋体" w:hAnsi="宋体" w:cs="宋体"/>
                <w:kern w:val="0"/>
                <w:sz w:val="20"/>
              </w:rPr>
            </w:pPr>
            <w:r>
              <w:rPr>
                <w:rFonts w:hint="eastAsia" w:ascii="宋体" w:hAnsi="宋体" w:cs="宋体"/>
                <w:kern w:val="0"/>
                <w:sz w:val="20"/>
              </w:rPr>
              <w:t>10、餐饮业</w:t>
            </w:r>
          </w:p>
        </w:tc>
        <w:tc>
          <w:tcPr>
            <w:tcW w:w="1498" w:type="dxa"/>
            <w:tcBorders>
              <w:top w:val="nil"/>
              <w:left w:val="nil"/>
              <w:bottom w:val="single" w:color="auto" w:sz="4" w:space="0"/>
              <w:right w:val="single" w:color="auto" w:sz="4" w:space="0"/>
            </w:tcBorders>
            <w:vAlign w:val="bottom"/>
          </w:tcPr>
          <w:p w14:paraId="38C39CB4">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51324A0C">
            <w:pPr>
              <w:widowControl/>
              <w:jc w:val="left"/>
              <w:rPr>
                <w:rFonts w:ascii="宋体" w:hAnsi="宋体" w:cs="宋体"/>
                <w:kern w:val="0"/>
                <w:sz w:val="20"/>
              </w:rPr>
            </w:pPr>
            <w:r>
              <w:rPr>
                <w:rFonts w:hint="eastAsia" w:ascii="宋体" w:hAnsi="宋体" w:cs="宋体"/>
                <w:kern w:val="0"/>
                <w:sz w:val="20"/>
              </w:rPr>
              <w:t>2000≤Y＜10000</w:t>
            </w:r>
          </w:p>
        </w:tc>
        <w:tc>
          <w:tcPr>
            <w:tcW w:w="1660" w:type="dxa"/>
            <w:tcBorders>
              <w:top w:val="nil"/>
              <w:left w:val="nil"/>
              <w:bottom w:val="single" w:color="auto" w:sz="4" w:space="0"/>
              <w:right w:val="single" w:color="auto" w:sz="8" w:space="0"/>
            </w:tcBorders>
            <w:vAlign w:val="bottom"/>
          </w:tcPr>
          <w:p w14:paraId="45B0C3D7">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1B621A17">
            <w:pPr>
              <w:widowControl/>
              <w:jc w:val="left"/>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vAlign w:val="bottom"/>
          </w:tcPr>
          <w:p w14:paraId="3AD9EC30">
            <w:pPr>
              <w:widowControl/>
              <w:jc w:val="left"/>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53CC79C3">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2D9A5928">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614B6B8E">
            <w:pPr>
              <w:widowControl/>
              <w:jc w:val="left"/>
              <w:rPr>
                <w:rFonts w:ascii="宋体" w:hAnsi="宋体" w:cs="宋体"/>
                <w:kern w:val="0"/>
                <w:sz w:val="20"/>
              </w:rPr>
            </w:pPr>
            <w:r>
              <w:rPr>
                <w:rFonts w:hint="eastAsia" w:ascii="宋体" w:hAnsi="宋体" w:cs="宋体"/>
                <w:kern w:val="0"/>
                <w:sz w:val="20"/>
              </w:rPr>
              <w:t>V＜100</w:t>
            </w:r>
          </w:p>
        </w:tc>
        <w:tc>
          <w:tcPr>
            <w:tcW w:w="1221" w:type="dxa"/>
            <w:tcBorders>
              <w:top w:val="nil"/>
              <w:left w:val="nil"/>
              <w:bottom w:val="single" w:color="auto" w:sz="4" w:space="0"/>
              <w:right w:val="single" w:color="auto" w:sz="8" w:space="0"/>
            </w:tcBorders>
            <w:vAlign w:val="bottom"/>
          </w:tcPr>
          <w:p w14:paraId="7B6301D0">
            <w:pPr>
              <w:widowControl/>
              <w:jc w:val="left"/>
              <w:rPr>
                <w:rFonts w:ascii="宋体" w:hAnsi="宋体" w:cs="宋体"/>
                <w:kern w:val="0"/>
                <w:sz w:val="20"/>
              </w:rPr>
            </w:pPr>
            <w:r>
              <w:rPr>
                <w:rFonts w:hint="eastAsia" w:ascii="宋体" w:hAnsi="宋体" w:cs="宋体"/>
                <w:kern w:val="0"/>
                <w:sz w:val="20"/>
              </w:rPr>
              <w:t>　</w:t>
            </w:r>
          </w:p>
        </w:tc>
      </w:tr>
      <w:tr w14:paraId="555FB56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6F759AA">
            <w:pPr>
              <w:widowControl/>
              <w:jc w:val="left"/>
              <w:rPr>
                <w:rFonts w:ascii="宋体" w:hAnsi="宋体" w:cs="宋体"/>
                <w:kern w:val="0"/>
                <w:sz w:val="20"/>
              </w:rPr>
            </w:pPr>
            <w:r>
              <w:rPr>
                <w:rFonts w:hint="eastAsia" w:ascii="宋体" w:hAnsi="宋体" w:cs="宋体"/>
                <w:kern w:val="0"/>
                <w:sz w:val="20"/>
              </w:rPr>
              <w:t>11、信息传输业</w:t>
            </w:r>
          </w:p>
        </w:tc>
        <w:tc>
          <w:tcPr>
            <w:tcW w:w="1498" w:type="dxa"/>
            <w:tcBorders>
              <w:top w:val="nil"/>
              <w:left w:val="nil"/>
              <w:bottom w:val="single" w:color="auto" w:sz="4" w:space="0"/>
              <w:right w:val="single" w:color="auto" w:sz="4" w:space="0"/>
            </w:tcBorders>
            <w:vAlign w:val="bottom"/>
          </w:tcPr>
          <w:p w14:paraId="3B1F1372">
            <w:pPr>
              <w:widowControl/>
              <w:jc w:val="left"/>
              <w:rPr>
                <w:rFonts w:ascii="宋体" w:hAnsi="宋体" w:cs="宋体"/>
                <w:kern w:val="0"/>
                <w:sz w:val="20"/>
              </w:rPr>
            </w:pPr>
            <w:r>
              <w:rPr>
                <w:rFonts w:hint="eastAsia" w:ascii="宋体" w:hAnsi="宋体" w:cs="宋体"/>
                <w:kern w:val="0"/>
                <w:sz w:val="20"/>
              </w:rPr>
              <w:t>100≤X＜2000</w:t>
            </w:r>
          </w:p>
        </w:tc>
        <w:tc>
          <w:tcPr>
            <w:tcW w:w="1763" w:type="dxa"/>
            <w:tcBorders>
              <w:top w:val="nil"/>
              <w:left w:val="nil"/>
              <w:bottom w:val="single" w:color="auto" w:sz="4" w:space="0"/>
              <w:right w:val="single" w:color="auto" w:sz="4" w:space="0"/>
            </w:tcBorders>
            <w:vAlign w:val="bottom"/>
          </w:tcPr>
          <w:p w14:paraId="1F9C2DD0">
            <w:pPr>
              <w:widowControl/>
              <w:jc w:val="left"/>
              <w:rPr>
                <w:rFonts w:ascii="宋体" w:hAnsi="宋体" w:cs="宋体"/>
                <w:kern w:val="0"/>
                <w:sz w:val="20"/>
              </w:rPr>
            </w:pPr>
            <w:r>
              <w:rPr>
                <w:rFonts w:hint="eastAsia" w:ascii="宋体" w:hAnsi="宋体" w:cs="宋体"/>
                <w:kern w:val="0"/>
                <w:sz w:val="20"/>
              </w:rPr>
              <w:t>1000≤Y＜100000</w:t>
            </w:r>
          </w:p>
        </w:tc>
        <w:tc>
          <w:tcPr>
            <w:tcW w:w="1660" w:type="dxa"/>
            <w:tcBorders>
              <w:top w:val="nil"/>
              <w:left w:val="nil"/>
              <w:bottom w:val="single" w:color="auto" w:sz="4" w:space="0"/>
              <w:right w:val="single" w:color="auto" w:sz="8" w:space="0"/>
            </w:tcBorders>
            <w:vAlign w:val="bottom"/>
          </w:tcPr>
          <w:p w14:paraId="75A3AE9E">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00ECB999">
            <w:pPr>
              <w:widowControl/>
              <w:jc w:val="left"/>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vAlign w:val="bottom"/>
          </w:tcPr>
          <w:p w14:paraId="721904DD">
            <w:pPr>
              <w:widowControl/>
              <w:jc w:val="left"/>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5F72B8EC">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6FCB7B56">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679E68A6">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2B163DB4">
            <w:pPr>
              <w:widowControl/>
              <w:jc w:val="left"/>
              <w:rPr>
                <w:rFonts w:ascii="宋体" w:hAnsi="宋体" w:cs="宋体"/>
                <w:kern w:val="0"/>
                <w:sz w:val="20"/>
              </w:rPr>
            </w:pPr>
            <w:r>
              <w:rPr>
                <w:rFonts w:hint="eastAsia" w:ascii="宋体" w:hAnsi="宋体" w:cs="宋体"/>
                <w:kern w:val="0"/>
                <w:sz w:val="20"/>
              </w:rPr>
              <w:t>　</w:t>
            </w:r>
          </w:p>
        </w:tc>
      </w:tr>
      <w:tr w14:paraId="67ACEDF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97CD8D5">
            <w:pPr>
              <w:widowControl/>
              <w:jc w:val="left"/>
              <w:rPr>
                <w:rFonts w:ascii="宋体" w:hAnsi="宋体" w:cs="宋体"/>
                <w:kern w:val="0"/>
                <w:sz w:val="20"/>
              </w:rPr>
            </w:pPr>
            <w:r>
              <w:rPr>
                <w:rFonts w:hint="eastAsia" w:ascii="宋体" w:hAnsi="宋体" w:cs="宋体"/>
                <w:kern w:val="0"/>
                <w:sz w:val="15"/>
              </w:rPr>
              <w:t>12、软件和信息技术服务业</w:t>
            </w:r>
          </w:p>
        </w:tc>
        <w:tc>
          <w:tcPr>
            <w:tcW w:w="1498" w:type="dxa"/>
            <w:tcBorders>
              <w:top w:val="nil"/>
              <w:left w:val="nil"/>
              <w:bottom w:val="single" w:color="auto" w:sz="4" w:space="0"/>
              <w:right w:val="single" w:color="auto" w:sz="4" w:space="0"/>
            </w:tcBorders>
            <w:vAlign w:val="bottom"/>
          </w:tcPr>
          <w:p w14:paraId="0869F458">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796B28BD">
            <w:pPr>
              <w:widowControl/>
              <w:jc w:val="left"/>
              <w:rPr>
                <w:rFonts w:ascii="宋体" w:hAnsi="宋体" w:cs="宋体"/>
                <w:kern w:val="0"/>
                <w:sz w:val="20"/>
              </w:rPr>
            </w:pPr>
            <w:r>
              <w:rPr>
                <w:rFonts w:hint="eastAsia" w:ascii="宋体" w:hAnsi="宋体" w:cs="宋体"/>
                <w:kern w:val="0"/>
                <w:sz w:val="20"/>
              </w:rPr>
              <w:t>1000≤Y＜10000</w:t>
            </w:r>
          </w:p>
        </w:tc>
        <w:tc>
          <w:tcPr>
            <w:tcW w:w="1660" w:type="dxa"/>
            <w:tcBorders>
              <w:top w:val="nil"/>
              <w:left w:val="nil"/>
              <w:bottom w:val="single" w:color="auto" w:sz="4" w:space="0"/>
              <w:right w:val="single" w:color="auto" w:sz="8" w:space="0"/>
            </w:tcBorders>
            <w:vAlign w:val="bottom"/>
          </w:tcPr>
          <w:p w14:paraId="5447CCD9">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13486F82">
            <w:pPr>
              <w:widowControl/>
              <w:jc w:val="left"/>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vAlign w:val="bottom"/>
          </w:tcPr>
          <w:p w14:paraId="29540819">
            <w:pPr>
              <w:widowControl/>
              <w:jc w:val="left"/>
              <w:rPr>
                <w:rFonts w:ascii="宋体" w:hAnsi="宋体" w:cs="宋体"/>
                <w:kern w:val="0"/>
                <w:sz w:val="20"/>
              </w:rPr>
            </w:pPr>
            <w:r>
              <w:rPr>
                <w:rFonts w:hint="eastAsia" w:ascii="宋体" w:hAnsi="宋体" w:cs="宋体"/>
                <w:kern w:val="0"/>
                <w:sz w:val="20"/>
              </w:rPr>
              <w:t xml:space="preserve"> 50≤Y＜1000</w:t>
            </w:r>
          </w:p>
        </w:tc>
        <w:tc>
          <w:tcPr>
            <w:tcW w:w="1520" w:type="dxa"/>
            <w:tcBorders>
              <w:top w:val="nil"/>
              <w:left w:val="nil"/>
              <w:bottom w:val="single" w:color="auto" w:sz="4" w:space="0"/>
              <w:right w:val="single" w:color="auto" w:sz="8" w:space="0"/>
            </w:tcBorders>
            <w:vAlign w:val="bottom"/>
          </w:tcPr>
          <w:p w14:paraId="5F5DE0E9">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3F260B7D">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7F03AB7D">
            <w:pPr>
              <w:widowControl/>
              <w:jc w:val="left"/>
              <w:rPr>
                <w:rFonts w:ascii="宋体" w:hAnsi="宋体" w:cs="宋体"/>
                <w:kern w:val="0"/>
                <w:sz w:val="20"/>
              </w:rPr>
            </w:pPr>
            <w:r>
              <w:rPr>
                <w:rFonts w:hint="eastAsia" w:ascii="宋体" w:hAnsi="宋体" w:cs="宋体"/>
                <w:kern w:val="0"/>
                <w:sz w:val="20"/>
              </w:rPr>
              <w:t>Y＜50</w:t>
            </w:r>
          </w:p>
        </w:tc>
        <w:tc>
          <w:tcPr>
            <w:tcW w:w="1221" w:type="dxa"/>
            <w:tcBorders>
              <w:top w:val="nil"/>
              <w:left w:val="nil"/>
              <w:bottom w:val="single" w:color="auto" w:sz="4" w:space="0"/>
              <w:right w:val="single" w:color="auto" w:sz="8" w:space="0"/>
            </w:tcBorders>
            <w:vAlign w:val="bottom"/>
          </w:tcPr>
          <w:p w14:paraId="13654696">
            <w:pPr>
              <w:widowControl/>
              <w:jc w:val="left"/>
              <w:rPr>
                <w:rFonts w:ascii="宋体" w:hAnsi="宋体" w:cs="宋体"/>
                <w:kern w:val="0"/>
                <w:sz w:val="20"/>
              </w:rPr>
            </w:pPr>
            <w:r>
              <w:rPr>
                <w:rFonts w:hint="eastAsia" w:ascii="宋体" w:hAnsi="宋体" w:cs="宋体"/>
                <w:kern w:val="0"/>
                <w:sz w:val="20"/>
              </w:rPr>
              <w:t>　</w:t>
            </w:r>
          </w:p>
        </w:tc>
      </w:tr>
      <w:tr w14:paraId="4E63E6E2">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14:paraId="59F465A0">
            <w:pPr>
              <w:widowControl/>
              <w:jc w:val="left"/>
              <w:rPr>
                <w:rFonts w:ascii="宋体" w:hAnsi="宋体" w:cs="宋体"/>
                <w:kern w:val="0"/>
                <w:sz w:val="20"/>
              </w:rPr>
            </w:pPr>
            <w:r>
              <w:rPr>
                <w:rFonts w:hint="eastAsia" w:ascii="宋体" w:hAnsi="宋体" w:cs="宋体"/>
                <w:kern w:val="0"/>
                <w:sz w:val="20"/>
              </w:rPr>
              <w:t>13、房地产开发经营</w:t>
            </w:r>
          </w:p>
        </w:tc>
        <w:tc>
          <w:tcPr>
            <w:tcW w:w="1498" w:type="dxa"/>
            <w:tcBorders>
              <w:top w:val="nil"/>
              <w:left w:val="nil"/>
              <w:bottom w:val="single" w:color="auto" w:sz="4" w:space="0"/>
              <w:right w:val="single" w:color="auto" w:sz="4" w:space="0"/>
            </w:tcBorders>
            <w:vAlign w:val="bottom"/>
          </w:tcPr>
          <w:p w14:paraId="4153E4A9">
            <w:pPr>
              <w:widowControl/>
              <w:jc w:val="left"/>
              <w:rPr>
                <w:rFonts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vAlign w:val="bottom"/>
          </w:tcPr>
          <w:p w14:paraId="09EC7292">
            <w:pPr>
              <w:widowControl/>
              <w:jc w:val="left"/>
              <w:rPr>
                <w:rFonts w:ascii="宋体" w:hAnsi="宋体" w:cs="宋体"/>
                <w:kern w:val="0"/>
                <w:sz w:val="20"/>
              </w:rPr>
            </w:pPr>
            <w:r>
              <w:rPr>
                <w:rFonts w:hint="eastAsia" w:ascii="宋体" w:hAnsi="宋体" w:cs="宋体"/>
                <w:kern w:val="0"/>
                <w:sz w:val="20"/>
              </w:rPr>
              <w:t>1000≤Y＜200000</w:t>
            </w:r>
          </w:p>
        </w:tc>
        <w:tc>
          <w:tcPr>
            <w:tcW w:w="1660" w:type="dxa"/>
            <w:tcBorders>
              <w:top w:val="nil"/>
              <w:left w:val="nil"/>
              <w:bottom w:val="single" w:color="auto" w:sz="4" w:space="0"/>
              <w:right w:val="single" w:color="auto" w:sz="8" w:space="0"/>
            </w:tcBorders>
            <w:vAlign w:val="bottom"/>
          </w:tcPr>
          <w:p w14:paraId="52CA55DC">
            <w:pPr>
              <w:widowControl/>
              <w:jc w:val="left"/>
              <w:rPr>
                <w:rFonts w:ascii="宋体" w:hAnsi="宋体" w:cs="宋体"/>
                <w:kern w:val="0"/>
                <w:sz w:val="20"/>
              </w:rPr>
            </w:pPr>
            <w:r>
              <w:rPr>
                <w:rFonts w:hint="eastAsia" w:ascii="宋体" w:hAnsi="宋体" w:cs="宋体"/>
                <w:kern w:val="0"/>
                <w:sz w:val="20"/>
              </w:rPr>
              <w:t>5000≤Z＜10000</w:t>
            </w:r>
          </w:p>
        </w:tc>
        <w:tc>
          <w:tcPr>
            <w:tcW w:w="1240" w:type="dxa"/>
            <w:tcBorders>
              <w:top w:val="nil"/>
              <w:left w:val="nil"/>
              <w:bottom w:val="single" w:color="auto" w:sz="4" w:space="0"/>
              <w:right w:val="single" w:color="auto" w:sz="4" w:space="0"/>
            </w:tcBorders>
            <w:vAlign w:val="bottom"/>
          </w:tcPr>
          <w:p w14:paraId="0FF911C3">
            <w:pPr>
              <w:widowControl/>
              <w:jc w:val="left"/>
              <w:rPr>
                <w:rFonts w:ascii="宋体" w:hAnsi="宋体" w:cs="宋体"/>
                <w:kern w:val="0"/>
                <w:sz w:val="20"/>
              </w:rPr>
            </w:pPr>
            <w:r>
              <w:rPr>
                <w:rFonts w:hint="eastAsia" w:ascii="宋体" w:hAnsi="宋体" w:cs="宋体"/>
                <w:kern w:val="0"/>
                <w:sz w:val="20"/>
              </w:rPr>
              <w:t>　</w:t>
            </w:r>
          </w:p>
        </w:tc>
        <w:tc>
          <w:tcPr>
            <w:tcW w:w="1636" w:type="dxa"/>
            <w:tcBorders>
              <w:top w:val="nil"/>
              <w:left w:val="nil"/>
              <w:bottom w:val="single" w:color="auto" w:sz="4" w:space="0"/>
              <w:right w:val="single" w:color="auto" w:sz="4" w:space="0"/>
            </w:tcBorders>
            <w:vAlign w:val="bottom"/>
          </w:tcPr>
          <w:p w14:paraId="6D8E1840">
            <w:pPr>
              <w:widowControl/>
              <w:jc w:val="left"/>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04FC06E4">
            <w:pPr>
              <w:widowControl/>
              <w:jc w:val="left"/>
              <w:rPr>
                <w:rFonts w:ascii="宋体" w:hAnsi="宋体" w:cs="宋体"/>
                <w:kern w:val="0"/>
                <w:sz w:val="20"/>
              </w:rPr>
            </w:pPr>
            <w:r>
              <w:rPr>
                <w:rFonts w:hint="eastAsia" w:ascii="宋体" w:hAnsi="宋体" w:cs="宋体"/>
                <w:kern w:val="0"/>
                <w:sz w:val="20"/>
              </w:rPr>
              <w:t>2000≤Z＜5000</w:t>
            </w:r>
          </w:p>
        </w:tc>
        <w:tc>
          <w:tcPr>
            <w:tcW w:w="1285" w:type="dxa"/>
            <w:tcBorders>
              <w:top w:val="nil"/>
              <w:left w:val="nil"/>
              <w:bottom w:val="single" w:color="auto" w:sz="4" w:space="0"/>
              <w:right w:val="single" w:color="auto" w:sz="4" w:space="0"/>
            </w:tcBorders>
            <w:vAlign w:val="bottom"/>
          </w:tcPr>
          <w:p w14:paraId="7CB7268A">
            <w:pPr>
              <w:widowControl/>
              <w:jc w:val="left"/>
              <w:rPr>
                <w:rFonts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vAlign w:val="bottom"/>
          </w:tcPr>
          <w:p w14:paraId="5C1213C2">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2EE33FAB">
            <w:pPr>
              <w:widowControl/>
              <w:jc w:val="left"/>
              <w:rPr>
                <w:rFonts w:ascii="宋体" w:hAnsi="宋体" w:cs="宋体"/>
                <w:kern w:val="0"/>
                <w:sz w:val="20"/>
              </w:rPr>
            </w:pPr>
            <w:r>
              <w:rPr>
                <w:rFonts w:hint="eastAsia" w:ascii="宋体" w:hAnsi="宋体" w:cs="宋体"/>
                <w:kern w:val="0"/>
                <w:sz w:val="20"/>
              </w:rPr>
              <w:t>Z＜2000</w:t>
            </w:r>
          </w:p>
        </w:tc>
      </w:tr>
      <w:tr w14:paraId="22C156E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14:paraId="1C1A2060">
            <w:pPr>
              <w:widowControl/>
              <w:jc w:val="left"/>
              <w:rPr>
                <w:rFonts w:ascii="宋体" w:hAnsi="宋体" w:cs="宋体"/>
                <w:kern w:val="0"/>
                <w:sz w:val="20"/>
              </w:rPr>
            </w:pPr>
            <w:r>
              <w:rPr>
                <w:rFonts w:hint="eastAsia" w:ascii="宋体" w:hAnsi="宋体" w:cs="宋体"/>
                <w:kern w:val="0"/>
                <w:sz w:val="20"/>
              </w:rPr>
              <w:t>14、物业管理</w:t>
            </w:r>
          </w:p>
        </w:tc>
        <w:tc>
          <w:tcPr>
            <w:tcW w:w="1498" w:type="dxa"/>
            <w:tcBorders>
              <w:top w:val="nil"/>
              <w:left w:val="nil"/>
              <w:bottom w:val="single" w:color="auto" w:sz="4" w:space="0"/>
              <w:right w:val="single" w:color="auto" w:sz="4" w:space="0"/>
            </w:tcBorders>
            <w:vAlign w:val="bottom"/>
          </w:tcPr>
          <w:p w14:paraId="769D37CB">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73FF0C13">
            <w:pPr>
              <w:widowControl/>
              <w:jc w:val="left"/>
              <w:rPr>
                <w:rFonts w:ascii="宋体" w:hAnsi="宋体" w:cs="宋体"/>
                <w:kern w:val="0"/>
                <w:sz w:val="20"/>
              </w:rPr>
            </w:pPr>
            <w:r>
              <w:rPr>
                <w:rFonts w:hint="eastAsia" w:ascii="宋体" w:hAnsi="宋体" w:cs="宋体"/>
                <w:kern w:val="0"/>
                <w:sz w:val="20"/>
              </w:rPr>
              <w:t>1000≤Y＜5000</w:t>
            </w:r>
          </w:p>
        </w:tc>
        <w:tc>
          <w:tcPr>
            <w:tcW w:w="1660" w:type="dxa"/>
            <w:tcBorders>
              <w:top w:val="nil"/>
              <w:left w:val="nil"/>
              <w:bottom w:val="single" w:color="auto" w:sz="4" w:space="0"/>
              <w:right w:val="single" w:color="auto" w:sz="8" w:space="0"/>
            </w:tcBorders>
            <w:vAlign w:val="bottom"/>
          </w:tcPr>
          <w:p w14:paraId="0F1AF1CA">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78EA5718">
            <w:pPr>
              <w:widowControl/>
              <w:jc w:val="left"/>
              <w:rPr>
                <w:rFonts w:ascii="宋体" w:hAnsi="宋体" w:cs="宋体"/>
                <w:kern w:val="0"/>
                <w:sz w:val="20"/>
              </w:rPr>
            </w:pPr>
            <w:r>
              <w:rPr>
                <w:rFonts w:hint="eastAsia" w:ascii="宋体" w:hAnsi="宋体" w:cs="宋体"/>
                <w:kern w:val="0"/>
                <w:sz w:val="20"/>
              </w:rPr>
              <w:t>100≤X＜300</w:t>
            </w:r>
          </w:p>
        </w:tc>
        <w:tc>
          <w:tcPr>
            <w:tcW w:w="1636" w:type="dxa"/>
            <w:tcBorders>
              <w:top w:val="nil"/>
              <w:left w:val="nil"/>
              <w:bottom w:val="single" w:color="auto" w:sz="4" w:space="0"/>
              <w:right w:val="single" w:color="auto" w:sz="4" w:space="0"/>
            </w:tcBorders>
            <w:vAlign w:val="bottom"/>
          </w:tcPr>
          <w:p w14:paraId="384DD062">
            <w:pPr>
              <w:widowControl/>
              <w:jc w:val="left"/>
              <w:rPr>
                <w:rFonts w:ascii="宋体" w:hAnsi="宋体" w:cs="宋体"/>
                <w:kern w:val="0"/>
                <w:sz w:val="20"/>
              </w:rPr>
            </w:pPr>
            <w:r>
              <w:rPr>
                <w:rFonts w:hint="eastAsia" w:ascii="宋体" w:hAnsi="宋体" w:cs="宋体"/>
                <w:kern w:val="0"/>
                <w:sz w:val="20"/>
              </w:rPr>
              <w:t>500≤Y＜1000</w:t>
            </w:r>
          </w:p>
        </w:tc>
        <w:tc>
          <w:tcPr>
            <w:tcW w:w="1520" w:type="dxa"/>
            <w:tcBorders>
              <w:top w:val="nil"/>
              <w:left w:val="nil"/>
              <w:bottom w:val="single" w:color="auto" w:sz="4" w:space="0"/>
              <w:right w:val="single" w:color="auto" w:sz="8" w:space="0"/>
            </w:tcBorders>
            <w:vAlign w:val="bottom"/>
          </w:tcPr>
          <w:p w14:paraId="50AE2CB8">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7C3B4CDC">
            <w:pPr>
              <w:widowControl/>
              <w:jc w:val="left"/>
              <w:rPr>
                <w:rFonts w:ascii="宋体" w:hAnsi="宋体" w:cs="宋体"/>
                <w:kern w:val="0"/>
                <w:sz w:val="20"/>
              </w:rPr>
            </w:pPr>
            <w:r>
              <w:rPr>
                <w:rFonts w:hint="eastAsia" w:ascii="宋体" w:hAnsi="宋体" w:cs="宋体"/>
                <w:kern w:val="0"/>
                <w:sz w:val="20"/>
              </w:rPr>
              <w:t>X＜100</w:t>
            </w:r>
          </w:p>
        </w:tc>
        <w:tc>
          <w:tcPr>
            <w:tcW w:w="1275" w:type="dxa"/>
            <w:tcBorders>
              <w:top w:val="nil"/>
              <w:left w:val="nil"/>
              <w:bottom w:val="single" w:color="auto" w:sz="4" w:space="0"/>
              <w:right w:val="single" w:color="auto" w:sz="4" w:space="0"/>
            </w:tcBorders>
            <w:vAlign w:val="bottom"/>
          </w:tcPr>
          <w:p w14:paraId="3CA2FE72">
            <w:pPr>
              <w:widowControl/>
              <w:jc w:val="left"/>
              <w:rPr>
                <w:rFonts w:ascii="宋体" w:hAnsi="宋体" w:cs="宋体"/>
                <w:kern w:val="0"/>
                <w:sz w:val="20"/>
              </w:rPr>
            </w:pPr>
            <w:r>
              <w:rPr>
                <w:rFonts w:hint="eastAsia" w:ascii="宋体" w:hAnsi="宋体" w:cs="宋体"/>
                <w:kern w:val="0"/>
                <w:sz w:val="20"/>
              </w:rPr>
              <w:t>Y＜500</w:t>
            </w:r>
          </w:p>
        </w:tc>
        <w:tc>
          <w:tcPr>
            <w:tcW w:w="1221" w:type="dxa"/>
            <w:tcBorders>
              <w:top w:val="nil"/>
              <w:left w:val="nil"/>
              <w:bottom w:val="single" w:color="auto" w:sz="4" w:space="0"/>
              <w:right w:val="single" w:color="auto" w:sz="8" w:space="0"/>
            </w:tcBorders>
            <w:vAlign w:val="bottom"/>
          </w:tcPr>
          <w:p w14:paraId="15B7AD6D">
            <w:pPr>
              <w:widowControl/>
              <w:jc w:val="left"/>
              <w:rPr>
                <w:rFonts w:ascii="宋体" w:hAnsi="宋体" w:cs="宋体"/>
                <w:kern w:val="0"/>
                <w:sz w:val="20"/>
              </w:rPr>
            </w:pPr>
            <w:r>
              <w:rPr>
                <w:rFonts w:hint="eastAsia" w:ascii="宋体" w:hAnsi="宋体" w:cs="宋体"/>
                <w:kern w:val="0"/>
                <w:sz w:val="20"/>
              </w:rPr>
              <w:t>　</w:t>
            </w:r>
          </w:p>
        </w:tc>
      </w:tr>
      <w:tr w14:paraId="4423B804">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14:paraId="5F0A0D31">
            <w:pPr>
              <w:widowControl/>
              <w:jc w:val="left"/>
              <w:rPr>
                <w:rFonts w:ascii="宋体" w:hAnsi="宋体" w:cs="宋体"/>
                <w:kern w:val="0"/>
                <w:sz w:val="20"/>
              </w:rPr>
            </w:pPr>
            <w:r>
              <w:rPr>
                <w:rFonts w:hint="eastAsia" w:ascii="宋体" w:hAnsi="宋体" w:cs="宋体"/>
                <w:kern w:val="0"/>
                <w:sz w:val="18"/>
              </w:rPr>
              <w:t>15、租赁和商务服务业</w:t>
            </w:r>
          </w:p>
        </w:tc>
        <w:tc>
          <w:tcPr>
            <w:tcW w:w="1498" w:type="dxa"/>
            <w:tcBorders>
              <w:top w:val="nil"/>
              <w:left w:val="nil"/>
              <w:bottom w:val="single" w:color="auto" w:sz="4" w:space="0"/>
              <w:right w:val="single" w:color="auto" w:sz="4" w:space="0"/>
            </w:tcBorders>
            <w:vAlign w:val="bottom"/>
          </w:tcPr>
          <w:p w14:paraId="45E49C72">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24A7BF7B">
            <w:pPr>
              <w:widowControl/>
              <w:jc w:val="left"/>
              <w:rPr>
                <w:rFonts w:ascii="宋体" w:hAnsi="宋体" w:cs="宋体"/>
                <w:kern w:val="0"/>
                <w:sz w:val="20"/>
              </w:rPr>
            </w:pPr>
            <w:r>
              <w:rPr>
                <w:rFonts w:hint="eastAsia" w:ascii="宋体" w:hAnsi="宋体" w:cs="宋体"/>
                <w:kern w:val="0"/>
                <w:sz w:val="20"/>
              </w:rPr>
              <w:t>　</w:t>
            </w:r>
          </w:p>
        </w:tc>
        <w:tc>
          <w:tcPr>
            <w:tcW w:w="1660" w:type="dxa"/>
            <w:tcBorders>
              <w:top w:val="nil"/>
              <w:left w:val="nil"/>
              <w:bottom w:val="single" w:color="auto" w:sz="4" w:space="0"/>
              <w:right w:val="single" w:color="auto" w:sz="8" w:space="0"/>
            </w:tcBorders>
            <w:vAlign w:val="bottom"/>
          </w:tcPr>
          <w:p w14:paraId="48EC7832">
            <w:pPr>
              <w:widowControl/>
              <w:jc w:val="left"/>
              <w:rPr>
                <w:rFonts w:ascii="宋体" w:hAnsi="宋体" w:cs="宋体"/>
                <w:kern w:val="0"/>
                <w:sz w:val="20"/>
              </w:rPr>
            </w:pPr>
            <w:r>
              <w:rPr>
                <w:rFonts w:hint="eastAsia" w:ascii="宋体" w:hAnsi="宋体" w:cs="宋体"/>
                <w:kern w:val="0"/>
                <w:sz w:val="18"/>
              </w:rPr>
              <w:t>8000≤Z＜120000</w:t>
            </w:r>
          </w:p>
        </w:tc>
        <w:tc>
          <w:tcPr>
            <w:tcW w:w="1240" w:type="dxa"/>
            <w:tcBorders>
              <w:top w:val="nil"/>
              <w:left w:val="nil"/>
              <w:bottom w:val="single" w:color="auto" w:sz="4" w:space="0"/>
              <w:right w:val="single" w:color="auto" w:sz="4" w:space="0"/>
            </w:tcBorders>
            <w:vAlign w:val="bottom"/>
          </w:tcPr>
          <w:p w14:paraId="3672CE24">
            <w:pPr>
              <w:widowControl/>
              <w:jc w:val="left"/>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vAlign w:val="bottom"/>
          </w:tcPr>
          <w:p w14:paraId="3CBB2D6F">
            <w:pPr>
              <w:widowControl/>
              <w:jc w:val="left"/>
              <w:rPr>
                <w:rFonts w:ascii="宋体" w:hAnsi="宋体" w:cs="宋体"/>
                <w:kern w:val="0"/>
                <w:sz w:val="20"/>
              </w:rPr>
            </w:pPr>
            <w:r>
              <w:rPr>
                <w:rFonts w:hint="eastAsia" w:ascii="宋体" w:hAnsi="宋体" w:cs="宋体"/>
                <w:kern w:val="0"/>
                <w:sz w:val="20"/>
              </w:rPr>
              <w:t>　</w:t>
            </w:r>
          </w:p>
        </w:tc>
        <w:tc>
          <w:tcPr>
            <w:tcW w:w="1520" w:type="dxa"/>
            <w:tcBorders>
              <w:top w:val="nil"/>
              <w:left w:val="nil"/>
              <w:bottom w:val="single" w:color="auto" w:sz="4" w:space="0"/>
              <w:right w:val="single" w:color="auto" w:sz="8" w:space="0"/>
            </w:tcBorders>
            <w:vAlign w:val="bottom"/>
          </w:tcPr>
          <w:p w14:paraId="344D4825">
            <w:pPr>
              <w:widowControl/>
              <w:jc w:val="left"/>
              <w:rPr>
                <w:rFonts w:ascii="宋体" w:hAnsi="宋体" w:cs="宋体"/>
                <w:kern w:val="0"/>
                <w:sz w:val="20"/>
              </w:rPr>
            </w:pPr>
            <w:r>
              <w:rPr>
                <w:rFonts w:hint="eastAsia" w:ascii="宋体" w:hAnsi="宋体" w:cs="宋体"/>
                <w:kern w:val="0"/>
                <w:sz w:val="20"/>
              </w:rPr>
              <w:t xml:space="preserve"> 100≤Z＜8000</w:t>
            </w:r>
          </w:p>
        </w:tc>
        <w:tc>
          <w:tcPr>
            <w:tcW w:w="1285" w:type="dxa"/>
            <w:tcBorders>
              <w:top w:val="nil"/>
              <w:left w:val="nil"/>
              <w:bottom w:val="single" w:color="auto" w:sz="4" w:space="0"/>
              <w:right w:val="single" w:color="auto" w:sz="4" w:space="0"/>
            </w:tcBorders>
            <w:vAlign w:val="bottom"/>
          </w:tcPr>
          <w:p w14:paraId="61780532">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5C59DAF0">
            <w:pPr>
              <w:widowControl/>
              <w:jc w:val="left"/>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8" w:space="0"/>
            </w:tcBorders>
            <w:vAlign w:val="bottom"/>
          </w:tcPr>
          <w:p w14:paraId="5FB6CD61">
            <w:pPr>
              <w:widowControl/>
              <w:jc w:val="left"/>
              <w:rPr>
                <w:rFonts w:ascii="宋体" w:hAnsi="宋体" w:cs="宋体"/>
                <w:kern w:val="0"/>
                <w:sz w:val="20"/>
              </w:rPr>
            </w:pPr>
            <w:r>
              <w:rPr>
                <w:rFonts w:hint="eastAsia" w:ascii="宋体" w:hAnsi="宋体" w:cs="宋体"/>
                <w:kern w:val="0"/>
                <w:sz w:val="20"/>
              </w:rPr>
              <w:t>Z＜100</w:t>
            </w:r>
          </w:p>
        </w:tc>
      </w:tr>
      <w:tr w14:paraId="26AF72EE">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vAlign w:val="bottom"/>
          </w:tcPr>
          <w:p w14:paraId="4B79DE8D">
            <w:pPr>
              <w:widowControl/>
              <w:jc w:val="left"/>
              <w:rPr>
                <w:rFonts w:ascii="宋体" w:hAnsi="宋体" w:cs="宋体"/>
                <w:kern w:val="0"/>
                <w:sz w:val="20"/>
              </w:rPr>
            </w:pPr>
            <w:r>
              <w:rPr>
                <w:rFonts w:hint="eastAsia" w:ascii="宋体" w:hAnsi="宋体" w:cs="宋体"/>
                <w:kern w:val="0"/>
                <w:sz w:val="20"/>
              </w:rPr>
              <w:t>16、其他未列明行业</w:t>
            </w:r>
          </w:p>
        </w:tc>
        <w:tc>
          <w:tcPr>
            <w:tcW w:w="1498" w:type="dxa"/>
            <w:tcBorders>
              <w:top w:val="nil"/>
              <w:left w:val="nil"/>
              <w:bottom w:val="single" w:color="auto" w:sz="8" w:space="0"/>
              <w:right w:val="single" w:color="auto" w:sz="4" w:space="0"/>
            </w:tcBorders>
            <w:vAlign w:val="bottom"/>
          </w:tcPr>
          <w:p w14:paraId="4D4FC6F0">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8" w:space="0"/>
              <w:right w:val="single" w:color="auto" w:sz="4" w:space="0"/>
            </w:tcBorders>
            <w:vAlign w:val="bottom"/>
          </w:tcPr>
          <w:p w14:paraId="4DB1CD50">
            <w:pPr>
              <w:widowControl/>
              <w:jc w:val="left"/>
              <w:rPr>
                <w:rFonts w:ascii="宋体" w:hAnsi="宋体" w:cs="宋体"/>
                <w:kern w:val="0"/>
                <w:sz w:val="20"/>
              </w:rPr>
            </w:pPr>
            <w:r>
              <w:rPr>
                <w:rFonts w:hint="eastAsia" w:ascii="宋体" w:hAnsi="宋体" w:cs="宋体"/>
                <w:kern w:val="0"/>
                <w:sz w:val="20"/>
              </w:rPr>
              <w:t>　</w:t>
            </w:r>
          </w:p>
        </w:tc>
        <w:tc>
          <w:tcPr>
            <w:tcW w:w="1660" w:type="dxa"/>
            <w:tcBorders>
              <w:top w:val="nil"/>
              <w:left w:val="nil"/>
              <w:bottom w:val="single" w:color="auto" w:sz="8" w:space="0"/>
              <w:right w:val="single" w:color="auto" w:sz="8" w:space="0"/>
            </w:tcBorders>
            <w:vAlign w:val="bottom"/>
          </w:tcPr>
          <w:p w14:paraId="60D69632">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8" w:space="0"/>
              <w:right w:val="single" w:color="auto" w:sz="4" w:space="0"/>
            </w:tcBorders>
            <w:vAlign w:val="bottom"/>
          </w:tcPr>
          <w:p w14:paraId="57B84FDE">
            <w:pPr>
              <w:widowControl/>
              <w:jc w:val="left"/>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8" w:space="0"/>
              <w:right w:val="single" w:color="auto" w:sz="4" w:space="0"/>
            </w:tcBorders>
            <w:vAlign w:val="bottom"/>
          </w:tcPr>
          <w:p w14:paraId="588801AD">
            <w:pPr>
              <w:widowControl/>
              <w:jc w:val="left"/>
              <w:rPr>
                <w:rFonts w:ascii="宋体" w:hAnsi="宋体" w:cs="宋体"/>
                <w:kern w:val="0"/>
                <w:sz w:val="20"/>
              </w:rPr>
            </w:pPr>
            <w:r>
              <w:rPr>
                <w:rFonts w:hint="eastAsia" w:ascii="宋体" w:hAnsi="宋体" w:cs="宋体"/>
                <w:kern w:val="0"/>
                <w:sz w:val="20"/>
              </w:rPr>
              <w:t>　</w:t>
            </w:r>
          </w:p>
        </w:tc>
        <w:tc>
          <w:tcPr>
            <w:tcW w:w="1520" w:type="dxa"/>
            <w:tcBorders>
              <w:top w:val="nil"/>
              <w:left w:val="nil"/>
              <w:bottom w:val="single" w:color="auto" w:sz="8" w:space="0"/>
              <w:right w:val="single" w:color="auto" w:sz="8" w:space="0"/>
            </w:tcBorders>
            <w:vAlign w:val="bottom"/>
          </w:tcPr>
          <w:p w14:paraId="7D895397">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8" w:space="0"/>
              <w:right w:val="single" w:color="auto" w:sz="4" w:space="0"/>
            </w:tcBorders>
            <w:vAlign w:val="bottom"/>
          </w:tcPr>
          <w:p w14:paraId="7C10C234">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8" w:space="0"/>
              <w:right w:val="single" w:color="auto" w:sz="4" w:space="0"/>
            </w:tcBorders>
            <w:vAlign w:val="bottom"/>
          </w:tcPr>
          <w:p w14:paraId="04DDE325">
            <w:pPr>
              <w:widowControl/>
              <w:jc w:val="left"/>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8" w:space="0"/>
              <w:right w:val="single" w:color="auto" w:sz="8" w:space="0"/>
            </w:tcBorders>
            <w:vAlign w:val="bottom"/>
          </w:tcPr>
          <w:p w14:paraId="48D7AB98">
            <w:pPr>
              <w:widowControl/>
              <w:jc w:val="left"/>
              <w:rPr>
                <w:rFonts w:ascii="宋体" w:hAnsi="宋体" w:cs="宋体"/>
                <w:kern w:val="0"/>
                <w:sz w:val="20"/>
              </w:rPr>
            </w:pPr>
            <w:r>
              <w:rPr>
                <w:rFonts w:hint="eastAsia" w:ascii="宋体" w:hAnsi="宋体" w:cs="宋体"/>
                <w:kern w:val="0"/>
                <w:sz w:val="20"/>
              </w:rPr>
              <w:t>　</w:t>
            </w:r>
          </w:p>
        </w:tc>
      </w:tr>
    </w:tbl>
    <w:p w14:paraId="2EB2F8A4">
      <w:pPr>
        <w:pStyle w:val="30"/>
        <w:rPr>
          <w:rFonts w:hint="eastAsia" w:ascii="仿宋" w:hAnsi="仿宋" w:eastAsia="仿宋" w:cs="仿宋"/>
          <w:color w:val="auto"/>
          <w:sz w:val="24"/>
        </w:rPr>
      </w:pPr>
    </w:p>
    <w:p w14:paraId="3B42D456">
      <w:pPr>
        <w:spacing w:line="360" w:lineRule="auto"/>
        <w:jc w:val="center"/>
        <w:rPr>
          <w:rFonts w:hint="eastAsia" w:ascii="仿宋" w:hAnsi="仿宋" w:eastAsia="仿宋" w:cs="仿宋"/>
          <w:b/>
          <w:bCs/>
          <w:color w:val="auto"/>
          <w:sz w:val="24"/>
          <w:szCs w:val="24"/>
        </w:rPr>
      </w:pPr>
      <w:r>
        <w:rPr>
          <w:rFonts w:hint="eastAsia" w:ascii="仿宋" w:hAnsi="仿宋" w:eastAsia="仿宋" w:cs="仿宋"/>
          <w:b/>
          <w:color w:val="auto"/>
          <w:sz w:val="24"/>
          <w:szCs w:val="24"/>
        </w:rPr>
        <w:br w:type="page"/>
      </w:r>
    </w:p>
    <w:p w14:paraId="56E59B4C">
      <w:pPr>
        <w:spacing w:line="360" w:lineRule="auto"/>
        <w:jc w:val="center"/>
        <w:rPr>
          <w:rFonts w:hint="eastAsia" w:ascii="仿宋" w:hAnsi="仿宋" w:eastAsia="仿宋" w:cs="仿宋"/>
          <w:b/>
          <w:bCs/>
          <w:color w:val="auto"/>
          <w:sz w:val="32"/>
          <w:szCs w:val="32"/>
        </w:rPr>
        <w:sectPr>
          <w:pgSz w:w="16838" w:h="11906" w:orient="landscape"/>
          <w:pgMar w:top="1800" w:right="1440" w:bottom="1800" w:left="1440" w:header="851" w:footer="992" w:gutter="0"/>
          <w:pgNumType w:fmt="decimal"/>
          <w:cols w:space="425" w:num="1"/>
          <w:docGrid w:type="lines" w:linePitch="312" w:charSpace="0"/>
        </w:sectPr>
      </w:pPr>
    </w:p>
    <w:p w14:paraId="11A2C0A2">
      <w:pPr>
        <w:pStyle w:val="21"/>
        <w:rPr>
          <w:rFonts w:hint="eastAsia"/>
        </w:rPr>
      </w:pPr>
    </w:p>
    <w:p w14:paraId="79B3C11E">
      <w:pPr>
        <w:spacing w:line="360" w:lineRule="auto"/>
        <w:jc w:val="center"/>
        <w:rPr>
          <w:rFonts w:hint="eastAsia" w:ascii="仿宋" w:hAnsi="仿宋" w:eastAsia="仿宋" w:cs="仿宋"/>
          <w:color w:val="auto"/>
          <w:sz w:val="24"/>
          <w:szCs w:val="24"/>
        </w:rPr>
      </w:pPr>
      <w:r>
        <w:rPr>
          <w:rFonts w:hint="eastAsia" w:ascii="仿宋" w:hAnsi="仿宋" w:eastAsia="仿宋" w:cs="仿宋"/>
          <w:b/>
          <w:bCs/>
          <w:color w:val="auto"/>
          <w:sz w:val="32"/>
          <w:szCs w:val="32"/>
        </w:rPr>
        <w:t>四、残疾人福利性单位声明函</w:t>
      </w:r>
    </w:p>
    <w:p w14:paraId="7A2750F2">
      <w:pPr>
        <w:spacing w:line="360" w:lineRule="auto"/>
        <w:rPr>
          <w:rFonts w:hint="eastAsia" w:ascii="仿宋" w:hAnsi="仿宋" w:eastAsia="仿宋" w:cs="仿宋"/>
          <w:b/>
          <w:color w:val="auto"/>
          <w:spacing w:val="6"/>
          <w:sz w:val="24"/>
          <w:szCs w:val="24"/>
        </w:rPr>
      </w:pPr>
    </w:p>
    <w:p w14:paraId="22854AFA">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06A0C8">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14:paraId="40F4E9EA">
      <w:pPr>
        <w:spacing w:line="360" w:lineRule="auto"/>
        <w:ind w:firstLine="480" w:firstLineChars="200"/>
        <w:jc w:val="left"/>
        <w:rPr>
          <w:rFonts w:hint="eastAsia" w:ascii="仿宋" w:hAnsi="仿宋" w:eastAsia="仿宋" w:cs="仿宋"/>
          <w:color w:val="auto"/>
          <w:sz w:val="24"/>
          <w:szCs w:val="24"/>
        </w:rPr>
      </w:pPr>
    </w:p>
    <w:p w14:paraId="272A3C4C">
      <w:pPr>
        <w:spacing w:line="360" w:lineRule="auto"/>
        <w:ind w:firstLine="480" w:firstLineChars="200"/>
        <w:jc w:val="left"/>
        <w:rPr>
          <w:rFonts w:hint="eastAsia" w:ascii="仿宋" w:hAnsi="仿宋" w:eastAsia="仿宋" w:cs="仿宋"/>
          <w:color w:val="auto"/>
          <w:sz w:val="24"/>
          <w:szCs w:val="24"/>
        </w:rPr>
      </w:pPr>
    </w:p>
    <w:p w14:paraId="52BD6A38">
      <w:pPr>
        <w:adjustRightInd w:val="0"/>
        <w:spacing w:line="360" w:lineRule="auto"/>
        <w:ind w:firstLine="2400" w:firstLineChars="10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法定代表人或其授权委托人（签名或印章）：</w:t>
      </w:r>
    </w:p>
    <w:p w14:paraId="560FC2EB">
      <w:pPr>
        <w:adjustRightInd w:val="0"/>
        <w:spacing w:line="360" w:lineRule="auto"/>
        <w:ind w:firstLine="3840" w:firstLineChars="1600"/>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投标人（盖章）：</w:t>
      </w:r>
    </w:p>
    <w:p w14:paraId="6D47FE97">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w:t>
      </w:r>
    </w:p>
    <w:p w14:paraId="1CF4A44D">
      <w:pPr>
        <w:spacing w:line="360" w:lineRule="auto"/>
        <w:ind w:firstLine="482" w:firstLineChars="200"/>
        <w:jc w:val="left"/>
        <w:rPr>
          <w:rFonts w:hint="eastAsia" w:ascii="仿宋" w:hAnsi="仿宋" w:eastAsia="仿宋" w:cs="仿宋"/>
          <w:b/>
          <w:color w:val="auto"/>
          <w:sz w:val="24"/>
          <w:szCs w:val="24"/>
        </w:rPr>
      </w:pPr>
    </w:p>
    <w:p w14:paraId="17F368A1">
      <w:pPr>
        <w:spacing w:line="360" w:lineRule="auto"/>
        <w:rPr>
          <w:rFonts w:hint="eastAsia" w:ascii="仿宋" w:hAnsi="仿宋" w:eastAsia="仿宋" w:cs="仿宋"/>
          <w:b/>
          <w:color w:val="auto"/>
          <w:sz w:val="24"/>
          <w:szCs w:val="24"/>
        </w:rPr>
      </w:pPr>
    </w:p>
    <w:p w14:paraId="2FC1EEB9">
      <w:pPr>
        <w:numPr>
          <w:ilvl w:val="0"/>
          <w:numId w:val="9"/>
        </w:num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24"/>
          <w:szCs w:val="24"/>
        </w:rPr>
        <w:br w:type="page"/>
      </w:r>
      <w:r>
        <w:rPr>
          <w:rFonts w:hint="eastAsia" w:ascii="仿宋" w:hAnsi="仿宋" w:eastAsia="仿宋" w:cs="仿宋"/>
          <w:b/>
          <w:color w:val="auto"/>
          <w:spacing w:val="6"/>
          <w:sz w:val="32"/>
          <w:szCs w:val="32"/>
        </w:rPr>
        <w:t>政府采购统计基础信息表</w:t>
      </w:r>
    </w:p>
    <w:p w14:paraId="2AB61BB4">
      <w:pPr>
        <w:pStyle w:val="30"/>
        <w:spacing w:line="360" w:lineRule="auto"/>
        <w:ind w:firstLine="0" w:firstLineChars="0"/>
        <w:rPr>
          <w:rFonts w:hint="eastAsia" w:ascii="仿宋" w:hAnsi="仿宋" w:eastAsia="仿宋" w:cs="仿宋"/>
          <w:color w:val="auto"/>
          <w:sz w:val="24"/>
          <w:szCs w:val="24"/>
        </w:rPr>
      </w:pPr>
    </w:p>
    <w:tbl>
      <w:tblPr>
        <w:tblStyle w:val="23"/>
        <w:tblW w:w="8537" w:type="dxa"/>
        <w:jc w:val="center"/>
        <w:tblLayout w:type="fixed"/>
        <w:tblCellMar>
          <w:top w:w="0" w:type="dxa"/>
          <w:left w:w="108" w:type="dxa"/>
          <w:bottom w:w="0" w:type="dxa"/>
          <w:right w:w="108" w:type="dxa"/>
        </w:tblCellMar>
      </w:tblPr>
      <w:tblGrid>
        <w:gridCol w:w="4998"/>
        <w:gridCol w:w="3539"/>
      </w:tblGrid>
      <w:tr w14:paraId="63CEAD9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E447449">
            <w:pPr>
              <w:adjustRightIn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采购人及采购项目名称</w:t>
            </w:r>
          </w:p>
        </w:tc>
        <w:tc>
          <w:tcPr>
            <w:tcW w:w="3539" w:type="dxa"/>
            <w:tcBorders>
              <w:top w:val="single" w:color="000000" w:sz="4" w:space="0"/>
              <w:left w:val="nil"/>
              <w:bottom w:val="single" w:color="000000" w:sz="4" w:space="0"/>
              <w:right w:val="single" w:color="000000" w:sz="4" w:space="0"/>
            </w:tcBorders>
          </w:tcPr>
          <w:p w14:paraId="62060D9C">
            <w:pPr>
              <w:spacing w:line="360" w:lineRule="auto"/>
              <w:rPr>
                <w:rFonts w:hint="eastAsia" w:ascii="仿宋" w:hAnsi="仿宋" w:eastAsia="仿宋" w:cs="仿宋"/>
                <w:color w:val="auto"/>
                <w:sz w:val="24"/>
                <w:szCs w:val="24"/>
              </w:rPr>
            </w:pPr>
          </w:p>
        </w:tc>
      </w:tr>
      <w:tr w14:paraId="362F933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D7768E0">
            <w:pPr>
              <w:adjustRightIn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投标单位名称</w:t>
            </w:r>
          </w:p>
        </w:tc>
        <w:tc>
          <w:tcPr>
            <w:tcW w:w="3539" w:type="dxa"/>
            <w:tcBorders>
              <w:top w:val="single" w:color="000000" w:sz="4" w:space="0"/>
              <w:left w:val="nil"/>
              <w:bottom w:val="single" w:color="000000" w:sz="4" w:space="0"/>
              <w:right w:val="single" w:color="000000" w:sz="4" w:space="0"/>
            </w:tcBorders>
          </w:tcPr>
          <w:p w14:paraId="1EFCE100">
            <w:pPr>
              <w:spacing w:line="360" w:lineRule="auto"/>
              <w:rPr>
                <w:rFonts w:hint="eastAsia" w:ascii="仿宋" w:hAnsi="仿宋" w:eastAsia="仿宋" w:cs="仿宋"/>
                <w:color w:val="auto"/>
                <w:sz w:val="24"/>
                <w:szCs w:val="24"/>
              </w:rPr>
            </w:pPr>
          </w:p>
        </w:tc>
      </w:tr>
      <w:tr w14:paraId="3115A74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A3A1043">
            <w:pPr>
              <w:adjustRightIn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投标单位是否为外商投资企业</w:t>
            </w:r>
          </w:p>
        </w:tc>
        <w:tc>
          <w:tcPr>
            <w:tcW w:w="3539" w:type="dxa"/>
            <w:tcBorders>
              <w:top w:val="single" w:color="000000" w:sz="4" w:space="0"/>
              <w:left w:val="nil"/>
              <w:bottom w:val="single" w:color="000000" w:sz="4" w:space="0"/>
              <w:right w:val="single" w:color="000000" w:sz="4" w:space="0"/>
            </w:tcBorders>
          </w:tcPr>
          <w:p w14:paraId="11D34347">
            <w:pPr>
              <w:spacing w:line="360" w:lineRule="auto"/>
              <w:rPr>
                <w:rFonts w:hint="eastAsia" w:ascii="仿宋" w:hAnsi="仿宋" w:eastAsia="仿宋" w:cs="仿宋"/>
                <w:color w:val="auto"/>
                <w:sz w:val="24"/>
                <w:szCs w:val="24"/>
              </w:rPr>
            </w:pPr>
          </w:p>
        </w:tc>
      </w:tr>
      <w:tr w14:paraId="5AEE030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6C5CDBC">
            <w:pPr>
              <w:adjustRightIn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投标单位是否为宁波企业</w:t>
            </w:r>
          </w:p>
        </w:tc>
        <w:tc>
          <w:tcPr>
            <w:tcW w:w="3539" w:type="dxa"/>
            <w:tcBorders>
              <w:top w:val="single" w:color="000000" w:sz="4" w:space="0"/>
              <w:left w:val="nil"/>
              <w:bottom w:val="single" w:color="000000" w:sz="4" w:space="0"/>
              <w:right w:val="single" w:color="000000" w:sz="4" w:space="0"/>
            </w:tcBorders>
          </w:tcPr>
          <w:p w14:paraId="3D92BF37">
            <w:pPr>
              <w:spacing w:line="360" w:lineRule="auto"/>
              <w:rPr>
                <w:rFonts w:hint="eastAsia" w:ascii="仿宋" w:hAnsi="仿宋" w:eastAsia="仿宋" w:cs="仿宋"/>
                <w:color w:val="auto"/>
                <w:sz w:val="24"/>
                <w:szCs w:val="24"/>
              </w:rPr>
            </w:pPr>
          </w:p>
        </w:tc>
      </w:tr>
      <w:tr w14:paraId="3726F21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DAC3EB7">
            <w:pPr>
              <w:adjustRightIn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1BE3107C">
            <w:pPr>
              <w:spacing w:line="360" w:lineRule="auto"/>
              <w:rPr>
                <w:rFonts w:hint="eastAsia" w:ascii="仿宋" w:hAnsi="仿宋" w:eastAsia="仿宋" w:cs="仿宋"/>
                <w:color w:val="auto"/>
                <w:sz w:val="24"/>
                <w:szCs w:val="24"/>
              </w:rPr>
            </w:pPr>
          </w:p>
        </w:tc>
      </w:tr>
      <w:tr w14:paraId="6305CB1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20E961A">
            <w:pPr>
              <w:adjustRightIn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38F47939">
            <w:pPr>
              <w:spacing w:line="360" w:lineRule="auto"/>
              <w:rPr>
                <w:rFonts w:hint="eastAsia" w:ascii="仿宋" w:hAnsi="仿宋" w:eastAsia="仿宋" w:cs="仿宋"/>
                <w:color w:val="auto"/>
                <w:sz w:val="24"/>
                <w:szCs w:val="24"/>
              </w:rPr>
            </w:pPr>
          </w:p>
        </w:tc>
      </w:tr>
      <w:tr w14:paraId="311DA1D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9080AC1">
            <w:pPr>
              <w:adjustRightIn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货物原产地国别</w:t>
            </w:r>
          </w:p>
        </w:tc>
        <w:tc>
          <w:tcPr>
            <w:tcW w:w="3539" w:type="dxa"/>
            <w:tcBorders>
              <w:top w:val="single" w:color="000000" w:sz="4" w:space="0"/>
              <w:left w:val="nil"/>
              <w:bottom w:val="single" w:color="000000" w:sz="4" w:space="0"/>
              <w:right w:val="single" w:color="000000" w:sz="4" w:space="0"/>
            </w:tcBorders>
          </w:tcPr>
          <w:p w14:paraId="7D6DBC49">
            <w:pPr>
              <w:spacing w:line="360" w:lineRule="auto"/>
              <w:rPr>
                <w:rFonts w:hint="eastAsia" w:ascii="仿宋" w:hAnsi="仿宋" w:eastAsia="仿宋" w:cs="仿宋"/>
                <w:color w:val="auto"/>
                <w:sz w:val="24"/>
                <w:szCs w:val="24"/>
              </w:rPr>
            </w:pPr>
          </w:p>
        </w:tc>
      </w:tr>
      <w:tr w14:paraId="7DB3620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B6913FA">
            <w:pPr>
              <w:adjustRightIn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0D79DBED">
            <w:pPr>
              <w:spacing w:line="360" w:lineRule="auto"/>
              <w:rPr>
                <w:rFonts w:hint="eastAsia" w:ascii="仿宋" w:hAnsi="仿宋" w:eastAsia="仿宋" w:cs="仿宋"/>
                <w:color w:val="auto"/>
                <w:sz w:val="24"/>
                <w:szCs w:val="24"/>
              </w:rPr>
            </w:pPr>
          </w:p>
        </w:tc>
      </w:tr>
      <w:tr w14:paraId="3BC3932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CBDB43C">
            <w:pPr>
              <w:adjustRightIn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6A44A41B">
            <w:pPr>
              <w:spacing w:line="360" w:lineRule="auto"/>
              <w:rPr>
                <w:rFonts w:hint="eastAsia" w:ascii="仿宋" w:hAnsi="仿宋" w:eastAsia="仿宋" w:cs="仿宋"/>
                <w:color w:val="auto"/>
                <w:sz w:val="24"/>
                <w:szCs w:val="24"/>
              </w:rPr>
            </w:pPr>
          </w:p>
        </w:tc>
      </w:tr>
      <w:tr w14:paraId="1804F3A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9CB74EB">
            <w:pPr>
              <w:adjustRightIn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4F3E3D89">
            <w:pPr>
              <w:spacing w:line="360" w:lineRule="auto"/>
              <w:rPr>
                <w:rFonts w:hint="eastAsia" w:ascii="仿宋" w:hAnsi="仿宋" w:eastAsia="仿宋" w:cs="仿宋"/>
                <w:color w:val="auto"/>
                <w:sz w:val="24"/>
                <w:szCs w:val="24"/>
              </w:rPr>
            </w:pPr>
          </w:p>
        </w:tc>
      </w:tr>
    </w:tbl>
    <w:p w14:paraId="65ED9A92">
      <w:pPr>
        <w:adjustRightInd w:val="0"/>
        <w:spacing w:line="360" w:lineRule="auto"/>
        <w:jc w:val="left"/>
        <w:rPr>
          <w:rFonts w:hint="eastAsia" w:ascii="仿宋" w:hAnsi="仿宋" w:eastAsia="仿宋" w:cs="仿宋"/>
          <w:color w:val="auto"/>
          <w:sz w:val="24"/>
          <w:szCs w:val="24"/>
        </w:rPr>
      </w:pPr>
    </w:p>
    <w:p w14:paraId="6D0EDB69">
      <w:pPr>
        <w:adjustRightIn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备注：请各投标人务必填写此表作为投标文件的组成部分。</w:t>
      </w:r>
    </w:p>
    <w:p w14:paraId="331480E6">
      <w:pPr>
        <w:adjustRightInd w:val="0"/>
        <w:spacing w:line="360" w:lineRule="auto"/>
        <w:jc w:val="left"/>
        <w:rPr>
          <w:rFonts w:hint="eastAsia" w:ascii="仿宋" w:hAnsi="仿宋" w:eastAsia="仿宋" w:cs="仿宋"/>
          <w:color w:val="auto"/>
          <w:sz w:val="24"/>
          <w:szCs w:val="24"/>
        </w:rPr>
      </w:pPr>
    </w:p>
    <w:p w14:paraId="7DE49697">
      <w:pPr>
        <w:adjustRightInd w:val="0"/>
        <w:spacing w:line="360" w:lineRule="auto"/>
        <w:jc w:val="left"/>
        <w:rPr>
          <w:rFonts w:hint="eastAsia" w:ascii="仿宋" w:hAnsi="仿宋" w:eastAsia="仿宋" w:cs="仿宋"/>
          <w:color w:val="auto"/>
          <w:sz w:val="24"/>
          <w:szCs w:val="24"/>
        </w:rPr>
      </w:pPr>
    </w:p>
    <w:p w14:paraId="2B1F3AEE">
      <w:pPr>
        <w:adjustRightInd w:val="0"/>
        <w:spacing w:line="360" w:lineRule="auto"/>
        <w:ind w:firstLine="2400" w:firstLineChars="1000"/>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法定代表人或其授权委托人（签名或印章）：</w:t>
      </w:r>
    </w:p>
    <w:p w14:paraId="19606130">
      <w:pPr>
        <w:adjustRightInd w:val="0"/>
        <w:spacing w:line="360" w:lineRule="auto"/>
        <w:ind w:firstLine="2400" w:firstLineChars="1000"/>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投标人（盖章）：</w:t>
      </w:r>
    </w:p>
    <w:p w14:paraId="674BD9D7">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D7E9F">
    <w:pPr>
      <w:pStyle w:val="15"/>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64818">
                          <w:pPr>
                            <w:pStyle w:val="1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7464818">
                    <w:pPr>
                      <w:pStyle w:val="1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1285FD5">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A8CE8">
    <w:pPr>
      <w:pStyle w:val="15"/>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0D716">
                          <w:pPr>
                            <w:pStyle w:val="1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EB0D716">
                    <w:pPr>
                      <w:pStyle w:val="1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23161C0">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DC923">
    <w:pPr>
      <w:pStyle w:val="15"/>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2F4D1">
                          <w:pPr>
                            <w:pStyle w:val="1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1C2F4D1">
                    <w:pPr>
                      <w:pStyle w:val="1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F08E396">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92FFE">
    <w:pPr>
      <w:pStyle w:val="15"/>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5C3F3">
                          <w:pPr>
                            <w:pStyle w:val="1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3E5C3F3">
                    <w:pPr>
                      <w:pStyle w:val="15"/>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F31D60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9A48">
    <w:pPr>
      <w:pStyle w:val="16"/>
      <w:pBdr>
        <w:bottom w:val="none" w:color="auto" w:sz="0" w:space="0"/>
      </w:pBdr>
      <w:jc w:val="right"/>
      <w:rPr>
        <w:rFonts w:ascii="仿宋_GB2312" w:eastAsia="仿宋_GB2312"/>
        <w:b/>
        <w:i/>
        <w:u w:val="single"/>
      </w:rPr>
    </w:pPr>
    <w:r>
      <w:t></w:t>
    </w:r>
    <w:r>
      <w:rPr>
        <w:rFonts w:hint="eastAsia"/>
      </w:rPr>
      <w:t xml:space="preserve">                                               </w:t>
    </w:r>
  </w:p>
  <w:p w14:paraId="35DA6337">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AFD8A">
    <w:pPr>
      <w:pStyle w:val="16"/>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C947E">
    <w:pPr>
      <w:pStyle w:val="16"/>
      <w:jc w:val="right"/>
      <w:rPr>
        <w:rFonts w:ascii="仿宋_GB2312" w:eastAsia="仿宋_GB2312"/>
        <w:b/>
        <w:i/>
        <w:u w:val="single"/>
      </w:rPr>
    </w:pPr>
    <w:r>
      <w:rPr>
        <w:rFonts w:hint="eastAsia"/>
      </w:rPr>
      <w:t xml:space="preserve">                                 </w:t>
    </w:r>
  </w:p>
  <w:p w14:paraId="33E756E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0561A">
    <w:pPr>
      <w:pStyle w:val="16"/>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D0A89912"/>
    <w:multiLevelType w:val="singleLevel"/>
    <w:tmpl w:val="D0A89912"/>
    <w:lvl w:ilvl="0" w:tentative="0">
      <w:start w:val="3"/>
      <w:numFmt w:val="chineseCounting"/>
      <w:suff w:val="nothing"/>
      <w:lvlText w:val="%1、"/>
      <w:lvlJc w:val="left"/>
      <w:rPr>
        <w:rFonts w:hint="eastAsia"/>
      </w:rPr>
    </w:lvl>
  </w:abstractNum>
  <w:abstractNum w:abstractNumId="3">
    <w:nsid w:val="E71DA5CC"/>
    <w:multiLevelType w:val="singleLevel"/>
    <w:tmpl w:val="E71DA5CC"/>
    <w:lvl w:ilvl="0" w:tentative="0">
      <w:start w:val="3"/>
      <w:numFmt w:val="decimal"/>
      <w:suff w:val="nothing"/>
      <w:lvlText w:val="%1、"/>
      <w:lvlJc w:val="left"/>
    </w:lvl>
  </w:abstractNum>
  <w:abstractNum w:abstractNumId="4">
    <w:nsid w:val="F61DCE0B"/>
    <w:multiLevelType w:val="singleLevel"/>
    <w:tmpl w:val="F61DCE0B"/>
    <w:lvl w:ilvl="0" w:tentative="0">
      <w:start w:val="2"/>
      <w:numFmt w:val="decimal"/>
      <w:suff w:val="nothing"/>
      <w:lvlText w:val="%1、"/>
      <w:lvlJc w:val="left"/>
    </w:lvl>
  </w:abstractNum>
  <w:abstractNum w:abstractNumId="5">
    <w:nsid w:val="FD600B4F"/>
    <w:multiLevelType w:val="singleLevel"/>
    <w:tmpl w:val="FD600B4F"/>
    <w:lvl w:ilvl="0" w:tentative="0">
      <w:start w:val="11"/>
      <w:numFmt w:val="decimal"/>
      <w:suff w:val="nothing"/>
      <w:lvlText w:val="%1、"/>
      <w:lvlJc w:val="left"/>
    </w:lvl>
  </w:abstractNum>
  <w:abstractNum w:abstractNumId="6">
    <w:nsid w:val="02146711"/>
    <w:multiLevelType w:val="multilevel"/>
    <w:tmpl w:val="02146711"/>
    <w:lvl w:ilvl="0" w:tentative="0">
      <w:start w:val="1"/>
      <w:numFmt w:val="decimal"/>
      <w:pStyle w:val="4"/>
      <w:suff w:val="space"/>
      <w:lvlText w:val="%1  "/>
      <w:lvlJc w:val="left"/>
      <w:pPr>
        <w:ind w:left="0" w:firstLine="0"/>
      </w:pPr>
      <w:rPr>
        <w:rFonts w:hint="default" w:ascii="Times New Roman" w:hAnsi="Times New Roman" w:eastAsia="黑体"/>
        <w:b/>
        <w:i w:val="0"/>
        <w:vanish w:val="0"/>
        <w:sz w:val="32"/>
      </w:rPr>
    </w:lvl>
    <w:lvl w:ilvl="1" w:tentative="0">
      <w:start w:val="1"/>
      <w:numFmt w:val="decimal"/>
      <w:suff w:val="space"/>
      <w:lvlText w:val="%1.%2  "/>
      <w:lvlJc w:val="left"/>
      <w:pPr>
        <w:ind w:left="0" w:firstLine="0"/>
      </w:pPr>
      <w:rPr>
        <w:rFonts w:hint="default" w:ascii="Times New Roman" w:hAnsi="Times New Roman" w:eastAsia="宋体"/>
        <w:b/>
        <w:i w:val="0"/>
        <w:sz w:val="30"/>
      </w:rPr>
    </w:lvl>
    <w:lvl w:ilvl="2" w:tentative="0">
      <w:start w:val="1"/>
      <w:numFmt w:val="decimal"/>
      <w:suff w:val="space"/>
      <w:lvlText w:val="%1.%2.%3 "/>
      <w:lvlJc w:val="left"/>
      <w:pPr>
        <w:ind w:left="0" w:firstLine="0"/>
      </w:pPr>
      <w:rPr>
        <w:rFonts w:hint="default" w:ascii="Times New Roman" w:hAnsi="Times New Roman" w:eastAsia="宋体"/>
        <w:b/>
        <w:i w:val="0"/>
        <w:sz w:val="28"/>
      </w:rPr>
    </w:lvl>
    <w:lvl w:ilvl="3" w:tentative="0">
      <w:start w:val="1"/>
      <w:numFmt w:val="decimal"/>
      <w:suff w:val="space"/>
      <w:lvlText w:val="%1.%2.%3.%4 "/>
      <w:lvlJc w:val="left"/>
      <w:rPr>
        <w:rFonts w:hint="default" w:ascii="Times New Roman" w:hAnsi="Times New Roman" w:eastAsia="宋体" w:cs="Times New Roman"/>
        <w:b/>
        <w:bCs w:val="0"/>
        <w:i w:val="0"/>
        <w:iCs w:val="0"/>
        <w:caps w:val="0"/>
        <w:smallCaps w:val="0"/>
        <w:strike w:val="0"/>
        <w:dstrike w:val="0"/>
        <w:vanish w:val="0"/>
        <w:color w:val="000000"/>
        <w:spacing w:val="0"/>
        <w:position w:val="0"/>
        <w:sz w:val="28"/>
        <w:u w:val="none"/>
        <w:vertAlign w:val="baseline"/>
        <w:lang w:bidi="zh-CN"/>
        <w14:shadow w14:blurRad="0" w14:dist="0" w14:dir="0" w14:sx="0" w14:sy="0" w14:kx="0" w14:ky="0" w14:algn="none">
          <w14:srgbClr w14:val="000000"/>
        </w14:shadow>
        <w14:ligatures w14:val="none"/>
        <w14:numForm w14:val="default"/>
        <w14:numSpacing w14:val="default"/>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7">
    <w:nsid w:val="123E854A"/>
    <w:multiLevelType w:val="singleLevel"/>
    <w:tmpl w:val="123E854A"/>
    <w:lvl w:ilvl="0" w:tentative="0">
      <w:start w:val="3"/>
      <w:numFmt w:val="chineseCounting"/>
      <w:suff w:val="space"/>
      <w:lvlText w:val="第%1部分"/>
      <w:lvlJc w:val="left"/>
      <w:rPr>
        <w:rFonts w:hint="eastAsia"/>
      </w:rPr>
    </w:lvl>
  </w:abstractNum>
  <w:abstractNum w:abstractNumId="8">
    <w:nsid w:val="495C2BCE"/>
    <w:multiLevelType w:val="singleLevel"/>
    <w:tmpl w:val="495C2BCE"/>
    <w:lvl w:ilvl="0" w:tentative="0">
      <w:start w:val="1"/>
      <w:numFmt w:val="chineseCounting"/>
      <w:suff w:val="nothing"/>
      <w:lvlText w:val="%1、"/>
      <w:lvlJc w:val="left"/>
      <w:pPr>
        <w:ind w:left="210"/>
      </w:pPr>
      <w:rPr>
        <w:rFonts w:hint="eastAsia"/>
      </w:rPr>
    </w:lvl>
  </w:abstractNum>
  <w:num w:numId="1">
    <w:abstractNumId w:val="6"/>
  </w:num>
  <w:num w:numId="2">
    <w:abstractNumId w:val="1"/>
  </w:num>
  <w:num w:numId="3">
    <w:abstractNumId w:val="7"/>
  </w:num>
  <w:num w:numId="4">
    <w:abstractNumId w:val="3"/>
  </w:num>
  <w:num w:numId="5">
    <w:abstractNumId w:val="2"/>
  </w:num>
  <w:num w:numId="6">
    <w:abstractNumId w:val="4"/>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2ZjcxNmM2MGY1ZjUwMzExZTc2YTkxYzM2ZTM5NTQifQ=="/>
  </w:docVars>
  <w:rsids>
    <w:rsidRoot w:val="00982EB4"/>
    <w:rsid w:val="00013712"/>
    <w:rsid w:val="00016734"/>
    <w:rsid w:val="000331D4"/>
    <w:rsid w:val="00061CE1"/>
    <w:rsid w:val="00095D46"/>
    <w:rsid w:val="000E448A"/>
    <w:rsid w:val="000E4837"/>
    <w:rsid w:val="000F198F"/>
    <w:rsid w:val="000F5215"/>
    <w:rsid w:val="001553AB"/>
    <w:rsid w:val="001716B0"/>
    <w:rsid w:val="001B2FBB"/>
    <w:rsid w:val="001C1283"/>
    <w:rsid w:val="001F3EFC"/>
    <w:rsid w:val="00211F77"/>
    <w:rsid w:val="00215736"/>
    <w:rsid w:val="00223803"/>
    <w:rsid w:val="0024092E"/>
    <w:rsid w:val="00257FDF"/>
    <w:rsid w:val="0027141A"/>
    <w:rsid w:val="00280902"/>
    <w:rsid w:val="002936BF"/>
    <w:rsid w:val="002F37D4"/>
    <w:rsid w:val="003549BF"/>
    <w:rsid w:val="00374B04"/>
    <w:rsid w:val="003773A8"/>
    <w:rsid w:val="003874A0"/>
    <w:rsid w:val="00395F00"/>
    <w:rsid w:val="00452381"/>
    <w:rsid w:val="00452882"/>
    <w:rsid w:val="00473DDC"/>
    <w:rsid w:val="004A3340"/>
    <w:rsid w:val="004C3E57"/>
    <w:rsid w:val="004E23EB"/>
    <w:rsid w:val="004E36CD"/>
    <w:rsid w:val="005047BD"/>
    <w:rsid w:val="00507B69"/>
    <w:rsid w:val="00545EB5"/>
    <w:rsid w:val="00550EE6"/>
    <w:rsid w:val="005537BE"/>
    <w:rsid w:val="00555D80"/>
    <w:rsid w:val="005574FC"/>
    <w:rsid w:val="005657F7"/>
    <w:rsid w:val="005B0674"/>
    <w:rsid w:val="005B09B1"/>
    <w:rsid w:val="005D37FA"/>
    <w:rsid w:val="0065305C"/>
    <w:rsid w:val="0065579D"/>
    <w:rsid w:val="00673D9C"/>
    <w:rsid w:val="00686437"/>
    <w:rsid w:val="00693366"/>
    <w:rsid w:val="006A264B"/>
    <w:rsid w:val="006A5039"/>
    <w:rsid w:val="006B593D"/>
    <w:rsid w:val="006C3311"/>
    <w:rsid w:val="006D63C7"/>
    <w:rsid w:val="00706C27"/>
    <w:rsid w:val="00724552"/>
    <w:rsid w:val="00764A69"/>
    <w:rsid w:val="00773362"/>
    <w:rsid w:val="007C717F"/>
    <w:rsid w:val="007E5A2D"/>
    <w:rsid w:val="008232A9"/>
    <w:rsid w:val="0083502E"/>
    <w:rsid w:val="00886BF0"/>
    <w:rsid w:val="008917B0"/>
    <w:rsid w:val="00893B67"/>
    <w:rsid w:val="008B0252"/>
    <w:rsid w:val="008C7259"/>
    <w:rsid w:val="008F739E"/>
    <w:rsid w:val="009024C2"/>
    <w:rsid w:val="00956F19"/>
    <w:rsid w:val="00982EB4"/>
    <w:rsid w:val="00995301"/>
    <w:rsid w:val="009F5B94"/>
    <w:rsid w:val="00A23DA0"/>
    <w:rsid w:val="00A641FB"/>
    <w:rsid w:val="00AF5749"/>
    <w:rsid w:val="00B22BA0"/>
    <w:rsid w:val="00B3449C"/>
    <w:rsid w:val="00B408F1"/>
    <w:rsid w:val="00B42329"/>
    <w:rsid w:val="00BA7F9C"/>
    <w:rsid w:val="00BE5E52"/>
    <w:rsid w:val="00BE678C"/>
    <w:rsid w:val="00BF605B"/>
    <w:rsid w:val="00C36B5B"/>
    <w:rsid w:val="00C56A2B"/>
    <w:rsid w:val="00C67857"/>
    <w:rsid w:val="00C73083"/>
    <w:rsid w:val="00C82E86"/>
    <w:rsid w:val="00CB17EC"/>
    <w:rsid w:val="00CE0EE9"/>
    <w:rsid w:val="00CF24DB"/>
    <w:rsid w:val="00D40DC8"/>
    <w:rsid w:val="00D62310"/>
    <w:rsid w:val="00D63154"/>
    <w:rsid w:val="00D75034"/>
    <w:rsid w:val="00D75BB4"/>
    <w:rsid w:val="00DC37C0"/>
    <w:rsid w:val="00DF259A"/>
    <w:rsid w:val="00DF7E6B"/>
    <w:rsid w:val="00E23AD0"/>
    <w:rsid w:val="00E80BD5"/>
    <w:rsid w:val="00EB2459"/>
    <w:rsid w:val="00EB25A8"/>
    <w:rsid w:val="00EC3260"/>
    <w:rsid w:val="00ED669C"/>
    <w:rsid w:val="00F0217B"/>
    <w:rsid w:val="00F128C1"/>
    <w:rsid w:val="00F36900"/>
    <w:rsid w:val="00F4077A"/>
    <w:rsid w:val="00F51917"/>
    <w:rsid w:val="00F60919"/>
    <w:rsid w:val="00F85EC7"/>
    <w:rsid w:val="00FD3F44"/>
    <w:rsid w:val="00FF2980"/>
    <w:rsid w:val="00FF710F"/>
    <w:rsid w:val="00FF796A"/>
    <w:rsid w:val="010F7FF3"/>
    <w:rsid w:val="011473B7"/>
    <w:rsid w:val="01183AF9"/>
    <w:rsid w:val="011E1FE4"/>
    <w:rsid w:val="01272691"/>
    <w:rsid w:val="012F05BA"/>
    <w:rsid w:val="014541E2"/>
    <w:rsid w:val="014852B3"/>
    <w:rsid w:val="0159387C"/>
    <w:rsid w:val="015E2478"/>
    <w:rsid w:val="016F0A91"/>
    <w:rsid w:val="017B11E4"/>
    <w:rsid w:val="017B2F92"/>
    <w:rsid w:val="017B5688"/>
    <w:rsid w:val="018F7B25"/>
    <w:rsid w:val="01AA5217"/>
    <w:rsid w:val="01B34E22"/>
    <w:rsid w:val="01C34939"/>
    <w:rsid w:val="01DF5C17"/>
    <w:rsid w:val="01E2506A"/>
    <w:rsid w:val="01F25007"/>
    <w:rsid w:val="022B1413"/>
    <w:rsid w:val="023B4ADE"/>
    <w:rsid w:val="02426474"/>
    <w:rsid w:val="024A1CD6"/>
    <w:rsid w:val="026003DA"/>
    <w:rsid w:val="026305F6"/>
    <w:rsid w:val="02654FC5"/>
    <w:rsid w:val="027619AC"/>
    <w:rsid w:val="027D4AB0"/>
    <w:rsid w:val="02816CCE"/>
    <w:rsid w:val="029307AF"/>
    <w:rsid w:val="029C4A8E"/>
    <w:rsid w:val="02A24E56"/>
    <w:rsid w:val="02A76009"/>
    <w:rsid w:val="02AE7397"/>
    <w:rsid w:val="02B81FC4"/>
    <w:rsid w:val="02CE3596"/>
    <w:rsid w:val="02D212D8"/>
    <w:rsid w:val="02EB16F6"/>
    <w:rsid w:val="03004097"/>
    <w:rsid w:val="030D05E2"/>
    <w:rsid w:val="03265180"/>
    <w:rsid w:val="032F04D8"/>
    <w:rsid w:val="034F0B7A"/>
    <w:rsid w:val="03562627"/>
    <w:rsid w:val="036208AE"/>
    <w:rsid w:val="037253C8"/>
    <w:rsid w:val="0385459C"/>
    <w:rsid w:val="03863E70"/>
    <w:rsid w:val="03936CB9"/>
    <w:rsid w:val="03CA534F"/>
    <w:rsid w:val="03E219EE"/>
    <w:rsid w:val="03E24E30"/>
    <w:rsid w:val="03E4344E"/>
    <w:rsid w:val="03FE079C"/>
    <w:rsid w:val="03FE5C97"/>
    <w:rsid w:val="040A279A"/>
    <w:rsid w:val="041422E0"/>
    <w:rsid w:val="04387860"/>
    <w:rsid w:val="04447089"/>
    <w:rsid w:val="045049A2"/>
    <w:rsid w:val="04506958"/>
    <w:rsid w:val="0452103A"/>
    <w:rsid w:val="046643CE"/>
    <w:rsid w:val="046F0E1D"/>
    <w:rsid w:val="04820ADC"/>
    <w:rsid w:val="04C66C1A"/>
    <w:rsid w:val="04D74A36"/>
    <w:rsid w:val="04E62E18"/>
    <w:rsid w:val="04E80917"/>
    <w:rsid w:val="04E9446D"/>
    <w:rsid w:val="04F374C7"/>
    <w:rsid w:val="04F543DF"/>
    <w:rsid w:val="05020092"/>
    <w:rsid w:val="05085485"/>
    <w:rsid w:val="050B0C29"/>
    <w:rsid w:val="051060E7"/>
    <w:rsid w:val="051931EE"/>
    <w:rsid w:val="052851DF"/>
    <w:rsid w:val="052B1430"/>
    <w:rsid w:val="052E1A8A"/>
    <w:rsid w:val="05410997"/>
    <w:rsid w:val="0560454A"/>
    <w:rsid w:val="056A57F8"/>
    <w:rsid w:val="05706B86"/>
    <w:rsid w:val="0571302A"/>
    <w:rsid w:val="05AF1B60"/>
    <w:rsid w:val="05BF652E"/>
    <w:rsid w:val="05D00928"/>
    <w:rsid w:val="05D23739"/>
    <w:rsid w:val="05DB4947"/>
    <w:rsid w:val="05EC0FC1"/>
    <w:rsid w:val="05EE467B"/>
    <w:rsid w:val="05F96B7B"/>
    <w:rsid w:val="060A39A8"/>
    <w:rsid w:val="060E6C4F"/>
    <w:rsid w:val="062E2CC9"/>
    <w:rsid w:val="06514B7E"/>
    <w:rsid w:val="066849C1"/>
    <w:rsid w:val="06711B23"/>
    <w:rsid w:val="067D6961"/>
    <w:rsid w:val="068E19BA"/>
    <w:rsid w:val="069778EF"/>
    <w:rsid w:val="069C4406"/>
    <w:rsid w:val="06A21E31"/>
    <w:rsid w:val="06B56F46"/>
    <w:rsid w:val="06BC02D5"/>
    <w:rsid w:val="06CB676A"/>
    <w:rsid w:val="06CE6EF4"/>
    <w:rsid w:val="06DA69AD"/>
    <w:rsid w:val="06EF2DF4"/>
    <w:rsid w:val="06FE6B3F"/>
    <w:rsid w:val="07047ECE"/>
    <w:rsid w:val="071023CF"/>
    <w:rsid w:val="074D53D1"/>
    <w:rsid w:val="076F5347"/>
    <w:rsid w:val="077B6475"/>
    <w:rsid w:val="078D3A1F"/>
    <w:rsid w:val="07966D78"/>
    <w:rsid w:val="07B45450"/>
    <w:rsid w:val="07B74F40"/>
    <w:rsid w:val="07BB67DE"/>
    <w:rsid w:val="07D2310B"/>
    <w:rsid w:val="07E37AE3"/>
    <w:rsid w:val="07F320C8"/>
    <w:rsid w:val="08067B76"/>
    <w:rsid w:val="080F2686"/>
    <w:rsid w:val="08101385"/>
    <w:rsid w:val="0811119F"/>
    <w:rsid w:val="083640B7"/>
    <w:rsid w:val="084F33CB"/>
    <w:rsid w:val="084F5179"/>
    <w:rsid w:val="08602EE2"/>
    <w:rsid w:val="086333E1"/>
    <w:rsid w:val="0878647D"/>
    <w:rsid w:val="088D0AAE"/>
    <w:rsid w:val="08A6754B"/>
    <w:rsid w:val="08BD6586"/>
    <w:rsid w:val="08C77DBD"/>
    <w:rsid w:val="08DF02AB"/>
    <w:rsid w:val="08EC29C7"/>
    <w:rsid w:val="09293C1C"/>
    <w:rsid w:val="09363BD1"/>
    <w:rsid w:val="093F1282"/>
    <w:rsid w:val="09420839"/>
    <w:rsid w:val="09595A6C"/>
    <w:rsid w:val="095B73E3"/>
    <w:rsid w:val="097E3F67"/>
    <w:rsid w:val="09885CB5"/>
    <w:rsid w:val="098D5F59"/>
    <w:rsid w:val="098F7F23"/>
    <w:rsid w:val="09E432F6"/>
    <w:rsid w:val="09E43C48"/>
    <w:rsid w:val="09F91840"/>
    <w:rsid w:val="0A1641A0"/>
    <w:rsid w:val="0A173A74"/>
    <w:rsid w:val="0A2166A1"/>
    <w:rsid w:val="0A361386"/>
    <w:rsid w:val="0A3665F0"/>
    <w:rsid w:val="0A5E7D9F"/>
    <w:rsid w:val="0A7947E6"/>
    <w:rsid w:val="0A7B04A7"/>
    <w:rsid w:val="0A7F4E69"/>
    <w:rsid w:val="0A8E2293"/>
    <w:rsid w:val="0AC0345D"/>
    <w:rsid w:val="0AD11E75"/>
    <w:rsid w:val="0AD82D94"/>
    <w:rsid w:val="0AE20526"/>
    <w:rsid w:val="0AF54577"/>
    <w:rsid w:val="0B301267"/>
    <w:rsid w:val="0B3866B7"/>
    <w:rsid w:val="0B4368DB"/>
    <w:rsid w:val="0B4D5A23"/>
    <w:rsid w:val="0B896BF3"/>
    <w:rsid w:val="0B9A495D"/>
    <w:rsid w:val="0BAB0918"/>
    <w:rsid w:val="0BCB2D68"/>
    <w:rsid w:val="0BD74BBF"/>
    <w:rsid w:val="0BF12D7C"/>
    <w:rsid w:val="0BFC7A81"/>
    <w:rsid w:val="0C030754"/>
    <w:rsid w:val="0C216E2C"/>
    <w:rsid w:val="0C3B068C"/>
    <w:rsid w:val="0C3B6140"/>
    <w:rsid w:val="0C3C77C2"/>
    <w:rsid w:val="0C446290"/>
    <w:rsid w:val="0C460641"/>
    <w:rsid w:val="0C8C0B1C"/>
    <w:rsid w:val="0C9977D7"/>
    <w:rsid w:val="0CD56030"/>
    <w:rsid w:val="0CDD2D53"/>
    <w:rsid w:val="0CEA2996"/>
    <w:rsid w:val="0CEE31B2"/>
    <w:rsid w:val="0D040760"/>
    <w:rsid w:val="0D0E1D5D"/>
    <w:rsid w:val="0D112137"/>
    <w:rsid w:val="0D183D8B"/>
    <w:rsid w:val="0D29243C"/>
    <w:rsid w:val="0D2A1D10"/>
    <w:rsid w:val="0D3B3F1D"/>
    <w:rsid w:val="0D4E3C51"/>
    <w:rsid w:val="0D5A43A4"/>
    <w:rsid w:val="0D9A6E96"/>
    <w:rsid w:val="0D9E1E9E"/>
    <w:rsid w:val="0E0A5DCA"/>
    <w:rsid w:val="0E2E03FD"/>
    <w:rsid w:val="0E440BB0"/>
    <w:rsid w:val="0E4447A8"/>
    <w:rsid w:val="0E650557"/>
    <w:rsid w:val="0E8B1BCF"/>
    <w:rsid w:val="0E9E29B6"/>
    <w:rsid w:val="0EB126E9"/>
    <w:rsid w:val="0EB6385C"/>
    <w:rsid w:val="0ED85EC8"/>
    <w:rsid w:val="0EF425D6"/>
    <w:rsid w:val="0F0F58B8"/>
    <w:rsid w:val="0F165485"/>
    <w:rsid w:val="0F5F5CA1"/>
    <w:rsid w:val="0F7A6F7F"/>
    <w:rsid w:val="0F863EB5"/>
    <w:rsid w:val="0FAE4E7B"/>
    <w:rsid w:val="0FD06741"/>
    <w:rsid w:val="0FE02F79"/>
    <w:rsid w:val="0FE03BC6"/>
    <w:rsid w:val="0FFC1742"/>
    <w:rsid w:val="10093A91"/>
    <w:rsid w:val="100B6F02"/>
    <w:rsid w:val="104D6442"/>
    <w:rsid w:val="105528DE"/>
    <w:rsid w:val="106B68C8"/>
    <w:rsid w:val="10790FE5"/>
    <w:rsid w:val="10833C11"/>
    <w:rsid w:val="10973B61"/>
    <w:rsid w:val="10A15885"/>
    <w:rsid w:val="10B93AD7"/>
    <w:rsid w:val="10BD0B5A"/>
    <w:rsid w:val="10D551BC"/>
    <w:rsid w:val="10D713E7"/>
    <w:rsid w:val="10DF3C80"/>
    <w:rsid w:val="111319F2"/>
    <w:rsid w:val="111807FE"/>
    <w:rsid w:val="11333889"/>
    <w:rsid w:val="11335637"/>
    <w:rsid w:val="114C04A7"/>
    <w:rsid w:val="116E041E"/>
    <w:rsid w:val="117A14B8"/>
    <w:rsid w:val="118063A3"/>
    <w:rsid w:val="118440E5"/>
    <w:rsid w:val="118F0F5F"/>
    <w:rsid w:val="119A0B4E"/>
    <w:rsid w:val="119B0448"/>
    <w:rsid w:val="119D31FE"/>
    <w:rsid w:val="11AB00B6"/>
    <w:rsid w:val="11B9651D"/>
    <w:rsid w:val="11C269BB"/>
    <w:rsid w:val="11C646FD"/>
    <w:rsid w:val="11C664AC"/>
    <w:rsid w:val="11CD034E"/>
    <w:rsid w:val="11D262EE"/>
    <w:rsid w:val="11D84431"/>
    <w:rsid w:val="11FF5A20"/>
    <w:rsid w:val="12174F59"/>
    <w:rsid w:val="121C256F"/>
    <w:rsid w:val="121F4E88"/>
    <w:rsid w:val="1222745A"/>
    <w:rsid w:val="12282CC2"/>
    <w:rsid w:val="123D7B81"/>
    <w:rsid w:val="124315DA"/>
    <w:rsid w:val="12463148"/>
    <w:rsid w:val="126C3406"/>
    <w:rsid w:val="127E522A"/>
    <w:rsid w:val="12810624"/>
    <w:rsid w:val="12837EF9"/>
    <w:rsid w:val="12955EAD"/>
    <w:rsid w:val="129E2F84"/>
    <w:rsid w:val="12BA33A7"/>
    <w:rsid w:val="12C02EFB"/>
    <w:rsid w:val="12CC5D44"/>
    <w:rsid w:val="12D16818"/>
    <w:rsid w:val="13001549"/>
    <w:rsid w:val="133D454B"/>
    <w:rsid w:val="134A6C68"/>
    <w:rsid w:val="13541895"/>
    <w:rsid w:val="1378192B"/>
    <w:rsid w:val="137837D5"/>
    <w:rsid w:val="13854144"/>
    <w:rsid w:val="138C40E5"/>
    <w:rsid w:val="13916645"/>
    <w:rsid w:val="13960100"/>
    <w:rsid w:val="139B3968"/>
    <w:rsid w:val="13BC346B"/>
    <w:rsid w:val="13C3643C"/>
    <w:rsid w:val="13CC0D89"/>
    <w:rsid w:val="13DA623E"/>
    <w:rsid w:val="13E97C98"/>
    <w:rsid w:val="13FA243C"/>
    <w:rsid w:val="14143273"/>
    <w:rsid w:val="1414583C"/>
    <w:rsid w:val="142E649C"/>
    <w:rsid w:val="14487FC8"/>
    <w:rsid w:val="14561774"/>
    <w:rsid w:val="145A2EDB"/>
    <w:rsid w:val="1499543E"/>
    <w:rsid w:val="14BC3B96"/>
    <w:rsid w:val="14BF4563"/>
    <w:rsid w:val="14CA5408"/>
    <w:rsid w:val="14D25167"/>
    <w:rsid w:val="14DF4723"/>
    <w:rsid w:val="14EB1DDB"/>
    <w:rsid w:val="14EB71F1"/>
    <w:rsid w:val="14F64B10"/>
    <w:rsid w:val="14FF0425"/>
    <w:rsid w:val="15034315"/>
    <w:rsid w:val="15186419"/>
    <w:rsid w:val="1525101E"/>
    <w:rsid w:val="152E64B4"/>
    <w:rsid w:val="15304CA1"/>
    <w:rsid w:val="1546345F"/>
    <w:rsid w:val="154A2F50"/>
    <w:rsid w:val="155838BF"/>
    <w:rsid w:val="15664A2E"/>
    <w:rsid w:val="156C1118"/>
    <w:rsid w:val="15714980"/>
    <w:rsid w:val="157F6CF7"/>
    <w:rsid w:val="159A1EE1"/>
    <w:rsid w:val="15BF56EC"/>
    <w:rsid w:val="15C03212"/>
    <w:rsid w:val="15C56A7A"/>
    <w:rsid w:val="15C90318"/>
    <w:rsid w:val="15D867AD"/>
    <w:rsid w:val="15DF26EA"/>
    <w:rsid w:val="15E769F0"/>
    <w:rsid w:val="15F12DDD"/>
    <w:rsid w:val="15F5735F"/>
    <w:rsid w:val="16386762"/>
    <w:rsid w:val="163A57C5"/>
    <w:rsid w:val="163D0D06"/>
    <w:rsid w:val="165D4F05"/>
    <w:rsid w:val="166B7621"/>
    <w:rsid w:val="166D15EC"/>
    <w:rsid w:val="16704724"/>
    <w:rsid w:val="16730284"/>
    <w:rsid w:val="168D01D0"/>
    <w:rsid w:val="16946B78"/>
    <w:rsid w:val="16A14DF1"/>
    <w:rsid w:val="16AE1F94"/>
    <w:rsid w:val="16B54D41"/>
    <w:rsid w:val="16C46807"/>
    <w:rsid w:val="16C56589"/>
    <w:rsid w:val="16D61499"/>
    <w:rsid w:val="16D93281"/>
    <w:rsid w:val="16E774B2"/>
    <w:rsid w:val="173914CE"/>
    <w:rsid w:val="174E2B58"/>
    <w:rsid w:val="17537917"/>
    <w:rsid w:val="175956CC"/>
    <w:rsid w:val="1767428D"/>
    <w:rsid w:val="178276AC"/>
    <w:rsid w:val="17B62B1E"/>
    <w:rsid w:val="17B943BD"/>
    <w:rsid w:val="17C35253"/>
    <w:rsid w:val="17C74D2B"/>
    <w:rsid w:val="17CC2342"/>
    <w:rsid w:val="17DB2585"/>
    <w:rsid w:val="17E01CEC"/>
    <w:rsid w:val="17E7717C"/>
    <w:rsid w:val="17F17FFA"/>
    <w:rsid w:val="17F81389"/>
    <w:rsid w:val="18023FB5"/>
    <w:rsid w:val="18095344"/>
    <w:rsid w:val="18101F4E"/>
    <w:rsid w:val="183028D1"/>
    <w:rsid w:val="183A72AB"/>
    <w:rsid w:val="1844637C"/>
    <w:rsid w:val="18534811"/>
    <w:rsid w:val="185D2F9A"/>
    <w:rsid w:val="18720B98"/>
    <w:rsid w:val="1890336F"/>
    <w:rsid w:val="18AD0064"/>
    <w:rsid w:val="18E13BCB"/>
    <w:rsid w:val="18E37A50"/>
    <w:rsid w:val="18F41B50"/>
    <w:rsid w:val="1901426D"/>
    <w:rsid w:val="191D4C55"/>
    <w:rsid w:val="192C553A"/>
    <w:rsid w:val="19314424"/>
    <w:rsid w:val="193C34F7"/>
    <w:rsid w:val="195D280D"/>
    <w:rsid w:val="19831126"/>
    <w:rsid w:val="19A35324"/>
    <w:rsid w:val="19AB5FDA"/>
    <w:rsid w:val="19BB67A1"/>
    <w:rsid w:val="19C77265"/>
    <w:rsid w:val="19D07257"/>
    <w:rsid w:val="19D40181"/>
    <w:rsid w:val="19D43730"/>
    <w:rsid w:val="19DB4AE7"/>
    <w:rsid w:val="19E17A05"/>
    <w:rsid w:val="1A07140F"/>
    <w:rsid w:val="1A2B60A0"/>
    <w:rsid w:val="1A2F0966"/>
    <w:rsid w:val="1A3F3E57"/>
    <w:rsid w:val="1A4C32C6"/>
    <w:rsid w:val="1A603901"/>
    <w:rsid w:val="1A676352"/>
    <w:rsid w:val="1A676BEF"/>
    <w:rsid w:val="1A7D4EFE"/>
    <w:rsid w:val="1AA74EE1"/>
    <w:rsid w:val="1AB948D7"/>
    <w:rsid w:val="1AE6196C"/>
    <w:rsid w:val="1B1F47F5"/>
    <w:rsid w:val="1B44789C"/>
    <w:rsid w:val="1B46065D"/>
    <w:rsid w:val="1B5538DF"/>
    <w:rsid w:val="1B6B6394"/>
    <w:rsid w:val="1B7A641A"/>
    <w:rsid w:val="1B960EE0"/>
    <w:rsid w:val="1B9F32EA"/>
    <w:rsid w:val="1BA32B80"/>
    <w:rsid w:val="1BAA0105"/>
    <w:rsid w:val="1BAD4238"/>
    <w:rsid w:val="1BB67591"/>
    <w:rsid w:val="1BC021BE"/>
    <w:rsid w:val="1BC51582"/>
    <w:rsid w:val="1BD6553D"/>
    <w:rsid w:val="1BE55780"/>
    <w:rsid w:val="1BE91714"/>
    <w:rsid w:val="1BEC4D61"/>
    <w:rsid w:val="1C094D92"/>
    <w:rsid w:val="1C2420E9"/>
    <w:rsid w:val="1C28631F"/>
    <w:rsid w:val="1C381D54"/>
    <w:rsid w:val="1C5D199B"/>
    <w:rsid w:val="1C78070F"/>
    <w:rsid w:val="1C9A47BD"/>
    <w:rsid w:val="1CA078F9"/>
    <w:rsid w:val="1CAC382D"/>
    <w:rsid w:val="1CBD5448"/>
    <w:rsid w:val="1CBF0B44"/>
    <w:rsid w:val="1CC25AC1"/>
    <w:rsid w:val="1CC57360"/>
    <w:rsid w:val="1CC655B2"/>
    <w:rsid w:val="1CCB6424"/>
    <w:rsid w:val="1CD10715"/>
    <w:rsid w:val="1CD843A5"/>
    <w:rsid w:val="1CE85487"/>
    <w:rsid w:val="1CF87735"/>
    <w:rsid w:val="1D014681"/>
    <w:rsid w:val="1D2422D8"/>
    <w:rsid w:val="1D266050"/>
    <w:rsid w:val="1D386BF6"/>
    <w:rsid w:val="1D3A75B2"/>
    <w:rsid w:val="1D494CF7"/>
    <w:rsid w:val="1D5A1AE9"/>
    <w:rsid w:val="1D5D7ACD"/>
    <w:rsid w:val="1D631052"/>
    <w:rsid w:val="1D6B5FA6"/>
    <w:rsid w:val="1D7A639C"/>
    <w:rsid w:val="1D83212E"/>
    <w:rsid w:val="1D8611E5"/>
    <w:rsid w:val="1DA43327"/>
    <w:rsid w:val="1DB21FDA"/>
    <w:rsid w:val="1DBD7C30"/>
    <w:rsid w:val="1DC91FC0"/>
    <w:rsid w:val="1DF24184"/>
    <w:rsid w:val="1DF512A5"/>
    <w:rsid w:val="1E0A375B"/>
    <w:rsid w:val="1E3D7E01"/>
    <w:rsid w:val="1E3F7D0B"/>
    <w:rsid w:val="1E450758"/>
    <w:rsid w:val="1E5310C7"/>
    <w:rsid w:val="1E8C6387"/>
    <w:rsid w:val="1E9E60BA"/>
    <w:rsid w:val="1EB4768C"/>
    <w:rsid w:val="1EB61656"/>
    <w:rsid w:val="1EE52161"/>
    <w:rsid w:val="1EEE7042"/>
    <w:rsid w:val="1F0625DD"/>
    <w:rsid w:val="1F171BBE"/>
    <w:rsid w:val="1F2760B0"/>
    <w:rsid w:val="1F3C4BA3"/>
    <w:rsid w:val="1F3C7DAD"/>
    <w:rsid w:val="1F581835"/>
    <w:rsid w:val="1F6D440A"/>
    <w:rsid w:val="1F6F7071"/>
    <w:rsid w:val="1F7A2683"/>
    <w:rsid w:val="1F884DA0"/>
    <w:rsid w:val="1F911C5D"/>
    <w:rsid w:val="1F9A2D26"/>
    <w:rsid w:val="1FA0179E"/>
    <w:rsid w:val="1FB673BE"/>
    <w:rsid w:val="1FC57DA2"/>
    <w:rsid w:val="1FC658C9"/>
    <w:rsid w:val="1FD513B3"/>
    <w:rsid w:val="1FE87F35"/>
    <w:rsid w:val="200D34F7"/>
    <w:rsid w:val="201A79C2"/>
    <w:rsid w:val="201E1AF4"/>
    <w:rsid w:val="20273C68"/>
    <w:rsid w:val="20430A9F"/>
    <w:rsid w:val="204748C7"/>
    <w:rsid w:val="207E43F5"/>
    <w:rsid w:val="208337BA"/>
    <w:rsid w:val="209D2ACD"/>
    <w:rsid w:val="20A96D2B"/>
    <w:rsid w:val="20B27D09"/>
    <w:rsid w:val="20B9514C"/>
    <w:rsid w:val="20BF0C96"/>
    <w:rsid w:val="20CF4C51"/>
    <w:rsid w:val="20E119DF"/>
    <w:rsid w:val="20F3093F"/>
    <w:rsid w:val="210E7527"/>
    <w:rsid w:val="212C5BFF"/>
    <w:rsid w:val="21423675"/>
    <w:rsid w:val="215533A8"/>
    <w:rsid w:val="215D225D"/>
    <w:rsid w:val="216E32C3"/>
    <w:rsid w:val="218A5BCF"/>
    <w:rsid w:val="21A607DC"/>
    <w:rsid w:val="21A7340C"/>
    <w:rsid w:val="21BF6A73"/>
    <w:rsid w:val="21DD6EFA"/>
    <w:rsid w:val="21E8243E"/>
    <w:rsid w:val="21EA1D42"/>
    <w:rsid w:val="22042D93"/>
    <w:rsid w:val="2208041A"/>
    <w:rsid w:val="220B7F0B"/>
    <w:rsid w:val="2210107D"/>
    <w:rsid w:val="22225AFD"/>
    <w:rsid w:val="223D797C"/>
    <w:rsid w:val="22492855"/>
    <w:rsid w:val="225E5C03"/>
    <w:rsid w:val="22631AF5"/>
    <w:rsid w:val="226D4721"/>
    <w:rsid w:val="228B25CC"/>
    <w:rsid w:val="228F6C38"/>
    <w:rsid w:val="22941CAE"/>
    <w:rsid w:val="2298346E"/>
    <w:rsid w:val="229E3767"/>
    <w:rsid w:val="22A10E8E"/>
    <w:rsid w:val="22A87507"/>
    <w:rsid w:val="22B20386"/>
    <w:rsid w:val="22EF5136"/>
    <w:rsid w:val="22F17100"/>
    <w:rsid w:val="22F64004"/>
    <w:rsid w:val="23052BAC"/>
    <w:rsid w:val="2305495A"/>
    <w:rsid w:val="23122559"/>
    <w:rsid w:val="2329689A"/>
    <w:rsid w:val="233D1EA6"/>
    <w:rsid w:val="23533917"/>
    <w:rsid w:val="236036D5"/>
    <w:rsid w:val="236B2A0F"/>
    <w:rsid w:val="237908A9"/>
    <w:rsid w:val="2385335F"/>
    <w:rsid w:val="238B1303"/>
    <w:rsid w:val="23B40A4B"/>
    <w:rsid w:val="23C44815"/>
    <w:rsid w:val="23CA4860"/>
    <w:rsid w:val="23D10A5B"/>
    <w:rsid w:val="23D507D0"/>
    <w:rsid w:val="23D5432C"/>
    <w:rsid w:val="23D762F6"/>
    <w:rsid w:val="23DB4C6F"/>
    <w:rsid w:val="23E5745B"/>
    <w:rsid w:val="23E83AE0"/>
    <w:rsid w:val="23EF6865"/>
    <w:rsid w:val="23FE7D27"/>
    <w:rsid w:val="241412F8"/>
    <w:rsid w:val="241B7E4F"/>
    <w:rsid w:val="244338EA"/>
    <w:rsid w:val="24482D50"/>
    <w:rsid w:val="245C3057"/>
    <w:rsid w:val="24A65CC9"/>
    <w:rsid w:val="24B02DEE"/>
    <w:rsid w:val="24C04193"/>
    <w:rsid w:val="24C10D89"/>
    <w:rsid w:val="24D40A88"/>
    <w:rsid w:val="24EA2059"/>
    <w:rsid w:val="24F37160"/>
    <w:rsid w:val="24F815FD"/>
    <w:rsid w:val="24FC4FA2"/>
    <w:rsid w:val="250F7FEE"/>
    <w:rsid w:val="251315B0"/>
    <w:rsid w:val="25270F01"/>
    <w:rsid w:val="2536704D"/>
    <w:rsid w:val="258C3110"/>
    <w:rsid w:val="259951E7"/>
    <w:rsid w:val="25AC730F"/>
    <w:rsid w:val="25B70D5E"/>
    <w:rsid w:val="25B83F05"/>
    <w:rsid w:val="25C12DBA"/>
    <w:rsid w:val="25D52D09"/>
    <w:rsid w:val="25D845A8"/>
    <w:rsid w:val="25EC3BAF"/>
    <w:rsid w:val="26013AFE"/>
    <w:rsid w:val="26151358"/>
    <w:rsid w:val="26265313"/>
    <w:rsid w:val="262C35EF"/>
    <w:rsid w:val="262E5F76"/>
    <w:rsid w:val="263118CB"/>
    <w:rsid w:val="26413EFB"/>
    <w:rsid w:val="26451C3D"/>
    <w:rsid w:val="264E2D0B"/>
    <w:rsid w:val="265E4AAD"/>
    <w:rsid w:val="265E685B"/>
    <w:rsid w:val="26605159"/>
    <w:rsid w:val="266235BB"/>
    <w:rsid w:val="26640EB0"/>
    <w:rsid w:val="26955FF5"/>
    <w:rsid w:val="26984814"/>
    <w:rsid w:val="26A65413"/>
    <w:rsid w:val="26D23FB3"/>
    <w:rsid w:val="26E66850"/>
    <w:rsid w:val="26FE3B9A"/>
    <w:rsid w:val="27050959"/>
    <w:rsid w:val="270A409B"/>
    <w:rsid w:val="2724386B"/>
    <w:rsid w:val="273257DE"/>
    <w:rsid w:val="27383D1B"/>
    <w:rsid w:val="273B2E89"/>
    <w:rsid w:val="274041B2"/>
    <w:rsid w:val="274F43F6"/>
    <w:rsid w:val="27651E6B"/>
    <w:rsid w:val="276E106B"/>
    <w:rsid w:val="277E15D0"/>
    <w:rsid w:val="277E6A73"/>
    <w:rsid w:val="278B7B24"/>
    <w:rsid w:val="278C389C"/>
    <w:rsid w:val="27AC5B02"/>
    <w:rsid w:val="27C9064C"/>
    <w:rsid w:val="27D36DD5"/>
    <w:rsid w:val="27E86D24"/>
    <w:rsid w:val="27F37477"/>
    <w:rsid w:val="27F53BFF"/>
    <w:rsid w:val="28032F29"/>
    <w:rsid w:val="280478D6"/>
    <w:rsid w:val="28074CD0"/>
    <w:rsid w:val="280800B8"/>
    <w:rsid w:val="281B0310"/>
    <w:rsid w:val="283B6E16"/>
    <w:rsid w:val="285D2B42"/>
    <w:rsid w:val="286E5919"/>
    <w:rsid w:val="288017A3"/>
    <w:rsid w:val="28891840"/>
    <w:rsid w:val="289305C8"/>
    <w:rsid w:val="289724F8"/>
    <w:rsid w:val="28982FD6"/>
    <w:rsid w:val="289E5635"/>
    <w:rsid w:val="28B27332"/>
    <w:rsid w:val="28B5472C"/>
    <w:rsid w:val="28C80903"/>
    <w:rsid w:val="28CF4308"/>
    <w:rsid w:val="28D53BB4"/>
    <w:rsid w:val="28E219C5"/>
    <w:rsid w:val="28FD67FF"/>
    <w:rsid w:val="29125B79"/>
    <w:rsid w:val="291E41A9"/>
    <w:rsid w:val="292024ED"/>
    <w:rsid w:val="2939535D"/>
    <w:rsid w:val="29437F8A"/>
    <w:rsid w:val="294B0B33"/>
    <w:rsid w:val="294C7780"/>
    <w:rsid w:val="29514455"/>
    <w:rsid w:val="29671ECA"/>
    <w:rsid w:val="297D524A"/>
    <w:rsid w:val="29826D04"/>
    <w:rsid w:val="29835806"/>
    <w:rsid w:val="29857485"/>
    <w:rsid w:val="29961331"/>
    <w:rsid w:val="299B7DC6"/>
    <w:rsid w:val="29D34B07"/>
    <w:rsid w:val="29D60DFE"/>
    <w:rsid w:val="29E33FFD"/>
    <w:rsid w:val="29F23E8A"/>
    <w:rsid w:val="29F666F3"/>
    <w:rsid w:val="29FB6D83"/>
    <w:rsid w:val="2A002A01"/>
    <w:rsid w:val="2A133E00"/>
    <w:rsid w:val="2A225DF1"/>
    <w:rsid w:val="2A247DBB"/>
    <w:rsid w:val="2A3433A9"/>
    <w:rsid w:val="2A524929"/>
    <w:rsid w:val="2A5F5F73"/>
    <w:rsid w:val="2A730F56"/>
    <w:rsid w:val="2A9819BA"/>
    <w:rsid w:val="2AA85E3B"/>
    <w:rsid w:val="2AB17075"/>
    <w:rsid w:val="2ACB0237"/>
    <w:rsid w:val="2AF61758"/>
    <w:rsid w:val="2AFB4FC0"/>
    <w:rsid w:val="2B1A4D1A"/>
    <w:rsid w:val="2B2160A9"/>
    <w:rsid w:val="2B2C33CC"/>
    <w:rsid w:val="2B326335"/>
    <w:rsid w:val="2B4F2C16"/>
    <w:rsid w:val="2B597F39"/>
    <w:rsid w:val="2B5B5A5F"/>
    <w:rsid w:val="2B6568DD"/>
    <w:rsid w:val="2B7870AA"/>
    <w:rsid w:val="2B9777BC"/>
    <w:rsid w:val="2BB807BB"/>
    <w:rsid w:val="2BC9632B"/>
    <w:rsid w:val="2BEC4909"/>
    <w:rsid w:val="2BEE0681"/>
    <w:rsid w:val="2BF73630"/>
    <w:rsid w:val="2C155C0E"/>
    <w:rsid w:val="2C1B0FB3"/>
    <w:rsid w:val="2C1B33C6"/>
    <w:rsid w:val="2C2B3683"/>
    <w:rsid w:val="2C3341C9"/>
    <w:rsid w:val="2C3676C5"/>
    <w:rsid w:val="2C37549C"/>
    <w:rsid w:val="2C455DC0"/>
    <w:rsid w:val="2C550700"/>
    <w:rsid w:val="2C5B3DED"/>
    <w:rsid w:val="2C624BCB"/>
    <w:rsid w:val="2C625DDA"/>
    <w:rsid w:val="2C772424"/>
    <w:rsid w:val="2C7A3CC3"/>
    <w:rsid w:val="2C83526D"/>
    <w:rsid w:val="2C882884"/>
    <w:rsid w:val="2C9A25B7"/>
    <w:rsid w:val="2C9B7ADD"/>
    <w:rsid w:val="2C9D478B"/>
    <w:rsid w:val="2CCB6C14"/>
    <w:rsid w:val="2CED1A0F"/>
    <w:rsid w:val="2CEE08FF"/>
    <w:rsid w:val="2D016192"/>
    <w:rsid w:val="2D095047"/>
    <w:rsid w:val="2D2F0F51"/>
    <w:rsid w:val="2D5E5392"/>
    <w:rsid w:val="2D80355B"/>
    <w:rsid w:val="2D825525"/>
    <w:rsid w:val="2D9F2948"/>
    <w:rsid w:val="2DA059AB"/>
    <w:rsid w:val="2DA06B17"/>
    <w:rsid w:val="2DB26E99"/>
    <w:rsid w:val="2DBD5EA8"/>
    <w:rsid w:val="2DCD7B93"/>
    <w:rsid w:val="2DD218DC"/>
    <w:rsid w:val="2DDE305F"/>
    <w:rsid w:val="2DE33AEA"/>
    <w:rsid w:val="2DEE2BBA"/>
    <w:rsid w:val="2E026666"/>
    <w:rsid w:val="2E0E500A"/>
    <w:rsid w:val="2E1107C2"/>
    <w:rsid w:val="2E496043"/>
    <w:rsid w:val="2E5A6F6D"/>
    <w:rsid w:val="2E725599"/>
    <w:rsid w:val="2E734E6D"/>
    <w:rsid w:val="2E782484"/>
    <w:rsid w:val="2E962EB3"/>
    <w:rsid w:val="2EA71B28"/>
    <w:rsid w:val="2EB93809"/>
    <w:rsid w:val="2EC1026E"/>
    <w:rsid w:val="2EF31870"/>
    <w:rsid w:val="2F154177"/>
    <w:rsid w:val="2F1A799B"/>
    <w:rsid w:val="2F4131BE"/>
    <w:rsid w:val="2F451DF2"/>
    <w:rsid w:val="2F484F80"/>
    <w:rsid w:val="2F713AA3"/>
    <w:rsid w:val="2FB4417C"/>
    <w:rsid w:val="2FBE036A"/>
    <w:rsid w:val="2FBE78D3"/>
    <w:rsid w:val="2FC7504A"/>
    <w:rsid w:val="2FDC6A42"/>
    <w:rsid w:val="2FE808CB"/>
    <w:rsid w:val="2FF75C19"/>
    <w:rsid w:val="300771A9"/>
    <w:rsid w:val="301D68DE"/>
    <w:rsid w:val="301F5B67"/>
    <w:rsid w:val="30263941"/>
    <w:rsid w:val="303B7C0D"/>
    <w:rsid w:val="30442D5D"/>
    <w:rsid w:val="305277BA"/>
    <w:rsid w:val="3078676B"/>
    <w:rsid w:val="308415B4"/>
    <w:rsid w:val="3095731D"/>
    <w:rsid w:val="30C15889"/>
    <w:rsid w:val="30C963A6"/>
    <w:rsid w:val="30CE781C"/>
    <w:rsid w:val="30D32CD4"/>
    <w:rsid w:val="30D34D22"/>
    <w:rsid w:val="30E3277E"/>
    <w:rsid w:val="30EE4C7F"/>
    <w:rsid w:val="3112096E"/>
    <w:rsid w:val="311A3CC6"/>
    <w:rsid w:val="311B7998"/>
    <w:rsid w:val="31280F0C"/>
    <w:rsid w:val="31293F09"/>
    <w:rsid w:val="312E53DA"/>
    <w:rsid w:val="313C74C4"/>
    <w:rsid w:val="31772AF1"/>
    <w:rsid w:val="31A67308"/>
    <w:rsid w:val="31B23A2B"/>
    <w:rsid w:val="31BA17ED"/>
    <w:rsid w:val="31DD7C52"/>
    <w:rsid w:val="31EF10AF"/>
    <w:rsid w:val="320D55D9"/>
    <w:rsid w:val="321A4AE1"/>
    <w:rsid w:val="321F3334"/>
    <w:rsid w:val="322070BA"/>
    <w:rsid w:val="32292413"/>
    <w:rsid w:val="32430FFB"/>
    <w:rsid w:val="324B208A"/>
    <w:rsid w:val="327864CE"/>
    <w:rsid w:val="32786EF6"/>
    <w:rsid w:val="329E37A7"/>
    <w:rsid w:val="32AB72CC"/>
    <w:rsid w:val="32E43970"/>
    <w:rsid w:val="32FF13C6"/>
    <w:rsid w:val="331F7372"/>
    <w:rsid w:val="33263FCB"/>
    <w:rsid w:val="333C43C8"/>
    <w:rsid w:val="33462B51"/>
    <w:rsid w:val="334F40FB"/>
    <w:rsid w:val="337D1867"/>
    <w:rsid w:val="337F42B4"/>
    <w:rsid w:val="33905753"/>
    <w:rsid w:val="33B77970"/>
    <w:rsid w:val="33EC6C5A"/>
    <w:rsid w:val="33F14F1D"/>
    <w:rsid w:val="340547BA"/>
    <w:rsid w:val="34347DF1"/>
    <w:rsid w:val="34392973"/>
    <w:rsid w:val="34491DD2"/>
    <w:rsid w:val="34563267"/>
    <w:rsid w:val="345E3ECA"/>
    <w:rsid w:val="346239BA"/>
    <w:rsid w:val="346F0B7E"/>
    <w:rsid w:val="347344EA"/>
    <w:rsid w:val="349F4C0E"/>
    <w:rsid w:val="34A75871"/>
    <w:rsid w:val="34A9783B"/>
    <w:rsid w:val="34C359EA"/>
    <w:rsid w:val="34CA155F"/>
    <w:rsid w:val="34CC6607"/>
    <w:rsid w:val="34D432A2"/>
    <w:rsid w:val="34D50630"/>
    <w:rsid w:val="34F17682"/>
    <w:rsid w:val="34FD1935"/>
    <w:rsid w:val="35234C75"/>
    <w:rsid w:val="353217FC"/>
    <w:rsid w:val="35324F1A"/>
    <w:rsid w:val="353C06AF"/>
    <w:rsid w:val="353C5C3D"/>
    <w:rsid w:val="353F1DD5"/>
    <w:rsid w:val="35415CC5"/>
    <w:rsid w:val="35492DCC"/>
    <w:rsid w:val="355A28E3"/>
    <w:rsid w:val="355D23D3"/>
    <w:rsid w:val="355F439E"/>
    <w:rsid w:val="35713A70"/>
    <w:rsid w:val="35930F68"/>
    <w:rsid w:val="35931348"/>
    <w:rsid w:val="35B450D6"/>
    <w:rsid w:val="35CF32D1"/>
    <w:rsid w:val="35ED19A9"/>
    <w:rsid w:val="35EF54F1"/>
    <w:rsid w:val="35EF5721"/>
    <w:rsid w:val="35F32297"/>
    <w:rsid w:val="35F920FC"/>
    <w:rsid w:val="362C39B2"/>
    <w:rsid w:val="3647730B"/>
    <w:rsid w:val="367774C5"/>
    <w:rsid w:val="368A369C"/>
    <w:rsid w:val="36994613"/>
    <w:rsid w:val="36AB3FD2"/>
    <w:rsid w:val="36CE17DB"/>
    <w:rsid w:val="36D44917"/>
    <w:rsid w:val="37160A8C"/>
    <w:rsid w:val="373F6235"/>
    <w:rsid w:val="375D309C"/>
    <w:rsid w:val="376143FD"/>
    <w:rsid w:val="376D0FF4"/>
    <w:rsid w:val="37743447"/>
    <w:rsid w:val="37BA3B0D"/>
    <w:rsid w:val="37C15077"/>
    <w:rsid w:val="37C8210A"/>
    <w:rsid w:val="37FE6DCE"/>
    <w:rsid w:val="380A6843"/>
    <w:rsid w:val="380F0B72"/>
    <w:rsid w:val="382D0783"/>
    <w:rsid w:val="383218F5"/>
    <w:rsid w:val="38353194"/>
    <w:rsid w:val="384733C2"/>
    <w:rsid w:val="38593326"/>
    <w:rsid w:val="38621171"/>
    <w:rsid w:val="38787C50"/>
    <w:rsid w:val="38A316BD"/>
    <w:rsid w:val="38A85508"/>
    <w:rsid w:val="38AE004A"/>
    <w:rsid w:val="38BE762D"/>
    <w:rsid w:val="38E726E0"/>
    <w:rsid w:val="391A0D07"/>
    <w:rsid w:val="391D6DD1"/>
    <w:rsid w:val="39290F4A"/>
    <w:rsid w:val="39316051"/>
    <w:rsid w:val="39537D75"/>
    <w:rsid w:val="39551D3F"/>
    <w:rsid w:val="395835DE"/>
    <w:rsid w:val="396106E4"/>
    <w:rsid w:val="396B473E"/>
    <w:rsid w:val="397C3770"/>
    <w:rsid w:val="397E5892"/>
    <w:rsid w:val="39817C95"/>
    <w:rsid w:val="39825CF3"/>
    <w:rsid w:val="3986128D"/>
    <w:rsid w:val="39981C2C"/>
    <w:rsid w:val="39A95BE7"/>
    <w:rsid w:val="39B32F0A"/>
    <w:rsid w:val="39B747A8"/>
    <w:rsid w:val="39BA1BA2"/>
    <w:rsid w:val="39CA4947"/>
    <w:rsid w:val="39CB5476"/>
    <w:rsid w:val="39E032BD"/>
    <w:rsid w:val="39E03873"/>
    <w:rsid w:val="3A2B484E"/>
    <w:rsid w:val="3A4A6415"/>
    <w:rsid w:val="3A563FC1"/>
    <w:rsid w:val="3AAA2F1D"/>
    <w:rsid w:val="3ABA4ABD"/>
    <w:rsid w:val="3AEA4709"/>
    <w:rsid w:val="3AEA64B7"/>
    <w:rsid w:val="3AED7D56"/>
    <w:rsid w:val="3B0F23C2"/>
    <w:rsid w:val="3B141786"/>
    <w:rsid w:val="3B2C6AD0"/>
    <w:rsid w:val="3B3C3026"/>
    <w:rsid w:val="3B4038F2"/>
    <w:rsid w:val="3B844B5E"/>
    <w:rsid w:val="3B854432"/>
    <w:rsid w:val="3B8605A7"/>
    <w:rsid w:val="3BAE01F6"/>
    <w:rsid w:val="3BAE3797"/>
    <w:rsid w:val="3BB00A31"/>
    <w:rsid w:val="3BC17CB0"/>
    <w:rsid w:val="3BC2056E"/>
    <w:rsid w:val="3BC82C9D"/>
    <w:rsid w:val="3BD80869"/>
    <w:rsid w:val="3BE97A7F"/>
    <w:rsid w:val="3BF55114"/>
    <w:rsid w:val="3C1F159E"/>
    <w:rsid w:val="3C1F2E18"/>
    <w:rsid w:val="3C495460"/>
    <w:rsid w:val="3C58684F"/>
    <w:rsid w:val="3C6504EB"/>
    <w:rsid w:val="3C6B7ACC"/>
    <w:rsid w:val="3C771FCD"/>
    <w:rsid w:val="3C8446EA"/>
    <w:rsid w:val="3C964B49"/>
    <w:rsid w:val="3C9708C1"/>
    <w:rsid w:val="3CAF35C0"/>
    <w:rsid w:val="3CC86AC9"/>
    <w:rsid w:val="3CCD6091"/>
    <w:rsid w:val="3CDC0F86"/>
    <w:rsid w:val="3CEF6007"/>
    <w:rsid w:val="3CF278A5"/>
    <w:rsid w:val="3D076731"/>
    <w:rsid w:val="3D0A2E41"/>
    <w:rsid w:val="3D0F69E6"/>
    <w:rsid w:val="3D25588D"/>
    <w:rsid w:val="3D26492B"/>
    <w:rsid w:val="3D3103CE"/>
    <w:rsid w:val="3D673DEF"/>
    <w:rsid w:val="3D793B23"/>
    <w:rsid w:val="3DA70690"/>
    <w:rsid w:val="3DA823F9"/>
    <w:rsid w:val="3DC2371B"/>
    <w:rsid w:val="3DF03D65"/>
    <w:rsid w:val="3E144053"/>
    <w:rsid w:val="3E3C527C"/>
    <w:rsid w:val="3E500D27"/>
    <w:rsid w:val="3E506F79"/>
    <w:rsid w:val="3E5F540E"/>
    <w:rsid w:val="3E6350CC"/>
    <w:rsid w:val="3E6E11AD"/>
    <w:rsid w:val="3E7E5894"/>
    <w:rsid w:val="3E952BDE"/>
    <w:rsid w:val="3EA20E53"/>
    <w:rsid w:val="3EBB26CC"/>
    <w:rsid w:val="3EC34A9C"/>
    <w:rsid w:val="3EC66625"/>
    <w:rsid w:val="3ECC4453"/>
    <w:rsid w:val="3EE15E23"/>
    <w:rsid w:val="3EEA117C"/>
    <w:rsid w:val="3EED47C8"/>
    <w:rsid w:val="3EEF6792"/>
    <w:rsid w:val="3EF20030"/>
    <w:rsid w:val="3F0650A6"/>
    <w:rsid w:val="3F164112"/>
    <w:rsid w:val="3F1678E8"/>
    <w:rsid w:val="3F1735F3"/>
    <w:rsid w:val="3F1E7077"/>
    <w:rsid w:val="3F221A4C"/>
    <w:rsid w:val="3F2A31A1"/>
    <w:rsid w:val="3F386784"/>
    <w:rsid w:val="3F4B21EC"/>
    <w:rsid w:val="3F4E170B"/>
    <w:rsid w:val="3F4E1BAE"/>
    <w:rsid w:val="3F5D2C35"/>
    <w:rsid w:val="3F685497"/>
    <w:rsid w:val="3F927F5A"/>
    <w:rsid w:val="3F9410E8"/>
    <w:rsid w:val="3F9966FE"/>
    <w:rsid w:val="3FA44006"/>
    <w:rsid w:val="3FA532F5"/>
    <w:rsid w:val="3FB90C6E"/>
    <w:rsid w:val="3FC65745"/>
    <w:rsid w:val="3FCC6AD3"/>
    <w:rsid w:val="3FD87226"/>
    <w:rsid w:val="3FDD7C87"/>
    <w:rsid w:val="3FE77469"/>
    <w:rsid w:val="4010076E"/>
    <w:rsid w:val="401C35B7"/>
    <w:rsid w:val="40436D96"/>
    <w:rsid w:val="404C551E"/>
    <w:rsid w:val="405C3814"/>
    <w:rsid w:val="40833333"/>
    <w:rsid w:val="40A16B62"/>
    <w:rsid w:val="40AB493B"/>
    <w:rsid w:val="40AB66E9"/>
    <w:rsid w:val="40C53B8F"/>
    <w:rsid w:val="40CF23D7"/>
    <w:rsid w:val="40E57E4D"/>
    <w:rsid w:val="40FB141E"/>
    <w:rsid w:val="40FD2008"/>
    <w:rsid w:val="41230975"/>
    <w:rsid w:val="412344D1"/>
    <w:rsid w:val="41234C22"/>
    <w:rsid w:val="41517290"/>
    <w:rsid w:val="416A0352"/>
    <w:rsid w:val="416C72C8"/>
    <w:rsid w:val="417E72CF"/>
    <w:rsid w:val="41835F4E"/>
    <w:rsid w:val="419329F4"/>
    <w:rsid w:val="41BE1D25"/>
    <w:rsid w:val="41C17BF0"/>
    <w:rsid w:val="41D1217F"/>
    <w:rsid w:val="41D66E38"/>
    <w:rsid w:val="41E27A8D"/>
    <w:rsid w:val="41E848D4"/>
    <w:rsid w:val="41EA4FEF"/>
    <w:rsid w:val="42051E29"/>
    <w:rsid w:val="42075BA1"/>
    <w:rsid w:val="420870C2"/>
    <w:rsid w:val="42274FBB"/>
    <w:rsid w:val="422D3662"/>
    <w:rsid w:val="4258464E"/>
    <w:rsid w:val="4278084D"/>
    <w:rsid w:val="42AC48D8"/>
    <w:rsid w:val="42AD7B2A"/>
    <w:rsid w:val="42B07FE6"/>
    <w:rsid w:val="42B9270F"/>
    <w:rsid w:val="42BF7FBB"/>
    <w:rsid w:val="42D55C9F"/>
    <w:rsid w:val="42F06635"/>
    <w:rsid w:val="42F848B2"/>
    <w:rsid w:val="43031277"/>
    <w:rsid w:val="43402962"/>
    <w:rsid w:val="4348021F"/>
    <w:rsid w:val="43671E93"/>
    <w:rsid w:val="436C6603"/>
    <w:rsid w:val="438639D7"/>
    <w:rsid w:val="43BB30E7"/>
    <w:rsid w:val="43C53F65"/>
    <w:rsid w:val="43CB621A"/>
    <w:rsid w:val="43DF200D"/>
    <w:rsid w:val="43EC14F2"/>
    <w:rsid w:val="44113AFE"/>
    <w:rsid w:val="445175A7"/>
    <w:rsid w:val="446472DA"/>
    <w:rsid w:val="44872FC9"/>
    <w:rsid w:val="44A32AC2"/>
    <w:rsid w:val="44A616A1"/>
    <w:rsid w:val="44B71B00"/>
    <w:rsid w:val="44BA514C"/>
    <w:rsid w:val="44CD4E80"/>
    <w:rsid w:val="4513485D"/>
    <w:rsid w:val="45137EBE"/>
    <w:rsid w:val="452E1696"/>
    <w:rsid w:val="45424958"/>
    <w:rsid w:val="45440EBA"/>
    <w:rsid w:val="454C1455"/>
    <w:rsid w:val="45567A15"/>
    <w:rsid w:val="45576E3F"/>
    <w:rsid w:val="455977B2"/>
    <w:rsid w:val="45742769"/>
    <w:rsid w:val="457572C5"/>
    <w:rsid w:val="45800144"/>
    <w:rsid w:val="45810A82"/>
    <w:rsid w:val="45815C6A"/>
    <w:rsid w:val="45B53E74"/>
    <w:rsid w:val="45BF763D"/>
    <w:rsid w:val="45C049E4"/>
    <w:rsid w:val="45CC5137"/>
    <w:rsid w:val="45D9530F"/>
    <w:rsid w:val="45F91CA4"/>
    <w:rsid w:val="460D2207"/>
    <w:rsid w:val="46113492"/>
    <w:rsid w:val="461A0599"/>
    <w:rsid w:val="462A6302"/>
    <w:rsid w:val="463F7FFF"/>
    <w:rsid w:val="467D28D5"/>
    <w:rsid w:val="46B34549"/>
    <w:rsid w:val="46C10A14"/>
    <w:rsid w:val="46D324F5"/>
    <w:rsid w:val="46D7175B"/>
    <w:rsid w:val="46DF70EC"/>
    <w:rsid w:val="46E2098A"/>
    <w:rsid w:val="46F801AE"/>
    <w:rsid w:val="46F81F5C"/>
    <w:rsid w:val="46F845F2"/>
    <w:rsid w:val="46FA0791"/>
    <w:rsid w:val="4716784A"/>
    <w:rsid w:val="473A2575"/>
    <w:rsid w:val="47451645"/>
    <w:rsid w:val="474E03E1"/>
    <w:rsid w:val="474F4272"/>
    <w:rsid w:val="47525B10"/>
    <w:rsid w:val="476F0470"/>
    <w:rsid w:val="477C2B8D"/>
    <w:rsid w:val="478832E0"/>
    <w:rsid w:val="478B610A"/>
    <w:rsid w:val="4798403B"/>
    <w:rsid w:val="47985EF4"/>
    <w:rsid w:val="479F062A"/>
    <w:rsid w:val="47A619B8"/>
    <w:rsid w:val="47E0311C"/>
    <w:rsid w:val="480C5CBF"/>
    <w:rsid w:val="48105E0D"/>
    <w:rsid w:val="48205C0E"/>
    <w:rsid w:val="48384D06"/>
    <w:rsid w:val="484F3DFE"/>
    <w:rsid w:val="485B3645"/>
    <w:rsid w:val="48795CD4"/>
    <w:rsid w:val="487E032C"/>
    <w:rsid w:val="48865C46"/>
    <w:rsid w:val="48B01B62"/>
    <w:rsid w:val="48B32509"/>
    <w:rsid w:val="48B65BD4"/>
    <w:rsid w:val="48BA396D"/>
    <w:rsid w:val="48C8082C"/>
    <w:rsid w:val="48F75AD9"/>
    <w:rsid w:val="491312CF"/>
    <w:rsid w:val="493C0826"/>
    <w:rsid w:val="493C25D4"/>
    <w:rsid w:val="49494CF1"/>
    <w:rsid w:val="49624C39"/>
    <w:rsid w:val="4963590A"/>
    <w:rsid w:val="49802118"/>
    <w:rsid w:val="498F346E"/>
    <w:rsid w:val="49A10689"/>
    <w:rsid w:val="4A02381D"/>
    <w:rsid w:val="4A08028A"/>
    <w:rsid w:val="4A113A61"/>
    <w:rsid w:val="4A2661C5"/>
    <w:rsid w:val="4A2A0466"/>
    <w:rsid w:val="4A331C29"/>
    <w:rsid w:val="4A4C6847"/>
    <w:rsid w:val="4A524ECF"/>
    <w:rsid w:val="4A631DE2"/>
    <w:rsid w:val="4A66705C"/>
    <w:rsid w:val="4A712751"/>
    <w:rsid w:val="4A993A56"/>
    <w:rsid w:val="4A9D315F"/>
    <w:rsid w:val="4AAE3992"/>
    <w:rsid w:val="4ADE5BEA"/>
    <w:rsid w:val="4AE44CD1"/>
    <w:rsid w:val="4AEC0102"/>
    <w:rsid w:val="4AF32BD9"/>
    <w:rsid w:val="4B044705"/>
    <w:rsid w:val="4B1C090F"/>
    <w:rsid w:val="4B2E0642"/>
    <w:rsid w:val="4B386288"/>
    <w:rsid w:val="4B3A58DC"/>
    <w:rsid w:val="4B4C0AC8"/>
    <w:rsid w:val="4B4F56B7"/>
    <w:rsid w:val="4B5849D2"/>
    <w:rsid w:val="4B726781"/>
    <w:rsid w:val="4B756271"/>
    <w:rsid w:val="4B9D6558"/>
    <w:rsid w:val="4BA83F51"/>
    <w:rsid w:val="4BB131F1"/>
    <w:rsid w:val="4BB521F2"/>
    <w:rsid w:val="4BBE3C16"/>
    <w:rsid w:val="4BD9235C"/>
    <w:rsid w:val="4BDD1421"/>
    <w:rsid w:val="4C1402C2"/>
    <w:rsid w:val="4C22759A"/>
    <w:rsid w:val="4C236866"/>
    <w:rsid w:val="4C303F46"/>
    <w:rsid w:val="4C327CBE"/>
    <w:rsid w:val="4C39104D"/>
    <w:rsid w:val="4C435948"/>
    <w:rsid w:val="4C4B687F"/>
    <w:rsid w:val="4C5F2FD8"/>
    <w:rsid w:val="4C6023E1"/>
    <w:rsid w:val="4C653BF0"/>
    <w:rsid w:val="4C7C4B97"/>
    <w:rsid w:val="4C8056D4"/>
    <w:rsid w:val="4C876123"/>
    <w:rsid w:val="4C995F8F"/>
    <w:rsid w:val="4CBA03DF"/>
    <w:rsid w:val="4CE311EB"/>
    <w:rsid w:val="4CEF2FE5"/>
    <w:rsid w:val="4CF3744D"/>
    <w:rsid w:val="4D004C66"/>
    <w:rsid w:val="4D153868"/>
    <w:rsid w:val="4D407DAF"/>
    <w:rsid w:val="4D4872B8"/>
    <w:rsid w:val="4D52550E"/>
    <w:rsid w:val="4D5C3245"/>
    <w:rsid w:val="4D5E555D"/>
    <w:rsid w:val="4D8D56B2"/>
    <w:rsid w:val="4D965F18"/>
    <w:rsid w:val="4DB356B2"/>
    <w:rsid w:val="4DB82445"/>
    <w:rsid w:val="4DC42B98"/>
    <w:rsid w:val="4DD92AE7"/>
    <w:rsid w:val="4DF647A7"/>
    <w:rsid w:val="4E13108B"/>
    <w:rsid w:val="4E133E51"/>
    <w:rsid w:val="4E233D34"/>
    <w:rsid w:val="4E2B2C17"/>
    <w:rsid w:val="4E333DE3"/>
    <w:rsid w:val="4E3C4E24"/>
    <w:rsid w:val="4E3F4255"/>
    <w:rsid w:val="4E41068C"/>
    <w:rsid w:val="4E544FA0"/>
    <w:rsid w:val="4E854A1D"/>
    <w:rsid w:val="4E901058"/>
    <w:rsid w:val="4EAA7FE0"/>
    <w:rsid w:val="4EB250E6"/>
    <w:rsid w:val="4EB8094F"/>
    <w:rsid w:val="4EBD5A47"/>
    <w:rsid w:val="4ED25E20"/>
    <w:rsid w:val="4EE47996"/>
    <w:rsid w:val="4F097FFF"/>
    <w:rsid w:val="4F0C0C9A"/>
    <w:rsid w:val="4F12746E"/>
    <w:rsid w:val="4F155DA1"/>
    <w:rsid w:val="4F2558B8"/>
    <w:rsid w:val="4F683323"/>
    <w:rsid w:val="4F6A3904"/>
    <w:rsid w:val="4F710AFD"/>
    <w:rsid w:val="4F7E6BFF"/>
    <w:rsid w:val="4F9053DB"/>
    <w:rsid w:val="4F91170B"/>
    <w:rsid w:val="4FA62537"/>
    <w:rsid w:val="4FA72ADE"/>
    <w:rsid w:val="4FE118B1"/>
    <w:rsid w:val="4FF546A4"/>
    <w:rsid w:val="501E562A"/>
    <w:rsid w:val="50243DC2"/>
    <w:rsid w:val="50354221"/>
    <w:rsid w:val="504F7091"/>
    <w:rsid w:val="505C17AE"/>
    <w:rsid w:val="5060304C"/>
    <w:rsid w:val="5066262C"/>
    <w:rsid w:val="50A62A29"/>
    <w:rsid w:val="50C51101"/>
    <w:rsid w:val="50C53DC6"/>
    <w:rsid w:val="50CC06E1"/>
    <w:rsid w:val="50CD4459"/>
    <w:rsid w:val="50D92DFE"/>
    <w:rsid w:val="50F778E4"/>
    <w:rsid w:val="50FA6CDF"/>
    <w:rsid w:val="5101031D"/>
    <w:rsid w:val="51024B10"/>
    <w:rsid w:val="51085492"/>
    <w:rsid w:val="51145BE4"/>
    <w:rsid w:val="51410084"/>
    <w:rsid w:val="51577584"/>
    <w:rsid w:val="51874608"/>
    <w:rsid w:val="51933489"/>
    <w:rsid w:val="5196484B"/>
    <w:rsid w:val="51A62757"/>
    <w:rsid w:val="51B01E5B"/>
    <w:rsid w:val="51B055F9"/>
    <w:rsid w:val="51C615D4"/>
    <w:rsid w:val="51CA216E"/>
    <w:rsid w:val="51E101BC"/>
    <w:rsid w:val="51F756A2"/>
    <w:rsid w:val="52000723"/>
    <w:rsid w:val="52081BED"/>
    <w:rsid w:val="520B25A1"/>
    <w:rsid w:val="52157CBE"/>
    <w:rsid w:val="523A62C1"/>
    <w:rsid w:val="52483D98"/>
    <w:rsid w:val="524B1ADA"/>
    <w:rsid w:val="52756B57"/>
    <w:rsid w:val="52816A7D"/>
    <w:rsid w:val="5286584F"/>
    <w:rsid w:val="528F19C6"/>
    <w:rsid w:val="528F6BDC"/>
    <w:rsid w:val="52AA4A52"/>
    <w:rsid w:val="52AD665A"/>
    <w:rsid w:val="52BB569C"/>
    <w:rsid w:val="52D84DB4"/>
    <w:rsid w:val="52E15F9A"/>
    <w:rsid w:val="52F67C97"/>
    <w:rsid w:val="52FA0D08"/>
    <w:rsid w:val="52FE08FA"/>
    <w:rsid w:val="53021FE4"/>
    <w:rsid w:val="53081779"/>
    <w:rsid w:val="530B6521"/>
    <w:rsid w:val="530F48B5"/>
    <w:rsid w:val="5322283B"/>
    <w:rsid w:val="53354401"/>
    <w:rsid w:val="53430A03"/>
    <w:rsid w:val="53513E62"/>
    <w:rsid w:val="535E467E"/>
    <w:rsid w:val="5370482E"/>
    <w:rsid w:val="538E1C7E"/>
    <w:rsid w:val="539547EE"/>
    <w:rsid w:val="53986FA1"/>
    <w:rsid w:val="539A6875"/>
    <w:rsid w:val="53C438F2"/>
    <w:rsid w:val="53FC752F"/>
    <w:rsid w:val="54023508"/>
    <w:rsid w:val="54027570"/>
    <w:rsid w:val="54031C21"/>
    <w:rsid w:val="5404273B"/>
    <w:rsid w:val="54106B37"/>
    <w:rsid w:val="543F11CA"/>
    <w:rsid w:val="548955D2"/>
    <w:rsid w:val="548B440F"/>
    <w:rsid w:val="54AA0D3A"/>
    <w:rsid w:val="54AF6350"/>
    <w:rsid w:val="54B25E40"/>
    <w:rsid w:val="550258C8"/>
    <w:rsid w:val="55050666"/>
    <w:rsid w:val="555A4038"/>
    <w:rsid w:val="558C048B"/>
    <w:rsid w:val="55A71D47"/>
    <w:rsid w:val="55DA38A0"/>
    <w:rsid w:val="55DF2C65"/>
    <w:rsid w:val="55E77217"/>
    <w:rsid w:val="55F2568F"/>
    <w:rsid w:val="560761F8"/>
    <w:rsid w:val="56095F34"/>
    <w:rsid w:val="561B7A15"/>
    <w:rsid w:val="56222B52"/>
    <w:rsid w:val="562B518F"/>
    <w:rsid w:val="562D5ADC"/>
    <w:rsid w:val="5630526E"/>
    <w:rsid w:val="564255D4"/>
    <w:rsid w:val="564B3E56"/>
    <w:rsid w:val="56576C9F"/>
    <w:rsid w:val="56873B6B"/>
    <w:rsid w:val="5697709C"/>
    <w:rsid w:val="569C6DA8"/>
    <w:rsid w:val="56A33C92"/>
    <w:rsid w:val="56BA722E"/>
    <w:rsid w:val="56E36837"/>
    <w:rsid w:val="56E952B6"/>
    <w:rsid w:val="56ED7603"/>
    <w:rsid w:val="56F94225"/>
    <w:rsid w:val="57233025"/>
    <w:rsid w:val="57392849"/>
    <w:rsid w:val="573963A5"/>
    <w:rsid w:val="57396B47"/>
    <w:rsid w:val="573E4B9B"/>
    <w:rsid w:val="573E78DC"/>
    <w:rsid w:val="575E405D"/>
    <w:rsid w:val="57757F6B"/>
    <w:rsid w:val="578B7877"/>
    <w:rsid w:val="57BB6079"/>
    <w:rsid w:val="57CF5D62"/>
    <w:rsid w:val="57D936E4"/>
    <w:rsid w:val="57FA3D86"/>
    <w:rsid w:val="58041C55"/>
    <w:rsid w:val="58044C05"/>
    <w:rsid w:val="58070251"/>
    <w:rsid w:val="580A7D41"/>
    <w:rsid w:val="58117322"/>
    <w:rsid w:val="5823141B"/>
    <w:rsid w:val="582B03E3"/>
    <w:rsid w:val="582C7CB7"/>
    <w:rsid w:val="585A09BC"/>
    <w:rsid w:val="585B059D"/>
    <w:rsid w:val="585C4D9F"/>
    <w:rsid w:val="585D40C1"/>
    <w:rsid w:val="58726012"/>
    <w:rsid w:val="587306DC"/>
    <w:rsid w:val="587B23C2"/>
    <w:rsid w:val="587C29D4"/>
    <w:rsid w:val="589E4FFE"/>
    <w:rsid w:val="58A957AC"/>
    <w:rsid w:val="58B32187"/>
    <w:rsid w:val="58BD2E7F"/>
    <w:rsid w:val="58D740C7"/>
    <w:rsid w:val="58D77C23"/>
    <w:rsid w:val="58E862D4"/>
    <w:rsid w:val="58F44C79"/>
    <w:rsid w:val="59162E41"/>
    <w:rsid w:val="591D4EEC"/>
    <w:rsid w:val="59505C28"/>
    <w:rsid w:val="59563B77"/>
    <w:rsid w:val="59701E26"/>
    <w:rsid w:val="597A0A22"/>
    <w:rsid w:val="597F386C"/>
    <w:rsid w:val="59852053"/>
    <w:rsid w:val="5987789B"/>
    <w:rsid w:val="598D1433"/>
    <w:rsid w:val="59995821"/>
    <w:rsid w:val="59BF16A6"/>
    <w:rsid w:val="59F367F2"/>
    <w:rsid w:val="59FF38D6"/>
    <w:rsid w:val="5A316DF7"/>
    <w:rsid w:val="5A3434CE"/>
    <w:rsid w:val="5A376160"/>
    <w:rsid w:val="5A3966BC"/>
    <w:rsid w:val="5A461504"/>
    <w:rsid w:val="5A4F7C8D"/>
    <w:rsid w:val="5A6776CD"/>
    <w:rsid w:val="5A755946"/>
    <w:rsid w:val="5A7E32CD"/>
    <w:rsid w:val="5A8913F1"/>
    <w:rsid w:val="5AD76600"/>
    <w:rsid w:val="5AE43E3C"/>
    <w:rsid w:val="5AEE56F8"/>
    <w:rsid w:val="5B0D4BD2"/>
    <w:rsid w:val="5B1B1E1C"/>
    <w:rsid w:val="5B2555BE"/>
    <w:rsid w:val="5B445318"/>
    <w:rsid w:val="5B5E178C"/>
    <w:rsid w:val="5B6559BA"/>
    <w:rsid w:val="5B6F7227"/>
    <w:rsid w:val="5B7469C6"/>
    <w:rsid w:val="5B770094"/>
    <w:rsid w:val="5B8C3B8D"/>
    <w:rsid w:val="5BA103BE"/>
    <w:rsid w:val="5BA83CAD"/>
    <w:rsid w:val="5BBE331C"/>
    <w:rsid w:val="5BD97D4E"/>
    <w:rsid w:val="5BE64AC5"/>
    <w:rsid w:val="5BEA61EE"/>
    <w:rsid w:val="5BF8682E"/>
    <w:rsid w:val="5C007491"/>
    <w:rsid w:val="5C017F77"/>
    <w:rsid w:val="5C045110"/>
    <w:rsid w:val="5C0D40EB"/>
    <w:rsid w:val="5C122898"/>
    <w:rsid w:val="5C2F421A"/>
    <w:rsid w:val="5C3E106E"/>
    <w:rsid w:val="5C5B500F"/>
    <w:rsid w:val="5C6907C8"/>
    <w:rsid w:val="5C7515B2"/>
    <w:rsid w:val="5CA02A22"/>
    <w:rsid w:val="5CC11316"/>
    <w:rsid w:val="5CC17AB1"/>
    <w:rsid w:val="5CF1327E"/>
    <w:rsid w:val="5CFA3B38"/>
    <w:rsid w:val="5CFF3BED"/>
    <w:rsid w:val="5D0631CD"/>
    <w:rsid w:val="5D0D3119"/>
    <w:rsid w:val="5D1F7DEB"/>
    <w:rsid w:val="5D24113B"/>
    <w:rsid w:val="5D375134"/>
    <w:rsid w:val="5D46181B"/>
    <w:rsid w:val="5D4E56CE"/>
    <w:rsid w:val="5D5061F6"/>
    <w:rsid w:val="5D7037ED"/>
    <w:rsid w:val="5D7C797D"/>
    <w:rsid w:val="5D8A795A"/>
    <w:rsid w:val="5D8B0F90"/>
    <w:rsid w:val="5DA369D2"/>
    <w:rsid w:val="5DB04553"/>
    <w:rsid w:val="5DC6470A"/>
    <w:rsid w:val="5DEC4171"/>
    <w:rsid w:val="5DF9063C"/>
    <w:rsid w:val="5DF907A4"/>
    <w:rsid w:val="5DFC07D3"/>
    <w:rsid w:val="5E015742"/>
    <w:rsid w:val="5E297E46"/>
    <w:rsid w:val="5E364377"/>
    <w:rsid w:val="5E3E0E94"/>
    <w:rsid w:val="5E59754C"/>
    <w:rsid w:val="5E5C60D3"/>
    <w:rsid w:val="5E67417C"/>
    <w:rsid w:val="5E734892"/>
    <w:rsid w:val="5E8A398A"/>
    <w:rsid w:val="5E981191"/>
    <w:rsid w:val="5E9F05EF"/>
    <w:rsid w:val="5ECF3E31"/>
    <w:rsid w:val="5EDA221B"/>
    <w:rsid w:val="5EE0004F"/>
    <w:rsid w:val="5EE06659"/>
    <w:rsid w:val="5EFC6636"/>
    <w:rsid w:val="5F1E2439"/>
    <w:rsid w:val="5F2E67B1"/>
    <w:rsid w:val="5F4D6E91"/>
    <w:rsid w:val="5F4E51D4"/>
    <w:rsid w:val="5F5226F9"/>
    <w:rsid w:val="5F6D308F"/>
    <w:rsid w:val="5F7206A6"/>
    <w:rsid w:val="5F9A19AB"/>
    <w:rsid w:val="5FA16FA6"/>
    <w:rsid w:val="5FC353A5"/>
    <w:rsid w:val="5FC54019"/>
    <w:rsid w:val="5FCB6FFA"/>
    <w:rsid w:val="5FD17AC2"/>
    <w:rsid w:val="5FE5531C"/>
    <w:rsid w:val="5FEB1B9D"/>
    <w:rsid w:val="60154488"/>
    <w:rsid w:val="601D3708"/>
    <w:rsid w:val="60234C2A"/>
    <w:rsid w:val="603D527B"/>
    <w:rsid w:val="604007A4"/>
    <w:rsid w:val="60561D75"/>
    <w:rsid w:val="60632540"/>
    <w:rsid w:val="60651FB9"/>
    <w:rsid w:val="608774A2"/>
    <w:rsid w:val="609D79A4"/>
    <w:rsid w:val="60A50FB6"/>
    <w:rsid w:val="60BE63C8"/>
    <w:rsid w:val="60C43183"/>
    <w:rsid w:val="60D31618"/>
    <w:rsid w:val="60D333C6"/>
    <w:rsid w:val="60D95C38"/>
    <w:rsid w:val="60DA50FA"/>
    <w:rsid w:val="60E12CCA"/>
    <w:rsid w:val="60EA32DE"/>
    <w:rsid w:val="60F5158E"/>
    <w:rsid w:val="60FF352C"/>
    <w:rsid w:val="6106379C"/>
    <w:rsid w:val="61112140"/>
    <w:rsid w:val="611D0AE5"/>
    <w:rsid w:val="612969D8"/>
    <w:rsid w:val="612B3202"/>
    <w:rsid w:val="61396EBD"/>
    <w:rsid w:val="613E667D"/>
    <w:rsid w:val="614042B1"/>
    <w:rsid w:val="614222FA"/>
    <w:rsid w:val="61437B3D"/>
    <w:rsid w:val="614E4411"/>
    <w:rsid w:val="6154366A"/>
    <w:rsid w:val="616200C3"/>
    <w:rsid w:val="616B2973"/>
    <w:rsid w:val="61782D5B"/>
    <w:rsid w:val="61A70640"/>
    <w:rsid w:val="61BC20AC"/>
    <w:rsid w:val="61BC3B1A"/>
    <w:rsid w:val="61CC56D8"/>
    <w:rsid w:val="61E433B1"/>
    <w:rsid w:val="61E51581"/>
    <w:rsid w:val="623161EC"/>
    <w:rsid w:val="623B2E03"/>
    <w:rsid w:val="6247406C"/>
    <w:rsid w:val="62634C1E"/>
    <w:rsid w:val="62665185"/>
    <w:rsid w:val="62860A01"/>
    <w:rsid w:val="62C0797A"/>
    <w:rsid w:val="62C3746A"/>
    <w:rsid w:val="62E73AEA"/>
    <w:rsid w:val="630662E3"/>
    <w:rsid w:val="631101D6"/>
    <w:rsid w:val="63190CCD"/>
    <w:rsid w:val="63273E9D"/>
    <w:rsid w:val="63313AF6"/>
    <w:rsid w:val="634C32FF"/>
    <w:rsid w:val="63674FF9"/>
    <w:rsid w:val="637846F9"/>
    <w:rsid w:val="637E52E4"/>
    <w:rsid w:val="638F4503"/>
    <w:rsid w:val="63AD6150"/>
    <w:rsid w:val="63B6480A"/>
    <w:rsid w:val="63B868A3"/>
    <w:rsid w:val="63CE0F42"/>
    <w:rsid w:val="63D52D8F"/>
    <w:rsid w:val="64033FC2"/>
    <w:rsid w:val="640958DC"/>
    <w:rsid w:val="640D3093"/>
    <w:rsid w:val="64191A38"/>
    <w:rsid w:val="6432628C"/>
    <w:rsid w:val="643B19AE"/>
    <w:rsid w:val="64460353"/>
    <w:rsid w:val="644C1B97"/>
    <w:rsid w:val="644D16E1"/>
    <w:rsid w:val="64562060"/>
    <w:rsid w:val="64572560"/>
    <w:rsid w:val="64760C38"/>
    <w:rsid w:val="647629E6"/>
    <w:rsid w:val="648745D9"/>
    <w:rsid w:val="64A83F0E"/>
    <w:rsid w:val="64A87BFB"/>
    <w:rsid w:val="64AF5EF8"/>
    <w:rsid w:val="64CF659A"/>
    <w:rsid w:val="64D4770D"/>
    <w:rsid w:val="64D54FB3"/>
    <w:rsid w:val="64DE67DD"/>
    <w:rsid w:val="65053D6A"/>
    <w:rsid w:val="651F46E8"/>
    <w:rsid w:val="653760CD"/>
    <w:rsid w:val="653F2F19"/>
    <w:rsid w:val="65534AB3"/>
    <w:rsid w:val="655D7702"/>
    <w:rsid w:val="65647CC1"/>
    <w:rsid w:val="657131AE"/>
    <w:rsid w:val="657607C4"/>
    <w:rsid w:val="65AB4E9E"/>
    <w:rsid w:val="65B174D2"/>
    <w:rsid w:val="65C14135"/>
    <w:rsid w:val="65D74CE7"/>
    <w:rsid w:val="65DF6369"/>
    <w:rsid w:val="65E47E23"/>
    <w:rsid w:val="660F30F2"/>
    <w:rsid w:val="661348D5"/>
    <w:rsid w:val="661C44A0"/>
    <w:rsid w:val="661C699C"/>
    <w:rsid w:val="662242CD"/>
    <w:rsid w:val="66432D9C"/>
    <w:rsid w:val="664663E8"/>
    <w:rsid w:val="66524D8D"/>
    <w:rsid w:val="665A1E94"/>
    <w:rsid w:val="665F174A"/>
    <w:rsid w:val="666D06BD"/>
    <w:rsid w:val="66886271"/>
    <w:rsid w:val="66A01F9C"/>
    <w:rsid w:val="66AD6467"/>
    <w:rsid w:val="66E7709A"/>
    <w:rsid w:val="66EB019B"/>
    <w:rsid w:val="66F52B0D"/>
    <w:rsid w:val="670F0ED0"/>
    <w:rsid w:val="67246703"/>
    <w:rsid w:val="6729598A"/>
    <w:rsid w:val="672C55DE"/>
    <w:rsid w:val="672E6466"/>
    <w:rsid w:val="672F50CE"/>
    <w:rsid w:val="674212A6"/>
    <w:rsid w:val="6747066A"/>
    <w:rsid w:val="67492634"/>
    <w:rsid w:val="67656D42"/>
    <w:rsid w:val="67900263"/>
    <w:rsid w:val="67982C74"/>
    <w:rsid w:val="679F04A6"/>
    <w:rsid w:val="67C223E6"/>
    <w:rsid w:val="67C717AB"/>
    <w:rsid w:val="67C843C5"/>
    <w:rsid w:val="67DA7730"/>
    <w:rsid w:val="67EE266A"/>
    <w:rsid w:val="67EF2A24"/>
    <w:rsid w:val="67FB27C1"/>
    <w:rsid w:val="68107F5C"/>
    <w:rsid w:val="683740E0"/>
    <w:rsid w:val="68486ADD"/>
    <w:rsid w:val="684D1F2C"/>
    <w:rsid w:val="685261D9"/>
    <w:rsid w:val="68692862"/>
    <w:rsid w:val="68C06926"/>
    <w:rsid w:val="694F4C12"/>
    <w:rsid w:val="69717C20"/>
    <w:rsid w:val="697D0373"/>
    <w:rsid w:val="698A2A90"/>
    <w:rsid w:val="69997CBB"/>
    <w:rsid w:val="699F29DF"/>
    <w:rsid w:val="69A200AE"/>
    <w:rsid w:val="69B0699A"/>
    <w:rsid w:val="69E228CC"/>
    <w:rsid w:val="69FA004C"/>
    <w:rsid w:val="6A197ABD"/>
    <w:rsid w:val="6A425119"/>
    <w:rsid w:val="6AB029CA"/>
    <w:rsid w:val="6ADC22FA"/>
    <w:rsid w:val="6AE07B4D"/>
    <w:rsid w:val="6AE14931"/>
    <w:rsid w:val="6AF66E5F"/>
    <w:rsid w:val="6AFF0859"/>
    <w:rsid w:val="6B405AFC"/>
    <w:rsid w:val="6B67752D"/>
    <w:rsid w:val="6B6F7DE7"/>
    <w:rsid w:val="6B711D7A"/>
    <w:rsid w:val="6B785296"/>
    <w:rsid w:val="6B795473"/>
    <w:rsid w:val="6B8974A3"/>
    <w:rsid w:val="6BA44BE0"/>
    <w:rsid w:val="6BAC13E3"/>
    <w:rsid w:val="6BB3191A"/>
    <w:rsid w:val="6BB90635"/>
    <w:rsid w:val="6BBD3BC6"/>
    <w:rsid w:val="6BBE70C3"/>
    <w:rsid w:val="6BE0108D"/>
    <w:rsid w:val="6BE05D81"/>
    <w:rsid w:val="6BEE7306"/>
    <w:rsid w:val="6C040F0E"/>
    <w:rsid w:val="6C2E6DC9"/>
    <w:rsid w:val="6C3A69EF"/>
    <w:rsid w:val="6C3D2062"/>
    <w:rsid w:val="6C423AF6"/>
    <w:rsid w:val="6C4B6506"/>
    <w:rsid w:val="6C53360D"/>
    <w:rsid w:val="6C5E0930"/>
    <w:rsid w:val="6C70257A"/>
    <w:rsid w:val="6C705F6D"/>
    <w:rsid w:val="6C8163CC"/>
    <w:rsid w:val="6C8222E0"/>
    <w:rsid w:val="6C8477D1"/>
    <w:rsid w:val="6C871509"/>
    <w:rsid w:val="6C904861"/>
    <w:rsid w:val="6C9B7BBF"/>
    <w:rsid w:val="6CA200F0"/>
    <w:rsid w:val="6CB06CB1"/>
    <w:rsid w:val="6CBA18DE"/>
    <w:rsid w:val="6CBB1048"/>
    <w:rsid w:val="6CBD4F2A"/>
    <w:rsid w:val="6CC12C6C"/>
    <w:rsid w:val="6CC664D5"/>
    <w:rsid w:val="6CCB7647"/>
    <w:rsid w:val="6CCE7137"/>
    <w:rsid w:val="6CD62F24"/>
    <w:rsid w:val="6CDE59F2"/>
    <w:rsid w:val="6CEB697F"/>
    <w:rsid w:val="6CED5810"/>
    <w:rsid w:val="6CF21078"/>
    <w:rsid w:val="6D205BE5"/>
    <w:rsid w:val="6D3C6797"/>
    <w:rsid w:val="6D4A0EB4"/>
    <w:rsid w:val="6D671856"/>
    <w:rsid w:val="6D6A002E"/>
    <w:rsid w:val="6D8048D6"/>
    <w:rsid w:val="6D9431C3"/>
    <w:rsid w:val="6DF368F1"/>
    <w:rsid w:val="6DFD5140"/>
    <w:rsid w:val="6E064C9F"/>
    <w:rsid w:val="6E0C5788"/>
    <w:rsid w:val="6E225007"/>
    <w:rsid w:val="6E22773B"/>
    <w:rsid w:val="6E245261"/>
    <w:rsid w:val="6E3851B0"/>
    <w:rsid w:val="6E4B43EA"/>
    <w:rsid w:val="6E6733A0"/>
    <w:rsid w:val="6E874588"/>
    <w:rsid w:val="6E9817AB"/>
    <w:rsid w:val="6EB74CDF"/>
    <w:rsid w:val="6EC03A8C"/>
    <w:rsid w:val="6EED1AF7"/>
    <w:rsid w:val="6EF2535F"/>
    <w:rsid w:val="6F0137F4"/>
    <w:rsid w:val="6F0E7CBF"/>
    <w:rsid w:val="6F106C9D"/>
    <w:rsid w:val="6F29122F"/>
    <w:rsid w:val="6F2A2565"/>
    <w:rsid w:val="6F2A7E89"/>
    <w:rsid w:val="6F39382C"/>
    <w:rsid w:val="6F3B1053"/>
    <w:rsid w:val="6F40256E"/>
    <w:rsid w:val="6F4F2550"/>
    <w:rsid w:val="6F5002D8"/>
    <w:rsid w:val="6F54412A"/>
    <w:rsid w:val="6F651FD5"/>
    <w:rsid w:val="6F8F0E00"/>
    <w:rsid w:val="6FA06B69"/>
    <w:rsid w:val="6FAA5C3A"/>
    <w:rsid w:val="6FCF43B1"/>
    <w:rsid w:val="6FD470B5"/>
    <w:rsid w:val="6FE07AD8"/>
    <w:rsid w:val="70076BE8"/>
    <w:rsid w:val="701D6060"/>
    <w:rsid w:val="7027752F"/>
    <w:rsid w:val="702E0844"/>
    <w:rsid w:val="70381498"/>
    <w:rsid w:val="704C53B6"/>
    <w:rsid w:val="705B0CE2"/>
    <w:rsid w:val="70651B61"/>
    <w:rsid w:val="70673B2B"/>
    <w:rsid w:val="70700C31"/>
    <w:rsid w:val="70756248"/>
    <w:rsid w:val="70781894"/>
    <w:rsid w:val="70852969"/>
    <w:rsid w:val="709D4B9C"/>
    <w:rsid w:val="70AC6896"/>
    <w:rsid w:val="70BA3C5B"/>
    <w:rsid w:val="70BC7D83"/>
    <w:rsid w:val="70C1323B"/>
    <w:rsid w:val="70C745CA"/>
    <w:rsid w:val="70DA60AB"/>
    <w:rsid w:val="70DC1E23"/>
    <w:rsid w:val="70DD3DED"/>
    <w:rsid w:val="71213CDA"/>
    <w:rsid w:val="7136574A"/>
    <w:rsid w:val="713F4C4E"/>
    <w:rsid w:val="71635262"/>
    <w:rsid w:val="717C53B4"/>
    <w:rsid w:val="71877D67"/>
    <w:rsid w:val="71A52D40"/>
    <w:rsid w:val="71AE0FE5"/>
    <w:rsid w:val="71B903B6"/>
    <w:rsid w:val="71D074AE"/>
    <w:rsid w:val="71E2790D"/>
    <w:rsid w:val="72006ED8"/>
    <w:rsid w:val="720A6E64"/>
    <w:rsid w:val="72247F25"/>
    <w:rsid w:val="72270BDC"/>
    <w:rsid w:val="722D66AE"/>
    <w:rsid w:val="72311968"/>
    <w:rsid w:val="724B56B5"/>
    <w:rsid w:val="725400DF"/>
    <w:rsid w:val="725A3947"/>
    <w:rsid w:val="729D55E2"/>
    <w:rsid w:val="72A252EE"/>
    <w:rsid w:val="72AD085C"/>
    <w:rsid w:val="72B312A9"/>
    <w:rsid w:val="72C45265"/>
    <w:rsid w:val="72CE0652"/>
    <w:rsid w:val="72F520D3"/>
    <w:rsid w:val="730E61C6"/>
    <w:rsid w:val="733406E6"/>
    <w:rsid w:val="733D156C"/>
    <w:rsid w:val="73531426"/>
    <w:rsid w:val="7358775B"/>
    <w:rsid w:val="736B4597"/>
    <w:rsid w:val="73702CF6"/>
    <w:rsid w:val="73993FFB"/>
    <w:rsid w:val="739E73A2"/>
    <w:rsid w:val="73A17354"/>
    <w:rsid w:val="73A330CC"/>
    <w:rsid w:val="73BD5E66"/>
    <w:rsid w:val="73DC213A"/>
    <w:rsid w:val="73DF3DC7"/>
    <w:rsid w:val="73F751C6"/>
    <w:rsid w:val="73F97190"/>
    <w:rsid w:val="744A3547"/>
    <w:rsid w:val="744C5512"/>
    <w:rsid w:val="745E6FF3"/>
    <w:rsid w:val="746960C4"/>
    <w:rsid w:val="747607E0"/>
    <w:rsid w:val="74A55187"/>
    <w:rsid w:val="74B92F3B"/>
    <w:rsid w:val="74BA5BB7"/>
    <w:rsid w:val="74BF0599"/>
    <w:rsid w:val="74C07CAE"/>
    <w:rsid w:val="74C341DC"/>
    <w:rsid w:val="74C57072"/>
    <w:rsid w:val="74CA5D6F"/>
    <w:rsid w:val="74D07EF1"/>
    <w:rsid w:val="74DD0860"/>
    <w:rsid w:val="7509356F"/>
    <w:rsid w:val="75322FC4"/>
    <w:rsid w:val="753649D0"/>
    <w:rsid w:val="75640639"/>
    <w:rsid w:val="759C7DD3"/>
    <w:rsid w:val="75AC4DA7"/>
    <w:rsid w:val="75B72E5F"/>
    <w:rsid w:val="75BA64AB"/>
    <w:rsid w:val="75C5557C"/>
    <w:rsid w:val="75CB690A"/>
    <w:rsid w:val="75CE7D56"/>
    <w:rsid w:val="75D4756D"/>
    <w:rsid w:val="75ED062E"/>
    <w:rsid w:val="75ED0E71"/>
    <w:rsid w:val="76134329"/>
    <w:rsid w:val="762B73A9"/>
    <w:rsid w:val="762C1090"/>
    <w:rsid w:val="763C0A95"/>
    <w:rsid w:val="763E532E"/>
    <w:rsid w:val="763F69C9"/>
    <w:rsid w:val="76426BCC"/>
    <w:rsid w:val="765608C9"/>
    <w:rsid w:val="765E152C"/>
    <w:rsid w:val="76607052"/>
    <w:rsid w:val="76903E09"/>
    <w:rsid w:val="769B008A"/>
    <w:rsid w:val="76AC2E78"/>
    <w:rsid w:val="76C94CFC"/>
    <w:rsid w:val="76CC46E8"/>
    <w:rsid w:val="76F10169"/>
    <w:rsid w:val="76F36118"/>
    <w:rsid w:val="76F53C3E"/>
    <w:rsid w:val="772C3569"/>
    <w:rsid w:val="772C578F"/>
    <w:rsid w:val="773D55E5"/>
    <w:rsid w:val="77693FA2"/>
    <w:rsid w:val="776973F8"/>
    <w:rsid w:val="77697404"/>
    <w:rsid w:val="777D3C34"/>
    <w:rsid w:val="777D6759"/>
    <w:rsid w:val="7782124A"/>
    <w:rsid w:val="778D20C9"/>
    <w:rsid w:val="7798281C"/>
    <w:rsid w:val="779A47E6"/>
    <w:rsid w:val="779D13B1"/>
    <w:rsid w:val="77A565CD"/>
    <w:rsid w:val="77AB07A1"/>
    <w:rsid w:val="77C720FB"/>
    <w:rsid w:val="77C74EAF"/>
    <w:rsid w:val="77EE4F88"/>
    <w:rsid w:val="78014865"/>
    <w:rsid w:val="78016613"/>
    <w:rsid w:val="781611AF"/>
    <w:rsid w:val="7819360A"/>
    <w:rsid w:val="781F4CEB"/>
    <w:rsid w:val="783562BD"/>
    <w:rsid w:val="7860158C"/>
    <w:rsid w:val="78654DF4"/>
    <w:rsid w:val="786848E4"/>
    <w:rsid w:val="786D4AC3"/>
    <w:rsid w:val="789B7FE8"/>
    <w:rsid w:val="78C23FF4"/>
    <w:rsid w:val="78EA52F9"/>
    <w:rsid w:val="790C1713"/>
    <w:rsid w:val="79305402"/>
    <w:rsid w:val="7956298E"/>
    <w:rsid w:val="797177C8"/>
    <w:rsid w:val="797A5848"/>
    <w:rsid w:val="798D25D2"/>
    <w:rsid w:val="79B3393D"/>
    <w:rsid w:val="79EA1A55"/>
    <w:rsid w:val="7A0F14BB"/>
    <w:rsid w:val="7A101750"/>
    <w:rsid w:val="7A28432B"/>
    <w:rsid w:val="7A334D1D"/>
    <w:rsid w:val="7A340F22"/>
    <w:rsid w:val="7A3E27F5"/>
    <w:rsid w:val="7A651692"/>
    <w:rsid w:val="7A8224EC"/>
    <w:rsid w:val="7AA45DEC"/>
    <w:rsid w:val="7AE44B93"/>
    <w:rsid w:val="7AE83ABA"/>
    <w:rsid w:val="7B022DCE"/>
    <w:rsid w:val="7B072192"/>
    <w:rsid w:val="7B220D7A"/>
    <w:rsid w:val="7B226FCC"/>
    <w:rsid w:val="7B2E5971"/>
    <w:rsid w:val="7B3311D9"/>
    <w:rsid w:val="7B362A78"/>
    <w:rsid w:val="7B3E7416"/>
    <w:rsid w:val="7B5B603A"/>
    <w:rsid w:val="7B677539"/>
    <w:rsid w:val="7B6B5B39"/>
    <w:rsid w:val="7B930ECA"/>
    <w:rsid w:val="7B9559F0"/>
    <w:rsid w:val="7BB223DA"/>
    <w:rsid w:val="7BB3318F"/>
    <w:rsid w:val="7BB773AE"/>
    <w:rsid w:val="7BD063E4"/>
    <w:rsid w:val="7BD338C1"/>
    <w:rsid w:val="7BDA6466"/>
    <w:rsid w:val="7BDD34DA"/>
    <w:rsid w:val="7BED557B"/>
    <w:rsid w:val="7BFA1CF7"/>
    <w:rsid w:val="7BFA5853"/>
    <w:rsid w:val="7BFB1730"/>
    <w:rsid w:val="7C093CE8"/>
    <w:rsid w:val="7C176405"/>
    <w:rsid w:val="7C2D7507"/>
    <w:rsid w:val="7C3429CB"/>
    <w:rsid w:val="7C3E1BE4"/>
    <w:rsid w:val="7C463994"/>
    <w:rsid w:val="7C4D5E8B"/>
    <w:rsid w:val="7C594C70"/>
    <w:rsid w:val="7C6C7CE4"/>
    <w:rsid w:val="7C7E0232"/>
    <w:rsid w:val="7CAA0F1D"/>
    <w:rsid w:val="7CB90CD3"/>
    <w:rsid w:val="7CBC6FAC"/>
    <w:rsid w:val="7D01475A"/>
    <w:rsid w:val="7D154658"/>
    <w:rsid w:val="7D1D3EEF"/>
    <w:rsid w:val="7D2D1C58"/>
    <w:rsid w:val="7D352AAB"/>
    <w:rsid w:val="7D5E5E90"/>
    <w:rsid w:val="7D7013B5"/>
    <w:rsid w:val="7D7A3BB1"/>
    <w:rsid w:val="7D7B3400"/>
    <w:rsid w:val="7D7D673C"/>
    <w:rsid w:val="7D8E0949"/>
    <w:rsid w:val="7DB87774"/>
    <w:rsid w:val="7DC12ACC"/>
    <w:rsid w:val="7DD0308E"/>
    <w:rsid w:val="7DD70390"/>
    <w:rsid w:val="7DEE6429"/>
    <w:rsid w:val="7E024DC8"/>
    <w:rsid w:val="7E1D1303"/>
    <w:rsid w:val="7E24305B"/>
    <w:rsid w:val="7E33504C"/>
    <w:rsid w:val="7E39009D"/>
    <w:rsid w:val="7E494870"/>
    <w:rsid w:val="7E635932"/>
    <w:rsid w:val="7E8B6C36"/>
    <w:rsid w:val="7E8D6E52"/>
    <w:rsid w:val="7E90249F"/>
    <w:rsid w:val="7E9F1E80"/>
    <w:rsid w:val="7EB2217F"/>
    <w:rsid w:val="7EB80774"/>
    <w:rsid w:val="7EBC14E6"/>
    <w:rsid w:val="7EC3036F"/>
    <w:rsid w:val="7EF9697A"/>
    <w:rsid w:val="7F0F7867"/>
    <w:rsid w:val="7F182BC0"/>
    <w:rsid w:val="7F192494"/>
    <w:rsid w:val="7F2A6F98"/>
    <w:rsid w:val="7F2B63C8"/>
    <w:rsid w:val="7F4D0390"/>
    <w:rsid w:val="7F8D69DE"/>
    <w:rsid w:val="7F934115"/>
    <w:rsid w:val="7FBA70B5"/>
    <w:rsid w:val="7FCA016D"/>
    <w:rsid w:val="7FF13411"/>
    <w:rsid w:val="7FF83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9"/>
    <w:pPr>
      <w:keepNext/>
      <w:keepLines/>
      <w:numPr>
        <w:ilvl w:val="0"/>
        <w:numId w:val="1"/>
      </w:numPr>
      <w:spacing w:before="50" w:beforeLines="50" w:line="360" w:lineRule="auto"/>
      <w:jc w:val="left"/>
      <w:outlineLvl w:val="0"/>
    </w:pPr>
    <w:rPr>
      <w:b/>
      <w:bCs/>
      <w:kern w:val="44"/>
      <w:sz w:val="32"/>
      <w:szCs w:val="44"/>
    </w:rPr>
  </w:style>
  <w:style w:type="paragraph" w:styleId="5">
    <w:name w:val="heading 2"/>
    <w:basedOn w:val="1"/>
    <w:next w:val="1"/>
    <w:link w:val="33"/>
    <w:autoRedefine/>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47"/>
    <w:autoRedefine/>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8"/>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7"/>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Date"/>
    <w:basedOn w:val="1"/>
    <w:next w:val="1"/>
    <w:link w:val="35"/>
    <w:autoRedefine/>
    <w:qFormat/>
    <w:uiPriority w:val="0"/>
    <w:pPr>
      <w:ind w:left="100" w:leftChars="2500"/>
    </w:pPr>
    <w:rPr>
      <w:rFonts w:ascii="宋体"/>
      <w:sz w:val="24"/>
      <w:szCs w:val="21"/>
      <w:lang w:val="zh-CN"/>
    </w:rPr>
  </w:style>
  <w:style w:type="paragraph" w:styleId="8">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10"/>
    <w:link w:val="34"/>
    <w:autoRedefine/>
    <w:qFormat/>
    <w:uiPriority w:val="0"/>
    <w:pPr>
      <w:spacing w:line="480" w:lineRule="exact"/>
      <w:ind w:firstLine="480" w:firstLineChars="200"/>
    </w:pPr>
    <w:rPr>
      <w:rFonts w:ascii="宋体" w:hAnsi="宋体"/>
      <w:sz w:val="24"/>
    </w:rPr>
  </w:style>
  <w:style w:type="paragraph" w:styleId="10">
    <w:name w:val="envelope return"/>
    <w:basedOn w:val="1"/>
    <w:autoRedefine/>
    <w:qFormat/>
    <w:uiPriority w:val="0"/>
    <w:pPr>
      <w:snapToGrid w:val="0"/>
    </w:pPr>
    <w:rPr>
      <w:rFonts w:ascii="Arial" w:hAnsi="Arial"/>
    </w:rPr>
  </w:style>
  <w:style w:type="paragraph" w:styleId="11">
    <w:name w:val="Block Text"/>
    <w:basedOn w:val="1"/>
    <w:autoRedefine/>
    <w:qFormat/>
    <w:uiPriority w:val="99"/>
    <w:pPr>
      <w:adjustRightInd w:val="0"/>
      <w:snapToGrid w:val="0"/>
      <w:spacing w:line="300" w:lineRule="auto"/>
      <w:ind w:left="958" w:right="-120" w:rightChars="-120"/>
      <w:jc w:val="left"/>
    </w:pPr>
    <w:rPr>
      <w:rFonts w:hint="eastAsia" w:ascii="Century Gothic" w:hAnsi="Century Gothic" w:cs="Arial"/>
      <w:sz w:val="28"/>
      <w:szCs w:val="20"/>
    </w:rPr>
  </w:style>
  <w:style w:type="paragraph" w:styleId="12">
    <w:name w:val="toc 3"/>
    <w:basedOn w:val="1"/>
    <w:next w:val="1"/>
    <w:autoRedefine/>
    <w:qFormat/>
    <w:uiPriority w:val="0"/>
    <w:pPr>
      <w:ind w:left="840" w:leftChars="400"/>
    </w:pPr>
    <w:rPr>
      <w:rFonts w:ascii="Times New Roman" w:hAnsi="Times New Roman"/>
    </w:rPr>
  </w:style>
  <w:style w:type="paragraph" w:styleId="13">
    <w:name w:val="Plain Text"/>
    <w:basedOn w:val="1"/>
    <w:next w:val="1"/>
    <w:link w:val="36"/>
    <w:autoRedefine/>
    <w:qFormat/>
    <w:uiPriority w:val="0"/>
    <w:rPr>
      <w:rFonts w:ascii="宋体" w:hAnsi="Courier New" w:cs="Arial"/>
      <w:snapToGrid w:val="0"/>
      <w:szCs w:val="21"/>
    </w:rPr>
  </w:style>
  <w:style w:type="paragraph" w:styleId="14">
    <w:name w:val="Balloon Text"/>
    <w:basedOn w:val="1"/>
    <w:link w:val="50"/>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18">
    <w:name w:val="toc 6"/>
    <w:basedOn w:val="1"/>
    <w:next w:val="1"/>
    <w:autoRedefine/>
    <w:qFormat/>
    <w:uiPriority w:val="0"/>
    <w:pPr>
      <w:ind w:left="1050"/>
      <w:jc w:val="left"/>
    </w:pPr>
    <w:rPr>
      <w:sz w:val="18"/>
      <w:szCs w:val="18"/>
    </w:rPr>
  </w:style>
  <w:style w:type="paragraph" w:styleId="19">
    <w:name w:val="Normal (Web)"/>
    <w:basedOn w:val="1"/>
    <w:autoRedefine/>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0">
    <w:name w:val="Title"/>
    <w:basedOn w:val="1"/>
    <w:next w:val="1"/>
    <w:link w:val="62"/>
    <w:autoRedefine/>
    <w:qFormat/>
    <w:uiPriority w:val="0"/>
    <w:pPr>
      <w:spacing w:before="240" w:after="60"/>
      <w:jc w:val="center"/>
      <w:outlineLvl w:val="0"/>
    </w:pPr>
    <w:rPr>
      <w:rFonts w:ascii="Cambria" w:hAnsi="Cambria" w:eastAsiaTheme="minorEastAsia"/>
      <w:b/>
      <w:bCs/>
      <w:sz w:val="32"/>
      <w:szCs w:val="32"/>
    </w:rPr>
  </w:style>
  <w:style w:type="paragraph" w:styleId="21">
    <w:name w:val="Body Text First Indent"/>
    <w:basedOn w:val="2"/>
    <w:next w:val="1"/>
    <w:autoRedefine/>
    <w:qFormat/>
    <w:uiPriority w:val="99"/>
    <w:pPr>
      <w:ind w:firstLine="200" w:firstLineChars="200"/>
      <w:jc w:val="left"/>
    </w:pPr>
    <w:rPr>
      <w:rFonts w:ascii="Times New Roman" w:hAnsi="Times New Roman"/>
      <w:b/>
      <w:bCs/>
      <w:lang w:val="en-GB"/>
    </w:rPr>
  </w:style>
  <w:style w:type="paragraph" w:styleId="22">
    <w:name w:val="Body Text First Indent 2"/>
    <w:basedOn w:val="9"/>
    <w:autoRedefine/>
    <w:unhideWhenUsed/>
    <w:qFormat/>
    <w:uiPriority w:val="99"/>
    <w:pPr>
      <w:ind w:firstLine="420"/>
    </w:pPr>
  </w:style>
  <w:style w:type="table" w:styleId="24">
    <w:name w:val="Table Grid"/>
    <w:basedOn w:val="23"/>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rPr>
      <w:rFonts w:ascii="Arial" w:hAnsi="Arial" w:eastAsia="黑体" w:cs="Arial"/>
      <w:snapToGrid w:val="0"/>
      <w:kern w:val="0"/>
      <w:szCs w:val="21"/>
    </w:rPr>
  </w:style>
  <w:style w:type="character" w:styleId="27">
    <w:name w:val="FollowedHyperlink"/>
    <w:basedOn w:val="25"/>
    <w:autoRedefine/>
    <w:semiHidden/>
    <w:unhideWhenUsed/>
    <w:qFormat/>
    <w:uiPriority w:val="99"/>
    <w:rPr>
      <w:color w:val="333333"/>
      <w:u w:val="none"/>
    </w:rPr>
  </w:style>
  <w:style w:type="character" w:styleId="28">
    <w:name w:val="Hyperlink"/>
    <w:autoRedefine/>
    <w:qFormat/>
    <w:uiPriority w:val="99"/>
    <w:rPr>
      <w:rFonts w:ascii="Arial" w:hAnsi="Arial" w:eastAsia="黑体" w:cs="Arial"/>
      <w:snapToGrid w:val="0"/>
      <w:color w:val="000000"/>
      <w:kern w:val="0"/>
      <w:sz w:val="18"/>
      <w:szCs w:val="18"/>
      <w:u w:val="none"/>
    </w:rPr>
  </w:style>
  <w:style w:type="paragraph" w:customStyle="1" w:styleId="29">
    <w:name w:val="BodyText"/>
    <w:basedOn w:val="1"/>
    <w:next w:val="1"/>
    <w:autoRedefine/>
    <w:qFormat/>
    <w:uiPriority w:val="0"/>
    <w:pPr>
      <w:spacing w:line="360" w:lineRule="auto"/>
      <w:textAlignment w:val="baseline"/>
    </w:pPr>
    <w:rPr>
      <w:sz w:val="24"/>
    </w:rPr>
  </w:style>
  <w:style w:type="paragraph" w:customStyle="1" w:styleId="30">
    <w:name w:val="_Style 3"/>
    <w:basedOn w:val="1"/>
    <w:autoRedefine/>
    <w:qFormat/>
    <w:uiPriority w:val="0"/>
    <w:pPr>
      <w:ind w:firstLine="420" w:firstLineChars="200"/>
    </w:pPr>
    <w:rPr>
      <w:rFonts w:eastAsia="仿宋_GB2312"/>
      <w:sz w:val="28"/>
    </w:rPr>
  </w:style>
  <w:style w:type="character" w:customStyle="1" w:styleId="31">
    <w:name w:val="页眉 字符"/>
    <w:basedOn w:val="25"/>
    <w:link w:val="16"/>
    <w:autoRedefine/>
    <w:qFormat/>
    <w:uiPriority w:val="99"/>
    <w:rPr>
      <w:sz w:val="18"/>
      <w:szCs w:val="18"/>
    </w:rPr>
  </w:style>
  <w:style w:type="character" w:customStyle="1" w:styleId="32">
    <w:name w:val="页脚 字符"/>
    <w:basedOn w:val="25"/>
    <w:link w:val="15"/>
    <w:autoRedefine/>
    <w:qFormat/>
    <w:uiPriority w:val="99"/>
    <w:rPr>
      <w:sz w:val="18"/>
      <w:szCs w:val="18"/>
    </w:rPr>
  </w:style>
  <w:style w:type="character" w:customStyle="1" w:styleId="33">
    <w:name w:val="标题 2 字符"/>
    <w:basedOn w:val="25"/>
    <w:link w:val="5"/>
    <w:autoRedefine/>
    <w:qFormat/>
    <w:uiPriority w:val="0"/>
    <w:rPr>
      <w:rFonts w:ascii="仿宋_GB2312" w:hAnsi="仿宋" w:eastAsia="仿宋_GB2312" w:cs="Times New Roman"/>
      <w:b/>
      <w:bCs/>
      <w:sz w:val="32"/>
      <w:szCs w:val="32"/>
      <w:lang w:val="zh-CN"/>
    </w:rPr>
  </w:style>
  <w:style w:type="character" w:customStyle="1" w:styleId="34">
    <w:name w:val="正文文本缩进 字符"/>
    <w:basedOn w:val="25"/>
    <w:link w:val="9"/>
    <w:autoRedefine/>
    <w:qFormat/>
    <w:uiPriority w:val="0"/>
    <w:rPr>
      <w:rFonts w:ascii="宋体" w:hAnsi="宋体" w:eastAsia="宋体" w:cs="Times New Roman"/>
      <w:sz w:val="24"/>
      <w:szCs w:val="24"/>
    </w:rPr>
  </w:style>
  <w:style w:type="character" w:customStyle="1" w:styleId="35">
    <w:name w:val="日期 字符"/>
    <w:basedOn w:val="25"/>
    <w:link w:val="3"/>
    <w:autoRedefine/>
    <w:qFormat/>
    <w:uiPriority w:val="0"/>
    <w:rPr>
      <w:rFonts w:ascii="宋体" w:hAnsi="Calibri" w:eastAsia="宋体" w:cs="Times New Roman"/>
      <w:sz w:val="24"/>
      <w:szCs w:val="21"/>
      <w:lang w:val="zh-CN"/>
    </w:rPr>
  </w:style>
  <w:style w:type="character" w:customStyle="1" w:styleId="36">
    <w:name w:val="纯文本 字符"/>
    <w:basedOn w:val="25"/>
    <w:link w:val="13"/>
    <w:autoRedefine/>
    <w:qFormat/>
    <w:uiPriority w:val="0"/>
    <w:rPr>
      <w:rFonts w:ascii="宋体" w:hAnsi="Courier New" w:eastAsia="宋体" w:cs="Arial"/>
      <w:snapToGrid w:val="0"/>
      <w:szCs w:val="21"/>
    </w:rPr>
  </w:style>
  <w:style w:type="character" w:customStyle="1" w:styleId="37">
    <w:name w:val="正文文本 字符"/>
    <w:basedOn w:val="25"/>
    <w:link w:val="2"/>
    <w:autoRedefine/>
    <w:qFormat/>
    <w:uiPriority w:val="0"/>
    <w:rPr>
      <w:rFonts w:ascii="宋体" w:hAnsi="Arial" w:eastAsia="宋体" w:cs="Arial"/>
      <w:snapToGrid w:val="0"/>
      <w:sz w:val="24"/>
      <w:szCs w:val="21"/>
      <w:lang w:val="zh-CN"/>
    </w:rPr>
  </w:style>
  <w:style w:type="paragraph" w:customStyle="1" w:styleId="38">
    <w:name w:val="索引 11"/>
    <w:basedOn w:val="1"/>
    <w:next w:val="1"/>
    <w:autoRedefine/>
    <w:qFormat/>
    <w:uiPriority w:val="99"/>
    <w:pPr>
      <w:spacing w:line="360" w:lineRule="auto"/>
    </w:pPr>
    <w:rPr>
      <w:rFonts w:ascii="仿宋_GB2312" w:eastAsia="仿宋_GB2312"/>
      <w:sz w:val="24"/>
      <w:szCs w:val="20"/>
    </w:rPr>
  </w:style>
  <w:style w:type="paragraph" w:customStyle="1" w:styleId="3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1">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42">
    <w:name w:val="纯文本1"/>
    <w:basedOn w:val="1"/>
    <w:autoRedefine/>
    <w:qFormat/>
    <w:uiPriority w:val="0"/>
    <w:rPr>
      <w:rFonts w:ascii="宋体" w:hAnsi="Courier New"/>
      <w:kern w:val="0"/>
      <w:sz w:val="20"/>
      <w:szCs w:val="20"/>
    </w:rPr>
  </w:style>
  <w:style w:type="paragraph" w:customStyle="1" w:styleId="4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0_0"/>
    <w:basedOn w:val="43"/>
    <w:autoRedefine/>
    <w:qFormat/>
    <w:uiPriority w:val="0"/>
    <w:rPr>
      <w:rFonts w:ascii="宋体" w:hAnsi="Courier New"/>
      <w:szCs w:val="21"/>
    </w:rPr>
  </w:style>
  <w:style w:type="paragraph" w:customStyle="1" w:styleId="45">
    <w:name w:val="正文2"/>
    <w:basedOn w:val="1"/>
    <w:autoRedefine/>
    <w:qFormat/>
    <w:uiPriority w:val="0"/>
    <w:pPr>
      <w:spacing w:before="156" w:line="360" w:lineRule="auto"/>
      <w:ind w:firstLine="510" w:firstLineChars="200"/>
    </w:pPr>
    <w:rPr>
      <w:sz w:val="24"/>
      <w:szCs w:val="20"/>
    </w:rPr>
  </w:style>
  <w:style w:type="paragraph" w:customStyle="1" w:styleId="46">
    <w:name w:val="正文缩进1"/>
    <w:basedOn w:val="1"/>
    <w:next w:val="9"/>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7">
    <w:name w:val="标题 3 字符"/>
    <w:basedOn w:val="25"/>
    <w:link w:val="6"/>
    <w:autoRedefine/>
    <w:semiHidden/>
    <w:qFormat/>
    <w:uiPriority w:val="9"/>
    <w:rPr>
      <w:rFonts w:ascii="Calibri" w:hAnsi="Calibri" w:eastAsia="宋体" w:cs="Times New Roman"/>
      <w:b/>
      <w:bCs/>
      <w:sz w:val="32"/>
      <w:szCs w:val="32"/>
    </w:rPr>
  </w:style>
  <w:style w:type="character" w:customStyle="1" w:styleId="48">
    <w:name w:val="标题 4 字符"/>
    <w:basedOn w:val="25"/>
    <w:link w:val="7"/>
    <w:autoRedefine/>
    <w:semiHidden/>
    <w:qFormat/>
    <w:uiPriority w:val="9"/>
    <w:rPr>
      <w:rFonts w:asciiTheme="majorHAnsi" w:hAnsiTheme="majorHAnsi" w:eastAsiaTheme="majorEastAsia" w:cstheme="majorBidi"/>
      <w:b/>
      <w:bCs/>
      <w:sz w:val="28"/>
      <w:szCs w:val="28"/>
    </w:rPr>
  </w:style>
  <w:style w:type="paragraph" w:customStyle="1" w:styleId="49">
    <w:name w:val="标题4"/>
    <w:basedOn w:val="1"/>
    <w:autoRedefine/>
    <w:qFormat/>
    <w:uiPriority w:val="0"/>
    <w:rPr>
      <w:rFonts w:ascii="Times New Roman" w:hAnsi="Times New Roman" w:eastAsia="仿宋_GB2312"/>
      <w:sz w:val="32"/>
      <w:szCs w:val="20"/>
    </w:rPr>
  </w:style>
  <w:style w:type="character" w:customStyle="1" w:styleId="50">
    <w:name w:val="批注框文本 字符"/>
    <w:basedOn w:val="25"/>
    <w:link w:val="14"/>
    <w:autoRedefine/>
    <w:semiHidden/>
    <w:qFormat/>
    <w:uiPriority w:val="99"/>
    <w:rPr>
      <w:rFonts w:ascii="Calibri" w:hAnsi="Calibri" w:eastAsia="宋体" w:cs="Times New Roman"/>
      <w:sz w:val="18"/>
      <w:szCs w:val="18"/>
    </w:rPr>
  </w:style>
  <w:style w:type="character" w:customStyle="1" w:styleId="51">
    <w:name w:val="List Paragraph Char"/>
    <w:link w:val="52"/>
    <w:autoRedefine/>
    <w:qFormat/>
    <w:locked/>
    <w:uiPriority w:val="0"/>
    <w:rPr>
      <w:rFonts w:ascii="Times New Roman" w:hAnsi="Times New Roman"/>
      <w:szCs w:val="24"/>
    </w:rPr>
  </w:style>
  <w:style w:type="paragraph" w:customStyle="1" w:styleId="52">
    <w:name w:val="列出段落1"/>
    <w:basedOn w:val="1"/>
    <w:link w:val="51"/>
    <w:autoRedefine/>
    <w:qFormat/>
    <w:uiPriority w:val="0"/>
    <w:pPr>
      <w:ind w:firstLine="420" w:firstLineChars="200"/>
    </w:pPr>
    <w:rPr>
      <w:rFonts w:ascii="Times New Roman" w:hAnsi="Times New Roman" w:eastAsiaTheme="minorEastAsia" w:cstheme="minorBidi"/>
    </w:rPr>
  </w:style>
  <w:style w:type="paragraph" w:customStyle="1" w:styleId="53">
    <w:name w:val="表名"/>
    <w:basedOn w:val="1"/>
    <w:autoRedefine/>
    <w:qFormat/>
    <w:uiPriority w:val="0"/>
    <w:pPr>
      <w:tabs>
        <w:tab w:val="left" w:pos="560"/>
        <w:tab w:val="center" w:pos="4423"/>
      </w:tabs>
      <w:spacing w:before="163" w:beforeLines="50"/>
      <w:textAlignment w:val="center"/>
    </w:pPr>
    <w:rPr>
      <w:rFonts w:eastAsia="黑体"/>
      <w:b/>
      <w:sz w:val="24"/>
    </w:rPr>
  </w:style>
  <w:style w:type="paragraph" w:customStyle="1" w:styleId="54">
    <w:name w:val="表格内容"/>
    <w:basedOn w:val="1"/>
    <w:autoRedefine/>
    <w:qFormat/>
    <w:uiPriority w:val="2"/>
    <w:pPr>
      <w:adjustRightInd w:val="0"/>
      <w:snapToGrid w:val="0"/>
      <w:jc w:val="center"/>
    </w:pPr>
  </w:style>
  <w:style w:type="character" w:customStyle="1" w:styleId="55">
    <w:name w:val="font61"/>
    <w:basedOn w:val="25"/>
    <w:autoRedefine/>
    <w:qFormat/>
    <w:uiPriority w:val="0"/>
    <w:rPr>
      <w:rFonts w:hint="eastAsia" w:ascii="宋体" w:hAnsi="宋体" w:eastAsia="宋体" w:cs="宋体"/>
      <w:color w:val="000000"/>
      <w:sz w:val="24"/>
      <w:szCs w:val="24"/>
      <w:u w:val="none"/>
    </w:rPr>
  </w:style>
  <w:style w:type="character" w:customStyle="1" w:styleId="56">
    <w:name w:val="font51"/>
    <w:basedOn w:val="25"/>
    <w:autoRedefine/>
    <w:qFormat/>
    <w:uiPriority w:val="0"/>
    <w:rPr>
      <w:rFonts w:hint="default" w:ascii="Times New Roman" w:hAnsi="Times New Roman" w:cs="Times New Roman"/>
      <w:color w:val="000000"/>
      <w:sz w:val="24"/>
      <w:szCs w:val="24"/>
      <w:u w:val="none"/>
    </w:rPr>
  </w:style>
  <w:style w:type="character" w:customStyle="1" w:styleId="57">
    <w:name w:val="font21"/>
    <w:basedOn w:val="25"/>
    <w:autoRedefine/>
    <w:qFormat/>
    <w:uiPriority w:val="0"/>
    <w:rPr>
      <w:rFonts w:hint="eastAsia" w:ascii="宋体" w:hAnsi="宋体" w:eastAsia="宋体" w:cs="宋体"/>
      <w:color w:val="FF0000"/>
      <w:sz w:val="24"/>
      <w:szCs w:val="24"/>
      <w:u w:val="none"/>
    </w:rPr>
  </w:style>
  <w:style w:type="character" w:customStyle="1" w:styleId="58">
    <w:name w:val="font71"/>
    <w:basedOn w:val="25"/>
    <w:autoRedefine/>
    <w:qFormat/>
    <w:uiPriority w:val="0"/>
    <w:rPr>
      <w:rFonts w:hint="default" w:ascii="Times New Roman" w:hAnsi="Times New Roman" w:cs="Times New Roman"/>
      <w:color w:val="FF0000"/>
      <w:sz w:val="24"/>
      <w:szCs w:val="24"/>
      <w:u w:val="none"/>
    </w:rPr>
  </w:style>
  <w:style w:type="paragraph" w:customStyle="1" w:styleId="59">
    <w:name w:val="正文1"/>
    <w:autoRedefine/>
    <w:qFormat/>
    <w:uiPriority w:val="0"/>
    <w:pPr>
      <w:jc w:val="both"/>
    </w:pPr>
    <w:rPr>
      <w:rFonts w:ascii="等线" w:hAnsi="等线" w:eastAsia="宋体" w:cs="宋体"/>
      <w:kern w:val="2"/>
      <w:sz w:val="21"/>
      <w:szCs w:val="21"/>
      <w:lang w:val="en-US" w:eastAsia="zh-CN" w:bidi="ar-SA"/>
    </w:rPr>
  </w:style>
  <w:style w:type="character" w:customStyle="1" w:styleId="60">
    <w:name w:val="标题 字符"/>
    <w:basedOn w:val="25"/>
    <w:autoRedefine/>
    <w:qFormat/>
    <w:uiPriority w:val="10"/>
    <w:rPr>
      <w:rFonts w:asciiTheme="majorHAnsi" w:hAnsiTheme="majorHAnsi" w:eastAsiaTheme="majorEastAsia" w:cstheme="majorBidi"/>
      <w:b/>
      <w:bCs/>
      <w:kern w:val="2"/>
      <w:sz w:val="32"/>
      <w:szCs w:val="32"/>
    </w:rPr>
  </w:style>
  <w:style w:type="character" w:customStyle="1" w:styleId="61">
    <w:name w:val="纯文本 字符1"/>
    <w:autoRedefine/>
    <w:qFormat/>
    <w:uiPriority w:val="0"/>
    <w:rPr>
      <w:rFonts w:ascii="宋体" w:hAnsi="Courier New" w:eastAsia="宋体"/>
      <w:sz w:val="24"/>
      <w:szCs w:val="24"/>
    </w:rPr>
  </w:style>
  <w:style w:type="character" w:customStyle="1" w:styleId="62">
    <w:name w:val="标题 字符1"/>
    <w:link w:val="20"/>
    <w:autoRedefine/>
    <w:qFormat/>
    <w:uiPriority w:val="0"/>
    <w:rPr>
      <w:rFonts w:ascii="Cambria" w:hAnsi="Cambria" w:eastAsiaTheme="minorEastAsia"/>
      <w:b/>
      <w:bCs/>
      <w:kern w:val="2"/>
      <w:sz w:val="32"/>
      <w:szCs w:val="32"/>
    </w:rPr>
  </w:style>
  <w:style w:type="character" w:customStyle="1" w:styleId="63">
    <w:name w:val="layui-laypage-curr"/>
    <w:basedOn w:val="25"/>
    <w:autoRedefine/>
    <w:qFormat/>
    <w:uiPriority w:val="0"/>
  </w:style>
  <w:style w:type="character" w:customStyle="1" w:styleId="64">
    <w:name w:val="font11"/>
    <w:basedOn w:val="25"/>
    <w:autoRedefine/>
    <w:qFormat/>
    <w:uiPriority w:val="0"/>
    <w:rPr>
      <w:rFonts w:ascii="Arial" w:hAnsi="Arial" w:cs="Arial"/>
      <w:color w:val="000000"/>
      <w:sz w:val="20"/>
      <w:szCs w:val="20"/>
      <w:u w:val="none"/>
    </w:rPr>
  </w:style>
  <w:style w:type="character" w:customStyle="1" w:styleId="65">
    <w:name w:val="font01"/>
    <w:basedOn w:val="25"/>
    <w:autoRedefine/>
    <w:qFormat/>
    <w:uiPriority w:val="0"/>
    <w:rPr>
      <w:rFonts w:hint="eastAsia" w:ascii="宋体" w:hAnsi="宋体" w:eastAsia="宋体" w:cs="宋体"/>
      <w:color w:val="00B0F0"/>
      <w:sz w:val="22"/>
      <w:szCs w:val="22"/>
      <w:u w:val="none"/>
    </w:rPr>
  </w:style>
  <w:style w:type="paragraph" w:customStyle="1" w:styleId="66">
    <w:name w:val="BodyText1I"/>
    <w:basedOn w:val="29"/>
    <w:autoRedefine/>
    <w:qFormat/>
    <w:uiPriority w:val="0"/>
    <w:pPr>
      <w:spacing w:after="120" w:line="240" w:lineRule="auto"/>
      <w:ind w:firstLine="420" w:firstLineChars="100"/>
    </w:pPr>
    <w:rPr>
      <w:sz w:val="21"/>
    </w:rPr>
  </w:style>
  <w:style w:type="table" w:customStyle="1" w:styleId="67">
    <w:name w:val="Table Normal"/>
    <w:autoRedefine/>
    <w:unhideWhenUsed/>
    <w:qFormat/>
    <w:uiPriority w:val="0"/>
    <w:tblPr>
      <w:tblCellMar>
        <w:top w:w="0" w:type="dxa"/>
        <w:left w:w="0" w:type="dxa"/>
        <w:bottom w:w="0" w:type="dxa"/>
        <w:right w:w="0" w:type="dxa"/>
      </w:tblCellMar>
    </w:tblPr>
  </w:style>
  <w:style w:type="character" w:customStyle="1" w:styleId="68">
    <w:name w:val="font31"/>
    <w:basedOn w:val="25"/>
    <w:autoRedefine/>
    <w:qFormat/>
    <w:uiPriority w:val="0"/>
    <w:rPr>
      <w:rFonts w:hint="eastAsia" w:ascii="宋体" w:hAnsi="宋体" w:eastAsia="宋体" w:cs="宋体"/>
      <w:color w:val="FF0000"/>
      <w:sz w:val="24"/>
      <w:szCs w:val="24"/>
      <w:u w:val="none"/>
    </w:rPr>
  </w:style>
  <w:style w:type="character" w:customStyle="1" w:styleId="69">
    <w:name w:val="font41"/>
    <w:basedOn w:val="25"/>
    <w:autoRedefine/>
    <w:qFormat/>
    <w:uiPriority w:val="0"/>
    <w:rPr>
      <w:rFonts w:hint="eastAsia" w:ascii="宋体" w:hAnsi="宋体" w:eastAsia="宋体" w:cs="宋体"/>
      <w:b/>
      <w:bCs/>
      <w:color w:val="FF0000"/>
      <w:sz w:val="24"/>
      <w:szCs w:val="24"/>
      <w:u w:val="none"/>
    </w:rPr>
  </w:style>
  <w:style w:type="character" w:customStyle="1" w:styleId="70">
    <w:name w:val="textcolor1"/>
    <w:basedOn w:val="25"/>
    <w:autoRedefine/>
    <w:qFormat/>
    <w:uiPriority w:val="0"/>
    <w:rPr>
      <w:color w:val="FF6600"/>
    </w:rPr>
  </w:style>
  <w:style w:type="paragraph" w:styleId="71">
    <w:name w:val="List Paragraph"/>
    <w:basedOn w:val="1"/>
    <w:qFormat/>
    <w:uiPriority w:val="34"/>
    <w:pPr>
      <w:ind w:firstLine="420" w:firstLineChars="200"/>
    </w:pPr>
    <w:rPr>
      <w:rFonts w:ascii="Calibri" w:hAnsi="Calibri"/>
      <w:szCs w:val="22"/>
    </w:rPr>
  </w:style>
  <w:style w:type="character" w:customStyle="1" w:styleId="72">
    <w:name w:val="font101"/>
    <w:basedOn w:val="25"/>
    <w:qFormat/>
    <w:uiPriority w:val="0"/>
    <w:rPr>
      <w:rFonts w:hint="eastAsia" w:ascii="宋体" w:hAnsi="宋体" w:eastAsia="宋体" w:cs="宋体"/>
      <w:b/>
      <w:bCs/>
      <w:color w:val="000000"/>
      <w:sz w:val="24"/>
      <w:szCs w:val="24"/>
      <w:u w:val="none"/>
      <w:vertAlign w:val="superscript"/>
    </w:rPr>
  </w:style>
  <w:style w:type="paragraph" w:customStyle="1" w:styleId="73">
    <w:name w:val="_Style 7"/>
    <w:basedOn w:val="1"/>
    <w:qFormat/>
    <w:uiPriority w:val="0"/>
    <w:pPr>
      <w:ind w:firstLine="420" w:firstLineChars="200"/>
    </w:pPr>
  </w:style>
  <w:style w:type="paragraph" w:customStyle="1" w:styleId="74">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12995</Words>
  <Characters>14303</Characters>
  <Lines>291</Lines>
  <Paragraphs>82</Paragraphs>
  <TotalTime>0</TotalTime>
  <ScaleCrop>false</ScaleCrop>
  <LinksUpToDate>false</LinksUpToDate>
  <CharactersWithSpaces>14717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2022-11-08T06:51:00Z</dcterms:created>
  <dc:creator>Microsoft</dc:creator>
  <cp:lastModifiedBy>飞翔</cp:lastModifiedBy>
  <cp:lastPrinted>2025-07-02T08:01:00Z</cp:lastPrinted>
  <dcterms:modified xsi:type="dcterms:W3CDTF">2025-07-11T06:04:08Z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9715901755A442B29A78B58F591F7A34_13</vt:lpwstr>
  </property>
  <property fmtid="{D5CDD505-2E9C-101B-9397-08002B2CF9AE}" pid="4" name="KSOTemplateDocerSaveRecord">
    <vt:lpwstr>eyJoZGlkIjoiOGVmZjgwNjVkNjliOWU4MDYxNmJjNGZhNjY3MDE2OWUiLCJ1c2VySWQiOiIzNzk4MDI4NTgifQ==</vt:lpwstr>
  </property>
</Properties>
</file>