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C08661">
      <w:pPr>
        <w:jc w:val="distribute"/>
        <w:rPr>
          <w:rFonts w:hint="eastAsia" w:ascii="宋体" w:hAnsi="宋体" w:cs="宋体"/>
          <w:color w:val="000000" w:themeColor="text1"/>
          <w:spacing w:val="20"/>
          <w:sz w:val="96"/>
          <w:szCs w:val="28"/>
          <w:highlight w:val="none"/>
          <w:lang w:val="en-US" w:eastAsia="zh-CN"/>
          <w14:textFill>
            <w14:solidFill>
              <w14:schemeClr w14:val="tx1"/>
            </w14:solidFill>
          </w14:textFill>
        </w:rPr>
      </w:pPr>
      <w:r>
        <w:rPr>
          <w:rFonts w:hint="eastAsia" w:ascii="宋体" w:hAnsi="宋体" w:eastAsia="宋体" w:cs="宋体"/>
          <w:color w:val="000000" w:themeColor="text1"/>
          <w:spacing w:val="20"/>
          <w:sz w:val="96"/>
          <w:szCs w:val="28"/>
          <w:highlight w:val="none"/>
          <w14:textFill>
            <w14:solidFill>
              <w14:schemeClr w14:val="tx1"/>
            </w14:solidFill>
          </w14:textFill>
        </w:rPr>
        <w:t>温州市</w:t>
      </w:r>
      <w:r>
        <w:rPr>
          <w:rFonts w:hint="eastAsia" w:ascii="宋体" w:hAnsi="宋体" w:cs="宋体"/>
          <w:color w:val="000000" w:themeColor="text1"/>
          <w:spacing w:val="20"/>
          <w:sz w:val="96"/>
          <w:szCs w:val="28"/>
          <w:highlight w:val="none"/>
          <w:lang w:val="en-US" w:eastAsia="zh-CN"/>
          <w14:textFill>
            <w14:solidFill>
              <w14:schemeClr w14:val="tx1"/>
            </w14:solidFill>
          </w14:textFill>
        </w:rPr>
        <w:t>中心医院</w:t>
      </w:r>
    </w:p>
    <w:p w14:paraId="307D15AC">
      <w:pPr>
        <w:jc w:val="distribute"/>
        <w:rPr>
          <w:rFonts w:hint="default" w:ascii="宋体" w:hAnsi="宋体" w:eastAsia="宋体" w:cs="宋体"/>
          <w:b/>
          <w:bCs/>
          <w:color w:val="000000" w:themeColor="text1"/>
          <w:sz w:val="52"/>
          <w:szCs w:val="52"/>
          <w:highlight w:val="none"/>
          <w:lang w:val="en-US" w:eastAsia="zh-CN"/>
          <w14:textFill>
            <w14:solidFill>
              <w14:schemeClr w14:val="tx1"/>
            </w14:solidFill>
          </w14:textFill>
        </w:rPr>
      </w:pPr>
    </w:p>
    <w:p w14:paraId="0B98895C">
      <w:pPr>
        <w:jc w:val="center"/>
        <w:rPr>
          <w:rFonts w:hint="eastAsia" w:ascii="宋体" w:hAnsi="宋体" w:eastAsia="宋体" w:cs="宋体"/>
          <w:b/>
          <w:bCs/>
          <w:color w:val="000000" w:themeColor="text1"/>
          <w:spacing w:val="26"/>
          <w:sz w:val="52"/>
          <w:highlight w:val="none"/>
          <w14:textFill>
            <w14:solidFill>
              <w14:schemeClr w14:val="tx1"/>
            </w14:solidFill>
          </w14:textFill>
        </w:rPr>
      </w:pPr>
    </w:p>
    <w:p w14:paraId="689F617A">
      <w:pPr>
        <w:ind w:firstLine="2357" w:firstLineChars="235"/>
        <w:rPr>
          <w:rFonts w:hint="eastAsia" w:ascii="宋体" w:hAnsi="宋体" w:eastAsia="宋体" w:cs="宋体"/>
          <w:b/>
          <w:bCs/>
          <w:color w:val="000000" w:themeColor="text1"/>
          <w:spacing w:val="140"/>
          <w:sz w:val="72"/>
          <w:highlight w:val="none"/>
          <w14:textFill>
            <w14:solidFill>
              <w14:schemeClr w14:val="tx1"/>
            </w14:solidFill>
          </w14:textFill>
        </w:rPr>
      </w:pPr>
    </w:p>
    <w:p w14:paraId="36D1F5A9">
      <w:pPr>
        <w:adjustRightInd w:val="0"/>
        <w:snapToGrid w:val="0"/>
        <w:spacing w:line="480" w:lineRule="auto"/>
        <w:ind w:right="361"/>
        <w:jc w:val="center"/>
        <w:rPr>
          <w:rFonts w:hint="eastAsia" w:ascii="宋体" w:hAnsi="宋体" w:eastAsia="宋体" w:cs="宋体"/>
          <w:b w:val="0"/>
          <w:bCs w:val="0"/>
          <w:color w:val="000000" w:themeColor="text1"/>
          <w:sz w:val="72"/>
          <w:szCs w:val="72"/>
          <w:highlight w:val="none"/>
          <w14:textFill>
            <w14:solidFill>
              <w14:schemeClr w14:val="tx1"/>
            </w14:solidFill>
          </w14:textFill>
        </w:rPr>
      </w:pPr>
      <w:r>
        <w:rPr>
          <w:rFonts w:hint="eastAsia" w:ascii="宋体" w:hAnsi="宋体" w:eastAsia="宋体" w:cs="宋体"/>
          <w:b w:val="0"/>
          <w:bCs w:val="0"/>
          <w:color w:val="000000" w:themeColor="text1"/>
          <w:sz w:val="72"/>
          <w:szCs w:val="72"/>
          <w:highlight w:val="none"/>
          <w14:textFill>
            <w14:solidFill>
              <w14:schemeClr w14:val="tx1"/>
            </w14:solidFill>
          </w14:textFill>
        </w:rPr>
        <w:t>招 标 文 件</w:t>
      </w:r>
    </w:p>
    <w:tbl>
      <w:tblPr>
        <w:tblStyle w:val="53"/>
        <w:tblW w:w="10238"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8"/>
        <w:gridCol w:w="7350"/>
      </w:tblGrid>
      <w:tr w14:paraId="18018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8" w:type="dxa"/>
            <w:vAlign w:val="center"/>
          </w:tcPr>
          <w:p w14:paraId="34B5F088">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项 目 编 号</w:t>
            </w:r>
            <w:r>
              <w:rPr>
                <w:rFonts w:hint="eastAsia" w:ascii="宋体" w:hAnsi="宋体" w:eastAsia="宋体" w:cs="宋体"/>
                <w:b w:val="0"/>
                <w:bCs w:val="0"/>
                <w:color w:val="000000" w:themeColor="text1"/>
                <w:spacing w:val="40"/>
                <w:sz w:val="28"/>
                <w:highlight w:val="none"/>
                <w14:textFill>
                  <w14:solidFill>
                    <w14:schemeClr w14:val="tx1"/>
                  </w14:solidFill>
                </w14:textFill>
              </w:rPr>
              <w:t>：</w:t>
            </w:r>
          </w:p>
        </w:tc>
        <w:tc>
          <w:tcPr>
            <w:tcW w:w="7350" w:type="dxa"/>
            <w:vAlign w:val="center"/>
          </w:tcPr>
          <w:p w14:paraId="54F8B930">
            <w:pPr>
              <w:spacing w:line="700" w:lineRule="exact"/>
              <w:jc w:val="center"/>
              <w:rPr>
                <w:rFonts w:hint="eastAsia" w:ascii="宋体" w:hAnsi="宋体" w:eastAsia="宋体" w:cs="宋体"/>
                <w:b w:val="0"/>
                <w:bCs w:val="0"/>
                <w:color w:val="000000" w:themeColor="text1"/>
                <w:sz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30"/>
                <w:szCs w:val="30"/>
                <w:highlight w:val="none"/>
                <w:lang w:eastAsia="zh-CN"/>
                <w14:textFill>
                  <w14:solidFill>
                    <w14:schemeClr w14:val="tx1"/>
                  </w14:solidFill>
                </w14:textFill>
              </w:rPr>
              <w:t>WZLCZB（W）-2025-06040</w:t>
            </w:r>
          </w:p>
        </w:tc>
      </w:tr>
      <w:tr w14:paraId="27E7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8" w:type="dxa"/>
            <w:vAlign w:val="center"/>
          </w:tcPr>
          <w:p w14:paraId="0025BB2C">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项 目 名 称：</w:t>
            </w:r>
          </w:p>
        </w:tc>
        <w:tc>
          <w:tcPr>
            <w:tcW w:w="7350" w:type="dxa"/>
            <w:vAlign w:val="center"/>
          </w:tcPr>
          <w:p w14:paraId="38399F2A">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cs="宋体"/>
                <w:b w:val="0"/>
                <w:bCs w:val="0"/>
                <w:color w:val="000000" w:themeColor="text1"/>
                <w:sz w:val="30"/>
                <w:szCs w:val="30"/>
                <w:highlight w:val="none"/>
                <w:lang w:eastAsia="zh-CN"/>
                <w14:textFill>
                  <w14:solidFill>
                    <w14:schemeClr w14:val="tx1"/>
                  </w14:solidFill>
                </w14:textFill>
              </w:rPr>
              <w:t>食堂配送（鲜猪肉类）</w:t>
            </w:r>
          </w:p>
        </w:tc>
      </w:tr>
      <w:tr w14:paraId="4AFE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8" w:type="dxa"/>
            <w:vAlign w:val="center"/>
          </w:tcPr>
          <w:p w14:paraId="2844353E">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采 购 方 式：</w:t>
            </w:r>
          </w:p>
        </w:tc>
        <w:tc>
          <w:tcPr>
            <w:tcW w:w="7350" w:type="dxa"/>
            <w:vAlign w:val="center"/>
          </w:tcPr>
          <w:p w14:paraId="25CD8762">
            <w:pPr>
              <w:spacing w:line="700" w:lineRule="exact"/>
              <w:jc w:val="center"/>
              <w:rPr>
                <w:rFonts w:hint="eastAsia" w:ascii="宋体" w:hAnsi="宋体" w:eastAsia="宋体" w:cs="宋体"/>
                <w:b w:val="0"/>
                <w:bCs w:val="0"/>
                <w:color w:val="000000" w:themeColor="text1"/>
                <w:sz w:val="24"/>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公开招标</w:t>
            </w:r>
            <w:r>
              <w:rPr>
                <w:rFonts w:hint="eastAsia" w:ascii="宋体" w:hAnsi="宋体" w:cs="宋体"/>
                <w:b w:val="0"/>
                <w:bCs w:val="0"/>
                <w:color w:val="000000" w:themeColor="text1"/>
                <w:spacing w:val="40"/>
                <w:sz w:val="30"/>
                <w:szCs w:val="30"/>
                <w:highlight w:val="none"/>
                <w:lang w:eastAsia="zh-CN"/>
                <w14:textFill>
                  <w14:solidFill>
                    <w14:schemeClr w14:val="tx1"/>
                  </w14:solidFill>
                </w14:textFill>
              </w:rPr>
              <w:t>（</w:t>
            </w:r>
            <w:r>
              <w:rPr>
                <w:rFonts w:hint="eastAsia" w:ascii="宋体" w:hAnsi="宋体" w:cs="宋体"/>
                <w:b w:val="0"/>
                <w:bCs w:val="0"/>
                <w:color w:val="000000" w:themeColor="text1"/>
                <w:spacing w:val="40"/>
                <w:sz w:val="30"/>
                <w:szCs w:val="30"/>
                <w:highlight w:val="none"/>
                <w:lang w:val="en-US" w:eastAsia="zh-CN"/>
                <w14:textFill>
                  <w14:solidFill>
                    <w14:schemeClr w14:val="tx1"/>
                  </w14:solidFill>
                </w14:textFill>
              </w:rPr>
              <w:t>非政府采购</w:t>
            </w:r>
            <w:r>
              <w:rPr>
                <w:rFonts w:hint="eastAsia" w:ascii="宋体" w:hAnsi="宋体" w:cs="宋体"/>
                <w:b w:val="0"/>
                <w:bCs w:val="0"/>
                <w:color w:val="000000" w:themeColor="text1"/>
                <w:spacing w:val="40"/>
                <w:sz w:val="30"/>
                <w:szCs w:val="30"/>
                <w:highlight w:val="none"/>
                <w:lang w:eastAsia="zh-CN"/>
                <w14:textFill>
                  <w14:solidFill>
                    <w14:schemeClr w14:val="tx1"/>
                  </w14:solidFill>
                </w14:textFill>
              </w:rPr>
              <w:t>）</w:t>
            </w:r>
          </w:p>
        </w:tc>
      </w:tr>
      <w:tr w14:paraId="578B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8" w:type="dxa"/>
            <w:vAlign w:val="center"/>
          </w:tcPr>
          <w:p w14:paraId="4F96DE9E">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评 审 方 式：</w:t>
            </w:r>
          </w:p>
        </w:tc>
        <w:tc>
          <w:tcPr>
            <w:tcW w:w="7350" w:type="dxa"/>
            <w:vAlign w:val="center"/>
          </w:tcPr>
          <w:p w14:paraId="56C0FF0F">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线上电子招投标</w:t>
            </w:r>
          </w:p>
        </w:tc>
      </w:tr>
    </w:tbl>
    <w:p w14:paraId="452736A2">
      <w:pPr>
        <w:spacing w:line="700" w:lineRule="exact"/>
        <w:ind w:firstLine="723" w:firstLineChars="300"/>
        <w:jc w:val="left"/>
        <w:rPr>
          <w:rFonts w:hint="eastAsia" w:ascii="宋体" w:hAnsi="宋体" w:eastAsia="宋体" w:cs="宋体"/>
          <w:b/>
          <w:bCs/>
          <w:color w:val="000000" w:themeColor="text1"/>
          <w:sz w:val="24"/>
          <w:highlight w:val="none"/>
          <w14:textFill>
            <w14:solidFill>
              <w14:schemeClr w14:val="tx1"/>
            </w14:solidFill>
          </w14:textFill>
        </w:rPr>
      </w:pPr>
    </w:p>
    <w:p w14:paraId="33D55A31">
      <w:pPr>
        <w:spacing w:line="700" w:lineRule="exact"/>
        <w:ind w:firstLine="904" w:firstLineChars="300"/>
        <w:jc w:val="left"/>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eastAsia="zh-CN"/>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 xml:space="preserve">  </w:t>
      </w:r>
    </w:p>
    <w:p w14:paraId="2499CE78">
      <w:pPr>
        <w:spacing w:line="700" w:lineRule="exact"/>
        <w:ind w:left="3802" w:leftChars="540" w:hanging="2668" w:hangingChars="700"/>
        <w:rPr>
          <w:rFonts w:hint="eastAsia" w:ascii="宋体" w:hAnsi="宋体" w:eastAsia="宋体" w:cs="宋体"/>
          <w:b/>
          <w:color w:val="000000" w:themeColor="text1"/>
          <w:spacing w:val="40"/>
          <w:sz w:val="30"/>
          <w:szCs w:val="30"/>
          <w:highlight w:val="none"/>
          <w14:textFill>
            <w14:solidFill>
              <w14:schemeClr w14:val="tx1"/>
            </w14:solidFill>
          </w14:textFill>
        </w:rPr>
      </w:pPr>
    </w:p>
    <w:p w14:paraId="27B466A9">
      <w:pPr>
        <w:keepNext/>
        <w:spacing w:line="700" w:lineRule="exact"/>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 xml:space="preserve">    </w:t>
      </w:r>
    </w:p>
    <w:p w14:paraId="64DCA513">
      <w:pPr>
        <w:spacing w:line="600" w:lineRule="exact"/>
        <w:jc w:val="center"/>
        <w:rPr>
          <w:rFonts w:hint="default" w:ascii="宋体" w:hAnsi="宋体" w:eastAsia="宋体" w:cs="宋体"/>
          <w:color w:val="000000" w:themeColor="text1"/>
          <w:spacing w:val="30"/>
          <w:sz w:val="30"/>
          <w:highlight w:val="none"/>
          <w:lang w:val="en-US" w:eastAsia="zh-CN"/>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 标 人:</w:t>
      </w:r>
      <w:r>
        <w:rPr>
          <w:rFonts w:hint="eastAsia" w:ascii="宋体" w:hAnsi="宋体" w:cs="宋体"/>
          <w:color w:val="000000" w:themeColor="text1"/>
          <w:spacing w:val="30"/>
          <w:sz w:val="30"/>
          <w:highlight w:val="none"/>
          <w:lang w:eastAsia="zh-CN"/>
          <w14:textFill>
            <w14:solidFill>
              <w14:schemeClr w14:val="tx1"/>
            </w14:solidFill>
          </w14:textFill>
        </w:rPr>
        <w:t>温州市中心医院</w:t>
      </w:r>
    </w:p>
    <w:p w14:paraId="24142064">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招标代理机构：温州历程招标有限公司</w:t>
      </w:r>
    </w:p>
    <w:p w14:paraId="055C9F79">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二0二</w:t>
      </w:r>
      <w:r>
        <w:rPr>
          <w:rFonts w:hint="eastAsia" w:ascii="宋体" w:hAnsi="宋体" w:cs="宋体"/>
          <w:color w:val="000000" w:themeColor="text1"/>
          <w:spacing w:val="30"/>
          <w:sz w:val="30"/>
          <w:highlight w:val="none"/>
          <w:lang w:val="en-US" w:eastAsia="zh-CN"/>
          <w14:textFill>
            <w14:solidFill>
              <w14:schemeClr w14:val="tx1"/>
            </w14:solidFill>
          </w14:textFill>
        </w:rPr>
        <w:t>五</w:t>
      </w:r>
      <w:r>
        <w:rPr>
          <w:rFonts w:hint="eastAsia" w:ascii="宋体" w:hAnsi="宋体" w:eastAsia="宋体" w:cs="宋体"/>
          <w:color w:val="000000" w:themeColor="text1"/>
          <w:spacing w:val="30"/>
          <w:sz w:val="30"/>
          <w:highlight w:val="none"/>
          <w14:textFill>
            <w14:solidFill>
              <w14:schemeClr w14:val="tx1"/>
            </w14:solidFill>
          </w14:textFill>
        </w:rPr>
        <w:t>年</w:t>
      </w:r>
    </w:p>
    <w:p w14:paraId="4B2FA4C7">
      <w:pPr>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sdt>
      <w:sdtP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id w:val="147459729"/>
        <w15:color w:val="DBDBDB"/>
        <w:docPartObj>
          <w:docPartGallery w:val="Table of Contents"/>
          <w:docPartUnique/>
        </w:docPartObj>
      </w:sdtPr>
      <w:sdtEndPr>
        <w:rPr>
          <w:rFonts w:hint="eastAsia" w:ascii="宋体" w:hAnsi="宋体" w:eastAsia="宋体" w:cs="宋体"/>
          <w:color w:val="000000" w:themeColor="text1"/>
          <w:kern w:val="2"/>
          <w:sz w:val="21"/>
          <w:szCs w:val="36"/>
          <w:highlight w:val="none"/>
          <w:lang w:val="en-US" w:eastAsia="zh-CN" w:bidi="ar-SA"/>
          <w14:textFill>
            <w14:solidFill>
              <w14:schemeClr w14:val="tx1"/>
            </w14:solidFill>
          </w14:textFill>
        </w:rPr>
      </w:sdtEndPr>
      <w:sdtContent>
        <w:p w14:paraId="53F2D16F">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highlight w:val="none"/>
              <w14:textFill>
                <w14:solidFill>
                  <w14:schemeClr w14:val="tx1"/>
                </w14:solidFill>
              </w14:textFill>
            </w:rPr>
          </w:pPr>
        </w:p>
        <w:p w14:paraId="568BB7E9">
          <w:pPr>
            <w:pStyle w:val="40"/>
            <w:tabs>
              <w:tab w:val="right" w:leader="dot" w:pos="9638"/>
            </w:tabs>
            <w:spacing w:line="360" w:lineRule="auto"/>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目  录</w:t>
          </w:r>
        </w:p>
        <w:p w14:paraId="305EE2B8">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b/>
              <w:color w:val="000000" w:themeColor="text1"/>
              <w:sz w:val="40"/>
              <w:szCs w:val="40"/>
              <w:highlight w:val="none"/>
              <w14:textFill>
                <w14:solidFill>
                  <w14:schemeClr w14:val="tx1"/>
                </w14:solidFill>
              </w14:textFill>
            </w:rPr>
            <w:fldChar w:fldCharType="begin"/>
          </w:r>
          <w:r>
            <w:rPr>
              <w:rFonts w:hint="eastAsia" w:ascii="宋体" w:hAnsi="宋体" w:eastAsia="宋体" w:cs="宋体"/>
              <w:b/>
              <w:color w:val="000000" w:themeColor="text1"/>
              <w:sz w:val="40"/>
              <w:szCs w:val="40"/>
              <w:highlight w:val="none"/>
              <w14:textFill>
                <w14:solidFill>
                  <w14:schemeClr w14:val="tx1"/>
                </w14:solidFill>
              </w14:textFill>
            </w:rPr>
            <w:instrText xml:space="preserve">TOC \o "1-3" \h \u </w:instrText>
          </w:r>
          <w:r>
            <w:rPr>
              <w:rFonts w:hint="eastAsia" w:ascii="宋体" w:hAnsi="宋体" w:eastAsia="宋体" w:cs="宋体"/>
              <w:b/>
              <w:color w:val="000000" w:themeColor="text1"/>
              <w:sz w:val="40"/>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_Toc6599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招</w:t>
          </w:r>
          <w:r>
            <w:rPr>
              <w:rFonts w:hint="eastAsia" w:ascii="宋体" w:hAnsi="宋体" w:eastAsia="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标</w:t>
          </w:r>
          <w:r>
            <w:rPr>
              <w:rFonts w:hint="eastAsia" w:ascii="宋体" w:hAnsi="宋体" w:eastAsia="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公</w:t>
          </w:r>
          <w:r>
            <w:rPr>
              <w:rFonts w:hint="eastAsia" w:ascii="宋体" w:hAnsi="宋体" w:eastAsia="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告</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_Toc6599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DC4FB9F">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_Toc10401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第一部分    投标人须知</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_Toc10401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FBFF593">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_Toc6224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前 附 表</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_Toc6224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633D255">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_Toc19070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一、 说   明</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_Toc19070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4CD5FFC">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_Toc28278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二、 招标文件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_Toc28278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D4E6872">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_Toc22646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三、 投标文件的编制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_Toc22646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10</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35B99BF">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_Toc18542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四、 投标文件的递交</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_Toc18542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12</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8D8175F">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_Toc8079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五、 开标和评标</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_Toc8079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1EF18196">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_Toc21056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六、 授予合同</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_Toc21056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6E23523E">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_Toc19043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第二部分  合同主要条款</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_Toc19043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18</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3255960">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_Toc18439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第三部分  附件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_Toc18439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024669C">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_Toc6368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附件一</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_Toc6368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25</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4BB7367">
          <w:pPr>
            <w:pStyle w:val="3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_Toc5430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14:textFill>
                <w14:solidFill>
                  <w14:schemeClr w14:val="tx1"/>
                </w14:solidFill>
              </w14:textFill>
            </w:rPr>
            <w:t>报价文件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_Toc5430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25</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4C0E92B8">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_Toc12035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附件二</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_Toc12035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60E5140B">
          <w:pPr>
            <w:pStyle w:val="3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_Toc25309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14:textFill>
                <w14:solidFill>
                  <w14:schemeClr w14:val="tx1"/>
                </w14:solidFill>
              </w14:textFill>
            </w:rPr>
            <w:t>资格证明文件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_Toc25309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FE69870">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_Toc31356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附件三</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_Toc31356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73FACA9">
          <w:pPr>
            <w:pStyle w:val="3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_Toc13639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lang w:val="zh-CN"/>
              <w14:textFill>
                <w14:solidFill>
                  <w14:schemeClr w14:val="tx1"/>
                </w14:solidFill>
              </w14:textFill>
            </w:rPr>
            <w:t>商务技术文件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_Toc13639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32</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BF22C07">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_Toc3381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 xml:space="preserve">第四部分 </w:t>
          </w:r>
          <w:r>
            <w:rPr>
              <w:rFonts w:hint="eastAsia" w:ascii="宋体" w:hAnsi="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项目技术规范和服务要求</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_Toc3381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47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3039300">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_Toc18194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第五部分   评标原则及方法</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_Toc18194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47</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74F4277">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_Toc15713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一、总 则</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_Toc15713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F39BFFC">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_Toc23152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二、评标组织</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_Toc23152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3F2B7D2">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_Toc67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三、评标程序</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_Toc67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2C22CC5">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_Toc24825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四、评标办法</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_Toc24825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D56E2FF">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_Toc11450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五、 评分细则</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_Toc11450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40923815">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_Toc4727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六、定标办法</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_Toc4727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55</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0395D3C">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_Toc3629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七、投标人义务</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_Toc3629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55</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09B0BFE">
          <w:pPr>
            <w:spacing w:line="360" w:lineRule="auto"/>
            <w:ind w:firstLine="1870" w:firstLineChars="85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end"/>
          </w:r>
        </w:p>
      </w:sdtContent>
    </w:sdt>
    <w:p w14:paraId="378DC1E5">
      <w:pPr>
        <w:pStyle w:val="4"/>
        <w:bidi w:val="0"/>
        <w:rPr>
          <w:rFonts w:hint="eastAsia" w:ascii="宋体" w:hAnsi="宋体" w:eastAsia="宋体" w:cs="宋体"/>
          <w:b/>
          <w:color w:val="000000" w:themeColor="text1"/>
          <w:highlight w:val="none"/>
          <w14:textFill>
            <w14:solidFill>
              <w14:schemeClr w14:val="tx1"/>
            </w14:solidFill>
          </w14:textFill>
        </w:rPr>
      </w:pPr>
      <w:bookmarkStart w:id="0" w:name="_Toc6599"/>
      <w:bookmarkStart w:id="1" w:name="_Toc32649"/>
      <w:r>
        <w:rPr>
          <w:rFonts w:hint="eastAsia" w:ascii="宋体" w:hAnsi="宋体" w:eastAsia="宋体" w:cs="宋体"/>
          <w:color w:val="000000" w:themeColor="text1"/>
          <w:highlight w:val="none"/>
          <w14:textFill>
            <w14:solidFill>
              <w14:schemeClr w14:val="tx1"/>
            </w14:solidFill>
          </w14:textFill>
        </w:rPr>
        <w:t>招</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标</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公</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告</w:t>
      </w:r>
      <w:bookmarkEnd w:id="0"/>
      <w:bookmarkEnd w:id="1"/>
    </w:p>
    <w:p w14:paraId="0EC07993">
      <w:pPr>
        <w:tabs>
          <w:tab w:val="left" w:pos="360"/>
        </w:tabs>
        <w:spacing w:line="460" w:lineRule="exact"/>
        <w:ind w:firstLine="552" w:firstLineChars="250"/>
        <w:rPr>
          <w:rFonts w:hint="eastAsia" w:ascii="宋体" w:hAnsi="宋体" w:eastAsia="宋体" w:cs="宋体"/>
          <w:b/>
          <w:bCs/>
          <w:color w:val="000000" w:themeColor="text1"/>
          <w:sz w:val="22"/>
          <w:highlight w:val="none"/>
          <w14:textFill>
            <w14:solidFill>
              <w14:schemeClr w14:val="tx1"/>
            </w14:solidFill>
          </w14:textFill>
        </w:rPr>
      </w:pPr>
      <w:r>
        <w:rPr>
          <w:b/>
          <w:bCs/>
          <w:color w:val="000000" w:themeColor="text1"/>
          <w:sz w:val="22"/>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3810</wp:posOffset>
                </wp:positionV>
                <wp:extent cx="6428105" cy="913765"/>
                <wp:effectExtent l="6350" t="6350" r="23495" b="13335"/>
                <wp:wrapNone/>
                <wp:docPr id="1" name="矩形 1"/>
                <wp:cNvGraphicFramePr/>
                <a:graphic xmlns:a="http://schemas.openxmlformats.org/drawingml/2006/main">
                  <a:graphicData uri="http://schemas.microsoft.com/office/word/2010/wordprocessingShape">
                    <wps:wsp>
                      <wps:cNvSpPr/>
                      <wps:spPr>
                        <a:xfrm>
                          <a:off x="0" y="0"/>
                          <a:ext cx="6428105" cy="91376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9.9pt;margin-top:0.3pt;height:71.95pt;width:506.15pt;z-index:251661312;v-text-anchor:middle;mso-width-relative:page;mso-height-relative:page;" filled="f" stroked="t" coordsize="21600,21600" o:gfxdata="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rTHbXAAAACAEAAA8AAAAAAAAAAQAgAAAAIgAAAGRycy9k&#10;b3ducmV2LnhtbFBLAQIUABQAAAAIAIdO4kBIcDhHAwIAABEEAAAOAAAAAAAAAAEAIAAAACYBAABk&#10;cnMvZTJvRG9jLnhtbFBLBQYAAAAABgAGAFkBAACbBQAAAAA=&#10;">
                <v:fill on="f" focussize="0,0"/>
                <v:stroke weight="1pt" color="#000000" joinstyle="round"/>
                <v:imagedata o:title=""/>
                <o:lock v:ext="edit" aspectratio="f"/>
              </v:rect>
            </w:pict>
          </mc:Fallback>
        </mc:AlternateContent>
      </w:r>
      <w:r>
        <w:rPr>
          <w:rFonts w:hint="eastAsia" w:ascii="宋体" w:hAnsi="宋体" w:eastAsia="宋体" w:cs="宋体"/>
          <w:b/>
          <w:bCs/>
          <w:color w:val="000000" w:themeColor="text1"/>
          <w:sz w:val="22"/>
          <w:highlight w:val="none"/>
          <w14:textFill>
            <w14:solidFill>
              <w14:schemeClr w14:val="tx1"/>
            </w14:solidFill>
          </w14:textFill>
        </w:rPr>
        <w:t>项目概况</w:t>
      </w:r>
    </w:p>
    <w:p w14:paraId="0F343557">
      <w:pPr>
        <w:keepNext w:val="0"/>
        <w:keepLines w:val="0"/>
        <w:pageBreakBefore w:val="0"/>
        <w:widowControl w:val="0"/>
        <w:tabs>
          <w:tab w:val="left" w:pos="360"/>
        </w:tabs>
        <w:kinsoku/>
        <w:wordWrap/>
        <w:overflowPunct/>
        <w:topLinePunct w:val="0"/>
        <w:autoSpaceDE/>
        <w:autoSpaceDN/>
        <w:bidi w:val="0"/>
        <w:adjustRightInd/>
        <w:snapToGrid/>
        <w:spacing w:line="460" w:lineRule="exact"/>
        <w:ind w:left="0" w:leftChars="0" w:firstLine="110" w:firstLineChars="50"/>
        <w:textAlignment w:val="auto"/>
        <w:rPr>
          <w:rFonts w:hint="eastAsia"/>
          <w:b/>
          <w:bCs/>
          <w:color w:val="000000" w:themeColor="text1"/>
          <w:sz w:val="22"/>
          <w:szCs w:val="22"/>
          <w:highlight w:val="none"/>
          <w:u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食堂配送（鲜猪肉类）</w:t>
      </w:r>
      <w:r>
        <w:rPr>
          <w:rFonts w:hint="eastAsia" w:ascii="宋体" w:hAnsi="宋体" w:eastAsia="宋体" w:cs="宋体"/>
          <w:color w:val="000000" w:themeColor="text1"/>
          <w:sz w:val="22"/>
          <w:highlight w:val="none"/>
          <w14:textFill>
            <w14:solidFill>
              <w14:schemeClr w14:val="tx1"/>
            </w14:solidFill>
          </w14:textFill>
        </w:rPr>
        <w:t>招标项目的潜在投标人应在</w:t>
      </w:r>
      <w:r>
        <w:rPr>
          <w:rFonts w:hint="eastAsia" w:ascii="宋体" w:hAnsi="宋体" w:cs="宋体"/>
          <w:color w:val="000000" w:themeColor="text1"/>
          <w:sz w:val="22"/>
          <w:highlight w:val="none"/>
          <w:lang w:eastAsia="zh-CN"/>
          <w14:textFill>
            <w14:solidFill>
              <w14:schemeClr w14:val="tx1"/>
            </w14:solidFill>
          </w14:textFill>
        </w:rPr>
        <w:t>乐采云</w:t>
      </w:r>
      <w:r>
        <w:rPr>
          <w:rFonts w:hint="eastAsia" w:ascii="宋体" w:hAnsi="宋体" w:eastAsia="宋体" w:cs="宋体"/>
          <w:color w:val="000000" w:themeColor="text1"/>
          <w:sz w:val="22"/>
          <w:highlight w:val="none"/>
          <w14:textFill>
            <w14:solidFill>
              <w14:schemeClr w14:val="tx1"/>
            </w14:solidFill>
          </w14:textFill>
        </w:rPr>
        <w:t>获取（下载）招标文件，并于</w:t>
      </w:r>
      <w:r>
        <w:rPr>
          <w:rFonts w:hint="eastAsia" w:ascii="宋体" w:hAnsi="宋体" w:cs="宋体"/>
          <w:color w:val="000000" w:themeColor="text1"/>
          <w:sz w:val="22"/>
          <w:highlight w:val="none"/>
          <w:lang w:val="en-US" w:eastAsia="zh-CN"/>
          <w14:textFill>
            <w14:solidFill>
              <w14:schemeClr w14:val="tx1"/>
            </w14:solidFill>
          </w14:textFill>
        </w:rPr>
        <w:t>2025年7月 11日09点30分</w:t>
      </w:r>
      <w:r>
        <w:rPr>
          <w:rFonts w:hint="eastAsia" w:ascii="宋体" w:hAnsi="宋体" w:eastAsia="宋体" w:cs="宋体"/>
          <w:color w:val="000000" w:themeColor="text1"/>
          <w:sz w:val="22"/>
          <w:highlight w:val="none"/>
          <w14:textFill>
            <w14:solidFill>
              <w14:schemeClr w14:val="tx1"/>
            </w14:solidFill>
          </w14:textFill>
        </w:rPr>
        <w:t>（北京时间）前递交（上传）投标文件。</w:t>
      </w:r>
    </w:p>
    <w:p w14:paraId="7684C261">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SA"/>
          <w14:textFill>
            <w14:solidFill>
              <w14:schemeClr w14:val="tx1"/>
            </w14:solidFill>
          </w14:textFill>
        </w:rPr>
        <w:t>一、</w:t>
      </w:r>
      <w:r>
        <w:rPr>
          <w:rFonts w:hint="eastAsia"/>
          <w:b/>
          <w:bCs/>
          <w:color w:val="000000" w:themeColor="text1"/>
          <w:sz w:val="22"/>
          <w:szCs w:val="22"/>
          <w:highlight w:val="none"/>
          <w:u w:val="none"/>
          <w14:textFill>
            <w14:solidFill>
              <w14:schemeClr w14:val="tx1"/>
            </w14:solidFill>
          </w14:textFill>
        </w:rPr>
        <w:t>项目基本情况</w:t>
      </w:r>
    </w:p>
    <w:p w14:paraId="7C747BA3">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项目编号：WZLCZB（W）-2025-06040 </w:t>
      </w:r>
    </w:p>
    <w:p w14:paraId="05E4D5FC">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项目名称：</w:t>
      </w:r>
      <w:r>
        <w:rPr>
          <w:rFonts w:hint="eastAsia" w:ascii="新宋体" w:hAnsi="新宋体" w:eastAsia="新宋体" w:cs="新宋体"/>
          <w:color w:val="000000" w:themeColor="text1"/>
          <w:sz w:val="22"/>
          <w:highlight w:val="none"/>
          <w:lang w:eastAsia="zh-CN"/>
          <w14:textFill>
            <w14:solidFill>
              <w14:schemeClr w14:val="tx1"/>
            </w14:solidFill>
          </w14:textFill>
        </w:rPr>
        <w:t>食堂配送（鲜猪肉类）</w:t>
      </w:r>
    </w:p>
    <w:p w14:paraId="1E300D9C">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采购方式：公开招标（非政府采购）</w:t>
      </w:r>
    </w:p>
    <w:p w14:paraId="382F6C87">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采购需求：</w:t>
      </w:r>
    </w:p>
    <w:tbl>
      <w:tblPr>
        <w:tblStyle w:val="52"/>
        <w:tblW w:w="9512" w:type="dxa"/>
        <w:tblInd w:w="527" w:type="dxa"/>
        <w:tblLayout w:type="autofit"/>
        <w:tblCellMar>
          <w:top w:w="0" w:type="dxa"/>
          <w:left w:w="108" w:type="dxa"/>
          <w:bottom w:w="0" w:type="dxa"/>
          <w:right w:w="108" w:type="dxa"/>
        </w:tblCellMar>
      </w:tblPr>
      <w:tblGrid>
        <w:gridCol w:w="750"/>
        <w:gridCol w:w="2353"/>
        <w:gridCol w:w="1050"/>
        <w:gridCol w:w="1125"/>
        <w:gridCol w:w="4234"/>
      </w:tblGrid>
      <w:tr w14:paraId="4E60828A">
        <w:tblPrEx>
          <w:tblCellMar>
            <w:top w:w="0" w:type="dxa"/>
            <w:left w:w="108" w:type="dxa"/>
            <w:bottom w:w="0" w:type="dxa"/>
            <w:right w:w="108" w:type="dxa"/>
          </w:tblCellMar>
        </w:tblPrEx>
        <w:trPr>
          <w:trHeight w:val="53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31F3FC0">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标项</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113F0388">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项目名称</w:t>
            </w:r>
          </w:p>
        </w:tc>
        <w:tc>
          <w:tcPr>
            <w:tcW w:w="1050" w:type="dxa"/>
            <w:tcBorders>
              <w:top w:val="single" w:color="auto" w:sz="4" w:space="0"/>
              <w:left w:val="nil"/>
              <w:bottom w:val="single" w:color="auto" w:sz="4" w:space="0"/>
              <w:right w:val="single" w:color="auto" w:sz="4" w:space="0"/>
            </w:tcBorders>
            <w:noWrap w:val="0"/>
            <w:vAlign w:val="center"/>
          </w:tcPr>
          <w:p w14:paraId="08B28E21">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数量</w:t>
            </w:r>
          </w:p>
        </w:tc>
        <w:tc>
          <w:tcPr>
            <w:tcW w:w="1125" w:type="dxa"/>
            <w:tcBorders>
              <w:top w:val="single" w:color="auto" w:sz="4" w:space="0"/>
              <w:left w:val="nil"/>
              <w:bottom w:val="single" w:color="auto" w:sz="4" w:space="0"/>
              <w:right w:val="single" w:color="auto" w:sz="4" w:space="0"/>
            </w:tcBorders>
            <w:noWrap w:val="0"/>
            <w:vAlign w:val="center"/>
          </w:tcPr>
          <w:p w14:paraId="497CD762">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单位</w:t>
            </w:r>
          </w:p>
        </w:tc>
        <w:tc>
          <w:tcPr>
            <w:tcW w:w="4234" w:type="dxa"/>
            <w:tcBorders>
              <w:top w:val="single" w:color="auto" w:sz="4" w:space="0"/>
              <w:left w:val="nil"/>
              <w:bottom w:val="single" w:color="auto" w:sz="4" w:space="0"/>
              <w:right w:val="single" w:color="auto" w:sz="4" w:space="0"/>
            </w:tcBorders>
            <w:noWrap w:val="0"/>
            <w:vAlign w:val="center"/>
          </w:tcPr>
          <w:p w14:paraId="39896B19">
            <w:pPr>
              <w:tabs>
                <w:tab w:val="left" w:pos="360"/>
              </w:tabs>
              <w:spacing w:line="440" w:lineRule="exact"/>
              <w:jc w:val="center"/>
              <w:rPr>
                <w:rFonts w:hint="eastAsia" w:ascii="新宋体" w:hAnsi="新宋体" w:eastAsia="宋体" w:cs="新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w:t>
            </w:r>
            <w:r>
              <w:rPr>
                <w:rFonts w:hint="eastAsia" w:ascii="宋体" w:hAnsi="宋体" w:eastAsia="宋体" w:cs="宋体"/>
                <w:color w:val="000000" w:themeColor="text1"/>
                <w:sz w:val="22"/>
                <w:highlight w:val="none"/>
                <w:lang w:val="en-US" w:eastAsia="zh-CN"/>
                <w14:textFill>
                  <w14:solidFill>
                    <w14:schemeClr w14:val="tx1"/>
                  </w14:solidFill>
                </w14:textFill>
              </w:rPr>
              <w:t>内容</w:t>
            </w:r>
          </w:p>
        </w:tc>
      </w:tr>
      <w:tr w14:paraId="3814626C">
        <w:tblPrEx>
          <w:tblCellMar>
            <w:top w:w="0" w:type="dxa"/>
            <w:left w:w="108" w:type="dxa"/>
            <w:bottom w:w="0" w:type="dxa"/>
            <w:right w:w="108" w:type="dxa"/>
          </w:tblCellMar>
        </w:tblPrEx>
        <w:trPr>
          <w:trHeight w:val="92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EECF150">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77A94970">
            <w:pPr>
              <w:tabs>
                <w:tab w:val="left" w:pos="360"/>
              </w:tabs>
              <w:spacing w:line="440" w:lineRule="exact"/>
              <w:jc w:val="center"/>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highlight w:val="none"/>
                <w:lang w:eastAsia="zh-CN"/>
                <w14:textFill>
                  <w14:solidFill>
                    <w14:schemeClr w14:val="tx1"/>
                  </w14:solidFill>
                </w14:textFill>
              </w:rPr>
              <w:t>食堂配送（鲜猪肉类）</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CD9AAD5">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0790136">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年</w:t>
            </w:r>
          </w:p>
        </w:tc>
        <w:tc>
          <w:tcPr>
            <w:tcW w:w="4234" w:type="dxa"/>
            <w:tcBorders>
              <w:top w:val="single" w:color="auto" w:sz="4" w:space="0"/>
              <w:left w:val="single" w:color="auto" w:sz="4" w:space="0"/>
              <w:bottom w:val="single" w:color="auto" w:sz="4" w:space="0"/>
              <w:right w:val="single" w:color="auto" w:sz="4" w:space="0"/>
            </w:tcBorders>
            <w:noWrap w:val="0"/>
            <w:vAlign w:val="center"/>
          </w:tcPr>
          <w:p w14:paraId="0B2B7DA9">
            <w:pPr>
              <w:tabs>
                <w:tab w:val="left" w:pos="360"/>
              </w:tabs>
              <w:spacing w:line="440" w:lineRule="exact"/>
              <w:jc w:val="center"/>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详见第</w:t>
            </w:r>
            <w:r>
              <w:rPr>
                <w:rFonts w:hint="eastAsia" w:ascii="新宋体" w:hAnsi="新宋体" w:eastAsia="新宋体" w:cs="新宋体"/>
                <w:color w:val="000000" w:themeColor="text1"/>
                <w:sz w:val="22"/>
                <w:highlight w:val="none"/>
                <w:lang w:val="en-US" w:eastAsia="zh-CN"/>
                <w14:textFill>
                  <w14:solidFill>
                    <w14:schemeClr w14:val="tx1"/>
                  </w14:solidFill>
                </w14:textFill>
              </w:rPr>
              <w:t>四</w:t>
            </w:r>
            <w:r>
              <w:rPr>
                <w:rFonts w:hint="eastAsia" w:ascii="新宋体" w:hAnsi="新宋体" w:eastAsia="新宋体" w:cs="新宋体"/>
                <w:color w:val="000000" w:themeColor="text1"/>
                <w:sz w:val="22"/>
                <w:highlight w:val="none"/>
                <w14:textFill>
                  <w14:solidFill>
                    <w14:schemeClr w14:val="tx1"/>
                  </w14:solidFill>
                </w14:textFill>
              </w:rPr>
              <w:t>部分 项目技术规范和服务要求</w:t>
            </w:r>
          </w:p>
        </w:tc>
      </w:tr>
    </w:tbl>
    <w:p w14:paraId="298847A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b/>
          <w:bCs/>
          <w:color w:val="000000" w:themeColor="text1"/>
          <w:sz w:val="22"/>
          <w:szCs w:val="22"/>
          <w:highlight w:val="none"/>
          <w:u w:val="none"/>
          <w:lang w:val="en-US" w:eastAsia="zh-CN"/>
          <w14:textFill>
            <w14:solidFill>
              <w14:schemeClr w14:val="tx1"/>
            </w14:solidFill>
          </w14:textFill>
        </w:rPr>
        <w:t>二、申请人的资格要求：</w:t>
      </w:r>
    </w:p>
    <w:p w14:paraId="30CDF2EE">
      <w:pPr>
        <w:tabs>
          <w:tab w:val="left" w:pos="360"/>
        </w:tabs>
        <w:spacing w:line="440" w:lineRule="exact"/>
        <w:ind w:firstLine="552"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b/>
          <w:bCs/>
          <w:color w:val="000000" w:themeColor="text1"/>
          <w:sz w:val="22"/>
          <w:highlight w:val="none"/>
          <w14:textFill>
            <w14:solidFill>
              <w14:schemeClr w14:val="tx1"/>
            </w14:solidFill>
          </w14:textFill>
        </w:rPr>
        <w:t>1、符合《中华人民共和国政府采购法》第二十二条的规定：</w:t>
      </w:r>
    </w:p>
    <w:p w14:paraId="2858DE36">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（1）具有独立承担民事责任的能力；</w:t>
      </w:r>
    </w:p>
    <w:p w14:paraId="1BB2B376">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（2）具有良好的商业信誉和健全的财务会计制度；</w:t>
      </w:r>
    </w:p>
    <w:p w14:paraId="325BCB44">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（3）具有履行合同所必需的场地、设备和专业技术能力；</w:t>
      </w:r>
    </w:p>
    <w:p w14:paraId="43913455">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（4）有依法缴纳税收和社会保障资金的良好记录；</w:t>
      </w:r>
    </w:p>
    <w:p w14:paraId="1743ABB0">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 xml:space="preserve">（5）参加政府采购活动前三年内，在经营活动中没有重大违法记录； </w:t>
      </w:r>
    </w:p>
    <w:p w14:paraId="3415FB09">
      <w:pPr>
        <w:tabs>
          <w:tab w:val="left" w:pos="360"/>
        </w:tabs>
        <w:spacing w:line="440" w:lineRule="exact"/>
        <w:ind w:firstLine="552" w:firstLineChars="250"/>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b/>
          <w:bCs/>
          <w:color w:val="000000" w:themeColor="text1"/>
          <w:sz w:val="22"/>
          <w:highlight w:val="none"/>
          <w14:textFill>
            <w14:solidFill>
              <w14:schemeClr w14:val="tx1"/>
            </w14:solidFill>
          </w14:textFill>
        </w:rPr>
        <w:t>2、投标供应商特定资格条件：</w:t>
      </w:r>
    </w:p>
    <w:p w14:paraId="59163E81">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 xml:space="preserve">（1）未被“信用中国”（www.creditchina.gov.cn）、中国政府采购网（www.ccgp.gov.cn）列入失信被执行人、重大税收违法案件当事人名单、政府采购严重违法失信行为记录名单； </w:t>
      </w:r>
    </w:p>
    <w:p w14:paraId="3A11063B">
      <w:pPr>
        <w:tabs>
          <w:tab w:val="left" w:pos="360"/>
        </w:tabs>
        <w:spacing w:line="44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（2）单位负责人为同一人或者存在直接控股、管理关系的不同供应商，不得参加同一合同项下的采购活动。违反该款规定的，相关投标均无效；</w:t>
      </w:r>
    </w:p>
    <w:p w14:paraId="6069E208">
      <w:pPr>
        <w:tabs>
          <w:tab w:val="left" w:pos="360"/>
        </w:tabs>
        <w:spacing w:line="440" w:lineRule="exact"/>
        <w:ind w:firstLine="550" w:firstLineChars="250"/>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（3）不允许联合体投标</w:t>
      </w:r>
      <w:r>
        <w:rPr>
          <w:rFonts w:hint="eastAsia" w:ascii="新宋体" w:hAnsi="新宋体" w:eastAsia="新宋体" w:cs="新宋体"/>
          <w:color w:val="000000" w:themeColor="text1"/>
          <w:sz w:val="22"/>
          <w:highlight w:val="none"/>
          <w:lang w:eastAsia="zh-CN"/>
          <w14:textFill>
            <w14:solidFill>
              <w14:schemeClr w14:val="tx1"/>
            </w14:solidFill>
          </w14:textFill>
        </w:rPr>
        <w:t>；</w:t>
      </w:r>
    </w:p>
    <w:p w14:paraId="44B7B4DF">
      <w:pPr>
        <w:tabs>
          <w:tab w:val="left" w:pos="360"/>
        </w:tabs>
        <w:spacing w:line="440" w:lineRule="exact"/>
        <w:ind w:firstLine="550" w:firstLineChars="250"/>
        <w:rPr>
          <w:rFonts w:hint="eastAsia" w:ascii="宋体" w:hAnsi="宋体" w:eastAsia="宋体" w:cs="宋体"/>
          <w:b w:val="0"/>
          <w:color w:val="000000" w:themeColor="text1"/>
          <w:kern w:val="0"/>
          <w:sz w:val="22"/>
          <w:szCs w:val="22"/>
          <w:highlight w:val="none"/>
          <w:u w:val="none"/>
          <w:lang w:val="en-US" w:eastAsia="zh-CN" w:bidi="ar-SA"/>
          <w14:textFill>
            <w14:solidFill>
              <w14:schemeClr w14:val="tx1"/>
            </w14:solidFill>
          </w14:textFill>
        </w:rPr>
      </w:pPr>
      <w:r>
        <w:rPr>
          <w:rFonts w:hint="eastAsia" w:ascii="新宋体" w:hAnsi="新宋体" w:eastAsia="新宋体" w:cs="新宋体"/>
          <w:color w:val="000000" w:themeColor="text1"/>
          <w:sz w:val="22"/>
          <w:highlight w:val="none"/>
          <w:lang w:eastAsia="zh-CN"/>
          <w14:textFill>
            <w14:solidFill>
              <w14:schemeClr w14:val="tx1"/>
            </w14:solidFill>
          </w14:textFill>
        </w:rPr>
        <w:t>（</w:t>
      </w:r>
      <w:r>
        <w:rPr>
          <w:rFonts w:hint="eastAsia" w:ascii="新宋体" w:hAnsi="新宋体" w:eastAsia="新宋体" w:cs="新宋体"/>
          <w:color w:val="000000" w:themeColor="text1"/>
          <w:sz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highlight w:val="none"/>
          <w:lang w:eastAsia="zh-CN"/>
          <w14:textFill>
            <w14:solidFill>
              <w14:schemeClr w14:val="tx1"/>
            </w14:solidFill>
          </w14:textFill>
        </w:rPr>
        <w:t>）</w:t>
      </w:r>
      <w:r>
        <w:rPr>
          <w:rFonts w:ascii="Times New Roman" w:eastAsia="新宋体"/>
          <w:bCs/>
          <w:color w:val="000000" w:themeColor="text1"/>
          <w:sz w:val="22"/>
          <w:szCs w:val="22"/>
          <w:highlight w:val="none"/>
          <w14:textFill>
            <w14:solidFill>
              <w14:schemeClr w14:val="tx1"/>
            </w14:solidFill>
          </w14:textFill>
        </w:rPr>
        <w:t>投标人</w:t>
      </w:r>
      <w:r>
        <w:rPr>
          <w:rFonts w:hint="eastAsia" w:ascii="Times New Roman" w:eastAsia="新宋体"/>
          <w:bCs/>
          <w:color w:val="000000" w:themeColor="text1"/>
          <w:sz w:val="22"/>
          <w:szCs w:val="22"/>
          <w:highlight w:val="none"/>
          <w14:textFill>
            <w14:solidFill>
              <w14:schemeClr w14:val="tx1"/>
            </w14:solidFill>
          </w14:textFill>
        </w:rPr>
        <w:t>具有有效的餐饮服务许可证或食品经营许可证（食品流通许可证）或食品生产许可证或相关备案证明材料</w:t>
      </w:r>
      <w:r>
        <w:rPr>
          <w:rFonts w:hint="eastAsia" w:ascii="Times New Roman" w:eastAsia="新宋体"/>
          <w:bCs/>
          <w:color w:val="000000" w:themeColor="text1"/>
          <w:sz w:val="22"/>
          <w:szCs w:val="22"/>
          <w:highlight w:val="none"/>
          <w:lang w:eastAsia="zh-CN"/>
          <w14:textFill>
            <w14:solidFill>
              <w14:schemeClr w14:val="tx1"/>
            </w14:solidFill>
          </w14:textFill>
        </w:rPr>
        <w:t>。</w:t>
      </w:r>
      <w:bookmarkStart w:id="84" w:name="_GoBack"/>
      <w:bookmarkEnd w:id="84"/>
    </w:p>
    <w:p w14:paraId="333E9EE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三、获取招标文件 </w:t>
      </w:r>
    </w:p>
    <w:p w14:paraId="0063867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时间：</w:t>
      </w:r>
      <w:r>
        <w:rPr>
          <w:rFonts w:hint="eastAsia"/>
          <w:color w:val="000000" w:themeColor="text1"/>
          <w:sz w:val="22"/>
          <w:szCs w:val="22"/>
          <w:highlight w:val="none"/>
          <w:u w:val="none"/>
          <w:lang w:val="en-US" w:eastAsia="zh-CN"/>
          <w14:textFill>
            <w14:solidFill>
              <w14:schemeClr w14:val="tx1"/>
            </w14:solidFill>
          </w14:textFill>
        </w:rPr>
        <w:t>2025年6月18日</w:t>
      </w:r>
      <w:r>
        <w:rPr>
          <w:rFonts w:hint="eastAsia"/>
          <w:color w:val="000000" w:themeColor="text1"/>
          <w:sz w:val="22"/>
          <w:szCs w:val="22"/>
          <w:highlight w:val="none"/>
          <w:u w:val="none"/>
          <w14:textFill>
            <w14:solidFill>
              <w14:schemeClr w14:val="tx1"/>
            </w14:solidFill>
          </w14:textFill>
        </w:rPr>
        <w:t>至</w:t>
      </w:r>
      <w:r>
        <w:rPr>
          <w:rFonts w:hint="eastAsia" w:cs="宋体"/>
          <w:color w:val="000000" w:themeColor="text1"/>
          <w:sz w:val="22"/>
          <w:highlight w:val="none"/>
          <w:lang w:val="en-US" w:eastAsia="zh-CN"/>
          <w14:textFill>
            <w14:solidFill>
              <w14:schemeClr w14:val="tx1"/>
            </w14:solidFill>
          </w14:textFill>
        </w:rPr>
        <w:t>2025年7月11日</w:t>
      </w:r>
      <w:r>
        <w:rPr>
          <w:rFonts w:hint="eastAsia"/>
          <w:color w:val="000000" w:themeColor="text1"/>
          <w:sz w:val="22"/>
          <w:szCs w:val="22"/>
          <w:highlight w:val="none"/>
          <w:u w:val="none"/>
          <w14:textFill>
            <w14:solidFill>
              <w14:schemeClr w14:val="tx1"/>
            </w14:solidFill>
          </w14:textFill>
        </w:rPr>
        <w:t>，每天上午00:00至12:00，下午12:00至23:59（北京时间，线上获取法定节假日均可，线下获取文件法定节假日除外）</w:t>
      </w:r>
    </w:p>
    <w:p w14:paraId="1BA68FE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地点（网址）：</w:t>
      </w:r>
      <w:r>
        <w:rPr>
          <w:rFonts w:hint="eastAsia"/>
          <w:color w:val="000000" w:themeColor="text1"/>
          <w:sz w:val="22"/>
          <w:szCs w:val="22"/>
          <w:highlight w:val="none"/>
          <w:u w:val="none"/>
          <w:lang w:eastAsia="zh-CN"/>
          <w14:textFill>
            <w14:solidFill>
              <w14:schemeClr w14:val="tx1"/>
            </w14:solidFill>
          </w14:textFill>
        </w:rPr>
        <w:t>乐采云</w:t>
      </w:r>
      <w:r>
        <w:rPr>
          <w:rFonts w:hint="eastAsia"/>
          <w:color w:val="000000" w:themeColor="text1"/>
          <w:sz w:val="22"/>
          <w:szCs w:val="22"/>
          <w:highlight w:val="none"/>
          <w:u w:val="none"/>
          <w14:textFill>
            <w14:solidFill>
              <w14:schemeClr w14:val="tx1"/>
            </w14:solidFill>
          </w14:textFill>
        </w:rPr>
        <w:t>（</w:t>
      </w:r>
      <w:r>
        <w:rPr>
          <w:rFonts w:hint="eastAsia"/>
          <w:color w:val="000000" w:themeColor="text1"/>
          <w:sz w:val="22"/>
          <w:szCs w:val="22"/>
          <w:highlight w:val="none"/>
          <w:u w:val="none"/>
          <w:lang w:eastAsia="zh-CN"/>
          <w14:textFill>
            <w14:solidFill>
              <w14:schemeClr w14:val="tx1"/>
            </w14:solidFill>
          </w14:textFill>
        </w:rPr>
        <w:t>www.lecaiyun.com</w:t>
      </w:r>
      <w:r>
        <w:rPr>
          <w:rFonts w:hint="eastAsia"/>
          <w:color w:val="000000" w:themeColor="text1"/>
          <w:sz w:val="22"/>
          <w:szCs w:val="22"/>
          <w:highlight w:val="none"/>
          <w:u w:val="none"/>
          <w14:textFill>
            <w14:solidFill>
              <w14:schemeClr w14:val="tx1"/>
            </w14:solidFill>
          </w14:textFill>
        </w:rPr>
        <w:t>） </w:t>
      </w:r>
    </w:p>
    <w:p w14:paraId="32D097C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方式：供应商登录</w:t>
      </w:r>
      <w:r>
        <w:rPr>
          <w:rFonts w:hint="eastAsia"/>
          <w:color w:val="000000" w:themeColor="text1"/>
          <w:sz w:val="22"/>
          <w:szCs w:val="22"/>
          <w:highlight w:val="none"/>
          <w:u w:val="none"/>
          <w:lang w:eastAsia="zh-CN"/>
          <w14:textFill>
            <w14:solidFill>
              <w14:schemeClr w14:val="tx1"/>
            </w14:solidFill>
          </w14:textFill>
        </w:rPr>
        <w:t>乐采云平台www.lecaiyun.com</w:t>
      </w:r>
      <w:r>
        <w:rPr>
          <w:rFonts w:hint="eastAsia"/>
          <w:color w:val="000000" w:themeColor="text1"/>
          <w:sz w:val="22"/>
          <w:szCs w:val="22"/>
          <w:highlight w:val="none"/>
          <w:u w:val="none"/>
          <w14:textFill>
            <w14:solidFill>
              <w14:schemeClr w14:val="tx1"/>
            </w14:solidFill>
          </w14:textFill>
        </w:rPr>
        <w:t>在线申请获取采购文件（进入“项目采购”应用，在获取采购文件菜单中选择项目，申请获取采购文件）</w:t>
      </w:r>
    </w:p>
    <w:p w14:paraId="40B46F4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售价（元）：0 </w:t>
      </w:r>
    </w:p>
    <w:p w14:paraId="2BFC320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四、提交投标文件截止时间、开标时间和地点</w:t>
      </w:r>
    </w:p>
    <w:p w14:paraId="411C5F0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提交投标文件截止时间：</w:t>
      </w:r>
      <w:r>
        <w:rPr>
          <w:rFonts w:hint="eastAsia" w:cs="宋体"/>
          <w:color w:val="000000" w:themeColor="text1"/>
          <w:sz w:val="22"/>
          <w:highlight w:val="none"/>
          <w:lang w:val="en-US" w:eastAsia="zh-CN"/>
          <w14:textFill>
            <w14:solidFill>
              <w14:schemeClr w14:val="tx1"/>
            </w14:solidFill>
          </w14:textFill>
        </w:rPr>
        <w:t>2025年7月11日</w:t>
      </w:r>
      <w:r>
        <w:rPr>
          <w:rFonts w:hint="eastAsia"/>
          <w:color w:val="000000" w:themeColor="text1"/>
          <w:sz w:val="22"/>
          <w:szCs w:val="22"/>
          <w:highlight w:val="none"/>
          <w:u w:val="none"/>
          <w:lang w:val="en-US" w:eastAsia="zh-CN"/>
          <w14:textFill>
            <w14:solidFill>
              <w14:schemeClr w14:val="tx1"/>
            </w14:solidFill>
          </w14:textFill>
        </w:rPr>
        <w:t>09</w:t>
      </w:r>
      <w:r>
        <w:rPr>
          <w:rFonts w:hint="eastAsia" w:ascii="宋体" w:hAnsi="宋体" w:cs="宋体"/>
          <w:color w:val="000000" w:themeColor="text1"/>
          <w:sz w:val="22"/>
          <w:highlight w:val="none"/>
          <w:lang w:val="en-US" w:eastAsia="zh-CN"/>
          <w14:textFill>
            <w14:solidFill>
              <w14:schemeClr w14:val="tx1"/>
            </w14:solidFill>
          </w14:textFill>
        </w:rPr>
        <w:t>点30分</w:t>
      </w:r>
      <w:r>
        <w:rPr>
          <w:rFonts w:hint="eastAsia"/>
          <w:color w:val="000000" w:themeColor="text1"/>
          <w:sz w:val="22"/>
          <w:szCs w:val="22"/>
          <w:highlight w:val="none"/>
          <w:u w:val="none"/>
          <w14:textFill>
            <w14:solidFill>
              <w14:schemeClr w14:val="tx1"/>
            </w14:solidFill>
          </w14:textFill>
        </w:rPr>
        <w:t>（北京时间）</w:t>
      </w:r>
    </w:p>
    <w:p w14:paraId="409364F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投标地点（网址）：</w:t>
      </w:r>
      <w:r>
        <w:rPr>
          <w:rFonts w:hint="eastAsia"/>
          <w:color w:val="000000" w:themeColor="text1"/>
          <w:sz w:val="22"/>
          <w:szCs w:val="22"/>
          <w:highlight w:val="none"/>
          <w:lang w:eastAsia="zh-CN"/>
          <w14:textFill>
            <w14:solidFill>
              <w14:schemeClr w14:val="tx1"/>
            </w14:solidFill>
          </w14:textFill>
        </w:rPr>
        <w:t>温州市鹿城区南汇街道勤民路鹿城壹号18幢803室</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乐采云平台</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www.lecaiyun.com</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olor w:val="000000" w:themeColor="text1"/>
          <w:sz w:val="22"/>
          <w:szCs w:val="22"/>
          <w:highlight w:val="none"/>
          <w:u w:val="none"/>
          <w14:textFill>
            <w14:solidFill>
              <w14:schemeClr w14:val="tx1"/>
            </w14:solidFill>
          </w14:textFill>
        </w:rPr>
        <w:t> </w:t>
      </w:r>
    </w:p>
    <w:p w14:paraId="4525956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开标时间：</w:t>
      </w:r>
      <w:r>
        <w:rPr>
          <w:rFonts w:hint="eastAsia" w:cs="宋体"/>
          <w:color w:val="000000" w:themeColor="text1"/>
          <w:sz w:val="22"/>
          <w:highlight w:val="none"/>
          <w:lang w:val="en-US" w:eastAsia="zh-CN"/>
          <w14:textFill>
            <w14:solidFill>
              <w14:schemeClr w14:val="tx1"/>
            </w14:solidFill>
          </w14:textFill>
        </w:rPr>
        <w:t>2025年7月11日</w:t>
      </w:r>
      <w:r>
        <w:rPr>
          <w:rFonts w:hint="eastAsia"/>
          <w:color w:val="000000" w:themeColor="text1"/>
          <w:sz w:val="22"/>
          <w:szCs w:val="22"/>
          <w:highlight w:val="none"/>
          <w:u w:val="none"/>
          <w:lang w:val="en-US" w:eastAsia="zh-CN"/>
          <w14:textFill>
            <w14:solidFill>
              <w14:schemeClr w14:val="tx1"/>
            </w14:solidFill>
          </w14:textFill>
        </w:rPr>
        <w:t>09</w:t>
      </w:r>
      <w:r>
        <w:rPr>
          <w:rFonts w:hint="eastAsia" w:ascii="宋体" w:hAnsi="宋体" w:cs="宋体"/>
          <w:color w:val="000000" w:themeColor="text1"/>
          <w:sz w:val="22"/>
          <w:highlight w:val="none"/>
          <w:lang w:val="en-US" w:eastAsia="zh-CN"/>
          <w14:textFill>
            <w14:solidFill>
              <w14:schemeClr w14:val="tx1"/>
            </w14:solidFill>
          </w14:textFill>
        </w:rPr>
        <w:t>点30分</w:t>
      </w:r>
      <w:r>
        <w:rPr>
          <w:rFonts w:hint="eastAsia"/>
          <w:color w:val="000000" w:themeColor="text1"/>
          <w:sz w:val="22"/>
          <w:szCs w:val="22"/>
          <w:highlight w:val="none"/>
          <w:u w:val="none"/>
          <w14:textFill>
            <w14:solidFill>
              <w14:schemeClr w14:val="tx1"/>
            </w14:solidFill>
          </w14:textFill>
        </w:rPr>
        <w:t> </w:t>
      </w:r>
    </w:p>
    <w:p w14:paraId="0A09419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开标地点（网址）：</w:t>
      </w:r>
      <w:r>
        <w:rPr>
          <w:rFonts w:hint="eastAsia"/>
          <w:color w:val="000000" w:themeColor="text1"/>
          <w:sz w:val="22"/>
          <w:szCs w:val="22"/>
          <w:highlight w:val="none"/>
          <w:lang w:eastAsia="zh-CN"/>
          <w14:textFill>
            <w14:solidFill>
              <w14:schemeClr w14:val="tx1"/>
            </w14:solidFill>
          </w14:textFill>
        </w:rPr>
        <w:t>温州市鹿城区南汇街道勤民路鹿城壹号18幢803室</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乐采云平台</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www.lecaiyun.com</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olor w:val="000000" w:themeColor="text1"/>
          <w:sz w:val="22"/>
          <w:szCs w:val="22"/>
          <w:highlight w:val="none"/>
          <w:u w:val="none"/>
          <w14:textFill>
            <w14:solidFill>
              <w14:schemeClr w14:val="tx1"/>
            </w14:solidFill>
          </w14:textFill>
        </w:rPr>
        <w:t>  </w:t>
      </w:r>
    </w:p>
    <w:p w14:paraId="7B18658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五、公告期限</w:t>
      </w:r>
      <w:r>
        <w:rPr>
          <w:rFonts w:hint="eastAsia"/>
          <w:color w:val="000000" w:themeColor="text1"/>
          <w:sz w:val="22"/>
          <w:szCs w:val="22"/>
          <w:highlight w:val="none"/>
          <w:u w:val="none"/>
          <w14:textFill>
            <w14:solidFill>
              <w14:schemeClr w14:val="tx1"/>
            </w14:solidFill>
          </w14:textFill>
        </w:rPr>
        <w:t> </w:t>
      </w:r>
    </w:p>
    <w:p w14:paraId="0D51EFE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自本公告发布之日起5个工作日。</w:t>
      </w:r>
    </w:p>
    <w:p w14:paraId="6EE283E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六、其他补充事宜</w:t>
      </w:r>
    </w:p>
    <w:p w14:paraId="19EBA286">
      <w:pPr>
        <w:pStyle w:val="49"/>
        <w:spacing w:before="0" w:beforeAutospacing="0" w:after="0" w:afterAutospacing="0" w:line="460" w:lineRule="exact"/>
        <w:ind w:firstLine="440" w:firstLineChars="200"/>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4D54D75C">
      <w:pPr>
        <w:pStyle w:val="49"/>
        <w:spacing w:before="0" w:beforeAutospacing="0" w:after="0" w:afterAutospacing="0" w:line="460" w:lineRule="exact"/>
        <w:ind w:firstLine="440" w:firstLineChars="200"/>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2、电子招投标的说明：①电子招投标：本项目以数据电文形式，依托“乐采云平台（www.lecaiyun.com）”进行招投标活动，不接受纸质投标文件；②具体操作流程问题可咨询乐采云人工客服热线（咨询电话：95763）。</w:t>
      </w:r>
    </w:p>
    <w:p w14:paraId="4679BFC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3、招标公告附件的采购文件仅供阅览使用，未按照本公告规定的方式获取采购文件的潜在供应商提起的质疑采购组织机构将不予受理、答复。</w:t>
      </w:r>
      <w:r>
        <w:rPr>
          <w:rFonts w:hint="eastAsia" w:ascii="宋体" w:hAnsi="宋体" w:eastAsia="宋体" w:cs="宋体"/>
          <w:color w:val="000000" w:themeColor="text1"/>
          <w:sz w:val="22"/>
          <w:highlight w:val="none"/>
          <w:lang w:val="en-US" w:eastAsia="zh-CN"/>
          <w14:textFill>
            <w14:solidFill>
              <w14:schemeClr w14:val="tx1"/>
            </w14:solidFill>
          </w14:textFill>
        </w:rPr>
        <w:t xml:space="preserve">  </w:t>
      </w:r>
    </w:p>
    <w:p w14:paraId="3693EBFB">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七、对本次招标提出询问，请按以下方式联系</w:t>
      </w:r>
      <w:r>
        <w:rPr>
          <w:rFonts w:hint="eastAsia" w:ascii="宋体" w:hAnsi="宋体" w:eastAsia="宋体" w:cs="宋体"/>
          <w:color w:val="000000" w:themeColor="text1"/>
          <w:sz w:val="22"/>
          <w:szCs w:val="22"/>
          <w:highlight w:val="none"/>
          <w14:textFill>
            <w14:solidFill>
              <w14:schemeClr w14:val="tx1"/>
            </w14:solidFill>
          </w14:textFill>
        </w:rPr>
        <w:t>　　　　　　　　　　　　</w:t>
      </w:r>
    </w:p>
    <w:p w14:paraId="533782D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1.采购人信息</w:t>
      </w:r>
    </w:p>
    <w:p w14:paraId="5DF4FEC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名  称：</w:t>
      </w:r>
      <w:r>
        <w:rPr>
          <w:rFonts w:hint="eastAsia"/>
          <w:color w:val="000000" w:themeColor="text1"/>
          <w:sz w:val="22"/>
          <w:szCs w:val="22"/>
          <w:highlight w:val="none"/>
          <w:u w:val="none"/>
          <w:lang w:eastAsia="zh-CN"/>
          <w14:textFill>
            <w14:solidFill>
              <w14:schemeClr w14:val="tx1"/>
            </w14:solidFill>
          </w14:textFill>
        </w:rPr>
        <w:t>温州市中心医院</w:t>
      </w:r>
    </w:p>
    <w:p w14:paraId="2A59738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地  址：</w:t>
      </w:r>
      <w:r>
        <w:rPr>
          <w:rFonts w:hint="eastAsia"/>
          <w:color w:val="000000" w:themeColor="text1"/>
          <w:sz w:val="22"/>
          <w:szCs w:val="22"/>
          <w:highlight w:val="none"/>
          <w:u w:val="none"/>
          <w:lang w:val="en-US" w:eastAsia="zh-CN"/>
          <w14:textFill>
            <w14:solidFill>
              <w14:schemeClr w14:val="tx1"/>
            </w14:solidFill>
          </w14:textFill>
        </w:rPr>
        <w:t>温州市鹿城区</w:t>
      </w:r>
      <w:r>
        <w:rPr>
          <w:rFonts w:hint="eastAsia"/>
          <w:color w:val="000000" w:themeColor="text1"/>
          <w:sz w:val="22"/>
          <w:szCs w:val="22"/>
          <w:highlight w:val="none"/>
          <w:u w:val="none"/>
          <w14:textFill>
            <w14:solidFill>
              <w14:schemeClr w14:val="tx1"/>
            </w14:solidFill>
          </w14:textFill>
        </w:rPr>
        <w:t>百里东路252号  　　</w:t>
      </w:r>
    </w:p>
    <w:p w14:paraId="6AF7497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项目联系人（询问）：</w:t>
      </w:r>
      <w:r>
        <w:rPr>
          <w:rFonts w:hint="eastAsia"/>
          <w:color w:val="000000" w:themeColor="text1"/>
          <w:sz w:val="22"/>
          <w:szCs w:val="22"/>
          <w:highlight w:val="none"/>
          <w:u w:val="none"/>
          <w:lang w:val="en-US" w:eastAsia="zh-CN"/>
          <w14:textFill>
            <w14:solidFill>
              <w14:schemeClr w14:val="tx1"/>
            </w14:solidFill>
          </w14:textFill>
        </w:rPr>
        <w:t>陈先生</w:t>
      </w:r>
      <w:r>
        <w:rPr>
          <w:rFonts w:hint="eastAsia"/>
          <w:color w:val="000000" w:themeColor="text1"/>
          <w:sz w:val="22"/>
          <w:szCs w:val="22"/>
          <w:highlight w:val="none"/>
          <w:u w:val="none"/>
          <w14:textFill>
            <w14:solidFill>
              <w14:schemeClr w14:val="tx1"/>
            </w14:solidFill>
          </w14:textFill>
        </w:rPr>
        <w:t> </w:t>
      </w:r>
    </w:p>
    <w:p w14:paraId="3E3F379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项目联系方式（询问）：0577-88070089　　　　　　</w:t>
      </w:r>
    </w:p>
    <w:p w14:paraId="6963478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  2.采购代理机构信息</w:t>
      </w:r>
    </w:p>
    <w:p w14:paraId="7EB5973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名  称：</w:t>
      </w:r>
      <w:r>
        <w:rPr>
          <w:rFonts w:hint="eastAsia"/>
          <w:color w:val="000000" w:themeColor="text1"/>
          <w:sz w:val="22"/>
          <w:szCs w:val="22"/>
          <w:highlight w:val="none"/>
          <w:u w:val="none"/>
          <w:lang w:val="en-US" w:eastAsia="zh-CN"/>
          <w14:textFill>
            <w14:solidFill>
              <w14:schemeClr w14:val="tx1"/>
            </w14:solidFill>
          </w14:textFill>
        </w:rPr>
        <w:t>温州历程招标有限公司</w:t>
      </w:r>
      <w:r>
        <w:rPr>
          <w:rFonts w:hint="eastAsia"/>
          <w:color w:val="000000" w:themeColor="text1"/>
          <w:sz w:val="22"/>
          <w:szCs w:val="22"/>
          <w:highlight w:val="none"/>
          <w:u w:val="none"/>
          <w14:textFill>
            <w14:solidFill>
              <w14:schemeClr w14:val="tx1"/>
            </w14:solidFill>
          </w14:textFill>
        </w:rPr>
        <w:t> </w:t>
      </w:r>
    </w:p>
    <w:p w14:paraId="4C3900B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地  址：</w:t>
      </w:r>
      <w:r>
        <w:rPr>
          <w:rFonts w:hint="eastAsia"/>
          <w:color w:val="000000" w:themeColor="text1"/>
          <w:sz w:val="22"/>
          <w:szCs w:val="22"/>
          <w:highlight w:val="none"/>
          <w:lang w:eastAsia="zh-CN"/>
          <w14:textFill>
            <w14:solidFill>
              <w14:schemeClr w14:val="tx1"/>
            </w14:solidFill>
          </w14:textFill>
        </w:rPr>
        <w:t>温州市鹿城区南汇街道勤民路鹿城壹号18幢803室</w:t>
      </w:r>
    </w:p>
    <w:p w14:paraId="2389E8A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 xml:space="preserve">传  真：0577-89887255   </w:t>
      </w:r>
    </w:p>
    <w:p w14:paraId="7F120DE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项目联系人（询问）：温碧霞</w:t>
      </w:r>
      <w:r>
        <w:rPr>
          <w:rFonts w:hint="eastAsia"/>
          <w:color w:val="000000" w:themeColor="text1"/>
          <w:sz w:val="22"/>
          <w:szCs w:val="22"/>
          <w:highlight w:val="none"/>
          <w:u w:val="none"/>
          <w:lang w:eastAsia="zh-CN"/>
          <w14:textFill>
            <w14:solidFill>
              <w14:schemeClr w14:val="tx1"/>
            </w14:solidFill>
          </w14:textFill>
        </w:rPr>
        <w:t>、</w:t>
      </w:r>
      <w:r>
        <w:rPr>
          <w:rFonts w:hint="eastAsia"/>
          <w:color w:val="000000" w:themeColor="text1"/>
          <w:sz w:val="22"/>
          <w:szCs w:val="22"/>
          <w:highlight w:val="none"/>
          <w:u w:val="none"/>
          <w:lang w:val="en-US" w:eastAsia="zh-CN"/>
          <w14:textFill>
            <w14:solidFill>
              <w14:schemeClr w14:val="tx1"/>
            </w14:solidFill>
          </w14:textFill>
        </w:rPr>
        <w:t>郑永强</w:t>
      </w:r>
      <w:r>
        <w:rPr>
          <w:rFonts w:hint="eastAsia"/>
          <w:color w:val="000000" w:themeColor="text1"/>
          <w:sz w:val="22"/>
          <w:szCs w:val="22"/>
          <w:highlight w:val="none"/>
          <w:u w:val="none"/>
          <w14:textFill>
            <w14:solidFill>
              <w14:schemeClr w14:val="tx1"/>
            </w14:solidFill>
          </w14:textFill>
        </w:rPr>
        <w:t> </w:t>
      </w:r>
    </w:p>
    <w:p w14:paraId="0DC489D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项目联系方式（询问）：0577-89887322、13757727199</w:t>
      </w:r>
    </w:p>
    <w:p w14:paraId="4D8883F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质疑联系人：</w:t>
      </w:r>
      <w:r>
        <w:rPr>
          <w:rFonts w:hint="eastAsia"/>
          <w:color w:val="000000" w:themeColor="text1"/>
          <w:sz w:val="22"/>
          <w:szCs w:val="22"/>
          <w:highlight w:val="none"/>
          <w:u w:val="none"/>
          <w:lang w:val="en-US" w:eastAsia="zh-CN"/>
          <w14:textFill>
            <w14:solidFill>
              <w14:schemeClr w14:val="tx1"/>
            </w14:solidFill>
          </w14:textFill>
        </w:rPr>
        <w:t>肖忠文</w:t>
      </w:r>
    </w:p>
    <w:p w14:paraId="2890E22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质疑联系方式：13757727199 </w:t>
      </w:r>
    </w:p>
    <w:p w14:paraId="5C661A0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3.同级采购监督管理部门</w:t>
      </w:r>
    </w:p>
    <w:p w14:paraId="3B58CB38">
      <w:pPr>
        <w:pStyle w:val="49"/>
        <w:shd w:val="clear"/>
        <w:spacing w:before="0" w:beforeAutospacing="0" w:after="0" w:afterAutospacing="0" w:line="460" w:lineRule="exact"/>
        <w:ind w:firstLine="440" w:firstLineChars="200"/>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名   称：温州市中心医院</w:t>
      </w:r>
      <w:r>
        <w:rPr>
          <w:rFonts w:hint="eastAsia"/>
          <w:color w:val="000000" w:themeColor="text1"/>
          <w:sz w:val="22"/>
          <w:szCs w:val="22"/>
          <w:highlight w:val="none"/>
          <w:lang w:val="en-US" w:eastAsia="zh-CN"/>
          <w14:textFill>
            <w14:solidFill>
              <w14:schemeClr w14:val="tx1"/>
            </w14:solidFill>
          </w14:textFill>
        </w:rPr>
        <w:t>纪检</w:t>
      </w:r>
      <w:r>
        <w:rPr>
          <w:rFonts w:hint="eastAsia"/>
          <w:color w:val="000000" w:themeColor="text1"/>
          <w:sz w:val="22"/>
          <w:szCs w:val="22"/>
          <w:highlight w:val="none"/>
          <w14:textFill>
            <w14:solidFill>
              <w14:schemeClr w14:val="tx1"/>
            </w14:solidFill>
          </w14:textFill>
        </w:rPr>
        <w:t>监察室</w:t>
      </w:r>
    </w:p>
    <w:p w14:paraId="1DDB2A6D">
      <w:pPr>
        <w:shd w:val="clear"/>
        <w:spacing w:line="420" w:lineRule="exact"/>
        <w:ind w:firstLine="440" w:firstLineChars="200"/>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监督投诉电话：</w:t>
      </w:r>
      <w:r>
        <w:rPr>
          <w:rFonts w:hint="eastAsia" w:ascii="宋体" w:hAnsi="宋体" w:eastAsia="宋体" w:cs="宋体"/>
          <w:color w:val="000000" w:themeColor="text1"/>
          <w:sz w:val="22"/>
          <w:szCs w:val="22"/>
          <w:highlight w:val="none"/>
          <w:u w:val="none"/>
          <w14:textFill>
            <w14:solidFill>
              <w14:schemeClr w14:val="tx1"/>
            </w14:solidFill>
          </w14:textFill>
        </w:rPr>
        <w:t>0577-88070209</w:t>
      </w:r>
      <w:bookmarkStart w:id="2" w:name="_Toc5772"/>
      <w:bookmarkStart w:id="3" w:name="_Toc10401"/>
    </w:p>
    <w:p w14:paraId="79900D5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FB64B71">
      <w:pPr>
        <w:pStyle w:val="4"/>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第一部分    投标人须知</w:t>
      </w:r>
      <w:bookmarkEnd w:id="2"/>
      <w:bookmarkEnd w:id="3"/>
    </w:p>
    <w:p w14:paraId="45F5477E">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000000" w:themeColor="text1"/>
          <w:sz w:val="24"/>
          <w:highlight w:val="none"/>
          <w14:textFill>
            <w14:solidFill>
              <w14:schemeClr w14:val="tx1"/>
            </w14:solidFill>
          </w14:textFill>
        </w:rPr>
      </w:pPr>
      <w:bookmarkStart w:id="4" w:name="_Toc354996695"/>
      <w:bookmarkStart w:id="5" w:name="_Toc1839"/>
      <w:bookmarkStart w:id="6" w:name="_Toc33194387"/>
      <w:bookmarkStart w:id="7" w:name="_Toc233618971"/>
      <w:bookmarkStart w:id="8" w:name="_Toc6224"/>
      <w:r>
        <w:rPr>
          <w:rFonts w:hint="eastAsia" w:ascii="宋体" w:hAnsi="宋体" w:eastAsia="宋体" w:cs="宋体"/>
          <w:b/>
          <w:bCs/>
          <w:color w:val="000000" w:themeColor="text1"/>
          <w:sz w:val="24"/>
          <w:highlight w:val="none"/>
          <w14:textFill>
            <w14:solidFill>
              <w14:schemeClr w14:val="tx1"/>
            </w14:solidFill>
          </w14:textFill>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4C797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3E571D62">
            <w:pPr>
              <w:snapToGrid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3DE6F3A1">
            <w:pPr>
              <w:snapToGrid w:val="0"/>
              <w:spacing w:line="46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内容规定</w:t>
            </w:r>
          </w:p>
        </w:tc>
      </w:tr>
      <w:tr w14:paraId="02F7E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F257E07">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p>
        </w:tc>
        <w:tc>
          <w:tcPr>
            <w:tcW w:w="9590" w:type="dxa"/>
            <w:tcBorders>
              <w:top w:val="single" w:color="000000" w:sz="2" w:space="0"/>
              <w:left w:val="single" w:color="000000" w:sz="2" w:space="0"/>
              <w:bottom w:val="single" w:color="000000" w:sz="2" w:space="0"/>
              <w:right w:val="single" w:color="000000" w:sz="8" w:space="0"/>
            </w:tcBorders>
          </w:tcPr>
          <w:p w14:paraId="79D8B652">
            <w:pPr>
              <w:tabs>
                <w:tab w:val="left" w:pos="3780"/>
              </w:tabs>
              <w:snapToGrid w:val="0"/>
              <w:spacing w:line="46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一、项目名称</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食堂配送（鲜猪肉类）</w:t>
            </w:r>
          </w:p>
          <w:p w14:paraId="66C8DCEE">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bookmarkStart w:id="9" w:name="_Hlt75139851"/>
            <w:bookmarkEnd w:id="9"/>
            <w:r>
              <w:rPr>
                <w:rFonts w:hint="eastAsia" w:ascii="宋体" w:hAnsi="宋体" w:eastAsia="宋体" w:cs="宋体"/>
                <w:b/>
                <w:bCs/>
                <w:color w:val="000000" w:themeColor="text1"/>
                <w:sz w:val="22"/>
                <w:szCs w:val="22"/>
                <w:highlight w:val="none"/>
                <w14:textFill>
                  <w14:solidFill>
                    <w14:schemeClr w14:val="tx1"/>
                  </w14:solidFill>
                </w14:textFill>
              </w:rPr>
              <w:t>二、采购内容：</w:t>
            </w:r>
          </w:p>
          <w:tbl>
            <w:tblPr>
              <w:tblStyle w:val="52"/>
              <w:tblW w:w="9120" w:type="dxa"/>
              <w:tblInd w:w="88" w:type="dxa"/>
              <w:tblLayout w:type="fixed"/>
              <w:tblCellMar>
                <w:top w:w="0" w:type="dxa"/>
                <w:left w:w="108" w:type="dxa"/>
                <w:bottom w:w="0" w:type="dxa"/>
                <w:right w:w="108" w:type="dxa"/>
              </w:tblCellMar>
            </w:tblPr>
            <w:tblGrid>
              <w:gridCol w:w="795"/>
              <w:gridCol w:w="3450"/>
              <w:gridCol w:w="930"/>
              <w:gridCol w:w="990"/>
              <w:gridCol w:w="2955"/>
            </w:tblGrid>
            <w:tr w14:paraId="2DC18111">
              <w:tblPrEx>
                <w:tblCellMar>
                  <w:top w:w="0" w:type="dxa"/>
                  <w:left w:w="108" w:type="dxa"/>
                  <w:bottom w:w="0" w:type="dxa"/>
                  <w:right w:w="108" w:type="dxa"/>
                </w:tblCellMar>
              </w:tblPrEx>
              <w:trPr>
                <w:trHeight w:val="447"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14C4F74A">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标项</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4C541E4D">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项目名称</w:t>
                  </w:r>
                </w:p>
              </w:tc>
              <w:tc>
                <w:tcPr>
                  <w:tcW w:w="930" w:type="dxa"/>
                  <w:tcBorders>
                    <w:top w:val="single" w:color="auto" w:sz="4" w:space="0"/>
                    <w:left w:val="nil"/>
                    <w:bottom w:val="single" w:color="auto" w:sz="4" w:space="0"/>
                    <w:right w:val="single" w:color="auto" w:sz="4" w:space="0"/>
                  </w:tcBorders>
                  <w:noWrap w:val="0"/>
                  <w:vAlign w:val="center"/>
                </w:tcPr>
                <w:p w14:paraId="3C09E079">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数量</w:t>
                  </w:r>
                </w:p>
              </w:tc>
              <w:tc>
                <w:tcPr>
                  <w:tcW w:w="990" w:type="dxa"/>
                  <w:tcBorders>
                    <w:top w:val="single" w:color="auto" w:sz="4" w:space="0"/>
                    <w:left w:val="nil"/>
                    <w:bottom w:val="single" w:color="auto" w:sz="4" w:space="0"/>
                    <w:right w:val="single" w:color="auto" w:sz="4" w:space="0"/>
                  </w:tcBorders>
                  <w:noWrap w:val="0"/>
                  <w:vAlign w:val="center"/>
                </w:tcPr>
                <w:p w14:paraId="743FAA91">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单位</w:t>
                  </w:r>
                </w:p>
              </w:tc>
              <w:tc>
                <w:tcPr>
                  <w:tcW w:w="2955" w:type="dxa"/>
                  <w:tcBorders>
                    <w:top w:val="single" w:color="auto" w:sz="4" w:space="0"/>
                    <w:left w:val="nil"/>
                    <w:bottom w:val="single" w:color="auto" w:sz="4" w:space="0"/>
                    <w:right w:val="single" w:color="auto" w:sz="4" w:space="0"/>
                  </w:tcBorders>
                  <w:noWrap w:val="0"/>
                  <w:vAlign w:val="center"/>
                </w:tcPr>
                <w:p w14:paraId="1E0F6487">
                  <w:pPr>
                    <w:tabs>
                      <w:tab w:val="left" w:pos="360"/>
                    </w:tabs>
                    <w:spacing w:line="440" w:lineRule="exact"/>
                    <w:jc w:val="center"/>
                    <w:rPr>
                      <w:rFonts w:hint="eastAsia" w:ascii="新宋体" w:hAnsi="新宋体" w:eastAsia="宋体" w:cs="新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w:t>
                  </w:r>
                  <w:r>
                    <w:rPr>
                      <w:rFonts w:hint="eastAsia" w:ascii="宋体" w:hAnsi="宋体" w:eastAsia="宋体" w:cs="宋体"/>
                      <w:color w:val="000000" w:themeColor="text1"/>
                      <w:sz w:val="22"/>
                      <w:highlight w:val="none"/>
                      <w:lang w:val="en-US" w:eastAsia="zh-CN"/>
                      <w14:textFill>
                        <w14:solidFill>
                          <w14:schemeClr w14:val="tx1"/>
                        </w14:solidFill>
                      </w14:textFill>
                    </w:rPr>
                    <w:t>内容</w:t>
                  </w:r>
                </w:p>
              </w:tc>
            </w:tr>
            <w:tr w14:paraId="49895270">
              <w:tblPrEx>
                <w:tblCellMar>
                  <w:top w:w="0" w:type="dxa"/>
                  <w:left w:w="108" w:type="dxa"/>
                  <w:bottom w:w="0" w:type="dxa"/>
                  <w:right w:w="108" w:type="dxa"/>
                </w:tblCellMar>
              </w:tblPrEx>
              <w:trPr>
                <w:trHeight w:val="779"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438AF13B">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F93C727">
                  <w:pPr>
                    <w:tabs>
                      <w:tab w:val="left" w:pos="360"/>
                    </w:tabs>
                    <w:spacing w:line="440" w:lineRule="exact"/>
                    <w:jc w:val="center"/>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highlight w:val="none"/>
                      <w:lang w:eastAsia="zh-CN"/>
                      <w14:textFill>
                        <w14:solidFill>
                          <w14:schemeClr w14:val="tx1"/>
                        </w14:solidFill>
                      </w14:textFill>
                    </w:rPr>
                    <w:t>食堂配送（鲜猪肉类）</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A7123AE">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29FFECA">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年</w:t>
                  </w:r>
                </w:p>
              </w:tc>
              <w:tc>
                <w:tcPr>
                  <w:tcW w:w="2955" w:type="dxa"/>
                  <w:tcBorders>
                    <w:top w:val="single" w:color="auto" w:sz="4" w:space="0"/>
                    <w:left w:val="single" w:color="auto" w:sz="4" w:space="0"/>
                    <w:bottom w:val="single" w:color="auto" w:sz="4" w:space="0"/>
                    <w:right w:val="single" w:color="auto" w:sz="4" w:space="0"/>
                  </w:tcBorders>
                  <w:noWrap w:val="0"/>
                  <w:vAlign w:val="center"/>
                </w:tcPr>
                <w:p w14:paraId="1ECBE710">
                  <w:pPr>
                    <w:tabs>
                      <w:tab w:val="left" w:pos="360"/>
                    </w:tabs>
                    <w:spacing w:line="440" w:lineRule="exact"/>
                    <w:jc w:val="center"/>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详见第</w:t>
                  </w:r>
                  <w:r>
                    <w:rPr>
                      <w:rFonts w:hint="eastAsia" w:ascii="新宋体" w:hAnsi="新宋体" w:eastAsia="新宋体" w:cs="新宋体"/>
                      <w:color w:val="000000" w:themeColor="text1"/>
                      <w:sz w:val="22"/>
                      <w:highlight w:val="none"/>
                      <w:lang w:val="en-US" w:eastAsia="zh-CN"/>
                      <w14:textFill>
                        <w14:solidFill>
                          <w14:schemeClr w14:val="tx1"/>
                        </w14:solidFill>
                      </w14:textFill>
                    </w:rPr>
                    <w:t>四</w:t>
                  </w:r>
                  <w:r>
                    <w:rPr>
                      <w:rFonts w:hint="eastAsia" w:ascii="新宋体" w:hAnsi="新宋体" w:eastAsia="新宋体" w:cs="新宋体"/>
                      <w:color w:val="000000" w:themeColor="text1"/>
                      <w:sz w:val="22"/>
                      <w:highlight w:val="none"/>
                      <w14:textFill>
                        <w14:solidFill>
                          <w14:schemeClr w14:val="tx1"/>
                        </w14:solidFill>
                      </w14:textFill>
                    </w:rPr>
                    <w:t>部分 项目技术规范和服务要求</w:t>
                  </w:r>
                </w:p>
              </w:tc>
            </w:tr>
          </w:tbl>
          <w:p w14:paraId="1B840C32">
            <w:pPr>
              <w:tabs>
                <w:tab w:val="left" w:pos="360"/>
              </w:tabs>
              <w:spacing w:line="460" w:lineRule="exact"/>
              <w:rPr>
                <w:rFonts w:hint="eastAsia" w:ascii="宋体" w:hAnsi="宋体" w:eastAsia="宋体" w:cs="宋体"/>
                <w:color w:val="000000" w:themeColor="text1"/>
                <w:highlight w:val="none"/>
                <w14:textFill>
                  <w14:solidFill>
                    <w14:schemeClr w14:val="tx1"/>
                  </w14:solidFill>
                </w14:textFill>
              </w:rPr>
            </w:pPr>
          </w:p>
        </w:tc>
      </w:tr>
      <w:tr w14:paraId="6A41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77F5BD9">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2AB559D7">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zh-CN"/>
                <w14:textFill>
                  <w14:solidFill>
                    <w14:schemeClr w14:val="tx1"/>
                  </w14:solidFill>
                </w14:textFill>
              </w:rPr>
              <w:t>投标</w:t>
            </w:r>
            <w:r>
              <w:rPr>
                <w:rFonts w:hint="eastAsia" w:ascii="宋体" w:hAnsi="宋体" w:eastAsia="宋体" w:cs="宋体"/>
                <w:b/>
                <w:bCs/>
                <w:color w:val="000000" w:themeColor="text1"/>
                <w:sz w:val="22"/>
                <w:szCs w:val="22"/>
                <w:highlight w:val="none"/>
                <w14:textFill>
                  <w14:solidFill>
                    <w14:schemeClr w14:val="tx1"/>
                  </w14:solidFill>
                </w14:textFill>
              </w:rPr>
              <w:t>有效期：</w:t>
            </w:r>
            <w:r>
              <w:rPr>
                <w:rFonts w:hint="eastAsia" w:ascii="宋体" w:hAnsi="宋体" w:eastAsia="宋体" w:cs="宋体"/>
                <w:color w:val="000000" w:themeColor="text1"/>
                <w:sz w:val="22"/>
                <w:szCs w:val="22"/>
                <w:highlight w:val="none"/>
                <w14:textFill>
                  <w14:solidFill>
                    <w14:schemeClr w14:val="tx1"/>
                  </w14:solidFill>
                </w14:textFill>
              </w:rPr>
              <w:t>自投标截止日起120天。</w:t>
            </w:r>
          </w:p>
        </w:tc>
      </w:tr>
      <w:tr w14:paraId="11540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C9E4369">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12CE93FC">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投标保证金数额：</w:t>
            </w:r>
            <w:r>
              <w:rPr>
                <w:rFonts w:hint="eastAsia" w:ascii="宋体" w:hAnsi="宋体" w:eastAsia="宋体" w:cs="宋体"/>
                <w:b w:val="0"/>
                <w:bCs w:val="0"/>
                <w:color w:val="000000" w:themeColor="text1"/>
                <w:sz w:val="22"/>
                <w:szCs w:val="22"/>
                <w:highlight w:val="none"/>
                <w14:textFill>
                  <w14:solidFill>
                    <w14:schemeClr w14:val="tx1"/>
                  </w14:solidFill>
                </w14:textFill>
              </w:rPr>
              <w:t>无</w:t>
            </w:r>
            <w:r>
              <w:rPr>
                <w:rFonts w:hint="eastAsia" w:ascii="宋体" w:hAnsi="宋体" w:eastAsia="宋体" w:cs="宋体"/>
                <w:color w:val="000000" w:themeColor="text1"/>
                <w:sz w:val="22"/>
                <w:szCs w:val="22"/>
                <w:highlight w:val="none"/>
                <w14:textFill>
                  <w14:solidFill>
                    <w14:schemeClr w14:val="tx1"/>
                  </w14:solidFill>
                </w14:textFill>
              </w:rPr>
              <w:t>。</w:t>
            </w:r>
          </w:p>
        </w:tc>
      </w:tr>
      <w:tr w14:paraId="55E1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D859188">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58C12A61">
            <w:pPr>
              <w:keepNext w:val="0"/>
              <w:keepLines w:val="0"/>
              <w:pageBreakBefore w:val="0"/>
              <w:kinsoku/>
              <w:wordWrap/>
              <w:overflowPunct/>
              <w:topLinePunct w:val="0"/>
              <w:bidi w:val="0"/>
              <w:spacing w:line="360" w:lineRule="auto"/>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pPr>
            <w:r>
              <w:rPr>
                <w:rFonts w:hint="eastAsia"/>
                <w:b/>
                <w:bCs/>
                <w:color w:val="000000" w:themeColor="text1"/>
                <w:sz w:val="22"/>
                <w:szCs w:val="28"/>
                <w:highlight w:val="none"/>
                <w14:textFill>
                  <w14:solidFill>
                    <w14:schemeClr w14:val="tx1"/>
                  </w14:solidFill>
                </w14:textFill>
              </w:rPr>
              <w:t>招标服务费：</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各入围供应商的代理费为人民币壹万伍仟元整（¥：15000.00元）,由各入围供应商在领取入围通知书时支付。</w:t>
            </w:r>
          </w:p>
          <w:p w14:paraId="5BAC872F">
            <w:pPr>
              <w:spacing w:line="460" w:lineRule="exac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户 名：温州历程招标有限公司乐清分公司</w:t>
            </w:r>
          </w:p>
          <w:p w14:paraId="1470349B">
            <w:pPr>
              <w:spacing w:line="460" w:lineRule="exac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账 号：33050162870400000619</w:t>
            </w:r>
          </w:p>
          <w:p w14:paraId="45DD8B22">
            <w:pPr>
              <w:spacing w:line="460" w:lineRule="exac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开户银行：中国建设银行股份有限公司温州新城支行</w:t>
            </w:r>
          </w:p>
          <w:p w14:paraId="4C1E396E">
            <w:pPr>
              <w:spacing w:line="360" w:lineRule="auto"/>
              <w:ind w:firstLine="44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行号：105333000038</w:t>
            </w:r>
          </w:p>
        </w:tc>
      </w:tr>
      <w:tr w14:paraId="7AF77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521B877">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33DC8F99">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投标文件的组成：</w:t>
            </w:r>
            <w:r>
              <w:rPr>
                <w:rFonts w:hint="eastAsia" w:ascii="宋体" w:hAnsi="宋体" w:eastAsia="宋体" w:cs="宋体"/>
                <w:color w:val="000000" w:themeColor="text1"/>
                <w:sz w:val="22"/>
                <w:szCs w:val="22"/>
                <w:highlight w:val="none"/>
                <w14:textFill>
                  <w14:solidFill>
                    <w14:schemeClr w14:val="tx1"/>
                  </w14:solidFill>
                </w14:textFill>
              </w:rPr>
              <w:t>完整的《投标文件》由“资格文件”、“报价文件”和“商务技术文件”三个部分组成。</w:t>
            </w:r>
          </w:p>
        </w:tc>
      </w:tr>
      <w:tr w14:paraId="0B45C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BA99E4C">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1C937EC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投标文件的编制：</w:t>
            </w:r>
            <w:r>
              <w:rPr>
                <w:rFonts w:hint="eastAsia" w:ascii="宋体" w:hAnsi="宋体" w:eastAsia="宋体" w:cs="宋体"/>
                <w:color w:val="000000" w:themeColor="text1"/>
                <w:sz w:val="22"/>
                <w:szCs w:val="22"/>
                <w:highlight w:val="none"/>
                <w14:textFill>
                  <w14:solidFill>
                    <w14:schemeClr w14:val="tx1"/>
                  </w14:solidFill>
                </w14:textFill>
              </w:rPr>
              <w:t>供应商应先安装“</w:t>
            </w:r>
            <w:r>
              <w:rPr>
                <w:rFonts w:hint="eastAsia" w:ascii="宋体" w:hAnsi="宋体" w:cs="宋体"/>
                <w:color w:val="000000" w:themeColor="text1"/>
                <w:sz w:val="22"/>
                <w:szCs w:val="22"/>
                <w:highlight w:val="none"/>
                <w:lang w:eastAsia="zh-CN"/>
                <w14:textFill>
                  <w14:solidFill>
                    <w14:schemeClr w14:val="tx1"/>
                  </w14:solidFill>
                </w14:textFill>
              </w:rPr>
              <w:t>乐采云电子交易客户端</w:t>
            </w:r>
            <w:r>
              <w:rPr>
                <w:rFonts w:hint="eastAsia" w:ascii="宋体" w:hAnsi="宋体" w:eastAsia="宋体" w:cs="宋体"/>
                <w:color w:val="000000" w:themeColor="text1"/>
                <w:sz w:val="22"/>
                <w:szCs w:val="22"/>
                <w:highlight w:val="none"/>
                <w14:textFill>
                  <w14:solidFill>
                    <w14:schemeClr w14:val="tx1"/>
                  </w14:solidFill>
                </w14:textFill>
              </w:rPr>
              <w:t>”，并按照本招标文件和“</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”的要求，通过“</w:t>
            </w:r>
            <w:r>
              <w:rPr>
                <w:rFonts w:hint="eastAsia" w:ascii="宋体" w:hAnsi="宋体" w:cs="宋体"/>
                <w:color w:val="000000" w:themeColor="text1"/>
                <w:sz w:val="22"/>
                <w:szCs w:val="22"/>
                <w:highlight w:val="none"/>
                <w:lang w:eastAsia="zh-CN"/>
                <w14:textFill>
                  <w14:solidFill>
                    <w14:schemeClr w14:val="tx1"/>
                  </w14:solidFill>
                </w14:textFill>
              </w:rPr>
              <w:t>乐采云电子交易客户端</w:t>
            </w:r>
            <w:r>
              <w:rPr>
                <w:rFonts w:hint="eastAsia" w:ascii="宋体" w:hAnsi="宋体" w:eastAsia="宋体" w:cs="宋体"/>
                <w:color w:val="000000" w:themeColor="text1"/>
                <w:sz w:val="22"/>
                <w:szCs w:val="22"/>
                <w:highlight w:val="none"/>
                <w14:textFill>
                  <w14:solidFill>
                    <w14:schemeClr w14:val="tx1"/>
                  </w14:solidFill>
                </w14:textFill>
              </w:rPr>
              <w:t>”编制并加密投标文件。</w:t>
            </w:r>
          </w:p>
        </w:tc>
      </w:tr>
      <w:tr w14:paraId="31B2C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19A8288">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27A1B6E7">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投标文件的签章：</w:t>
            </w:r>
            <w:r>
              <w:rPr>
                <w:rFonts w:hint="eastAsia" w:ascii="宋体" w:hAnsi="宋体" w:eastAsia="宋体" w:cs="宋体"/>
                <w:color w:val="000000" w:themeColor="text1"/>
                <w:sz w:val="22"/>
                <w:szCs w:val="22"/>
                <w:highlight w:val="none"/>
                <w14:textFill>
                  <w14:solidFill>
                    <w14:schemeClr w14:val="tx1"/>
                  </w14:solidFill>
                </w14:textFill>
              </w:rPr>
              <w:t>电子签章。</w:t>
            </w:r>
          </w:p>
        </w:tc>
      </w:tr>
      <w:tr w14:paraId="6D2B8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B061D31">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22024FA6">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投标文件的形式：</w:t>
            </w:r>
            <w:r>
              <w:rPr>
                <w:rFonts w:hint="eastAsia" w:ascii="宋体" w:hAnsi="宋体" w:eastAsia="宋体" w:cs="宋体"/>
                <w:color w:val="000000" w:themeColor="text1"/>
                <w:sz w:val="22"/>
                <w:szCs w:val="22"/>
                <w:highlight w:val="none"/>
                <w14:textFill>
                  <w14:solidFill>
                    <w14:schemeClr w14:val="tx1"/>
                  </w14:solidFill>
                </w14:textFill>
              </w:rPr>
              <w:t>☑电子投标文件（包括“电子加密投标文件”和“备份投标文件”，在投标文件编制完成后同时生成）；</w:t>
            </w:r>
          </w:p>
          <w:p w14:paraId="54860CD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（1）“电子加密投标文件”是指通过“</w:t>
            </w:r>
            <w:r>
              <w:rPr>
                <w:rFonts w:hint="eastAsia" w:ascii="宋体" w:hAnsi="宋体" w:cs="宋体"/>
                <w:color w:val="000000" w:themeColor="text1"/>
                <w:sz w:val="22"/>
                <w:szCs w:val="22"/>
                <w:highlight w:val="none"/>
                <w:lang w:eastAsia="zh-CN"/>
                <w14:textFill>
                  <w14:solidFill>
                    <w14:schemeClr w14:val="tx1"/>
                  </w14:solidFill>
                </w14:textFill>
              </w:rPr>
              <w:t>乐采云电子交易客户端</w:t>
            </w:r>
            <w:r>
              <w:rPr>
                <w:rFonts w:hint="eastAsia" w:ascii="宋体" w:hAnsi="宋体" w:eastAsia="宋体" w:cs="宋体"/>
                <w:color w:val="000000" w:themeColor="text1"/>
                <w:sz w:val="22"/>
                <w:szCs w:val="22"/>
                <w:highlight w:val="none"/>
                <w14:textFill>
                  <w14:solidFill>
                    <w14:schemeClr w14:val="tx1"/>
                  </w14:solidFill>
                </w14:textFill>
              </w:rPr>
              <w:t>”完成投标文件编制后生成并加密的数据电文形式的投标文件。</w:t>
            </w:r>
          </w:p>
          <w:p w14:paraId="205531C1">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tc>
      </w:tr>
      <w:tr w14:paraId="7A7EB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9A1F65F">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13605A25">
            <w:p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投标文件份数：</w:t>
            </w:r>
          </w:p>
          <w:p w14:paraId="2F8D49DF">
            <w:pPr>
              <w:numPr>
                <w:ilvl w:val="0"/>
                <w:numId w:val="1"/>
              </w:num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“电子加密投标文件”：在线上传递交、一份。</w:t>
            </w:r>
          </w:p>
          <w:p w14:paraId="259543BE">
            <w:pPr>
              <w:numPr>
                <w:ilvl w:val="0"/>
                <w:numId w:val="1"/>
              </w:num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“备份投标文件”：密封包装后投标截止时间前递交、一份</w:t>
            </w:r>
          </w:p>
          <w:p w14:paraId="027BCB1A">
            <w:p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（若不提供备份投标文件，开标当天电子加密投标文件解密失败，投标人自行负责。）</w:t>
            </w:r>
          </w:p>
          <w:p w14:paraId="69E6A866">
            <w:pPr>
              <w:tabs>
                <w:tab w:val="left" w:pos="360"/>
              </w:tabs>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可以（邮寄形式，建议顺丰）在投标截止时间前递交，并需采购代理机构确认是否收到，</w:t>
            </w:r>
          </w:p>
          <w:p w14:paraId="73144600">
            <w:pPr>
              <w:spacing w:line="460" w:lineRule="exact"/>
              <w:rPr>
                <w:rFonts w:hint="eastAsia"/>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14:textFill>
                  <w14:solidFill>
                    <w14:schemeClr w14:val="tx1"/>
                  </w14:solidFill>
                </w14:textFill>
              </w:rPr>
              <w:t>邮寄地址：</w:t>
            </w:r>
            <w:r>
              <w:rPr>
                <w:rFonts w:hint="eastAsia"/>
                <w:color w:val="000000" w:themeColor="text1"/>
                <w:sz w:val="22"/>
                <w:szCs w:val="28"/>
                <w:highlight w:val="none"/>
                <w:lang w:eastAsia="zh-CN"/>
                <w14:textFill>
                  <w14:solidFill>
                    <w14:schemeClr w14:val="tx1"/>
                  </w14:solidFill>
                </w14:textFill>
              </w:rPr>
              <w:t>温州市鹿城区南汇街道勤民路鹿城壹号18幢803室</w:t>
            </w:r>
          </w:p>
          <w:p w14:paraId="4B0EDD15">
            <w:pPr>
              <w:spacing w:line="460" w:lineRule="exact"/>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联系人：王子浩    联系电话</w:t>
            </w:r>
            <w:r>
              <w:rPr>
                <w:rFonts w:hint="eastAsia"/>
                <w:b w:val="0"/>
                <w:bCs w:val="0"/>
                <w:color w:val="000000" w:themeColor="text1"/>
                <w:sz w:val="22"/>
                <w:szCs w:val="28"/>
                <w:highlight w:val="none"/>
                <w:lang w:val="en-US" w:eastAsia="zh-CN"/>
                <w14:textFill>
                  <w14:solidFill>
                    <w14:schemeClr w14:val="tx1"/>
                  </w14:solidFill>
                </w14:textFill>
              </w:rPr>
              <w:t>：</w:t>
            </w:r>
            <w:r>
              <w:rPr>
                <w:rFonts w:hint="eastAsia"/>
                <w:color w:val="000000" w:themeColor="text1"/>
                <w:sz w:val="22"/>
                <w:szCs w:val="28"/>
                <w:highlight w:val="none"/>
                <w:lang w:val="en-US" w:eastAsia="zh-CN"/>
                <w14:textFill>
                  <w14:solidFill>
                    <w14:schemeClr w14:val="tx1"/>
                  </w14:solidFill>
                </w14:textFill>
              </w:rPr>
              <w:t>13757727199</w:t>
            </w:r>
          </w:p>
        </w:tc>
      </w:tr>
      <w:tr w14:paraId="2D5E5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EC8B8C1">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4F7C1D42">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投标文件的上传和递交：</w:t>
            </w:r>
          </w:p>
          <w:p w14:paraId="46493609">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（1）“电子加密投标文件”的上传、递交：</w:t>
            </w:r>
          </w:p>
          <w:p w14:paraId="2007EA0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a.投标人应在投标截止时间前将“电子加密投标文件</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”成功上传递交至“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”，否则投标无效。</w:t>
            </w:r>
          </w:p>
          <w:p w14:paraId="5E3A31D3">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b.“电子加密投标文件”成功上传递交后，供应商可自行打印投标文件接收回执。</w:t>
            </w:r>
          </w:p>
          <w:p w14:paraId="45613BB5">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（2）“备份投标文件”的密封包装、递交：</w:t>
            </w:r>
          </w:p>
          <w:p w14:paraId="6271E9DB">
            <w:pPr>
              <w:tabs>
                <w:tab w:val="left" w:pos="360"/>
              </w:tabs>
              <w:spacing w:line="460" w:lineRule="exact"/>
              <w:ind w:firstLine="550" w:firstLineChars="25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a.投标人在“</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”完成“电子加密投标文件”的上传递交后，</w:t>
            </w:r>
            <w:r>
              <w:rPr>
                <w:rFonts w:hint="eastAsia" w:ascii="宋体" w:hAnsi="宋体" w:eastAsia="宋体" w:cs="宋体"/>
                <w:b/>
                <w:bCs/>
                <w:color w:val="000000" w:themeColor="text1"/>
                <w:sz w:val="22"/>
                <w:szCs w:val="22"/>
                <w:highlight w:val="none"/>
                <w14:textFill>
                  <w14:solidFill>
                    <w14:schemeClr w14:val="tx1"/>
                  </w14:solidFill>
                </w14:textFill>
              </w:rPr>
              <w:t>还可以在投标截止时间前递交以介质（U盘）存储的数据电文形式的“备份投标文件”，（可以</w:t>
            </w:r>
            <w:r>
              <w:rPr>
                <w:rFonts w:hint="eastAsia" w:ascii="宋体" w:hAnsi="宋体" w:eastAsia="宋体" w:cs="宋体"/>
                <w:b/>
                <w:color w:val="000000" w:themeColor="text1"/>
                <w:sz w:val="22"/>
                <w:szCs w:val="22"/>
                <w:highlight w:val="none"/>
                <w:u w:val="single"/>
                <w14:textFill>
                  <w14:solidFill>
                    <w14:schemeClr w14:val="tx1"/>
                  </w14:solidFill>
                </w14:textFill>
              </w:rPr>
              <w:t>（邮寄形式，建议顺丰）在投标截止时间前递交，并需采购代理机构确认是否收到</w:t>
            </w:r>
            <w:r>
              <w:rPr>
                <w:rFonts w:hint="eastAsia" w:ascii="宋体" w:hAnsi="宋体" w:eastAsia="宋体" w:cs="宋体"/>
                <w:b/>
                <w:bCs/>
                <w:color w:val="000000" w:themeColor="text1"/>
                <w:sz w:val="22"/>
                <w:szCs w:val="22"/>
                <w:highlight w:val="none"/>
                <w14:textFill>
                  <w14:solidFill>
                    <w14:schemeClr w14:val="tx1"/>
                  </w14:solidFill>
                </w14:textFill>
              </w:rPr>
              <w:t>）</w:t>
            </w:r>
          </w:p>
          <w:p w14:paraId="18DF1F70">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b.“备份投标文件”应当密封包装，并在包装上标注投标项目名称、投标人名称并加盖公章。没有密封包装或者逾期（邮寄）送达至投标地点的“备份投标文件”将不予接收；</w:t>
            </w:r>
          </w:p>
          <w:p w14:paraId="226F28AB">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c.通过“</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”成功上传递交的“电子加密投标文件”已按时解密的，“备份投标文件”自动失效。投标截止时间前，投标人仅递交了“备份投标文件”而未将“电子加密投标文件”成功上传至“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”的，投标无效。</w:t>
            </w:r>
          </w:p>
        </w:tc>
      </w:tr>
      <w:tr w14:paraId="2C5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4045F5B">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336E0F29">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电子加密投标文件的解密和异常情况处理：</w:t>
            </w:r>
          </w:p>
          <w:p w14:paraId="55AE2466">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（1）开标后，采购组织机构将向各投标人发出“电子加密投标文件”的解密通知，各投标人代表应当在接到解密通知后在系统规定的时间自行完成“电子加密投标文件”的在线解密。</w:t>
            </w:r>
          </w:p>
          <w:p w14:paraId="0693AC2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（2）通过“</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”成功上传递交的“电子加密投标文件”无法按时解密，投标人如按规定递交了“备份投标文件”的，以“备份投标文件”为依据（由采购组织机构按“</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”操作规范将“备份投标文件”上传至“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”，上传成功后，“电子加密投标文件”自动失效），否则视为投标文件撤回。</w:t>
            </w:r>
          </w:p>
          <w:p w14:paraId="168DB468">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（3）投标截止时间前，投标人仅递交了“备份投标文件”而未将电子加密投标文件上传至“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”的，投标无效。</w:t>
            </w:r>
          </w:p>
        </w:tc>
      </w:tr>
      <w:tr w14:paraId="4799A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2A85126">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27A51051">
            <w:pPr>
              <w:widowControl/>
              <w:snapToGrid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提交投标文件截止时间：</w:t>
            </w:r>
            <w:r>
              <w:rPr>
                <w:rFonts w:hint="eastAsia" w:ascii="宋体" w:hAnsi="宋体" w:cs="宋体"/>
                <w:color w:val="000000" w:themeColor="text1"/>
                <w:sz w:val="22"/>
                <w:szCs w:val="22"/>
                <w:highlight w:val="none"/>
                <w:lang w:val="en-US" w:eastAsia="zh-CN"/>
                <w14:textFill>
                  <w14:solidFill>
                    <w14:schemeClr w14:val="tx1"/>
                  </w14:solidFill>
                </w14:textFill>
              </w:rPr>
              <w:t>详见招标公告。</w:t>
            </w:r>
            <w:r>
              <w:rPr>
                <w:rFonts w:hint="eastAsia" w:ascii="宋体" w:hAnsi="宋体" w:eastAsia="宋体" w:cs="宋体"/>
                <w:color w:val="000000" w:themeColor="text1"/>
                <w:sz w:val="22"/>
                <w:szCs w:val="22"/>
                <w:highlight w:val="none"/>
                <w14:textFill>
                  <w14:solidFill>
                    <w14:schemeClr w14:val="tx1"/>
                  </w14:solidFill>
                </w14:textFill>
              </w:rPr>
              <w:t>  </w:t>
            </w:r>
          </w:p>
          <w:p w14:paraId="155C6B89">
            <w:pPr>
              <w:widowControl/>
              <w:snapToGrid w:val="0"/>
              <w:spacing w:line="460" w:lineRule="exact"/>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投标地点（网址）：</w:t>
            </w:r>
            <w:r>
              <w:rPr>
                <w:rFonts w:hint="eastAsia" w:ascii="宋体" w:hAnsi="宋体" w:cs="宋体"/>
                <w:color w:val="000000" w:themeColor="text1"/>
                <w:sz w:val="22"/>
                <w:szCs w:val="22"/>
                <w:highlight w:val="none"/>
                <w:lang w:val="en-US" w:eastAsia="zh-CN"/>
                <w14:textFill>
                  <w14:solidFill>
                    <w14:schemeClr w14:val="tx1"/>
                  </w14:solidFill>
                </w14:textFill>
              </w:rPr>
              <w:t>详见招标公告。</w:t>
            </w:r>
            <w:r>
              <w:rPr>
                <w:rFonts w:hint="eastAsia" w:ascii="宋体" w:hAnsi="宋体" w:eastAsia="宋体" w:cs="宋体"/>
                <w:color w:val="000000" w:themeColor="text1"/>
                <w:sz w:val="22"/>
                <w:szCs w:val="22"/>
                <w:highlight w:val="none"/>
                <w14:textFill>
                  <w14:solidFill>
                    <w14:schemeClr w14:val="tx1"/>
                  </w14:solidFill>
                </w14:textFill>
              </w:rPr>
              <w:t> </w:t>
            </w:r>
          </w:p>
        </w:tc>
      </w:tr>
      <w:tr w14:paraId="65664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52ABB0F6">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4D5F8F15">
            <w:pPr>
              <w:widowControl/>
              <w:snapToGrid w:val="0"/>
              <w:spacing w:line="460" w:lineRule="exact"/>
              <w:jc w:val="left"/>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开标时间</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详见招标公告。</w:t>
            </w:r>
          </w:p>
          <w:p w14:paraId="084BCEE3">
            <w:pPr>
              <w:widowControl/>
              <w:snapToGrid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开标地点（网址）：</w:t>
            </w:r>
            <w:r>
              <w:rPr>
                <w:rFonts w:hint="eastAsia" w:ascii="宋体" w:hAnsi="宋体" w:cs="宋体"/>
                <w:color w:val="000000" w:themeColor="text1"/>
                <w:sz w:val="22"/>
                <w:szCs w:val="22"/>
                <w:highlight w:val="none"/>
                <w:lang w:val="en-US" w:eastAsia="zh-CN"/>
                <w14:textFill>
                  <w14:solidFill>
                    <w14:schemeClr w14:val="tx1"/>
                  </w14:solidFill>
                </w14:textFill>
              </w:rPr>
              <w:t>详见招标公告。</w:t>
            </w:r>
          </w:p>
        </w:tc>
      </w:tr>
      <w:tr w14:paraId="62F6D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025EEE69">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w:t>
            </w:r>
          </w:p>
        </w:tc>
        <w:tc>
          <w:tcPr>
            <w:tcW w:w="9590" w:type="dxa"/>
            <w:tcBorders>
              <w:top w:val="single" w:color="auto" w:sz="4" w:space="0"/>
              <w:left w:val="single" w:color="000000" w:sz="2" w:space="0"/>
              <w:bottom w:val="single" w:color="auto" w:sz="4" w:space="0"/>
              <w:right w:val="single" w:color="000000" w:sz="8" w:space="0"/>
            </w:tcBorders>
            <w:vAlign w:val="center"/>
          </w:tcPr>
          <w:p w14:paraId="55BB50C8">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带“▲”条款系指实质性要求条款。“★”是关键技术参数及要求。</w:t>
            </w:r>
          </w:p>
        </w:tc>
      </w:tr>
      <w:tr w14:paraId="5AA7C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0B9E1DC">
            <w:pPr>
              <w:widowControl/>
              <w:snapToGrid w:val="0"/>
              <w:spacing w:line="460" w:lineRule="exact"/>
              <w:jc w:val="center"/>
              <w:textAlignment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1</w:t>
            </w: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080B6D94">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10"/>
                <w:sz w:val="22"/>
                <w:szCs w:val="22"/>
                <w:highlight w:val="none"/>
                <w14:textFill>
                  <w14:solidFill>
                    <w14:schemeClr w14:val="tx1"/>
                  </w14:solidFill>
                </w14:textFill>
              </w:rPr>
              <w:t>潜在供应商需在</w:t>
            </w:r>
            <w:r>
              <w:rPr>
                <w:rFonts w:hint="eastAsia" w:ascii="宋体" w:hAnsi="宋体" w:cs="宋体"/>
                <w:b w:val="0"/>
                <w:bCs/>
                <w:color w:val="000000" w:themeColor="text1"/>
                <w:kern w:val="10"/>
                <w:sz w:val="22"/>
                <w:szCs w:val="22"/>
                <w:highlight w:val="none"/>
                <w:lang w:eastAsia="zh-CN"/>
                <w14:textFill>
                  <w14:solidFill>
                    <w14:schemeClr w14:val="tx1"/>
                  </w14:solidFill>
                </w14:textFill>
              </w:rPr>
              <w:t>乐采云</w:t>
            </w:r>
            <w:r>
              <w:rPr>
                <w:rFonts w:hint="eastAsia" w:ascii="宋体" w:hAnsi="宋体" w:eastAsia="宋体" w:cs="宋体"/>
                <w:b w:val="0"/>
                <w:bCs/>
                <w:color w:val="000000" w:themeColor="text1"/>
                <w:kern w:val="10"/>
                <w:sz w:val="22"/>
                <w:szCs w:val="22"/>
                <w:highlight w:val="none"/>
                <w14:textFill>
                  <w14:solidFill>
                    <w14:schemeClr w14:val="tx1"/>
                  </w14:solidFill>
                </w14:textFill>
              </w:rPr>
              <w:t>http://</w:t>
            </w:r>
            <w:r>
              <w:rPr>
                <w:rFonts w:hint="eastAsia" w:ascii="宋体" w:hAnsi="宋体" w:cs="宋体"/>
                <w:b w:val="0"/>
                <w:bCs/>
                <w:color w:val="000000" w:themeColor="text1"/>
                <w:kern w:val="10"/>
                <w:sz w:val="22"/>
                <w:szCs w:val="22"/>
                <w:highlight w:val="none"/>
                <w:lang w:eastAsia="zh-CN"/>
                <w14:textFill>
                  <w14:solidFill>
                    <w14:schemeClr w14:val="tx1"/>
                  </w14:solidFill>
                </w14:textFill>
              </w:rPr>
              <w:t>www.lecaiyun.com</w:t>
            </w:r>
            <w:r>
              <w:rPr>
                <w:rFonts w:hint="eastAsia" w:ascii="宋体" w:hAnsi="宋体" w:eastAsia="宋体" w:cs="宋体"/>
                <w:b w:val="0"/>
                <w:bCs/>
                <w:color w:val="000000" w:themeColor="text1"/>
                <w:kern w:val="10"/>
                <w:sz w:val="22"/>
                <w:szCs w:val="22"/>
                <w:highlight w:val="none"/>
                <w14:textFill>
                  <w14:solidFill>
                    <w14:schemeClr w14:val="tx1"/>
                  </w14:solidFill>
                </w14:textFill>
              </w:rPr>
              <w:t>/进行免费注册，具体详见</w:t>
            </w:r>
            <w:r>
              <w:rPr>
                <w:rFonts w:hint="eastAsia" w:ascii="宋体" w:hAnsi="宋体" w:cs="宋体"/>
                <w:b w:val="0"/>
                <w:bCs/>
                <w:color w:val="000000" w:themeColor="text1"/>
                <w:kern w:val="10"/>
                <w:sz w:val="22"/>
                <w:szCs w:val="22"/>
                <w:highlight w:val="none"/>
                <w:lang w:eastAsia="zh-CN"/>
                <w14:textFill>
                  <w14:solidFill>
                    <w14:schemeClr w14:val="tx1"/>
                  </w14:solidFill>
                </w14:textFill>
              </w:rPr>
              <w:t>乐采云</w:t>
            </w:r>
            <w:r>
              <w:rPr>
                <w:rFonts w:hint="eastAsia" w:ascii="宋体" w:hAnsi="宋体" w:eastAsia="宋体" w:cs="宋体"/>
                <w:b w:val="0"/>
                <w:bCs/>
                <w:color w:val="000000" w:themeColor="text1"/>
                <w:kern w:val="10"/>
                <w:sz w:val="22"/>
                <w:szCs w:val="22"/>
                <w:highlight w:val="none"/>
                <w14:textFill>
                  <w14:solidFill>
                    <w14:schemeClr w14:val="tx1"/>
                  </w14:solidFill>
                </w14:textFill>
              </w:rPr>
              <w:t>供应商注册要求。</w:t>
            </w:r>
          </w:p>
        </w:tc>
      </w:tr>
      <w:tr w14:paraId="796A0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E934143">
            <w:pPr>
              <w:widowControl/>
              <w:snapToGrid w:val="0"/>
              <w:spacing w:line="460" w:lineRule="exact"/>
              <w:jc w:val="center"/>
              <w:textAlignment w:val="center"/>
              <w:rPr>
                <w:rFonts w:hint="default" w:ascii="宋体" w:hAnsi="宋体" w:eastAsia="宋体" w:cs="宋体"/>
                <w:b w:val="0"/>
                <w:bCs w:val="0"/>
                <w:color w:val="000000" w:themeColor="text1"/>
                <w:kern w:val="0"/>
                <w:sz w:val="22"/>
                <w:szCs w:val="22"/>
                <w:highlight w:val="none"/>
                <w:lang w:val="en-US" w:eastAsia="zh-CN"/>
                <w14:textFill>
                  <w14:solidFill>
                    <w14:schemeClr w14:val="tx1"/>
                  </w14:solidFill>
                </w14:textFill>
              </w:rPr>
            </w:pP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16</w:t>
            </w:r>
          </w:p>
        </w:tc>
        <w:tc>
          <w:tcPr>
            <w:tcW w:w="9590" w:type="dxa"/>
            <w:tcBorders>
              <w:top w:val="single" w:color="000000" w:sz="2" w:space="0"/>
              <w:left w:val="single" w:color="000000" w:sz="2" w:space="0"/>
              <w:bottom w:val="single" w:color="000000" w:sz="2" w:space="0"/>
              <w:right w:val="single" w:color="000000" w:sz="8" w:space="0"/>
            </w:tcBorders>
            <w:vAlign w:val="center"/>
          </w:tcPr>
          <w:p w14:paraId="408E14DD">
            <w:pPr>
              <w:snapToGrid w:val="0"/>
              <w:spacing w:line="460" w:lineRule="exact"/>
              <w:ind w:left="105" w:left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根据《关于在政府采购活动中查询及使用信用记录有关问题的通知》财库[2016]125号的规定：</w:t>
            </w:r>
          </w:p>
          <w:p w14:paraId="00480D31">
            <w:pPr>
              <w:snapToGrid w:val="0"/>
              <w:spacing w:line="460" w:lineRule="exact"/>
              <w:ind w:left="105" w:left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1）采购人或采购代理机构将对本项目供应商的信用记录进行查询。查询渠道为信用中国网站（www.creditchina.gov.cn）、中国政府采购网（www.ccgp.gov.cn）；</w:t>
            </w:r>
          </w:p>
          <w:p w14:paraId="0079FD0B">
            <w:pPr>
              <w:snapToGrid w:val="0"/>
              <w:spacing w:line="460" w:lineRule="exact"/>
              <w:ind w:firstLine="110" w:firstLine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2）截止时点：</w:t>
            </w:r>
            <w:r>
              <w:rPr>
                <w:rFonts w:hint="eastAsia" w:ascii="宋体" w:hAnsi="宋体" w:eastAsia="宋体" w:cs="宋体"/>
                <w:color w:val="000000" w:themeColor="text1"/>
                <w:sz w:val="22"/>
                <w:highlight w:val="none"/>
                <w14:textFill>
                  <w14:solidFill>
                    <w14:schemeClr w14:val="tx1"/>
                  </w14:solidFill>
                </w14:textFill>
              </w:rPr>
              <w:t>招标公告发布之日至投标截止时间前</w:t>
            </w:r>
            <w:r>
              <w:rPr>
                <w:rFonts w:hint="eastAsia" w:ascii="新宋体" w:hAnsi="新宋体" w:eastAsia="新宋体" w:cs="新宋体"/>
                <w:color w:val="000000" w:themeColor="text1"/>
                <w:sz w:val="22"/>
                <w:szCs w:val="22"/>
                <w:highlight w:val="none"/>
                <w14:textFill>
                  <w14:solidFill>
                    <w14:schemeClr w14:val="tx1"/>
                  </w14:solidFill>
                </w14:textFill>
              </w:rPr>
              <w:t>；</w:t>
            </w:r>
          </w:p>
          <w:p w14:paraId="323CE5E5">
            <w:pPr>
              <w:snapToGrid w:val="0"/>
              <w:spacing w:line="460" w:lineRule="exact"/>
              <w:ind w:left="105" w:left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3）查询记录和证据的留存：信用信息查询记录和证据以网页截图等方式留存。</w:t>
            </w:r>
          </w:p>
          <w:p w14:paraId="067E2CA9">
            <w:pPr>
              <w:snapToGrid w:val="0"/>
              <w:spacing w:line="460" w:lineRule="exact"/>
              <w:ind w:left="105" w:leftChars="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p w14:paraId="66BE0F20">
            <w:pPr>
              <w:widowControl/>
              <w:snapToGrid w:val="0"/>
              <w:spacing w:line="460" w:lineRule="exact"/>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5）联合体成员任意一方存在不良信用记录的，视同联合体存在不良信用记录。</w:t>
            </w:r>
          </w:p>
        </w:tc>
      </w:tr>
    </w:tbl>
    <w:p w14:paraId="5CFADF62">
      <w:pP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br w:type="page"/>
      </w:r>
    </w:p>
    <w:p w14:paraId="4FCB0F32">
      <w:pPr>
        <w:spacing w:before="100" w:beforeAutospacing="1" w:after="100" w:afterAutospacing="1" w:line="460" w:lineRule="exact"/>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10" w:name="_Toc20846"/>
      <w:bookmarkStart w:id="11" w:name="_Toc19070"/>
      <w:r>
        <w:rPr>
          <w:rFonts w:hint="eastAsia" w:ascii="宋体" w:hAnsi="宋体" w:eastAsia="宋体" w:cs="宋体"/>
          <w:b/>
          <w:bCs/>
          <w:color w:val="000000" w:themeColor="text1"/>
          <w:sz w:val="26"/>
          <w:szCs w:val="26"/>
          <w:highlight w:val="none"/>
          <w14:textFill>
            <w14:solidFill>
              <w14:schemeClr w14:val="tx1"/>
            </w14:solidFill>
          </w14:textFill>
        </w:rPr>
        <w:t>一、 说   明</w:t>
      </w:r>
      <w:bookmarkEnd w:id="10"/>
      <w:bookmarkEnd w:id="11"/>
    </w:p>
    <w:p w14:paraId="662036BE">
      <w:pPr>
        <w:tabs>
          <w:tab w:val="left" w:pos="360"/>
        </w:tabs>
        <w:spacing w:line="460" w:lineRule="exact"/>
        <w:ind w:firstLine="550" w:firstLineChars="25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olor w:val="000000" w:themeColor="text1"/>
          <w:sz w:val="22"/>
          <w:szCs w:val="22"/>
          <w:highlight w:val="none"/>
          <w14:textFill>
            <w14:solidFill>
              <w14:schemeClr w14:val="tx1"/>
            </w14:solidFill>
          </w14:textFill>
        </w:rPr>
        <w:t>本次</w:t>
      </w:r>
      <w:r>
        <w:rPr>
          <w:rFonts w:hint="eastAsia" w:ascii="宋体" w:hAnsi="宋体" w:eastAsia="宋体"/>
          <w:color w:val="000000" w:themeColor="text1"/>
          <w:sz w:val="22"/>
          <w:szCs w:val="22"/>
          <w:highlight w:val="none"/>
          <w:lang w:val="en-US" w:eastAsia="zh-CN"/>
          <w14:textFill>
            <w14:solidFill>
              <w14:schemeClr w14:val="tx1"/>
            </w14:solidFill>
          </w14:textFill>
        </w:rPr>
        <w:t>招标</w:t>
      </w:r>
      <w:r>
        <w:rPr>
          <w:rFonts w:hint="eastAsia" w:ascii="宋体" w:hAnsi="宋体" w:eastAsia="宋体"/>
          <w:color w:val="000000" w:themeColor="text1"/>
          <w:sz w:val="22"/>
          <w:szCs w:val="22"/>
          <w:highlight w:val="none"/>
          <w14:textFill>
            <w14:solidFill>
              <w14:schemeClr w14:val="tx1"/>
            </w14:solidFill>
          </w14:textFill>
        </w:rPr>
        <w:t>是</w:t>
      </w:r>
      <w:r>
        <w:rPr>
          <w:rFonts w:hint="eastAsia" w:ascii="宋体" w:hAnsi="宋体"/>
          <w:color w:val="000000" w:themeColor="text1"/>
          <w:sz w:val="22"/>
          <w:szCs w:val="22"/>
          <w:highlight w:val="none"/>
          <w:lang w:val="en-US" w:eastAsia="zh-CN"/>
          <w14:textFill>
            <w14:solidFill>
              <w14:schemeClr w14:val="tx1"/>
            </w14:solidFill>
          </w14:textFill>
        </w:rPr>
        <w:t>参照</w:t>
      </w:r>
      <w:r>
        <w:rPr>
          <w:rFonts w:hint="eastAsia" w:ascii="宋体" w:hAnsi="宋体" w:eastAsia="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olor w:val="000000" w:themeColor="text1"/>
          <w:sz w:val="22"/>
          <w:szCs w:val="22"/>
          <w:highlight w:val="none"/>
          <w14:textFill>
            <w14:solidFill>
              <w14:schemeClr w14:val="tx1"/>
            </w14:solidFill>
          </w14:textFill>
        </w:rPr>
        <w:t>法律及有关法规组织和实施的</w:t>
      </w:r>
      <w:r>
        <w:rPr>
          <w:rFonts w:hint="eastAsia" w:ascii="宋体" w:hAnsi="宋体" w:eastAsia="宋体" w:cs="宋体"/>
          <w:color w:val="000000" w:themeColor="text1"/>
          <w:sz w:val="22"/>
          <w:szCs w:val="22"/>
          <w:highlight w:val="none"/>
          <w14:textFill>
            <w14:solidFill>
              <w14:schemeClr w14:val="tx1"/>
            </w14:solidFill>
          </w14:textFill>
        </w:rPr>
        <w:t>。</w:t>
      </w:r>
    </w:p>
    <w:p w14:paraId="288FCDAF">
      <w:pPr>
        <w:tabs>
          <w:tab w:val="left" w:pos="360"/>
        </w:tabs>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2、定义</w:t>
      </w:r>
    </w:p>
    <w:p w14:paraId="54DFE870">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招标人：是指依法进行政府采购的国家机关、事业单位、团体组织</w:t>
      </w:r>
    </w:p>
    <w:p w14:paraId="4B972574">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招标代理机构：受招标人委托，在委托的范围内办理政府采购事宜的机构；</w:t>
      </w:r>
    </w:p>
    <w:p w14:paraId="6979B84E">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投标人：是指参加本政府采购项目投标的供应商；</w:t>
      </w:r>
    </w:p>
    <w:p w14:paraId="282920D9">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投标人代表：是指参加本项目投标活动的供应商法定代表人或法定代表人授权代表；</w:t>
      </w:r>
    </w:p>
    <w:p w14:paraId="48FEDCAB">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投标联合体：是指两个以上供应商组成联合体，以一个供应商的身份参加投标；</w:t>
      </w:r>
    </w:p>
    <w:p w14:paraId="1C56EAB3">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甲方：是指合同签订的一方，一般与招标人、用户相同；</w:t>
      </w:r>
    </w:p>
    <w:p w14:paraId="73907750">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乙方：是指合同签订的另一方，与</w:t>
      </w:r>
      <w:r>
        <w:rPr>
          <w:rFonts w:hint="eastAsia" w:ascii="宋体" w:hAnsi="宋体" w:cs="宋体"/>
          <w:color w:val="000000" w:themeColor="text1"/>
          <w:sz w:val="22"/>
          <w:highlight w:val="none"/>
          <w:lang w:eastAsia="zh-CN"/>
          <w14:textFill>
            <w14:solidFill>
              <w14:schemeClr w14:val="tx1"/>
            </w14:solidFill>
          </w14:textFill>
        </w:rPr>
        <w:t>入围供应商</w:t>
      </w:r>
      <w:r>
        <w:rPr>
          <w:rFonts w:hint="eastAsia" w:ascii="宋体" w:hAnsi="宋体" w:eastAsia="宋体" w:cs="宋体"/>
          <w:color w:val="000000" w:themeColor="text1"/>
          <w:sz w:val="22"/>
          <w:highlight w:val="none"/>
          <w14:textFill>
            <w14:solidFill>
              <w14:schemeClr w14:val="tx1"/>
            </w14:solidFill>
          </w14:textFill>
        </w:rPr>
        <w:t>相同；</w:t>
      </w:r>
    </w:p>
    <w:p w14:paraId="17AB9E3F">
      <w:pPr>
        <w:tabs>
          <w:tab w:val="left" w:pos="360"/>
        </w:tabs>
        <w:spacing w:line="460" w:lineRule="exact"/>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制造商：是指拥有投标产品自主知识产权的单位；</w:t>
      </w:r>
    </w:p>
    <w:p w14:paraId="69FEA222">
      <w:pPr>
        <w:tabs>
          <w:tab w:val="left" w:pos="360"/>
        </w:tabs>
        <w:spacing w:line="460" w:lineRule="exact"/>
        <w:ind w:firstLine="552" w:firstLineChars="25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带“▲”条款系指实质性要求条款。“★”是关键技术参数及要求。</w:t>
      </w:r>
    </w:p>
    <w:p w14:paraId="3CD7B509">
      <w:pPr>
        <w:tabs>
          <w:tab w:val="left" w:pos="360"/>
        </w:tabs>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3、投标人代表</w:t>
      </w:r>
    </w:p>
    <w:p w14:paraId="4A0316A1">
      <w:pPr>
        <w:tabs>
          <w:tab w:val="left" w:pos="360"/>
        </w:tabs>
        <w:spacing w:line="460" w:lineRule="exact"/>
        <w:ind w:firstLine="539" w:firstLineChars="245"/>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3.1</w:t>
      </w:r>
      <w:r>
        <w:rPr>
          <w:rFonts w:hint="eastAsia" w:ascii="宋体" w:hAnsi="宋体" w:eastAsia="宋体" w:cs="宋体"/>
          <w:b w:val="0"/>
          <w:bCs/>
          <w:color w:val="000000" w:themeColor="text1"/>
          <w:sz w:val="22"/>
          <w:highlight w:val="none"/>
          <w14:textFill>
            <w14:solidFill>
              <w14:schemeClr w14:val="tx1"/>
            </w14:solidFill>
          </w14:textFill>
        </w:rPr>
        <w:t>指全权代表投标人参加投标活动并签署投标文件的人。如果投标人代表不是法定代表人，须持有《法定代表人授权书》（见附件）</w:t>
      </w:r>
    </w:p>
    <w:p w14:paraId="23D6EF6E">
      <w:pPr>
        <w:tabs>
          <w:tab w:val="left" w:pos="360"/>
        </w:tabs>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根据政府采购相关法律、法规、规章、文件规定并满</w:t>
      </w:r>
      <w:r>
        <w:rPr>
          <w:rFonts w:hint="eastAsia" w:ascii="宋体" w:hAnsi="宋体" w:eastAsia="宋体" w:cs="宋体"/>
          <w:color w:val="000000" w:themeColor="text1"/>
          <w:sz w:val="22"/>
          <w:highlight w:val="none"/>
          <w14:textFill>
            <w14:solidFill>
              <w14:schemeClr w14:val="tx1"/>
            </w14:solidFill>
          </w14:textFill>
        </w:rPr>
        <w:t>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000000" w:themeColor="text1"/>
          <w:sz w:val="22"/>
          <w:szCs w:val="22"/>
          <w:highlight w:val="none"/>
          <w14:textFill>
            <w14:solidFill>
              <w14:schemeClr w14:val="tx1"/>
            </w14:solidFill>
          </w14:textFill>
        </w:rPr>
        <w:t>。</w:t>
      </w:r>
    </w:p>
    <w:p w14:paraId="56EB4D19">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4、投标费用</w:t>
      </w:r>
    </w:p>
    <w:p w14:paraId="5ADA1D39">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4.1投</w:t>
      </w:r>
      <w:r>
        <w:rPr>
          <w:rFonts w:hint="eastAsia" w:ascii="宋体" w:hAnsi="宋体" w:eastAsia="宋体" w:cs="宋体"/>
          <w:color w:val="000000" w:themeColor="text1"/>
          <w:sz w:val="22"/>
          <w:szCs w:val="22"/>
          <w:highlight w:val="none"/>
          <w14:textFill>
            <w14:solidFill>
              <w14:schemeClr w14:val="tx1"/>
            </w14:solidFill>
          </w14:textFill>
        </w:rPr>
        <w:t>标人应承担所有与准备和参加投标有关费用，不论投标的结果如何，招标人或招标代理机构均无义务和责任承担这些费用。</w:t>
      </w:r>
    </w:p>
    <w:p w14:paraId="4D4DC279">
      <w:pPr>
        <w:spacing w:before="100" w:beforeAutospacing="1" w:after="100" w:afterAutospacing="1" w:line="46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12" w:name="_Toc28278"/>
      <w:bookmarkStart w:id="13" w:name="_Toc9899"/>
      <w:r>
        <w:rPr>
          <w:rFonts w:hint="eastAsia" w:ascii="宋体" w:hAnsi="宋体" w:eastAsia="宋体" w:cs="宋体"/>
          <w:b/>
          <w:bCs/>
          <w:color w:val="000000" w:themeColor="text1"/>
          <w:sz w:val="26"/>
          <w:szCs w:val="26"/>
          <w:highlight w:val="none"/>
          <w14:textFill>
            <w14:solidFill>
              <w14:schemeClr w14:val="tx1"/>
            </w14:solidFill>
          </w14:textFill>
        </w:rPr>
        <w:t>二、 招标文件</w:t>
      </w:r>
      <w:bookmarkEnd w:id="12"/>
      <w:bookmarkEnd w:id="13"/>
    </w:p>
    <w:p w14:paraId="230C1813">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1、招标文件由招标文件目录所列内容及相关资料组成。</w:t>
      </w:r>
    </w:p>
    <w:p w14:paraId="41A0A8D2">
      <w:pPr>
        <w:tabs>
          <w:tab w:val="left" w:pos="360"/>
        </w:tabs>
        <w:spacing w:line="460" w:lineRule="exact"/>
        <w:ind w:firstLine="552" w:firstLineChars="250"/>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2、招标文件的澄清</w:t>
      </w:r>
    </w:p>
    <w:p w14:paraId="0C9256F2">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72A37FA2">
      <w:pPr>
        <w:tabs>
          <w:tab w:val="left" w:pos="360"/>
        </w:tabs>
        <w:spacing w:line="460" w:lineRule="exact"/>
        <w:ind w:firstLine="552" w:firstLineChars="250"/>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3、招标文件的修改</w:t>
      </w:r>
    </w:p>
    <w:p w14:paraId="793DC028">
      <w:pPr>
        <w:tabs>
          <w:tab w:val="left" w:pos="360"/>
        </w:tabs>
        <w:spacing w:line="460" w:lineRule="exact"/>
        <w:ind w:firstLine="550" w:firstLineChars="2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0878D41C">
      <w:pPr>
        <w:spacing w:line="460" w:lineRule="exact"/>
        <w:ind w:firstLine="539" w:firstLineChars="245"/>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3.2招标人、招标代理机构可以视采购的具体情况决定是否延长投标截止时间和开标时间，并在招标文件要求递交投标文件的截止时间前，在财政部门指定的政府采购信息发布媒体上发布变更公告。</w:t>
      </w:r>
    </w:p>
    <w:p w14:paraId="765A7056">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注：</w:t>
      </w:r>
      <w:r>
        <w:rPr>
          <w:rFonts w:hint="eastAsia" w:ascii="宋体" w:hAnsi="宋体" w:eastAsia="宋体" w:cs="宋体"/>
          <w:color w:val="000000" w:themeColor="text1"/>
          <w:sz w:val="22"/>
          <w:highlight w:val="none"/>
          <w14:textFill>
            <w14:solidFill>
              <w14:schemeClr w14:val="tx1"/>
            </w14:solidFill>
          </w14:textFill>
        </w:rPr>
        <w:t>潜在投标人应自行关注网站公告，</w:t>
      </w:r>
      <w:r>
        <w:rPr>
          <w:rFonts w:hint="eastAsia" w:ascii="宋体" w:hAnsi="宋体" w:cs="宋体"/>
          <w:color w:val="000000" w:themeColor="text1"/>
          <w:sz w:val="22"/>
          <w:highlight w:val="none"/>
          <w14:textFill>
            <w14:solidFill>
              <w14:schemeClr w14:val="tx1"/>
            </w14:solidFill>
          </w14:textFill>
        </w:rPr>
        <w:t>招标人、招标代理机构</w:t>
      </w:r>
      <w:r>
        <w:rPr>
          <w:rFonts w:hint="eastAsia" w:ascii="宋体" w:hAnsi="宋体" w:eastAsia="宋体" w:cs="宋体"/>
          <w:color w:val="000000" w:themeColor="text1"/>
          <w:sz w:val="22"/>
          <w:highlight w:val="none"/>
          <w14:textFill>
            <w14:solidFill>
              <w14:schemeClr w14:val="tx1"/>
            </w14:solidFill>
          </w14:textFill>
        </w:rPr>
        <w:t>不再一一通知。投标人因自身贻误行为导致投标失败的，责任自负。</w:t>
      </w:r>
    </w:p>
    <w:p w14:paraId="4D9506D4">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p>
    <w:p w14:paraId="3AA65E2E">
      <w:pPr>
        <w:spacing w:before="100" w:beforeAutospacing="1" w:after="100" w:afterAutospacing="1" w:line="46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14" w:name="_Toc22646"/>
      <w:bookmarkStart w:id="15" w:name="_Toc12726"/>
      <w:r>
        <w:rPr>
          <w:rFonts w:hint="eastAsia" w:ascii="宋体" w:hAnsi="宋体" w:eastAsia="宋体" w:cs="宋体"/>
          <w:b/>
          <w:bCs/>
          <w:color w:val="000000" w:themeColor="text1"/>
          <w:sz w:val="26"/>
          <w:szCs w:val="26"/>
          <w:highlight w:val="none"/>
          <w14:textFill>
            <w14:solidFill>
              <w14:schemeClr w14:val="tx1"/>
            </w14:solidFill>
          </w14:textFill>
        </w:rPr>
        <w:t>三、 投标文件的编制</w:t>
      </w:r>
      <w:bookmarkEnd w:id="14"/>
      <w:bookmarkEnd w:id="15"/>
    </w:p>
    <w:p w14:paraId="4152CBBB">
      <w:pPr>
        <w:tabs>
          <w:tab w:val="left" w:pos="360"/>
        </w:tabs>
        <w:spacing w:line="460" w:lineRule="exact"/>
        <w:ind w:firstLine="550" w:firstLineChars="250"/>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4CDDE385">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2、投标人应保证所提供文件资料的真实性，所有文件资料必须是针对本次投标的。如发现投标人提供了虚假文件资料，其投标将被否决，并自行承担相应的法律责任。</w:t>
      </w:r>
    </w:p>
    <w:p w14:paraId="0BC3C4E9">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3、投标文件的构成：</w:t>
      </w:r>
    </w:p>
    <w:p w14:paraId="79FB6634">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投标</w:t>
      </w:r>
      <w:r>
        <w:rPr>
          <w:rFonts w:hint="eastAsia" w:ascii="宋体" w:hAnsi="宋体" w:eastAsia="宋体" w:cs="宋体"/>
          <w:b w:val="0"/>
          <w:bCs w:val="0"/>
          <w:color w:val="000000" w:themeColor="text1"/>
          <w:kern w:val="0"/>
          <w:sz w:val="22"/>
          <w:szCs w:val="22"/>
          <w:highlight w:val="none"/>
          <w:lang w:val="zh-CN"/>
          <w14:textFill>
            <w14:solidFill>
              <w14:schemeClr w14:val="tx1"/>
            </w14:solidFill>
          </w14:textFill>
        </w:rPr>
        <w:t>文件应当包括以下主要内容：资格文件、报价文件、商务技术文件。</w:t>
      </w:r>
    </w:p>
    <w:p w14:paraId="0814656F">
      <w:pPr>
        <w:spacing w:line="460" w:lineRule="exact"/>
        <w:ind w:firstLine="541" w:firstLineChars="245"/>
        <w:rPr>
          <w:rFonts w:hint="eastAsia" w:ascii="宋体" w:hAnsi="宋体" w:eastAsia="宋体" w:cs="宋体"/>
          <w:b/>
          <w:bCs/>
          <w:color w:val="000000" w:themeColor="text1"/>
          <w:kern w:val="0"/>
          <w:sz w:val="22"/>
          <w:szCs w:val="22"/>
          <w:highlight w:val="none"/>
          <w:u w:val="none"/>
          <w:lang w:val="zh-CN"/>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3.1</w:t>
      </w:r>
      <w:r>
        <w:rPr>
          <w:rFonts w:hint="eastAsia" w:ascii="宋体" w:hAnsi="宋体" w:eastAsia="宋体" w:cs="宋体"/>
          <w:b/>
          <w:bCs/>
          <w:color w:val="000000" w:themeColor="text1"/>
          <w:kern w:val="0"/>
          <w:sz w:val="22"/>
          <w:szCs w:val="22"/>
          <w:highlight w:val="none"/>
          <w:u w:val="none"/>
          <w:lang w:val="zh-CN"/>
          <w14:textFill>
            <w14:solidFill>
              <w14:schemeClr w14:val="tx1"/>
            </w14:solidFill>
          </w14:textFill>
        </w:rPr>
        <w:t xml:space="preserve">投标人的资格文件至少应包括以下内容： </w:t>
      </w:r>
    </w:p>
    <w:p w14:paraId="58E8BE16">
      <w:pPr>
        <w:spacing w:line="460" w:lineRule="exact"/>
        <w:ind w:firstLine="539" w:firstLineChars="245"/>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基本资格条件审查材料：</w:t>
      </w:r>
      <w:r>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t>即证明供应商</w:t>
      </w: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参加本次政府采购活动前3年内</w:t>
      </w:r>
      <w:r>
        <w:rPr>
          <w:rFonts w:hint="eastAsia"/>
          <w:color w:val="000000" w:themeColor="text1"/>
          <w:sz w:val="22"/>
          <w:szCs w:val="22"/>
          <w:highlight w:val="none"/>
          <w:u w:val="none"/>
          <w:lang w:val="en-US" w:eastAsia="zh-CN"/>
          <w14:textFill>
            <w14:solidFill>
              <w14:schemeClr w14:val="tx1"/>
            </w14:solidFill>
          </w14:textFill>
        </w:rPr>
        <w:t>满足《中华人民共和国政府采购法》</w:t>
      </w: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的有关资格证明文件。</w:t>
      </w:r>
      <w:r>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t>包括：</w:t>
      </w:r>
    </w:p>
    <w:p w14:paraId="2324B144">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资格条件承诺函</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p>
    <w:p w14:paraId="6200329D">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 xml:space="preserve">）营业执照(或事业法人登记证书或其它工商等登记证明材料；自然人参与政府采购，提供身份证)复印件； </w:t>
      </w:r>
    </w:p>
    <w:p w14:paraId="2BE83038">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8C4AC4D">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）投标人信用查询</w:t>
      </w:r>
      <w:r>
        <w:rPr>
          <w:rFonts w:hint="eastAsia" w:ascii="宋体" w:hAnsi="宋体" w:cs="宋体"/>
          <w:color w:val="000000" w:themeColor="text1"/>
          <w:sz w:val="22"/>
          <w:szCs w:val="22"/>
          <w:highlight w:val="none"/>
          <w:u w:val="none"/>
          <w:lang w:val="en-US" w:eastAsia="zh-CN"/>
          <w14:textFill>
            <w14:solidFill>
              <w14:schemeClr w14:val="tx1"/>
            </w14:solidFill>
          </w14:textFill>
        </w:rPr>
        <w:t>；</w:t>
      </w:r>
    </w:p>
    <w:p w14:paraId="2ED75E4D">
      <w:pPr>
        <w:numPr>
          <w:ilvl w:val="0"/>
          <w:numId w:val="0"/>
        </w:numPr>
        <w:snapToGrid w:val="0"/>
        <w:spacing w:line="460" w:lineRule="exact"/>
        <w:ind w:leftChars="0" w:firstLine="440" w:firstLineChars="200"/>
        <w:rPr>
          <w:rFonts w:hint="eastAsia" w:ascii="宋体" w:hAnsi="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采购活动现场确认声明书</w:t>
      </w:r>
      <w:r>
        <w:rPr>
          <w:rFonts w:hint="eastAsia" w:ascii="宋体" w:hAnsi="宋体" w:cs="宋体"/>
          <w:color w:val="000000" w:themeColor="text1"/>
          <w:sz w:val="22"/>
          <w:szCs w:val="22"/>
          <w:highlight w:val="none"/>
          <w:u w:val="none"/>
          <w:lang w:eastAsia="zh-CN"/>
          <w14:textFill>
            <w14:solidFill>
              <w14:schemeClr w14:val="tx1"/>
            </w14:solidFill>
          </w14:textFill>
        </w:rPr>
        <w:t>；</w:t>
      </w:r>
    </w:p>
    <w:p w14:paraId="6BC7F8B8">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Times New Roman" w:eastAsia="新宋体"/>
          <w:bCs/>
          <w:color w:val="000000" w:themeColor="text1"/>
          <w:sz w:val="22"/>
          <w:szCs w:val="22"/>
          <w:highlight w:val="none"/>
          <w14:textFill>
            <w14:solidFill>
              <w14:schemeClr w14:val="tx1"/>
            </w14:solidFill>
          </w14:textFill>
        </w:rPr>
        <w:t>具有有效的餐饮服务许可证或食品经营许可证（食品流通许可证）或食品生产许可证或相关备案证明材料</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p>
    <w:p w14:paraId="2564E57E">
      <w:pPr>
        <w:snapToGrid w:val="0"/>
        <w:spacing w:line="460" w:lineRule="exact"/>
        <w:ind w:left="525" w:leftChars="25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上述资格条件审查材料有一项不提供的，视为资格审查不通过。</w:t>
      </w:r>
    </w:p>
    <w:p w14:paraId="035DC4FE">
      <w:pPr>
        <w:snapToGrid w:val="0"/>
        <w:spacing w:line="460" w:lineRule="exact"/>
        <w:ind w:left="105" w:leftChars="50" w:firstLine="442" w:firstLineChars="200"/>
        <w:rPr>
          <w:rFonts w:hint="eastAsia" w:ascii="宋体" w:hAnsi="宋体" w:eastAsia="宋体" w:cs="宋体"/>
          <w:color w:val="000000" w:themeColor="text1"/>
          <w:sz w:val="22"/>
          <w:szCs w:val="22"/>
          <w:highlight w:val="none"/>
          <w:u w:val="single"/>
          <w:lang w:val="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3.2投标人的报价文件至少应包括以下内容： </w:t>
      </w:r>
    </w:p>
    <w:p w14:paraId="5A6AE4C1">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（1）投标函；</w:t>
      </w:r>
    </w:p>
    <w:p w14:paraId="3BD328A7">
      <w:pPr>
        <w:snapToGrid w:val="0"/>
        <w:spacing w:line="460" w:lineRule="exact"/>
        <w:ind w:firstLine="442" w:firstLineChars="200"/>
        <w:rPr>
          <w:rFonts w:hint="eastAsia" w:ascii="宋体" w:hAnsi="宋体" w:eastAsia="宋体" w:cs="宋体"/>
          <w:b/>
          <w:bCs/>
          <w:color w:val="000000" w:themeColor="text1"/>
          <w:kern w:val="0"/>
          <w:sz w:val="22"/>
          <w:szCs w:val="22"/>
          <w:highlight w:val="none"/>
          <w:lang w:val="zh-CN"/>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3.3</w:t>
      </w:r>
      <w:r>
        <w:rPr>
          <w:rFonts w:hint="eastAsia" w:ascii="宋体" w:hAnsi="宋体" w:eastAsia="宋体" w:cs="宋体"/>
          <w:b/>
          <w:bCs/>
          <w:color w:val="000000" w:themeColor="text1"/>
          <w:kern w:val="0"/>
          <w:sz w:val="22"/>
          <w:szCs w:val="22"/>
          <w:highlight w:val="none"/>
          <w:lang w:val="zh-CN"/>
          <w14:textFill>
            <w14:solidFill>
              <w14:schemeClr w14:val="tx1"/>
            </w14:solidFill>
          </w14:textFill>
        </w:rPr>
        <w:t xml:space="preserve">投标人的商务技术文件应包括以下内容： </w:t>
      </w:r>
    </w:p>
    <w:p w14:paraId="75767269">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（1）法定代表人授权委托书（需提供法定代表人及授权委托人的身份证复印件加盖公章）；</w:t>
      </w:r>
    </w:p>
    <w:p w14:paraId="206E3A0B">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（2）投标人情况表</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0859DCC8">
      <w:pPr>
        <w:snapToGrid w:val="0"/>
        <w:spacing w:line="46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zh-CN"/>
          <w14:textFill>
            <w14:solidFill>
              <w14:schemeClr w14:val="tx1"/>
            </w14:solidFill>
          </w14:textFill>
        </w:rPr>
        <w:t>偏离表（</w:t>
      </w:r>
      <w:r>
        <w:rPr>
          <w:rFonts w:hint="eastAsia" w:ascii="宋体" w:hAnsi="宋体" w:eastAsia="宋体" w:cs="宋体"/>
          <w:color w:val="000000" w:themeColor="text1"/>
          <w:sz w:val="22"/>
          <w:szCs w:val="22"/>
          <w:highlight w:val="none"/>
          <w14:textFill>
            <w14:solidFill>
              <w14:schemeClr w14:val="tx1"/>
            </w14:solidFill>
          </w14:textFill>
        </w:rPr>
        <w:t>商务、技术偏离</w:t>
      </w:r>
      <w:r>
        <w:rPr>
          <w:rFonts w:hint="eastAsia" w:ascii="宋体" w:hAnsi="宋体" w:eastAsia="宋体" w:cs="宋体"/>
          <w:color w:val="000000" w:themeColor="text1"/>
          <w:sz w:val="22"/>
          <w:szCs w:val="22"/>
          <w:highlight w:val="none"/>
          <w:lang w:val="zh-CN"/>
          <w14:textFill>
            <w14:solidFill>
              <w14:schemeClr w14:val="tx1"/>
            </w14:solidFill>
          </w14:textFill>
        </w:rPr>
        <w:t>）；</w:t>
      </w:r>
    </w:p>
    <w:p w14:paraId="4D91FA81">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企业综合情况</w:t>
      </w:r>
    </w:p>
    <w:p w14:paraId="756E0CD7">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食品安全责任保险</w:t>
      </w:r>
    </w:p>
    <w:p w14:paraId="760510F2">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总体服务方案</w:t>
      </w:r>
    </w:p>
    <w:p w14:paraId="4F0518C0">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配送方案</w:t>
      </w:r>
    </w:p>
    <w:p w14:paraId="0331A7D4">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供货情况</w:t>
      </w:r>
    </w:p>
    <w:p w14:paraId="6AB20E6F">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质量监督制度、卫生管理制度、留样制度及安全</w:t>
      </w:r>
    </w:p>
    <w:p w14:paraId="041BFA12">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10</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功能区情况</w:t>
      </w:r>
    </w:p>
    <w:p w14:paraId="73204F11">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11</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车辆情况</w:t>
      </w:r>
    </w:p>
    <w:p w14:paraId="54A661D4">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12</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突发事件应急预案</w:t>
      </w:r>
    </w:p>
    <w:p w14:paraId="6FEF38A4">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13</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质量保证及售后服务</w:t>
      </w:r>
    </w:p>
    <w:p w14:paraId="29CA8D36">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14</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业绩</w:t>
      </w:r>
    </w:p>
    <w:p w14:paraId="54C6AB22">
      <w:pPr>
        <w:spacing w:line="460" w:lineRule="exact"/>
        <w:ind w:firstLine="440" w:firstLineChars="200"/>
        <w:rPr>
          <w:rFonts w:hint="eastAsia" w:ascii="宋体" w:hAnsi="宋体" w:eastAsia="宋体" w:cs="宋体"/>
          <w:b w:val="0"/>
          <w:bCs/>
          <w:color w:val="000000" w:themeColor="text1"/>
          <w:sz w:val="22"/>
          <w:szCs w:val="22"/>
          <w:highlight w:val="none"/>
          <w:lang w:val="zh-CN"/>
          <w14:textFill>
            <w14:solidFill>
              <w14:schemeClr w14:val="tx1"/>
            </w14:solidFill>
          </w14:textFill>
        </w:rPr>
      </w:pPr>
      <w:r>
        <w:rPr>
          <w:rFonts w:hint="eastAsia" w:ascii="宋体" w:hAnsi="宋体" w:eastAsia="宋体" w:cs="宋体"/>
          <w:b w:val="0"/>
          <w:bCs/>
          <w:color w:val="000000" w:themeColor="text1"/>
          <w:sz w:val="22"/>
          <w:szCs w:val="22"/>
          <w:highlight w:val="none"/>
          <w:lang w:val="zh-CN"/>
          <w14:textFill>
            <w14:solidFill>
              <w14:schemeClr w14:val="tx1"/>
            </w14:solidFill>
          </w14:textFill>
        </w:rPr>
        <w:t>投标文件中所需的各种证书、证件、证明资料如是复印件，须在复印件上加盖有效公章。</w:t>
      </w:r>
    </w:p>
    <w:p w14:paraId="04F9D619">
      <w:pPr>
        <w:pStyle w:val="31"/>
        <w:snapToGrid w:val="0"/>
        <w:spacing w:line="460" w:lineRule="exact"/>
        <w:ind w:firstLine="440" w:firstLineChars="2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lang w:val="zh-CN"/>
          <w14:textFill>
            <w14:solidFill>
              <w14:schemeClr w14:val="tx1"/>
            </w14:solidFill>
          </w14:textFill>
        </w:rPr>
        <w:t>投标人的</w:t>
      </w:r>
      <w:r>
        <w:rPr>
          <w:rFonts w:hint="eastAsia" w:ascii="宋体" w:hAnsi="宋体" w:eastAsia="宋体" w:cs="宋体"/>
          <w:b w:val="0"/>
          <w:bCs/>
          <w:color w:val="000000" w:themeColor="text1"/>
          <w:sz w:val="22"/>
          <w:szCs w:val="22"/>
          <w:highlight w:val="none"/>
          <w14:textFill>
            <w14:solidFill>
              <w14:schemeClr w14:val="tx1"/>
            </w14:solidFill>
          </w14:textFill>
        </w:rPr>
        <w:t>投标文件必须按照招标文件要求制作。</w:t>
      </w:r>
    </w:p>
    <w:p w14:paraId="6132BA88">
      <w:pPr>
        <w:pStyle w:val="31"/>
        <w:snapToGrid w:val="0"/>
        <w:spacing w:line="460" w:lineRule="exact"/>
        <w:ind w:firstLine="440" w:firstLineChars="2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投标人可在招标文件中对招标货物的技术规格和要求选用替代标准，但这些替代标准必须相当于或优于招标文件中提出的相应要求，并使招标人满意，同时在技术偏离表中作出详细说明。</w:t>
      </w:r>
    </w:p>
    <w:p w14:paraId="21B37365">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bCs/>
          <w:color w:val="000000" w:themeColor="text1"/>
          <w:sz w:val="22"/>
          <w:szCs w:val="22"/>
          <w:highlight w:val="none"/>
          <w14:textFill>
            <w14:solidFill>
              <w14:schemeClr w14:val="tx1"/>
            </w14:solidFill>
          </w14:textFill>
        </w:rPr>
        <w:t>、投标有效期</w:t>
      </w:r>
    </w:p>
    <w:p w14:paraId="7C4BD2AC">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szCs w:val="22"/>
          <w:highlight w:val="none"/>
          <w14:textFill>
            <w14:solidFill>
              <w14:schemeClr w14:val="tx1"/>
            </w14:solidFill>
          </w14:textFill>
        </w:rPr>
        <w:t>.1自开标之日起 120 天内投标应保持有效。</w:t>
      </w:r>
    </w:p>
    <w:p w14:paraId="05F37AB9">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7E057DCC">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sz w:val="22"/>
          <w:szCs w:val="22"/>
          <w:highlight w:val="none"/>
          <w14:textFill>
            <w14:solidFill>
              <w14:schemeClr w14:val="tx1"/>
            </w14:solidFill>
          </w14:textFill>
        </w:rPr>
        <w:t>、投标保证金</w:t>
      </w:r>
    </w:p>
    <w:p w14:paraId="2DEECB1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w:t>
      </w:r>
    </w:p>
    <w:p w14:paraId="4E30FD04">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bCs/>
          <w:color w:val="000000" w:themeColor="text1"/>
          <w:sz w:val="22"/>
          <w:szCs w:val="22"/>
          <w:highlight w:val="none"/>
          <w14:textFill>
            <w14:solidFill>
              <w14:schemeClr w14:val="tx1"/>
            </w14:solidFill>
          </w14:textFill>
        </w:rPr>
        <w:t>、投标文件编制</w:t>
      </w:r>
    </w:p>
    <w:p w14:paraId="488C0499">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.1本项目通过“</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乐采云平台</w:t>
      </w:r>
      <w:r>
        <w:rPr>
          <w:rFonts w:hint="eastAsia" w:ascii="宋体" w:hAnsi="宋体" w:eastAsia="宋体" w:cs="宋体"/>
          <w:b w:val="0"/>
          <w:bCs w:val="0"/>
          <w:color w:val="000000" w:themeColor="text1"/>
          <w:sz w:val="22"/>
          <w:szCs w:val="22"/>
          <w:highlight w:val="none"/>
          <w:u w:val="none"/>
          <w14:textFill>
            <w14:solidFill>
              <w14:schemeClr w14:val="tx1"/>
            </w14:solidFill>
          </w14:textFill>
        </w:rPr>
        <w:t>（</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www.lecaiyun.com</w:t>
      </w:r>
      <w:r>
        <w:rPr>
          <w:rFonts w:hint="eastAsia" w:ascii="宋体" w:hAnsi="宋体" w:eastAsia="宋体" w:cs="宋体"/>
          <w:b w:val="0"/>
          <w:bCs w:val="0"/>
          <w:color w:val="000000" w:themeColor="text1"/>
          <w:sz w:val="22"/>
          <w:szCs w:val="22"/>
          <w:highlight w:val="none"/>
          <w:u w:val="none"/>
          <w14:textFill>
            <w14:solidFill>
              <w14:schemeClr w14:val="tx1"/>
            </w14:solidFill>
          </w14:textFill>
        </w:rPr>
        <w:t>）”实行在线投标响应（电子投标）。供应商应通过“</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乐采云电子交易客户端</w:t>
      </w:r>
      <w:r>
        <w:rPr>
          <w:rFonts w:hint="eastAsia" w:ascii="宋体" w:hAnsi="宋体" w:eastAsia="宋体" w:cs="宋体"/>
          <w:b w:val="0"/>
          <w:bCs w:val="0"/>
          <w:color w:val="000000" w:themeColor="text1"/>
          <w:sz w:val="22"/>
          <w:szCs w:val="22"/>
          <w:highlight w:val="none"/>
          <w:u w:val="none"/>
          <w14:textFill>
            <w14:solidFill>
              <w14:schemeClr w14:val="tx1"/>
            </w14:solidFill>
          </w14:textFill>
        </w:rPr>
        <w:t>”，并按照本招标文件和“</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乐采云平台</w:t>
      </w:r>
      <w:r>
        <w:rPr>
          <w:rFonts w:hint="eastAsia" w:ascii="宋体" w:hAnsi="宋体" w:eastAsia="宋体" w:cs="宋体"/>
          <w:b w:val="0"/>
          <w:bCs w:val="0"/>
          <w:color w:val="000000" w:themeColor="text1"/>
          <w:sz w:val="22"/>
          <w:szCs w:val="22"/>
          <w:highlight w:val="none"/>
          <w:u w:val="none"/>
          <w14:textFill>
            <w14:solidFill>
              <w14:schemeClr w14:val="tx1"/>
            </w14:solidFill>
          </w14:textFill>
        </w:rPr>
        <w:t>”的要求编制并加密投标文件。</w:t>
      </w:r>
    </w:p>
    <w:p w14:paraId="545CFF5C">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.2投标人应当按照本章节 “投标文件的构成”规定的内容及顺序在“</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乐采云电子交易客户端</w:t>
      </w:r>
      <w:r>
        <w:rPr>
          <w:rFonts w:hint="eastAsia" w:ascii="宋体" w:hAnsi="宋体" w:eastAsia="宋体" w:cs="宋体"/>
          <w:b w:val="0"/>
          <w:bCs w:val="0"/>
          <w:color w:val="000000" w:themeColor="text1"/>
          <w:sz w:val="22"/>
          <w:szCs w:val="22"/>
          <w:highlight w:val="none"/>
          <w:u w:val="none"/>
          <w14:textFill>
            <w14:solidFill>
              <w14:schemeClr w14:val="tx1"/>
            </w14:solidFill>
          </w14:textFill>
        </w:rPr>
        <w:t>”编制投标文件。其中《资格文件》和《商务技术文件》中不得出现本项目投标报价。</w:t>
      </w:r>
    </w:p>
    <w:p w14:paraId="2971D811">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547261AA">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.4《投标文件》内容不完整、编排混乱导致《投标文件》被误读、漏读或者查找不到相关内容的，投标人自行负责。</w:t>
      </w:r>
    </w:p>
    <w:p w14:paraId="71414E59">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.5《投标文件》因字迹潦草或表达不清所引起的后果由投标人负责。</w:t>
      </w:r>
    </w:p>
    <w:p w14:paraId="1C88D7F5">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u w:val="none"/>
          <w14:textFill>
            <w14:solidFill>
              <w14:schemeClr w14:val="tx1"/>
            </w14:solidFill>
          </w14:textFill>
        </w:rPr>
        <w:t>.6投标人没有按照本章节 “投标文件的构成”要求提供全部资料，或者没有仔细阅读招标文件，或者没有对招标文件在各方面的要求作出实质性响应是投标人的风险，由此造成的一切后果由投标人自行承担。</w:t>
      </w:r>
    </w:p>
    <w:p w14:paraId="5358EE5B">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bCs/>
          <w:color w:val="000000" w:themeColor="text1"/>
          <w:sz w:val="22"/>
          <w:szCs w:val="22"/>
          <w:highlight w:val="none"/>
          <w14:textFill>
            <w14:solidFill>
              <w14:schemeClr w14:val="tx1"/>
            </w14:solidFill>
          </w14:textFill>
        </w:rPr>
        <w:t>、投标文件的签章</w:t>
      </w:r>
    </w:p>
    <w:p w14:paraId="0656F2C8">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2"/>
          <w:szCs w:val="22"/>
          <w:highlight w:val="none"/>
          <w14:textFill>
            <w14:solidFill>
              <w14:schemeClr w14:val="tx1"/>
            </w14:solidFill>
          </w14:textFill>
        </w:rPr>
        <w:t>.1《投标文件》的签章：见《前附表》；</w:t>
      </w:r>
    </w:p>
    <w:p w14:paraId="22112E6E">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2"/>
          <w:szCs w:val="22"/>
          <w:highlight w:val="none"/>
          <w14:textFill>
            <w14:solidFill>
              <w14:schemeClr w14:val="tx1"/>
            </w14:solidFill>
          </w14:textFill>
        </w:rPr>
        <w:t>.2《投标文件》应由投标人法定代表人或其授权代表签字（或盖章），并时加盖投标人公章。</w:t>
      </w:r>
    </w:p>
    <w:p w14:paraId="7342CF61">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2"/>
          <w:szCs w:val="22"/>
          <w:highlight w:val="none"/>
          <w14:textFill>
            <w14:solidFill>
              <w14:schemeClr w14:val="tx1"/>
            </w14:solidFill>
          </w14:textFill>
        </w:rPr>
        <w:t>.3电子签章操作指南详见采购公告附件《供应商项目采购-电子招投标操作指南》。</w:t>
      </w:r>
    </w:p>
    <w:p w14:paraId="0CE005C1">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bCs/>
          <w:color w:val="000000" w:themeColor="text1"/>
          <w:sz w:val="22"/>
          <w:szCs w:val="22"/>
          <w:highlight w:val="none"/>
          <w14:textFill>
            <w14:solidFill>
              <w14:schemeClr w14:val="tx1"/>
            </w14:solidFill>
          </w14:textFill>
        </w:rPr>
        <w:t>、投标文件的形式</w:t>
      </w:r>
    </w:p>
    <w:p w14:paraId="1193CA0D">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2"/>
          <w:szCs w:val="22"/>
          <w:highlight w:val="none"/>
          <w14:textFill>
            <w14:solidFill>
              <w14:schemeClr w14:val="tx1"/>
            </w14:solidFill>
          </w14:textFill>
        </w:rPr>
        <w:t>.1投标文件的形式：见《前附表》；</w:t>
      </w:r>
    </w:p>
    <w:p w14:paraId="08BBB59F">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2"/>
          <w:szCs w:val="22"/>
          <w:highlight w:val="none"/>
          <w14:textFill>
            <w14:solidFill>
              <w14:schemeClr w14:val="tx1"/>
            </w14:solidFill>
          </w14:textFill>
        </w:rPr>
        <w:t>.2“电子加密投标文件”：“电子加密投标文件”是指通过“</w:t>
      </w:r>
      <w:r>
        <w:rPr>
          <w:rFonts w:hint="eastAsia" w:ascii="宋体" w:hAnsi="宋体" w:cs="宋体"/>
          <w:b w:val="0"/>
          <w:bCs w:val="0"/>
          <w:color w:val="000000" w:themeColor="text1"/>
          <w:sz w:val="22"/>
          <w:szCs w:val="22"/>
          <w:highlight w:val="none"/>
          <w:lang w:eastAsia="zh-CN"/>
          <w14:textFill>
            <w14:solidFill>
              <w14:schemeClr w14:val="tx1"/>
            </w14:solidFill>
          </w14:textFill>
        </w:rPr>
        <w:t>乐采云电子交易客户端</w:t>
      </w:r>
      <w:r>
        <w:rPr>
          <w:rFonts w:hint="eastAsia" w:ascii="宋体" w:hAnsi="宋体" w:eastAsia="宋体" w:cs="宋体"/>
          <w:b w:val="0"/>
          <w:bCs w:val="0"/>
          <w:color w:val="000000" w:themeColor="text1"/>
          <w:sz w:val="22"/>
          <w:szCs w:val="22"/>
          <w:highlight w:val="none"/>
          <w14:textFill>
            <w14:solidFill>
              <w14:schemeClr w14:val="tx1"/>
            </w14:solidFill>
          </w14:textFill>
        </w:rPr>
        <w:t>”完成投标文件编制后生成并加密的数据电文形式的投标文件。</w:t>
      </w:r>
    </w:p>
    <w:p w14:paraId="0C2F5368">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2"/>
          <w:szCs w:val="22"/>
          <w:highlight w:val="none"/>
          <w14:textFill>
            <w14:solidFill>
              <w14:schemeClr w14:val="tx1"/>
            </w14:solidFill>
          </w14:textFill>
        </w:rPr>
        <w:t>.3“备份投标文件”：“备份投标文件”是指与“电子加密投标文件”同时生成的数据电文形式的电子文件（备份标书），其他方式编制的“备份投标文件”视为无效的“备份投标文件”。</w:t>
      </w:r>
    </w:p>
    <w:p w14:paraId="745CDBA8">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9</w:t>
      </w:r>
      <w:r>
        <w:rPr>
          <w:rFonts w:hint="eastAsia" w:ascii="宋体" w:hAnsi="宋体" w:eastAsia="宋体" w:cs="宋体"/>
          <w:b/>
          <w:bCs/>
          <w:color w:val="000000" w:themeColor="text1"/>
          <w:sz w:val="22"/>
          <w:szCs w:val="22"/>
          <w:highlight w:val="none"/>
          <w14:textFill>
            <w14:solidFill>
              <w14:schemeClr w14:val="tx1"/>
            </w14:solidFill>
          </w14:textFill>
        </w:rPr>
        <w:t>、投标文件的份数</w:t>
      </w:r>
    </w:p>
    <w:p w14:paraId="4CD8E07C">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2"/>
          <w:szCs w:val="22"/>
          <w:highlight w:val="none"/>
          <w14:textFill>
            <w14:solidFill>
              <w14:schemeClr w14:val="tx1"/>
            </w14:solidFill>
          </w14:textFill>
        </w:rPr>
        <w:t>.1投标文件的份数：见《前附表》。</w:t>
      </w:r>
    </w:p>
    <w:p w14:paraId="0F704998">
      <w:pPr>
        <w:spacing w:before="100" w:beforeAutospacing="1" w:after="100" w:afterAutospacing="1" w:line="440" w:lineRule="exact"/>
        <w:jc w:val="cente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6" w:name="_Toc15422"/>
      <w:bookmarkStart w:id="17" w:name="_Toc18542"/>
      <w:r>
        <w:rPr>
          <w:rFonts w:hint="eastAsia" w:ascii="宋体" w:hAnsi="宋体" w:eastAsia="宋体" w:cs="宋体"/>
          <w:b/>
          <w:bCs/>
          <w:color w:val="000000" w:themeColor="text1"/>
          <w:sz w:val="22"/>
          <w:szCs w:val="22"/>
          <w:highlight w:val="none"/>
          <w14:textFill>
            <w14:solidFill>
              <w14:schemeClr w14:val="tx1"/>
            </w14:solidFill>
          </w14:textFill>
        </w:rPr>
        <w:t>四、 投标文件的递交</w:t>
      </w:r>
      <w:bookmarkEnd w:id="16"/>
      <w:bookmarkEnd w:id="17"/>
    </w:p>
    <w:p w14:paraId="5AF853E6">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1、投标文件的上传和递交</w:t>
      </w:r>
    </w:p>
    <w:p w14:paraId="28D3CB7A">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1.1“投标文件”的上传、递交：见《前附表》。</w:t>
      </w:r>
    </w:p>
    <w:p w14:paraId="7F92654E">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2、“电子加密投标文件”解密和异常情况处理</w:t>
      </w:r>
    </w:p>
    <w:p w14:paraId="455DDA63">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2.1“电子加密投标文件”解密：见《前附表》。</w:t>
      </w:r>
    </w:p>
    <w:p w14:paraId="294DC55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3、投标文件的补充、修改或撤回</w:t>
      </w:r>
    </w:p>
    <w:p w14:paraId="4EBF2B70">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”将予以拒收。</w:t>
      </w:r>
    </w:p>
    <w:p w14:paraId="5A76BB9D">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3.2投标截止时间后，投标人不得撤回、修改《投标文件》。</w:t>
      </w:r>
    </w:p>
    <w:p w14:paraId="04F03BD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4、投标文件的备选方案</w:t>
      </w:r>
    </w:p>
    <w:p w14:paraId="10C44C1B">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4.1投标人不得递交任何的投标备选（替代）方案，否则其投标文件将作无效标处理。与“电子加密投标文件”同时生成的“备份投标文件”不是投标备选（替代）方案。</w:t>
      </w:r>
    </w:p>
    <w:p w14:paraId="54ACE44D">
      <w:pPr>
        <w:spacing w:before="100" w:beforeAutospacing="1" w:after="100" w:afterAutospacing="1" w:line="460" w:lineRule="exact"/>
        <w:jc w:val="cente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8" w:name="_Toc8079"/>
      <w:bookmarkStart w:id="19" w:name="_Toc30172"/>
      <w:r>
        <w:rPr>
          <w:rFonts w:hint="eastAsia" w:ascii="宋体" w:hAnsi="宋体" w:eastAsia="宋体" w:cs="宋体"/>
          <w:b/>
          <w:bCs/>
          <w:color w:val="000000" w:themeColor="text1"/>
          <w:sz w:val="22"/>
          <w:szCs w:val="22"/>
          <w:highlight w:val="none"/>
          <w14:textFill>
            <w14:solidFill>
              <w14:schemeClr w14:val="tx1"/>
            </w14:solidFill>
          </w14:textFill>
        </w:rPr>
        <w:t>五、 开标和评标</w:t>
      </w:r>
      <w:bookmarkEnd w:id="18"/>
      <w:bookmarkEnd w:id="19"/>
    </w:p>
    <w:p w14:paraId="2CB12A25">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1、评标委员会</w:t>
      </w:r>
    </w:p>
    <w:p w14:paraId="189D75D6">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招标人和招标代理机构组建评标委员会。评标委员会的成员在评标过程中必须严格遵守《政府采购法》等有关法律、法规的规定。</w:t>
      </w:r>
    </w:p>
    <w:p w14:paraId="702747FF">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2、评标过程的保密性</w:t>
      </w:r>
    </w:p>
    <w:p w14:paraId="39607428">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开标后直至向</w:t>
      </w:r>
      <w:r>
        <w:rPr>
          <w:rFonts w:hint="eastAsia" w:ascii="宋体" w:hAnsi="宋体" w:cs="宋体"/>
          <w:bCs/>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bCs/>
          <w:color w:val="000000" w:themeColor="text1"/>
          <w:sz w:val="22"/>
          <w:szCs w:val="22"/>
          <w:highlight w:val="none"/>
          <w14:textFill>
            <w14:solidFill>
              <w14:schemeClr w14:val="tx1"/>
            </w14:solidFill>
          </w14:textFill>
        </w:rPr>
        <w:t>授予合同时止，凡与评审有关的资料均不得向投标人及与评标无关人员透露。如果投标人在评标过程中试图向招标人和招标代理机构施加影响，其投标将被拒绝。</w:t>
      </w:r>
    </w:p>
    <w:p w14:paraId="451B8114">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3、开标形式</w:t>
      </w:r>
    </w:p>
    <w:p w14:paraId="4BC57F02">
      <w:pPr>
        <w:spacing w:line="460" w:lineRule="exact"/>
        <w:ind w:firstLine="541"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 xml:space="preserve"> </w:t>
      </w:r>
      <w:r>
        <w:rPr>
          <w:rFonts w:hint="eastAsia" w:ascii="宋体" w:hAnsi="宋体" w:eastAsia="宋体" w:cs="宋体"/>
          <w:b w:val="0"/>
          <w:bCs/>
          <w:color w:val="000000" w:themeColor="text1"/>
          <w:sz w:val="22"/>
          <w:szCs w:val="22"/>
          <w:highlight w:val="none"/>
          <w14:textFill>
            <w14:solidFill>
              <w14:schemeClr w14:val="tx1"/>
            </w14:solidFill>
          </w14:textFill>
        </w:rPr>
        <w:t>采购组织机构将按照招标文件规定的时间通过“</w:t>
      </w:r>
      <w:r>
        <w:rPr>
          <w:rFonts w:hint="eastAsia" w:ascii="宋体" w:hAnsi="宋体" w:cs="宋体"/>
          <w:b w:val="0"/>
          <w:bCs/>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 w:val="0"/>
          <w:bCs/>
          <w:color w:val="000000" w:themeColor="text1"/>
          <w:sz w:val="22"/>
          <w:szCs w:val="22"/>
          <w:highlight w:val="none"/>
          <w14:textFill>
            <w14:solidFill>
              <w14:schemeClr w14:val="tx1"/>
            </w14:solidFill>
          </w14:textFill>
        </w:rPr>
        <w:t>”组织开标、开启投标文件，所有供应商均应当准时(在线)参加。</w:t>
      </w:r>
    </w:p>
    <w:p w14:paraId="4A3F7637">
      <w:pPr>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4、开标准备</w:t>
      </w:r>
    </w:p>
    <w:p w14:paraId="629AA80C">
      <w:pPr>
        <w:spacing w:line="460" w:lineRule="exact"/>
        <w:ind w:firstLine="539" w:firstLineChars="245"/>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4.1开标的准备工作由采购组织机构负责落实；</w:t>
      </w:r>
    </w:p>
    <w:p w14:paraId="5E617DFC">
      <w:pPr>
        <w:spacing w:line="460" w:lineRule="exact"/>
        <w:ind w:firstLine="539" w:firstLineChars="245"/>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4.2</w:t>
      </w:r>
      <w:r>
        <w:rPr>
          <w:rFonts w:hint="eastAsia" w:ascii="宋体" w:hAnsi="宋体" w:eastAsia="宋体" w:cs="宋体"/>
          <w:b w:val="0"/>
          <w:bCs w:val="0"/>
          <w:color w:val="000000" w:themeColor="text1"/>
          <w:sz w:val="22"/>
          <w:szCs w:val="22"/>
          <w:highlight w:val="none"/>
          <w14:textFill>
            <w14:solidFill>
              <w14:schemeClr w14:val="tx1"/>
            </w14:solidFill>
          </w14:textFill>
        </w:rPr>
        <w:t>采购组织机构将按照招标文件规定的时间通过“</w:t>
      </w:r>
      <w:r>
        <w:rPr>
          <w:rFonts w:hint="eastAsia" w:ascii="宋体" w:hAnsi="宋体" w:cs="宋体"/>
          <w:b w:val="0"/>
          <w:bCs w:val="0"/>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 w:val="0"/>
          <w:bCs w:val="0"/>
          <w:color w:val="000000" w:themeColor="text1"/>
          <w:sz w:val="22"/>
          <w:szCs w:val="22"/>
          <w:highlight w:val="none"/>
          <w14:textFill>
            <w14:solidFill>
              <w14:schemeClr w14:val="tx1"/>
            </w14:solidFill>
          </w14:textFill>
        </w:rPr>
        <w:t>”组织开标、开启投标文件，所有供应商均应当准时(在线)参加。</w:t>
      </w:r>
      <w:r>
        <w:rPr>
          <w:rFonts w:hint="eastAsia" w:ascii="宋体" w:hAnsi="宋体" w:eastAsia="宋体" w:cs="宋体"/>
          <w:b w:val="0"/>
          <w:bCs w:val="0"/>
          <w:color w:val="000000" w:themeColor="text1"/>
          <w:kern w:val="0"/>
          <w:sz w:val="22"/>
          <w:szCs w:val="22"/>
          <w:highlight w:val="none"/>
          <w14:textFill>
            <w14:solidFill>
              <w14:schemeClr w14:val="tx1"/>
            </w14:solidFill>
          </w14:textFill>
        </w:rPr>
        <w:t>投标人如不参加开标大会的，视同认可开标结果，事后不得对采购相关人员、开标过程和开标结果提出异议，同时投标人因未在线参加开标而导致投标文件无法按时解密等一切后果由供应商自己承担。</w:t>
      </w:r>
    </w:p>
    <w:p w14:paraId="21629E15">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5、开标流程</w:t>
      </w:r>
    </w:p>
    <w:p w14:paraId="35D1AF8D">
      <w:pPr>
        <w:spacing w:line="460" w:lineRule="exact"/>
        <w:ind w:firstLine="539" w:firstLineChars="245"/>
        <w:rPr>
          <w:rFonts w:hint="eastAsia" w:ascii="宋体" w:hAnsi="宋体" w:eastAsia="宋体" w:cs="宋体"/>
          <w:b w:val="0"/>
          <w:bCs/>
          <w:color w:val="000000" w:themeColor="text1"/>
          <w:kern w:val="0"/>
          <w:sz w:val="22"/>
          <w:szCs w:val="22"/>
          <w:highlight w:val="none"/>
          <w14:textFill>
            <w14:solidFill>
              <w14:schemeClr w14:val="tx1"/>
            </w14:solidFill>
          </w14:textFill>
        </w:rPr>
      </w:pPr>
      <w:r>
        <w:rPr>
          <w:rFonts w:hint="eastAsia" w:ascii="宋体" w:hAnsi="宋体" w:eastAsia="宋体" w:cs="宋体"/>
          <w:b w:val="0"/>
          <w:bCs/>
          <w:color w:val="000000" w:themeColor="text1"/>
          <w:kern w:val="0"/>
          <w:sz w:val="22"/>
          <w:szCs w:val="22"/>
          <w:highlight w:val="none"/>
          <w14:textFill>
            <w14:solidFill>
              <w14:schemeClr w14:val="tx1"/>
            </w14:solidFill>
          </w14:textFill>
        </w:rPr>
        <w:t>5.1开标、评标</w:t>
      </w:r>
    </w:p>
    <w:p w14:paraId="196A5A64">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w:t>
      </w:r>
      <w:r>
        <w:rPr>
          <w:rFonts w:hint="eastAsia" w:ascii="宋体" w:hAnsi="宋体" w:cs="宋体"/>
          <w:color w:val="000000" w:themeColor="text1"/>
          <w:kern w:val="0"/>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kern w:val="0"/>
          <w:sz w:val="22"/>
          <w:szCs w:val="22"/>
          <w:highlight w:val="none"/>
          <w14:textFill>
            <w14:solidFill>
              <w14:schemeClr w14:val="tx1"/>
            </w14:solidFill>
          </w14:textFill>
        </w:rPr>
        <w:t>”操作规范将备份投标文件上传至“</w:t>
      </w:r>
      <w:r>
        <w:rPr>
          <w:rFonts w:hint="eastAsia" w:ascii="宋体" w:hAnsi="宋体" w:cs="宋体"/>
          <w:color w:val="000000" w:themeColor="text1"/>
          <w:kern w:val="0"/>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kern w:val="0"/>
          <w:sz w:val="22"/>
          <w:szCs w:val="22"/>
          <w:highlight w:val="none"/>
          <w14:textFill>
            <w14:solidFill>
              <w14:schemeClr w14:val="tx1"/>
            </w14:solidFill>
          </w14:textFill>
        </w:rPr>
        <w:t>”，上传成功后，“电子加密投标文件”自动失效；</w:t>
      </w:r>
    </w:p>
    <w:p w14:paraId="531E67A9">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（2）解密成功后，开启投标人的《报价文件》，由供应商对自己报价文件相关内容进行签字确认，（不予确认的应说明理由，否则视为无异议）。</w:t>
      </w:r>
    </w:p>
    <w:p w14:paraId="23B6E2A7">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（3）开启《投标文件》，进入资格审查；</w:t>
      </w:r>
    </w:p>
    <w:p w14:paraId="4D59F16F">
      <w:pPr>
        <w:spacing w:line="460" w:lineRule="exact"/>
        <w:ind w:firstLine="541"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备注：开标大会的结束后，招标人或采购代理机构将对依法对投标人的资格进行审查，资格审查结束后进入符合性审查和商务技术的评审工作，具体见本章节“投标人资格审查”相关规定。</w:t>
      </w:r>
    </w:p>
    <w:p w14:paraId="51E14370">
      <w:pPr>
        <w:spacing w:line="460" w:lineRule="exact"/>
        <w:ind w:firstLine="539" w:firstLineChars="245"/>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（4）开启资格审查通过的投标人的商务技术文件进入符合性审查，</w:t>
      </w:r>
      <w:r>
        <w:rPr>
          <w:rFonts w:hint="eastAsia" w:ascii="宋体" w:hAnsi="宋体" w:eastAsia="宋体" w:cs="宋体"/>
          <w:bCs/>
          <w:color w:val="000000" w:themeColor="text1"/>
          <w:sz w:val="22"/>
          <w:szCs w:val="22"/>
          <w:highlight w:val="none"/>
          <w14:textFill>
            <w14:solidFill>
              <w14:schemeClr w14:val="tx1"/>
            </w14:solidFill>
          </w14:textFill>
        </w:rPr>
        <w:t>以确定其是否满足招标文件的实质性要求</w:t>
      </w:r>
      <w:r>
        <w:rPr>
          <w:rFonts w:hint="eastAsia" w:ascii="宋体" w:hAnsi="宋体" w:cs="宋体"/>
          <w:bCs/>
          <w:color w:val="000000" w:themeColor="text1"/>
          <w:sz w:val="22"/>
          <w:szCs w:val="22"/>
          <w:highlight w:val="none"/>
          <w:lang w:eastAsia="zh-CN"/>
          <w14:textFill>
            <w14:solidFill>
              <w14:schemeClr w14:val="tx1"/>
            </w14:solidFill>
          </w14:textFill>
        </w:rPr>
        <w:t>。</w:t>
      </w:r>
    </w:p>
    <w:p w14:paraId="769CAAAA">
      <w:pPr>
        <w:spacing w:line="460" w:lineRule="exact"/>
        <w:ind w:firstLine="539" w:firstLineChars="245"/>
        <w:rPr>
          <w:rFonts w:hint="eastAsia" w:ascii="宋体" w:hAnsi="宋体" w:eastAsia="宋体" w:cs="宋体"/>
          <w:bCs/>
          <w:color w:val="000000" w:themeColor="text1"/>
          <w:sz w:val="22"/>
          <w:szCs w:val="22"/>
          <w:highlight w:val="none"/>
          <w:u w:val="none"/>
          <w14:textFill>
            <w14:solidFill>
              <w14:schemeClr w14:val="tx1"/>
            </w14:solidFill>
          </w14:textFill>
        </w:rPr>
      </w:pPr>
      <w:r>
        <w:rPr>
          <w:rFonts w:eastAsia="新宋体"/>
          <w:b w:val="0"/>
          <w:bCs w:val="0"/>
          <w:color w:val="000000" w:themeColor="text1"/>
          <w:sz w:val="22"/>
          <w:szCs w:val="22"/>
          <w:highlight w:val="none"/>
          <w:u w:val="none"/>
          <w14:textFill>
            <w14:solidFill>
              <w14:schemeClr w14:val="tx1"/>
            </w14:solidFill>
          </w14:textFill>
        </w:rPr>
        <w:t>当有效供应商少于</w:t>
      </w:r>
      <w:r>
        <w:rPr>
          <w:rFonts w:hint="eastAsia" w:eastAsia="新宋体"/>
          <w:b w:val="0"/>
          <w:bCs w:val="0"/>
          <w:color w:val="000000" w:themeColor="text1"/>
          <w:sz w:val="22"/>
          <w:szCs w:val="22"/>
          <w:highlight w:val="none"/>
          <w:u w:val="none"/>
          <w:lang w:val="en-US" w:eastAsia="zh-CN"/>
          <w14:textFill>
            <w14:solidFill>
              <w14:schemeClr w14:val="tx1"/>
            </w14:solidFill>
          </w14:textFill>
        </w:rPr>
        <w:t>4</w:t>
      </w:r>
      <w:r>
        <w:rPr>
          <w:rFonts w:eastAsia="新宋体"/>
          <w:b w:val="0"/>
          <w:bCs w:val="0"/>
          <w:color w:val="000000" w:themeColor="text1"/>
          <w:sz w:val="22"/>
          <w:szCs w:val="22"/>
          <w:highlight w:val="none"/>
          <w:u w:val="none"/>
          <w14:textFill>
            <w14:solidFill>
              <w14:schemeClr w14:val="tx1"/>
            </w14:solidFill>
          </w14:textFill>
        </w:rPr>
        <w:t>家（不含</w:t>
      </w:r>
      <w:r>
        <w:rPr>
          <w:rFonts w:hint="eastAsia" w:eastAsia="新宋体"/>
          <w:b w:val="0"/>
          <w:bCs w:val="0"/>
          <w:color w:val="000000" w:themeColor="text1"/>
          <w:sz w:val="22"/>
          <w:szCs w:val="22"/>
          <w:highlight w:val="none"/>
          <w:u w:val="none"/>
          <w:lang w:val="en-US" w:eastAsia="zh-CN"/>
          <w14:textFill>
            <w14:solidFill>
              <w14:schemeClr w14:val="tx1"/>
            </w14:solidFill>
          </w14:textFill>
        </w:rPr>
        <w:t>4</w:t>
      </w:r>
      <w:r>
        <w:rPr>
          <w:rFonts w:eastAsia="新宋体"/>
          <w:b w:val="0"/>
          <w:bCs w:val="0"/>
          <w:color w:val="000000" w:themeColor="text1"/>
          <w:sz w:val="22"/>
          <w:szCs w:val="22"/>
          <w:highlight w:val="none"/>
          <w:u w:val="none"/>
          <w14:textFill>
            <w14:solidFill>
              <w14:schemeClr w14:val="tx1"/>
            </w14:solidFill>
          </w14:textFill>
        </w:rPr>
        <w:t>家）时，</w:t>
      </w:r>
      <w:r>
        <w:rPr>
          <w:rFonts w:hint="eastAsia" w:eastAsia="新宋体"/>
          <w:b w:val="0"/>
          <w:bCs w:val="0"/>
          <w:color w:val="000000" w:themeColor="text1"/>
          <w:sz w:val="22"/>
          <w:szCs w:val="22"/>
          <w:highlight w:val="none"/>
          <w:u w:val="none"/>
          <w:lang w:val="en-US" w:eastAsia="zh-CN"/>
          <w14:textFill>
            <w14:solidFill>
              <w14:schemeClr w14:val="tx1"/>
            </w14:solidFill>
          </w14:textFill>
        </w:rPr>
        <w:t>此标项</w:t>
      </w:r>
      <w:r>
        <w:rPr>
          <w:rFonts w:eastAsia="新宋体"/>
          <w:b w:val="0"/>
          <w:bCs w:val="0"/>
          <w:color w:val="000000" w:themeColor="text1"/>
          <w:sz w:val="22"/>
          <w:szCs w:val="22"/>
          <w:highlight w:val="none"/>
          <w:u w:val="none"/>
          <w14:textFill>
            <w14:solidFill>
              <w14:schemeClr w14:val="tx1"/>
            </w14:solidFill>
          </w14:textFill>
        </w:rPr>
        <w:t>流标，重新组织采购。</w:t>
      </w:r>
    </w:p>
    <w:p w14:paraId="5400673F">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30FBEC81">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（5）对通过资格审查、符合性审查的合格供应商进行商务技术部分的评审。</w:t>
      </w:r>
    </w:p>
    <w:p w14:paraId="31004ABD">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（6）评标委员会对报价的合理性、准确性等进行审查核实。</w:t>
      </w:r>
    </w:p>
    <w:p w14:paraId="7FFA9BA0">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（7）评审结束后，公布中标（成交）候选供应商名单及招标人最终确定中标或成交供应商名单的时间和公告方式等，未在场的投标人通过发送邮件形式通知。</w:t>
      </w:r>
    </w:p>
    <w:p w14:paraId="3D540246">
      <w:pPr>
        <w:spacing w:line="460" w:lineRule="exact"/>
        <w:ind w:firstLine="541" w:firstLineChars="245"/>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特别说明：如遇“</w:t>
      </w:r>
      <w:r>
        <w:rPr>
          <w:rFonts w:hint="eastAsia" w:ascii="宋体" w:hAnsi="宋体" w:cs="宋体"/>
          <w:b/>
          <w:color w:val="000000" w:themeColor="text1"/>
          <w:kern w:val="0"/>
          <w:sz w:val="22"/>
          <w:szCs w:val="22"/>
          <w:highlight w:val="none"/>
          <w:lang w:eastAsia="zh-CN"/>
          <w14:textFill>
            <w14:solidFill>
              <w14:schemeClr w14:val="tx1"/>
            </w14:solidFill>
          </w14:textFill>
        </w:rPr>
        <w:t>乐采云平台</w:t>
      </w:r>
      <w:r>
        <w:rPr>
          <w:rFonts w:hint="eastAsia" w:ascii="宋体" w:hAnsi="宋体" w:eastAsia="宋体" w:cs="宋体"/>
          <w:b/>
          <w:color w:val="000000" w:themeColor="text1"/>
          <w:kern w:val="0"/>
          <w:sz w:val="22"/>
          <w:szCs w:val="22"/>
          <w:highlight w:val="none"/>
          <w14:textFill>
            <w14:solidFill>
              <w14:schemeClr w14:val="tx1"/>
            </w14:solidFill>
          </w14:textFill>
        </w:rPr>
        <w:t>”电子化开标或评审程序调整的，按调整后程序执行。</w:t>
      </w:r>
    </w:p>
    <w:p w14:paraId="7E130700">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bookmarkStart w:id="20" w:name="_Toc24550037"/>
      <w:bookmarkStart w:id="21" w:name="_Toc33194393"/>
      <w:r>
        <w:rPr>
          <w:rFonts w:hint="eastAsia" w:ascii="宋体" w:hAnsi="宋体" w:eastAsia="宋体" w:cs="宋体"/>
          <w:b/>
          <w:bCs/>
          <w:color w:val="000000" w:themeColor="text1"/>
          <w:sz w:val="22"/>
          <w:szCs w:val="22"/>
          <w:highlight w:val="none"/>
          <w14:textFill>
            <w14:solidFill>
              <w14:schemeClr w14:val="tx1"/>
            </w14:solidFill>
          </w14:textFill>
        </w:rPr>
        <w:t>6、投标人资格审查</w:t>
      </w:r>
      <w:bookmarkEnd w:id="20"/>
      <w:bookmarkEnd w:id="21"/>
    </w:p>
    <w:p w14:paraId="68523BBD">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6.1开标大会结束后，招标人或采购代理机构首先依法对各投标人的资格进行审查，审查各投标人的资格是否满足招标文件的要求。招标人或采</w:t>
      </w:r>
      <w:r>
        <w:rPr>
          <w:rFonts w:hint="eastAsia" w:ascii="宋体" w:hAnsi="宋体" w:eastAsia="宋体" w:cs="宋体"/>
          <w:color w:val="000000" w:themeColor="text1"/>
          <w:sz w:val="22"/>
          <w:szCs w:val="22"/>
          <w:highlight w:val="none"/>
          <w14:textFill>
            <w14:solidFill>
              <w14:schemeClr w14:val="tx1"/>
            </w14:solidFill>
          </w14:textFill>
        </w:rPr>
        <w:t>购代理机构对投标人所提交的资格证明材料仅负审核的责任。如发现投标人所提交的资格证明材料不合法或与事实不符，招标人可取消其中标资格并追究投标人的法律责任。</w:t>
      </w:r>
    </w:p>
    <w:p w14:paraId="3B10EC5B">
      <w:pPr>
        <w:spacing w:line="460" w:lineRule="exact"/>
        <w:ind w:firstLine="539" w:firstLineChars="245"/>
        <w:rPr>
          <w:rFonts w:hint="eastAsia" w:ascii="宋体" w:hAnsi="宋体" w:eastAsia="宋体" w:cs="宋体"/>
          <w:b w:val="0"/>
          <w:bCs/>
          <w:color w:val="000000" w:themeColor="text1"/>
          <w:kern w:val="0"/>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6.2投标人提交的资格证明材料无法证明其符合招标文件规定的“投标人资格要求”的，招标人或采购代理机构</w:t>
      </w:r>
      <w:r>
        <w:rPr>
          <w:rFonts w:hint="eastAsia" w:ascii="宋体" w:hAnsi="宋体" w:eastAsia="宋体" w:cs="宋体"/>
          <w:b w:val="0"/>
          <w:bCs/>
          <w:color w:val="000000" w:themeColor="text1"/>
          <w:kern w:val="0"/>
          <w:sz w:val="22"/>
          <w:szCs w:val="22"/>
          <w:highlight w:val="none"/>
          <w14:textFill>
            <w14:solidFill>
              <w14:schemeClr w14:val="tx1"/>
            </w14:solidFill>
          </w14:textFill>
        </w:rPr>
        <w:t>将对其作资格审查不通过处理（无效投标），并不再将其投标提交评标委员会进行后续评审。</w:t>
      </w:r>
    </w:p>
    <w:p w14:paraId="2EBFF16A">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6</w:t>
      </w:r>
      <w:r>
        <w:rPr>
          <w:rFonts w:hint="eastAsia" w:ascii="宋体" w:hAnsi="宋体" w:eastAsia="宋体" w:cs="宋体"/>
          <w:b w:val="0"/>
          <w:bCs/>
          <w:color w:val="000000" w:themeColor="text1"/>
          <w:kern w:val="0"/>
          <w:sz w:val="22"/>
          <w:szCs w:val="22"/>
          <w:highlight w:val="none"/>
          <w14:textFill>
            <w14:solidFill>
              <w14:schemeClr w14:val="tx1"/>
            </w14:solidFill>
          </w14:textFill>
        </w:rPr>
        <w:t>.3单位负责人为同一人或者存在直接控股、管理关系的不同供应商参加同一合同项下的政府采购活动的，相关投标人均作资格无效处理。</w:t>
      </w:r>
    </w:p>
    <w:p w14:paraId="67E9DA07">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7、评标委员按照招标文件中规定的评标方法和标准，对投标文件进行商务和技术评估，综合比较与评价。</w:t>
      </w:r>
    </w:p>
    <w:p w14:paraId="2E5C7D29">
      <w:pPr>
        <w:spacing w:line="460" w:lineRule="exact"/>
        <w:ind w:firstLine="541" w:firstLineChars="245"/>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8、投标人存在下列情况之一的，投标无效：</w:t>
      </w:r>
    </w:p>
    <w:p w14:paraId="0FE39932">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（1）投标文件未按招标文件要求签署、盖章的；</w:t>
      </w:r>
    </w:p>
    <w:p w14:paraId="3532223C">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 xml:space="preserve">（2）不具备招标文件中规定的资格要求的； </w:t>
      </w:r>
    </w:p>
    <w:p w14:paraId="7A6522B3">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（3）明显不符合招标文件中主要技术规格、技术标准的；</w:t>
      </w:r>
    </w:p>
    <w:p w14:paraId="227FD181">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（4）投标文件内容不全或关键字迹模糊无法辨认的；</w:t>
      </w:r>
    </w:p>
    <w:p w14:paraId="1B573018">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（5）报价超过招标文件中规定的预算金额的；</w:t>
      </w:r>
    </w:p>
    <w:p w14:paraId="04189AB6">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（6）投标人代表没有法定代表人合法、有效委托的；</w:t>
      </w:r>
    </w:p>
    <w:p w14:paraId="0CBE76C7">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（7）投标文件存在一个或一个以上备选（替代）投标方案的；</w:t>
      </w:r>
    </w:p>
    <w:p w14:paraId="3331225A">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（8）仅提交“备份投标文件”的；</w:t>
      </w:r>
    </w:p>
    <w:p w14:paraId="687154FF">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（9）投标文件含有招标人不能接受的附加条件的；</w:t>
      </w:r>
    </w:p>
    <w:p w14:paraId="38C222E2">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（10）法律、法规和招标文件规定的其他无效情形。</w:t>
      </w:r>
    </w:p>
    <w:p w14:paraId="1A992DF2">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9、有下列情形之一的，视为投标人串通投标，其投标无效</w:t>
      </w:r>
    </w:p>
    <w:p w14:paraId="34BFEDA6">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（1）不同投标人的投标文件由同一单位或者个人编制；</w:t>
      </w:r>
    </w:p>
    <w:p w14:paraId="5E4AFFD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（2）不同投标人委托同一单位或者个人办理投标事宜；</w:t>
      </w:r>
    </w:p>
    <w:p w14:paraId="1C67B56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（3）不同投标人的投标文件载明的项目管理成员或者联系人员为同一人；</w:t>
      </w:r>
    </w:p>
    <w:p w14:paraId="084B982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（4）不同投标人的投标文件异常一致或者投标报价呈规律性差异；</w:t>
      </w:r>
    </w:p>
    <w:p w14:paraId="6AD453B4">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（5）不同投标人的投标文件相互混装。</w:t>
      </w:r>
    </w:p>
    <w:p w14:paraId="2346DA55">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cs="宋体"/>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bCs/>
          <w:color w:val="000000" w:themeColor="text1"/>
          <w:sz w:val="22"/>
          <w:szCs w:val="22"/>
          <w:highlight w:val="none"/>
          <w14:textFill>
            <w14:solidFill>
              <w14:schemeClr w14:val="tx1"/>
            </w14:solidFill>
          </w14:textFill>
        </w:rPr>
        <w:t>、标委员会成员对需要共同认定的事项存在争议的，应当按照少数服从多数的原则作出结论。持不同意见的评标委员会成员应当在评标报告上签署不同意见及理由，否则视为同意评标报告。</w:t>
      </w:r>
    </w:p>
    <w:p w14:paraId="31463CF4">
      <w:pPr>
        <w:spacing w:line="460" w:lineRule="exact"/>
        <w:ind w:firstLine="762" w:firstLineChars="345"/>
        <w:rPr>
          <w:rFonts w:hint="eastAsia" w:ascii="宋体" w:hAnsi="宋体" w:eastAsia="宋体" w:cs="宋体"/>
          <w:b/>
          <w:bCs w:val="0"/>
          <w:color w:val="000000" w:themeColor="text1"/>
          <w:sz w:val="22"/>
          <w:szCs w:val="22"/>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14:textFill>
            <w14:solidFill>
              <w14:schemeClr w14:val="tx1"/>
            </w14:solidFill>
          </w14:textFill>
        </w:rPr>
        <w:t>1</w:t>
      </w:r>
      <w:r>
        <w:rPr>
          <w:rFonts w:hint="eastAsia" w:ascii="宋体" w:hAnsi="宋体" w:cs="宋体"/>
          <w:b/>
          <w:b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val="0"/>
          <w:color w:val="000000" w:themeColor="text1"/>
          <w:sz w:val="22"/>
          <w:szCs w:val="22"/>
          <w:highlight w:val="none"/>
          <w14:textFill>
            <w14:solidFill>
              <w14:schemeClr w14:val="tx1"/>
            </w14:solidFill>
          </w14:textFill>
        </w:rPr>
        <w:t>、投标文件的澄清</w:t>
      </w:r>
    </w:p>
    <w:p w14:paraId="21FFDDF8">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.1在评标期间，评标委员会可要求投标人对于投标文件中含义不明确、同类问题表述不一致或者有明显文字和计算错误的内容，评标委员会应当以书面形式（或通过“</w:t>
      </w:r>
      <w:r>
        <w:rPr>
          <w:rFonts w:hint="eastAsia" w:ascii="宋体" w:hAnsi="宋体" w:cs="宋体"/>
          <w:bCs/>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Cs/>
          <w:color w:val="000000" w:themeColor="text1"/>
          <w:sz w:val="22"/>
          <w:szCs w:val="22"/>
          <w:highlight w:val="none"/>
          <w14:textFill>
            <w14:solidFill>
              <w14:schemeClr w14:val="tx1"/>
            </w14:solidFill>
          </w14:textFill>
        </w:rPr>
        <w:t>”在线询标）要求投标人在规定的时间内作出必要的澄清、说明或者补正。投标人澄清、说明或补正时间为30分钟。</w:t>
      </w:r>
    </w:p>
    <w:p w14:paraId="15283806">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.2投标人的澄清、说明或者补正应当采用书面形式（或通过“</w:t>
      </w:r>
      <w:r>
        <w:rPr>
          <w:rFonts w:hint="eastAsia" w:ascii="宋体" w:hAnsi="宋体" w:cs="宋体"/>
          <w:bCs/>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Cs/>
          <w:color w:val="000000" w:themeColor="text1"/>
          <w:sz w:val="22"/>
          <w:szCs w:val="22"/>
          <w:highlight w:val="none"/>
          <w14:textFill>
            <w14:solidFill>
              <w14:schemeClr w14:val="tx1"/>
            </w14:solidFill>
          </w14:textFill>
        </w:rPr>
        <w:t>”在线答复），并加盖公章，或者由法定代表人或其授权的代表签字。投标人的澄清、说明或者补正不得超出投标文件的范围或者改变投标文件的实质性内容。</w:t>
      </w:r>
    </w:p>
    <w:p w14:paraId="6FDC11A6">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拒不按要求对其投标文件进行澄清，说明或补正的投标人，评标委员会可以否决其投标。</w:t>
      </w:r>
    </w:p>
    <w:p w14:paraId="72C7A3B3">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2"/>
          <w:szCs w:val="22"/>
          <w:highlight w:val="none"/>
          <w14:textFill>
            <w14:solidFill>
              <w14:schemeClr w14:val="tx1"/>
            </w14:solidFill>
          </w14:textFill>
        </w:rPr>
        <w:t>.2经澄清后，若偏差仍存在，且不可接受，投标人则被认为是“没有实质性响应招标文件要求”，其投标将被拒绝。</w:t>
      </w:r>
    </w:p>
    <w:p w14:paraId="67964F2F">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、评审结果的修改</w:t>
      </w:r>
    </w:p>
    <w:p w14:paraId="3BAEBA84">
      <w:pPr>
        <w:spacing w:line="460" w:lineRule="exact"/>
        <w:ind w:firstLine="762"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w:t>
      </w:r>
      <w:r>
        <w:rPr>
          <w:rFonts w:hint="eastAsia" w:ascii="宋体" w:hAnsi="宋体" w:cs="宋体"/>
          <w:b/>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z w:val="22"/>
          <w:szCs w:val="22"/>
          <w:highlight w:val="none"/>
          <w14:textFill>
            <w14:solidFill>
              <w14:schemeClr w14:val="tx1"/>
            </w14:solidFill>
          </w14:textFill>
        </w:rPr>
        <w:t>.1评标结果汇总完成后，除下列情形外，任何人不得修改评标结果：</w:t>
      </w:r>
    </w:p>
    <w:p w14:paraId="096F3BFF">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（1）分值汇总计算错误的；</w:t>
      </w:r>
    </w:p>
    <w:p w14:paraId="69C943E3">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（2）分项评分超出评分标准范围的；</w:t>
      </w:r>
    </w:p>
    <w:p w14:paraId="7A043E10">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（3）评标委员会成员对客观评审因素评分不一致的；</w:t>
      </w:r>
    </w:p>
    <w:p w14:paraId="57051477">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（4）经评标委员会认定评分畸高、畸低的。</w:t>
      </w:r>
    </w:p>
    <w:p w14:paraId="30190115">
      <w:pPr>
        <w:spacing w:line="460" w:lineRule="exact"/>
        <w:ind w:firstLine="759" w:firstLineChars="345"/>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1</w:t>
      </w:r>
      <w:r>
        <w:rPr>
          <w:rFonts w:hint="eastAsia" w:ascii="宋体" w:hAnsi="宋体" w:cs="宋体"/>
          <w:b w:val="0"/>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color w:val="000000" w:themeColor="text1"/>
          <w:sz w:val="22"/>
          <w:szCs w:val="22"/>
          <w:highlight w:val="none"/>
          <w14:textFill>
            <w14:solidFill>
              <w14:schemeClr w14:val="tx1"/>
            </w14:solidFill>
          </w14:textFill>
        </w:rPr>
        <w:t>.2书面评标报告签署前，经复核发现存在以上情形之一的，评标委员会将当场修改评标结果，并在评标报告中记载。</w:t>
      </w:r>
    </w:p>
    <w:p w14:paraId="3DEDCE17">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bookmarkStart w:id="22" w:name="_Toc21056"/>
      <w:bookmarkStart w:id="23" w:name="_Toc26836"/>
      <w:r>
        <w:rPr>
          <w:rFonts w:hint="eastAsia" w:ascii="宋体" w:hAnsi="宋体" w:eastAsia="宋体" w:cs="宋体"/>
          <w:color w:val="000000" w:themeColor="text1"/>
          <w:sz w:val="22"/>
          <w:szCs w:val="22"/>
          <w:highlight w:val="none"/>
          <w14:textFill>
            <w14:solidFill>
              <w14:schemeClr w14:val="tx1"/>
            </w14:solidFill>
          </w14:textFill>
        </w:rPr>
        <w:t>14</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确定中标候选人</w:t>
      </w:r>
    </w:p>
    <w:p w14:paraId="660BD949">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14.1由评标委员会确定中标候选人。</w:t>
      </w:r>
    </w:p>
    <w:p w14:paraId="5D05D92A">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14.2评标委员会依据法律、法规及招标文件有关规定按评审后得分（即商务技术分与报价得分之和）由高到低顺序排序，得分前</w:t>
      </w:r>
      <w:r>
        <w:rPr>
          <w:rFonts w:hint="eastAsia" w:ascii="宋体" w:hAnsi="宋体" w:cs="宋体"/>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color w:val="000000" w:themeColor="text1"/>
          <w:sz w:val="22"/>
          <w:szCs w:val="22"/>
          <w:highlight w:val="none"/>
          <w14:textFill>
            <w14:solidFill>
              <w14:schemeClr w14:val="tx1"/>
            </w14:solidFill>
          </w14:textFill>
        </w:rPr>
        <w:t>名的投标人为确定为该项目的第一中标（成交）候选人，其他供应商按排名为依次为第二、第三中标（成交）候选人（得分相同的，按投标报价由低到高顺序排列。得分且投标报价相同的并列。）向招标人推荐。</w:t>
      </w:r>
    </w:p>
    <w:p w14:paraId="4DA5EB2F">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15、确定中标人</w:t>
      </w:r>
    </w:p>
    <w:p w14:paraId="589D5927">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24E45FC6">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15.2如中标人放弃中标；或未能在规定时间内与招标人签订合同的；或者经质疑，招标人审查后，确因排名</w:t>
      </w:r>
      <w:r>
        <w:rPr>
          <w:rFonts w:hint="eastAsia" w:ascii="宋体" w:hAnsi="宋体" w:cs="宋体"/>
          <w:color w:val="000000" w:themeColor="text1"/>
          <w:sz w:val="22"/>
          <w:szCs w:val="22"/>
          <w:highlight w:val="none"/>
          <w:lang w:val="en-US" w:eastAsia="zh-CN"/>
          <w14:textFill>
            <w14:solidFill>
              <w14:schemeClr w14:val="tx1"/>
            </w14:solidFill>
          </w14:textFill>
        </w:rPr>
        <w:t>前三名</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lang w:val="en-US" w:eastAsia="zh-CN"/>
          <w14:textFill>
            <w14:solidFill>
              <w14:schemeClr w14:val="tx1"/>
            </w14:solidFill>
          </w14:textFill>
        </w:rPr>
        <w:t>第一中标</w:t>
      </w:r>
      <w:r>
        <w:rPr>
          <w:rFonts w:hint="eastAsia" w:ascii="宋体" w:hAnsi="宋体" w:eastAsia="宋体" w:cs="宋体"/>
          <w:color w:val="000000" w:themeColor="text1"/>
          <w:sz w:val="22"/>
          <w:szCs w:val="22"/>
          <w:highlight w:val="none"/>
          <w14:textFill>
            <w14:solidFill>
              <w14:schemeClr w14:val="tx1"/>
            </w14:solidFill>
          </w14:textFill>
        </w:rPr>
        <w:t>候选人在本次采购活动中存在违法违规行为或其他原因使质疑成立的，招标人可以视情况直接确定第二</w:t>
      </w:r>
      <w:r>
        <w:rPr>
          <w:rFonts w:hint="eastAsia" w:ascii="宋体" w:hAnsi="宋体" w:cs="宋体"/>
          <w:color w:val="000000" w:themeColor="text1"/>
          <w:sz w:val="22"/>
          <w:szCs w:val="22"/>
          <w:highlight w:val="none"/>
          <w:lang w:val="en-US" w:eastAsia="zh-CN"/>
          <w14:textFill>
            <w14:solidFill>
              <w14:schemeClr w14:val="tx1"/>
            </w14:solidFill>
          </w14:textFill>
        </w:rPr>
        <w:t>中标</w:t>
      </w:r>
      <w:r>
        <w:rPr>
          <w:rFonts w:hint="eastAsia" w:ascii="宋体" w:hAnsi="宋体" w:eastAsia="宋体" w:cs="宋体"/>
          <w:color w:val="000000" w:themeColor="text1"/>
          <w:sz w:val="22"/>
          <w:szCs w:val="22"/>
          <w:highlight w:val="none"/>
          <w14:textFill>
            <w14:solidFill>
              <w14:schemeClr w14:val="tx1"/>
            </w14:solidFill>
          </w14:textFill>
        </w:rPr>
        <w:t>候选人为中标人或重新组织招标。</w:t>
      </w:r>
    </w:p>
    <w:p w14:paraId="59307703">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16、起草、签署评审报告</w:t>
      </w:r>
    </w:p>
    <w:p w14:paraId="71ADFC7B">
      <w:pPr>
        <w:spacing w:line="460" w:lineRule="exact"/>
        <w:ind w:firstLine="759" w:firstLineChars="3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评审结束后，评标委员会将通过“</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”起草评审报告，评标委员会成员应当在评审报告上签字，对自己的评审意见承担法律责任。对评审报告有异议的，应当在评审报告上签署不同意见，并说明理由，否则视为同意评审报告。</w:t>
      </w:r>
    </w:p>
    <w:p w14:paraId="02818400">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中标人确定后，招标人将在政府指定媒体公告中标结果，招标人向中标人发出中标通知书。</w:t>
      </w:r>
    </w:p>
    <w:p w14:paraId="0E2D2174">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18、招标人对决标结果不做任何解释，也不保证最低价中标。</w:t>
      </w:r>
    </w:p>
    <w:p w14:paraId="47F8AE6C">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19、评标细则详见“评标原则及方法”。</w:t>
      </w:r>
    </w:p>
    <w:p w14:paraId="0E1883D6">
      <w:pPr>
        <w:spacing w:before="100" w:beforeAutospacing="1" w:after="100" w:afterAutospacing="1" w:line="44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六、 授予合同</w:t>
      </w:r>
      <w:bookmarkEnd w:id="22"/>
      <w:bookmarkEnd w:id="23"/>
    </w:p>
    <w:p w14:paraId="3638CD3C">
      <w:pPr>
        <w:spacing w:line="460" w:lineRule="exact"/>
        <w:ind w:firstLine="541" w:firstLineChars="245"/>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1、</w:t>
      </w:r>
      <w:r>
        <w:rPr>
          <w:rFonts w:hint="eastAsia" w:ascii="宋体" w:hAnsi="宋体" w:cs="宋体"/>
          <w:b/>
          <w:color w:val="000000" w:themeColor="text1"/>
          <w:sz w:val="22"/>
          <w:highlight w:val="none"/>
          <w:lang w:eastAsia="zh-CN"/>
          <w14:textFill>
            <w14:solidFill>
              <w14:schemeClr w14:val="tx1"/>
            </w14:solidFill>
          </w14:textFill>
        </w:rPr>
        <w:t>入围通知书</w:t>
      </w:r>
    </w:p>
    <w:p w14:paraId="758D5CD6">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1.1</w:t>
      </w:r>
      <w:r>
        <w:rPr>
          <w:rFonts w:hint="eastAsia" w:ascii="宋体" w:hAnsi="宋体" w:cs="宋体"/>
          <w:b w:val="0"/>
          <w:bCs w:val="0"/>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b w:val="0"/>
          <w:bCs w:val="0"/>
          <w:color w:val="000000" w:themeColor="text1"/>
          <w:sz w:val="22"/>
          <w:szCs w:val="22"/>
          <w:highlight w:val="none"/>
          <w14:textFill>
            <w14:solidFill>
              <w14:schemeClr w14:val="tx1"/>
            </w14:solidFill>
          </w14:textFill>
        </w:rPr>
        <w:t>确定后，招标人将向</w:t>
      </w:r>
      <w:r>
        <w:rPr>
          <w:rFonts w:hint="eastAsia" w:ascii="宋体" w:hAnsi="宋体" w:cs="宋体"/>
          <w:b w:val="0"/>
          <w:bCs w:val="0"/>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b w:val="0"/>
          <w:bCs w:val="0"/>
          <w:color w:val="000000" w:themeColor="text1"/>
          <w:sz w:val="22"/>
          <w:szCs w:val="22"/>
          <w:highlight w:val="none"/>
          <w14:textFill>
            <w14:solidFill>
              <w14:schemeClr w14:val="tx1"/>
            </w14:solidFill>
          </w14:textFill>
        </w:rPr>
        <w:t>发出</w:t>
      </w:r>
      <w:r>
        <w:rPr>
          <w:rFonts w:hint="eastAsia" w:ascii="宋体" w:hAnsi="宋体" w:cs="宋体"/>
          <w:b w:val="0"/>
          <w:bCs w:val="0"/>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p>
    <w:p w14:paraId="668BCCBE">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1.2</w:t>
      </w:r>
      <w:r>
        <w:rPr>
          <w:rFonts w:hint="eastAsia" w:ascii="宋体" w:hAnsi="宋体" w:cs="宋体"/>
          <w:b w:val="0"/>
          <w:bCs w:val="0"/>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color w:val="000000" w:themeColor="text1"/>
          <w:sz w:val="22"/>
          <w:szCs w:val="22"/>
          <w:highlight w:val="none"/>
          <w14:textFill>
            <w14:solidFill>
              <w14:schemeClr w14:val="tx1"/>
            </w14:solidFill>
          </w14:textFill>
        </w:rPr>
        <w:t>是合同的一个组成部分,对招标人和</w:t>
      </w:r>
      <w:r>
        <w:rPr>
          <w:rFonts w:hint="eastAsia" w:ascii="宋体" w:hAnsi="宋体" w:cs="宋体"/>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均具有同等法律效力。</w:t>
      </w:r>
    </w:p>
    <w:p w14:paraId="7C8381C5">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2、授标时更改采购货物数量的权力</w:t>
      </w:r>
    </w:p>
    <w:p w14:paraId="2DE2A913">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2.1招标人在授予合同时有权对采购货物的数量和服务在一定幅度范围内予以增加或减少,但不得对单价和其他的条款和条件作任何改变。</w:t>
      </w:r>
    </w:p>
    <w:p w14:paraId="6B3F6A99">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3、签订合同</w:t>
      </w:r>
    </w:p>
    <w:p w14:paraId="17491318">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3.1</w:t>
      </w:r>
      <w:r>
        <w:rPr>
          <w:rFonts w:hint="eastAsia" w:ascii="宋体" w:hAnsi="宋体" w:cs="宋体"/>
          <w:bCs/>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bCs/>
          <w:color w:val="000000" w:themeColor="text1"/>
          <w:sz w:val="22"/>
          <w:szCs w:val="22"/>
          <w:highlight w:val="none"/>
          <w14:textFill>
            <w14:solidFill>
              <w14:schemeClr w14:val="tx1"/>
            </w14:solidFill>
          </w14:textFill>
        </w:rPr>
        <w:t>应按</w:t>
      </w:r>
      <w:r>
        <w:rPr>
          <w:rFonts w:hint="eastAsia" w:ascii="宋体" w:hAnsi="宋体" w:cs="宋体"/>
          <w:bCs/>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bCs/>
          <w:color w:val="000000" w:themeColor="text1"/>
          <w:sz w:val="22"/>
          <w:szCs w:val="22"/>
          <w:highlight w:val="none"/>
          <w14:textFill>
            <w14:solidFill>
              <w14:schemeClr w14:val="tx1"/>
            </w14:solidFill>
          </w14:textFill>
        </w:rPr>
        <w:t>规定的时间、地点与招标人签订合同。</w:t>
      </w:r>
    </w:p>
    <w:p w14:paraId="335B8F54">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3.2</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在签订合同前，招标人有权在中标总价不变的前提下要求</w:t>
      </w:r>
      <w:r>
        <w:rPr>
          <w:rFonts w:hint="eastAsia" w:ascii="宋体" w:hAnsi="宋体" w:cs="宋体"/>
          <w:b w:val="0"/>
          <w:bCs w:val="0"/>
          <w:color w:val="000000" w:themeColor="text1"/>
          <w:spacing w:val="6"/>
          <w:sz w:val="22"/>
          <w:szCs w:val="22"/>
          <w:highlight w:val="none"/>
          <w:lang w:eastAsia="zh-CN"/>
          <w14:textFill>
            <w14:solidFill>
              <w14:schemeClr w14:val="tx1"/>
            </w14:solidFill>
          </w14:textFill>
        </w:rPr>
        <w:t>入围供应商</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对商务报价中的不平衡报价和缺漏项进行调整，如果</w:t>
      </w:r>
      <w:r>
        <w:rPr>
          <w:rFonts w:hint="eastAsia" w:ascii="宋体" w:hAnsi="宋体" w:cs="宋体"/>
          <w:b w:val="0"/>
          <w:bCs w:val="0"/>
          <w:color w:val="000000" w:themeColor="text1"/>
          <w:spacing w:val="6"/>
          <w:sz w:val="22"/>
          <w:szCs w:val="22"/>
          <w:highlight w:val="none"/>
          <w:lang w:eastAsia="zh-CN"/>
          <w14:textFill>
            <w14:solidFill>
              <w14:schemeClr w14:val="tx1"/>
            </w14:solidFill>
          </w14:textFill>
        </w:rPr>
        <w:t>入围供应商</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无合理理由拒绝调整，其中投标资格将被取消，保证金将不予退还，且将导致其它进一步的赔偿和处罚。</w:t>
      </w:r>
    </w:p>
    <w:p w14:paraId="757BE506">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3.3招标文件、</w:t>
      </w:r>
      <w:r>
        <w:rPr>
          <w:rFonts w:hint="eastAsia" w:ascii="宋体" w:hAnsi="宋体" w:cs="宋体"/>
          <w:color w:val="000000" w:themeColor="text1"/>
          <w:sz w:val="22"/>
          <w:szCs w:val="22"/>
          <w:highlight w:val="none"/>
          <w:lang w:eastAsia="zh-CN"/>
          <w14:textFill>
            <w14:solidFill>
              <w14:schemeClr w14:val="tx1"/>
            </w14:solidFill>
          </w14:textFill>
        </w:rPr>
        <w:t>入围供应商</w:t>
      </w:r>
      <w:r>
        <w:rPr>
          <w:rFonts w:hint="eastAsia" w:ascii="宋体" w:hAnsi="宋体" w:eastAsia="宋体" w:cs="宋体"/>
          <w:color w:val="000000" w:themeColor="text1"/>
          <w:sz w:val="22"/>
          <w:szCs w:val="22"/>
          <w:highlight w:val="none"/>
          <w14:textFill>
            <w14:solidFill>
              <w14:schemeClr w14:val="tx1"/>
            </w14:solidFill>
          </w14:textFill>
        </w:rPr>
        <w:t>的投标文件、投标修改文件、评标过程中有关澄清文件及经投标人和评委双方签字的询标纪要和</w:t>
      </w:r>
      <w:r>
        <w:rPr>
          <w:rFonts w:hint="eastAsia" w:ascii="宋体" w:hAnsi="宋体" w:cs="宋体"/>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color w:val="000000" w:themeColor="text1"/>
          <w:sz w:val="22"/>
          <w:szCs w:val="22"/>
          <w:highlight w:val="none"/>
          <w14:textFill>
            <w14:solidFill>
              <w14:schemeClr w14:val="tx1"/>
            </w14:solidFill>
          </w14:textFill>
        </w:rPr>
        <w:t>均作为合同附件。</w:t>
      </w:r>
    </w:p>
    <w:p w14:paraId="7939A9C9">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3.4拒签合同的违约责任</w:t>
      </w:r>
    </w:p>
    <w:p w14:paraId="0A37A9B6">
      <w:pPr>
        <w:spacing w:line="460" w:lineRule="exact"/>
        <w:ind w:firstLine="568" w:firstLineChars="245"/>
        <w:rPr>
          <w:rFonts w:hint="eastAsia" w:ascii="宋体" w:hAnsi="宋体" w:eastAsia="宋体" w:cs="宋体"/>
          <w:b w:val="0"/>
          <w:bCs/>
          <w:color w:val="000000" w:themeColor="text1"/>
          <w:spacing w:val="6"/>
          <w:sz w:val="22"/>
          <w:szCs w:val="22"/>
          <w:highlight w:val="none"/>
          <w14:textFill>
            <w14:solidFill>
              <w14:schemeClr w14:val="tx1"/>
            </w14:solidFill>
          </w14:textFill>
        </w:rPr>
      </w:pPr>
      <w:r>
        <w:rPr>
          <w:rFonts w:hint="eastAsia" w:ascii="宋体" w:hAnsi="宋体" w:cs="宋体"/>
          <w:b w:val="0"/>
          <w:bCs/>
          <w:color w:val="000000" w:themeColor="text1"/>
          <w:spacing w:val="6"/>
          <w:sz w:val="22"/>
          <w:szCs w:val="22"/>
          <w:highlight w:val="none"/>
          <w:lang w:eastAsia="zh-CN"/>
          <w14:textFill>
            <w14:solidFill>
              <w14:schemeClr w14:val="tx1"/>
            </w14:solidFill>
          </w14:textFill>
        </w:rPr>
        <w:t>入围供应商</w:t>
      </w:r>
      <w:r>
        <w:rPr>
          <w:rFonts w:hint="eastAsia" w:ascii="宋体" w:hAnsi="宋体" w:eastAsia="宋体" w:cs="宋体"/>
          <w:b w:val="0"/>
          <w:bCs/>
          <w:color w:val="000000" w:themeColor="text1"/>
          <w:spacing w:val="6"/>
          <w:sz w:val="22"/>
          <w:szCs w:val="22"/>
          <w:highlight w:val="none"/>
          <w14:textFill>
            <w14:solidFill>
              <w14:schemeClr w14:val="tx1"/>
            </w14:solidFill>
          </w14:textFill>
        </w:rPr>
        <w:t>接到</w:t>
      </w:r>
      <w:r>
        <w:rPr>
          <w:rFonts w:hint="eastAsia" w:ascii="宋体" w:hAnsi="宋体" w:cs="宋体"/>
          <w:b w:val="0"/>
          <w:bCs/>
          <w:color w:val="000000" w:themeColor="text1"/>
          <w:spacing w:val="6"/>
          <w:sz w:val="22"/>
          <w:szCs w:val="22"/>
          <w:highlight w:val="none"/>
          <w:lang w:eastAsia="zh-CN"/>
          <w14:textFill>
            <w14:solidFill>
              <w14:schemeClr w14:val="tx1"/>
            </w14:solidFill>
          </w14:textFill>
        </w:rPr>
        <w:t>入围通知书</w:t>
      </w:r>
      <w:r>
        <w:rPr>
          <w:rFonts w:hint="eastAsia" w:ascii="宋体" w:hAnsi="宋体" w:eastAsia="宋体" w:cs="宋体"/>
          <w:b w:val="0"/>
          <w:bCs/>
          <w:color w:val="000000" w:themeColor="text1"/>
          <w:spacing w:val="6"/>
          <w:sz w:val="22"/>
          <w:szCs w:val="22"/>
          <w:highlight w:val="none"/>
          <w14:textFill>
            <w14:solidFill>
              <w14:schemeClr w14:val="tx1"/>
            </w14:solidFill>
          </w14:textFill>
        </w:rPr>
        <w:t>后，在规定时间内借故否认已经承诺的条件而拒签合同的，以违约处理。</w:t>
      </w:r>
    </w:p>
    <w:p w14:paraId="50DBAE8E">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highlight w:val="none"/>
          <w:lang w:val="en-US" w:eastAsia="zh-CN"/>
          <w14:textFill>
            <w14:solidFill>
              <w14:schemeClr w14:val="tx1"/>
            </w14:solidFill>
          </w14:textFill>
        </w:rPr>
        <w:t>4</w:t>
      </w:r>
      <w:r>
        <w:rPr>
          <w:rFonts w:hint="eastAsia" w:ascii="宋体" w:hAnsi="宋体" w:eastAsia="宋体" w:cs="宋体"/>
          <w:b/>
          <w:color w:val="000000" w:themeColor="text1"/>
          <w:sz w:val="22"/>
          <w:highlight w:val="none"/>
          <w14:textFill>
            <w14:solidFill>
              <w14:schemeClr w14:val="tx1"/>
            </w14:solidFill>
          </w14:textFill>
        </w:rPr>
        <w:t>、质疑与投诉</w:t>
      </w:r>
    </w:p>
    <w:p w14:paraId="5F40473B">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14:textFill>
            <w14:solidFill>
              <w14:schemeClr w14:val="tx1"/>
            </w14:solidFill>
          </w14:textFill>
        </w:rPr>
        <w:t>.1投标人认为招标文件、采购过程、中标和成交结果使自己的合法权益受到损害的，可以在知道或应知道其权益受到损害之日起七个工作日内以书面形式向招标人或招标代理机构提出质疑。</w:t>
      </w:r>
    </w:p>
    <w:p w14:paraId="325BA83B">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14:textFill>
            <w14:solidFill>
              <w14:schemeClr w14:val="tx1"/>
            </w14:solidFill>
          </w14:textFill>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3646E570">
      <w:pPr>
        <w:spacing w:line="460" w:lineRule="exact"/>
        <w:ind w:firstLine="539" w:firstLineChars="245"/>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14:textFill>
            <w14:solidFill>
              <w14:schemeClr w14:val="tx1"/>
            </w14:solidFill>
          </w14:textFill>
        </w:rPr>
        <w:t>.3投诉人投诉时，应提交投诉书，投诉书应当由本人并由法定代表人签字盖公章，投诉书应说明具体的投诉事项及事实依据。投诉人对投诉书的真实性负责，恶意投诉将</w:t>
      </w:r>
      <w:r>
        <w:rPr>
          <w:rFonts w:hint="eastAsia" w:ascii="宋体" w:hAnsi="宋体" w:cs="宋体"/>
          <w:color w:val="000000" w:themeColor="text1"/>
          <w:sz w:val="22"/>
          <w:highlight w:val="none"/>
          <w:lang w:val="en-US" w:eastAsia="zh-CN"/>
          <w14:textFill>
            <w14:solidFill>
              <w14:schemeClr w14:val="tx1"/>
            </w14:solidFill>
          </w14:textFill>
        </w:rPr>
        <w:t>承担</w:t>
      </w:r>
      <w:r>
        <w:rPr>
          <w:rFonts w:hint="eastAsia" w:ascii="宋体" w:hAnsi="宋体" w:eastAsia="宋体" w:cs="宋体"/>
          <w:color w:val="000000" w:themeColor="text1"/>
          <w:sz w:val="22"/>
          <w:highlight w:val="none"/>
          <w14:textFill>
            <w14:solidFill>
              <w14:schemeClr w14:val="tx1"/>
            </w14:solidFill>
          </w14:textFill>
        </w:rPr>
        <w:t>相应的法律和民事责任。</w:t>
      </w:r>
    </w:p>
    <w:p w14:paraId="718AC73E">
      <w:pPr>
        <w:rPr>
          <w:rFonts w:hint="eastAsia" w:ascii="宋体" w:hAnsi="宋体" w:eastAsia="宋体" w:cs="宋体"/>
          <w:color w:val="000000" w:themeColor="text1"/>
          <w:highlight w:val="none"/>
          <w14:textFill>
            <w14:solidFill>
              <w14:schemeClr w14:val="tx1"/>
            </w14:solidFill>
          </w14:textFill>
        </w:rPr>
      </w:pPr>
      <w:bookmarkStart w:id="24" w:name="_Toc19043"/>
      <w:bookmarkStart w:id="25" w:name="_Toc28194"/>
    </w:p>
    <w:p w14:paraId="01C6C69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8EA9A64">
      <w:pPr>
        <w:pStyle w:val="4"/>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第二部分    合同主要条款</w:t>
      </w:r>
      <w:bookmarkEnd w:id="24"/>
      <w:bookmarkEnd w:id="25"/>
    </w:p>
    <w:p w14:paraId="47963F6E">
      <w:pPr>
        <w:spacing w:line="460" w:lineRule="exact"/>
        <w:rPr>
          <w:rFonts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注：如甲、乙双方同意，合同格式也可以按照其他形式, 具体条款以甲方为主协商确定。但合同条款的基本内容应与以下要求的内容相一致。</w:t>
      </w:r>
    </w:p>
    <w:p w14:paraId="2EF28199">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b/>
          <w:bCs/>
          <w:color w:val="000000" w:themeColor="text1"/>
          <w:sz w:val="22"/>
          <w:szCs w:val="22"/>
          <w:highlight w:val="none"/>
          <w:u w:val="single"/>
          <w14:textFill>
            <w14:solidFill>
              <w14:schemeClr w14:val="tx1"/>
            </w14:solidFill>
          </w14:textFill>
        </w:rPr>
        <w:t>乙方需分别与温州市中心医院、</w:t>
      </w:r>
      <w:r>
        <w:rPr>
          <w:rFonts w:hint="eastAsia" w:ascii="新宋体" w:hAnsi="新宋体" w:eastAsia="新宋体" w:cs="新宋体"/>
          <w:b/>
          <w:bCs/>
          <w:color w:val="000000" w:themeColor="text1"/>
          <w:sz w:val="22"/>
          <w:szCs w:val="22"/>
          <w:highlight w:val="none"/>
          <w:u w:val="single"/>
          <w:lang w:val="en-US" w:eastAsia="zh-CN"/>
          <w14:textFill>
            <w14:solidFill>
              <w14:schemeClr w14:val="tx1"/>
            </w14:solidFill>
          </w14:textFill>
        </w:rPr>
        <w:t>温州市第六人民医院</w:t>
      </w:r>
      <w:r>
        <w:rPr>
          <w:rFonts w:hint="eastAsia" w:ascii="新宋体" w:hAnsi="新宋体" w:eastAsia="新宋体" w:cs="新宋体"/>
          <w:b/>
          <w:bCs/>
          <w:color w:val="000000" w:themeColor="text1"/>
          <w:sz w:val="22"/>
          <w:szCs w:val="22"/>
          <w:highlight w:val="none"/>
          <w:u w:val="single"/>
          <w14:textFill>
            <w14:solidFill>
              <w14:schemeClr w14:val="tx1"/>
            </w14:solidFill>
          </w14:textFill>
        </w:rPr>
        <w:t>签订合同。</w:t>
      </w:r>
    </w:p>
    <w:p w14:paraId="1338D0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温州市中心医院</w:t>
      </w:r>
      <w:r>
        <w:rPr>
          <w:rFonts w:hint="eastAsia" w:ascii="宋体" w:hAnsi="宋体" w:cs="宋体"/>
          <w:b/>
          <w:bCs/>
          <w:color w:val="000000" w:themeColor="text1"/>
          <w:sz w:val="36"/>
          <w:szCs w:val="36"/>
          <w:highlight w:val="none"/>
          <w:lang w:eastAsia="zh-CN"/>
          <w14:textFill>
            <w14:solidFill>
              <w14:schemeClr w14:val="tx1"/>
            </w14:solidFill>
          </w14:textFill>
        </w:rPr>
        <w:t>、</w:t>
      </w:r>
      <w:r>
        <w:rPr>
          <w:rFonts w:hint="eastAsia" w:ascii="宋体" w:hAnsi="宋体" w:cs="宋体"/>
          <w:b/>
          <w:bCs/>
          <w:color w:val="000000" w:themeColor="text1"/>
          <w:sz w:val="36"/>
          <w:szCs w:val="36"/>
          <w:highlight w:val="none"/>
          <w:lang w:val="en-US" w:eastAsia="zh-CN"/>
          <w14:textFill>
            <w14:solidFill>
              <w14:schemeClr w14:val="tx1"/>
            </w14:solidFill>
          </w14:textFill>
        </w:rPr>
        <w:t>温州市第六人民医院食堂配送（鲜猪肉类）</w:t>
      </w:r>
      <w:r>
        <w:rPr>
          <w:rFonts w:hint="eastAsia" w:ascii="宋体" w:hAnsi="宋体" w:cs="宋体"/>
          <w:b/>
          <w:bCs/>
          <w:color w:val="000000" w:themeColor="text1"/>
          <w:sz w:val="36"/>
          <w:szCs w:val="36"/>
          <w:highlight w:val="none"/>
          <w:u w:val="none"/>
          <w:lang w:val="en-US" w:eastAsia="zh-CN"/>
          <w14:textFill>
            <w14:solidFill>
              <w14:schemeClr w14:val="tx1"/>
            </w14:solidFill>
          </w14:textFill>
        </w:rPr>
        <w:t>合同</w:t>
      </w:r>
    </w:p>
    <w:p w14:paraId="6C1888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p>
    <w:p w14:paraId="2ED02436">
      <w:pPr>
        <w:spacing w:line="460" w:lineRule="exac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甲方(</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 xml:space="preserve"> </w:t>
      </w:r>
    </w:p>
    <w:p w14:paraId="5DC700B6">
      <w:pPr>
        <w:spacing w:line="460" w:lineRule="exac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乙方(</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 xml:space="preserve"> </w:t>
      </w:r>
    </w:p>
    <w:p w14:paraId="02A8B5F6">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温州市中心医院、温州市第六人民医院</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的</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（项目名称）</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 xml:space="preserve">（编号）在国内以公开招标进行采购，经评标委员会评定 </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）为</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。甲、乙双方本着诚信及互利互惠的原则，同意按照下面条款和条件，签署本合同。</w:t>
      </w:r>
    </w:p>
    <w:p w14:paraId="5FA080EE">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6" w:name="_Toc18555"/>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一、本合同签订依据</w:t>
      </w:r>
      <w:bookmarkEnd w:id="26"/>
    </w:p>
    <w:p w14:paraId="75607DEA">
      <w:pPr>
        <w:spacing w:line="460" w:lineRule="exact"/>
        <w:ind w:firstLine="440" w:firstLineChars="200"/>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《中华人民共和国</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民法典</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p>
    <w:p w14:paraId="1C64BD13">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7" w:name="_Toc4678"/>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二、合同文件的优先次序</w:t>
      </w:r>
      <w:bookmarkEnd w:id="27"/>
    </w:p>
    <w:p w14:paraId="10779073">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合同文件如存在歧义或不一致则根据以下优先次序来判断：</w:t>
      </w:r>
    </w:p>
    <w:p w14:paraId="3224902E">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1、合同书及合同补充条款或说明 </w:t>
      </w:r>
    </w:p>
    <w:p w14:paraId="6BDF6A0D">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入围通知书</w:t>
      </w:r>
    </w:p>
    <w:p w14:paraId="7E997600">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3、承诺书（含询标记录和优惠条款）</w:t>
      </w:r>
    </w:p>
    <w:p w14:paraId="17151951">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投标</w:t>
      </w:r>
      <w:r>
        <w:rPr>
          <w:rFonts w:hint="eastAsia" w:ascii="新宋体" w:hAnsi="新宋体" w:eastAsia="新宋体" w:cs="新宋体"/>
          <w:color w:val="000000" w:themeColor="text1"/>
          <w:sz w:val="22"/>
          <w:szCs w:val="22"/>
          <w:highlight w:val="none"/>
          <w14:textFill>
            <w14:solidFill>
              <w14:schemeClr w14:val="tx1"/>
            </w14:solidFill>
          </w14:textFill>
        </w:rPr>
        <w:t>文件</w:t>
      </w:r>
    </w:p>
    <w:p w14:paraId="718C2BC4">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招标</w:t>
      </w:r>
      <w:r>
        <w:rPr>
          <w:rFonts w:hint="eastAsia" w:ascii="新宋体" w:hAnsi="新宋体" w:eastAsia="新宋体" w:cs="新宋体"/>
          <w:color w:val="000000" w:themeColor="text1"/>
          <w:sz w:val="22"/>
          <w:szCs w:val="22"/>
          <w:highlight w:val="none"/>
          <w14:textFill>
            <w14:solidFill>
              <w14:schemeClr w14:val="tx1"/>
            </w14:solidFill>
          </w14:textFill>
        </w:rPr>
        <w:t>文件</w:t>
      </w:r>
    </w:p>
    <w:p w14:paraId="4C1BC6A4">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8" w:name="_Toc31292"/>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三、配送期限</w:t>
      </w:r>
      <w:bookmarkEnd w:id="28"/>
    </w:p>
    <w:p w14:paraId="390CF96A">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配送服务期：1年。</w:t>
      </w:r>
    </w:p>
    <w:p w14:paraId="0BFA7BB0">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本项目总预算金额：285万元（温州市中心医院（百里坊院区）：200万元，温州市中心医院（双屿院区）：43万元，温州市第六人民医院：42万元），合同期内各院区采购金额超过以上各院区预算金额或服务期满1年的，合同自动终止。</w:t>
      </w:r>
    </w:p>
    <w:p w14:paraId="72C33006">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9" w:name="_Toc18374"/>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四、</w:t>
      </w:r>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配送价格</w:t>
      </w:r>
      <w:bookmarkEnd w:id="29"/>
    </w:p>
    <w:p w14:paraId="58BB83AB">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1、乙方与温州市中心医院集团</w:t>
      </w:r>
      <w:r>
        <w:rPr>
          <w:rFonts w:hint="eastAsia" w:ascii="新宋体" w:hAnsi="新宋体" w:eastAsia="新宋体" w:cs="新宋体"/>
          <w:color w:val="000000" w:themeColor="text1"/>
          <w:sz w:val="22"/>
          <w:szCs w:val="22"/>
          <w:highlight w:val="none"/>
          <w:lang w:val="zh-CN"/>
          <w14:textFill>
            <w14:solidFill>
              <w14:schemeClr w14:val="tx1"/>
            </w14:solidFill>
          </w14:textFill>
        </w:rPr>
        <w:t>的百里坊院区、双屿院区、温州市第六人民医院食堂部及总务科、监察室相关人员建立加入微信群或QQ群，方便工作联系，以透明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w:t>
      </w:r>
      <w:r>
        <w:rPr>
          <w:rFonts w:hint="eastAsia" w:ascii="新宋体" w:hAnsi="新宋体" w:eastAsia="新宋体" w:cs="新宋体"/>
          <w:color w:val="000000" w:themeColor="text1"/>
          <w:sz w:val="22"/>
          <w:szCs w:val="22"/>
          <w:highlight w:val="none"/>
          <w:lang w:val="zh-CN"/>
          <w14:textFill>
            <w14:solidFill>
              <w14:schemeClr w14:val="tx1"/>
            </w14:solidFill>
          </w14:textFill>
        </w:rPr>
        <w:t>过程，做到公开、公平、公正。</w:t>
      </w:r>
    </w:p>
    <w:p w14:paraId="38BD3042">
      <w:pPr>
        <w:tabs>
          <w:tab w:val="left" w:pos="360"/>
        </w:tabs>
        <w:spacing w:line="460" w:lineRule="exact"/>
        <w:ind w:firstLine="550" w:firstLineChars="250"/>
        <w:rPr>
          <w:rFonts w:hint="eastAsia" w:ascii="新宋体" w:hAnsi="新宋体" w:eastAsia="新宋体" w:cs="新宋体"/>
          <w:b/>
          <w:bCs/>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2、每次报价前确定一名比价经办员（司务长），汇总三院区采购清单后用邮箱</w:t>
      </w:r>
      <w:r>
        <w:rPr>
          <w:rFonts w:hint="eastAsia" w:ascii="新宋体" w:hAnsi="新宋体" w:eastAsia="新宋体" w:cs="新宋体"/>
          <w:color w:val="000000" w:themeColor="text1"/>
          <w:sz w:val="22"/>
          <w:szCs w:val="22"/>
          <w:highlight w:val="none"/>
          <w:lang w:val="zh-CN"/>
          <w14:textFill>
            <w14:solidFill>
              <w14:schemeClr w14:val="tx1"/>
            </w14:solidFill>
          </w14:textFill>
        </w:rPr>
        <w:t>的方式传给供应商进行</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价格比选</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p>
    <w:p w14:paraId="6F7C44A1">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lang w:val="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通知各</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市场价格相对稳定的情况下，根据市场行情和乙方配送价格、质量及服务情况，15—60天确定下一轮比价</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lang w:val="zh-CN"/>
          <w14:textFill>
            <w14:solidFill>
              <w14:schemeClr w14:val="tx1"/>
            </w14:solidFill>
          </w14:textFill>
        </w:rPr>
        <w:t>根据三个院区提供的采购清单，认真阅读电子表格内容及表单批注要求，在已确认的截止时间前完成一次性报价，以电子（或书面）形式及时报价（分单价和总价）。在报价当日于约定地点及具体时间准时提供，同时上传至监察室专用邮箱wzszxyyjcs@163.com（需定时在报价当日10点整前后不超过5分钟内集中发至该邮箱），并由</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比价经办员</w:t>
      </w:r>
      <w:r>
        <w:rPr>
          <w:rFonts w:hint="eastAsia" w:ascii="新宋体" w:hAnsi="新宋体" w:eastAsia="新宋体" w:cs="新宋体"/>
          <w:color w:val="000000" w:themeColor="text1"/>
          <w:sz w:val="22"/>
          <w:szCs w:val="22"/>
          <w:highlight w:val="none"/>
          <w:lang w:val="zh-CN"/>
          <w14:textFill>
            <w14:solidFill>
              <w14:schemeClr w14:val="tx1"/>
            </w14:solidFill>
          </w14:textFill>
        </w:rPr>
        <w:t>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监督核对人（三院区司务长轮流担任）</w:t>
      </w:r>
      <w:r>
        <w:rPr>
          <w:rFonts w:hint="eastAsia" w:ascii="新宋体" w:hAnsi="新宋体" w:eastAsia="新宋体" w:cs="新宋体"/>
          <w:color w:val="000000" w:themeColor="text1"/>
          <w:sz w:val="22"/>
          <w:szCs w:val="22"/>
          <w:highlight w:val="none"/>
          <w:lang w:val="zh-CN"/>
          <w14:textFill>
            <w14:solidFill>
              <w14:schemeClr w14:val="tx1"/>
            </w14:solidFill>
          </w14:textFill>
        </w:rPr>
        <w:t>一起核对该报价单的准确性（电子报价表单函数准确性、纸质报价单和电子报价单的一致性。）选定价格最低的为配送供应商</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相同的采用随机抽取方式确定）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选中后的供应商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供货15-60天，具体期限甲方根据配送质量、价格、服务情况评估决定。</w:t>
      </w:r>
      <w:r>
        <w:rPr>
          <w:rFonts w:hint="eastAsia" w:ascii="新宋体" w:hAnsi="新宋体" w:eastAsia="新宋体" w:cs="新宋体"/>
          <w:color w:val="000000" w:themeColor="text1"/>
          <w:sz w:val="22"/>
          <w:szCs w:val="22"/>
          <w:highlight w:val="none"/>
          <w14:textFill>
            <w14:solidFill>
              <w14:schemeClr w14:val="tx1"/>
            </w14:solidFill>
          </w14:textFill>
        </w:rPr>
        <w:t>已连续供货2次的供应商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若第三次比价仍是该供应商为最低价，则由次低价的供应商为配送供货商。若市场价格波动比较大，则由甲方决定具体比价时间间隔。</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三个院区统一价格，</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少量特殊食品</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不能统一价格的，另行增加报价栏</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p>
    <w:p w14:paraId="4D3EA190">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4、乙方在比价时，报价应在甲方提供的参考价格表基础上进行报价，报价价格不能高于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报价日近3天的松台、梧田农贸市场摊位售价的80%或市区大型生鲜超市的售价（以下称“市场参考价”）。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甲方根据报价填写“各供应单位报价登记表”予以备案并及时在温州市中心医院</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食堂配送</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微信群中予以网络公示询价结</w:t>
      </w:r>
      <w:r>
        <w:rPr>
          <w:rFonts w:hint="eastAsia" w:ascii="新宋体" w:hAnsi="新宋体" w:eastAsia="新宋体" w:cs="新宋体"/>
          <w:color w:val="000000" w:themeColor="text1"/>
          <w:sz w:val="22"/>
          <w:szCs w:val="22"/>
          <w:highlight w:val="none"/>
          <w:lang w:val="zh-CN"/>
          <w14:textFill>
            <w14:solidFill>
              <w14:schemeClr w14:val="tx1"/>
            </w14:solidFill>
          </w14:textFill>
        </w:rPr>
        <w:t>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医院</w:t>
      </w:r>
      <w:r>
        <w:rPr>
          <w:rFonts w:hint="eastAsia" w:ascii="新宋体" w:hAnsi="新宋体" w:eastAsia="新宋体" w:cs="新宋体"/>
          <w:color w:val="000000" w:themeColor="text1"/>
          <w:sz w:val="22"/>
          <w:szCs w:val="22"/>
          <w:highlight w:val="none"/>
          <w:lang w:val="zh-CN"/>
          <w14:textFill>
            <w14:solidFill>
              <w14:schemeClr w14:val="tx1"/>
            </w14:solidFill>
          </w14:textFill>
        </w:rPr>
        <w:t>价格监督员将进行不定期监督管理，报价单价是否高于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“市场参考价”</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p>
    <w:p w14:paraId="1012AAF8">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w:t>
      </w:r>
      <w:r>
        <w:rPr>
          <w:rFonts w:hint="eastAsia" w:ascii="新宋体" w:hAnsi="新宋体" w:eastAsia="新宋体" w:cs="新宋体"/>
          <w:color w:val="000000" w:themeColor="text1"/>
          <w:sz w:val="22"/>
          <w:szCs w:val="22"/>
          <w:highlight w:val="none"/>
          <w14:textFill>
            <w14:solidFill>
              <w14:schemeClr w14:val="tx1"/>
            </w14:solidFill>
          </w14:textFill>
        </w:rPr>
        <w:t>价格如高于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“市场参考价”</w:t>
      </w:r>
      <w:r>
        <w:rPr>
          <w:rFonts w:hint="eastAsia" w:ascii="新宋体" w:hAnsi="新宋体" w:eastAsia="新宋体" w:cs="新宋体"/>
          <w:color w:val="000000" w:themeColor="text1"/>
          <w:sz w:val="22"/>
          <w:szCs w:val="22"/>
          <w:highlight w:val="none"/>
          <w14:textFill>
            <w14:solidFill>
              <w14:schemeClr w14:val="tx1"/>
            </w14:solidFill>
          </w14:textFill>
        </w:rPr>
        <w:t>，须在供货前向</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作出书面合理解释。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有权根据市场调查情况进行调整。</w:t>
      </w:r>
    </w:p>
    <w:p w14:paraId="2B2C827E">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将不定期对农贸市场随机摊位</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或市区大型生鲜超市</w:t>
      </w:r>
      <w:r>
        <w:rPr>
          <w:rFonts w:hint="eastAsia" w:ascii="新宋体" w:hAnsi="新宋体" w:eastAsia="新宋体" w:cs="新宋体"/>
          <w:color w:val="000000" w:themeColor="text1"/>
          <w:sz w:val="22"/>
          <w:szCs w:val="22"/>
          <w:highlight w:val="none"/>
          <w14:textFill>
            <w14:solidFill>
              <w14:schemeClr w14:val="tx1"/>
            </w14:solidFill>
          </w14:textFill>
        </w:rPr>
        <w:t>进行现场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价格</w:t>
      </w:r>
      <w:r>
        <w:rPr>
          <w:rFonts w:hint="eastAsia" w:ascii="新宋体" w:hAnsi="新宋体" w:eastAsia="新宋体" w:cs="新宋体"/>
          <w:color w:val="000000" w:themeColor="text1"/>
          <w:sz w:val="22"/>
          <w:szCs w:val="22"/>
          <w:highlight w:val="none"/>
          <w14:textFill>
            <w14:solidFill>
              <w14:schemeClr w14:val="tx1"/>
            </w14:solidFill>
          </w14:textFill>
        </w:rPr>
        <w:t>调查，如</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供货价格出现三次明显高于市场调查依据价格的情况，而</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没有在供货前作出书面合解释的，</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有权直接解除合同。</w:t>
      </w:r>
    </w:p>
    <w:p w14:paraId="60375BDB">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7</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须安排专人长期负责采购单位的临时采购任务，该人员经确定后不得随意更换，如遇临时采购任务，</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对</w:t>
      </w:r>
      <w:r>
        <w:rPr>
          <w:rFonts w:hint="eastAsia" w:ascii="新宋体" w:hAnsi="新宋体" w:eastAsia="新宋体" w:cs="新宋体"/>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提出的配送需求须无条件响应，并保证在接到配送指令1小时内将所需食材配送到位。</w:t>
      </w:r>
    </w:p>
    <w:p w14:paraId="7267D365">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8</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按照以下渠道获取所需产品参考价格，并以此作为下一次供货商所供货品</w:t>
      </w:r>
      <w:r>
        <w:rPr>
          <w:rFonts w:hint="eastAsia" w:ascii="新宋体" w:hAnsi="新宋体" w:eastAsia="新宋体" w:cs="新宋体"/>
          <w:color w:val="000000" w:themeColor="text1"/>
          <w:sz w:val="22"/>
          <w:highlight w:val="none"/>
          <w:lang w:val="en-US" w:eastAsia="zh-CN"/>
          <w14:textFill>
            <w14:solidFill>
              <w14:schemeClr w14:val="tx1"/>
            </w14:solidFill>
          </w14:textFill>
        </w:rPr>
        <w:t>价格</w:t>
      </w:r>
      <w:r>
        <w:rPr>
          <w:rFonts w:hint="eastAsia" w:ascii="新宋体" w:hAnsi="新宋体" w:eastAsia="新宋体" w:cs="新宋体"/>
          <w:color w:val="000000" w:themeColor="text1"/>
          <w:sz w:val="22"/>
          <w:highlight w:val="none"/>
          <w14:textFill>
            <w14:solidFill>
              <w14:schemeClr w14:val="tx1"/>
            </w14:solidFill>
          </w14:textFill>
        </w:rPr>
        <w:t xml:space="preserve">协商重要依据： </w:t>
      </w:r>
    </w:p>
    <w:p w14:paraId="301236DF">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14:textFill>
            <w14:solidFill>
              <w14:schemeClr w14:val="tx1"/>
            </w14:solidFill>
          </w14:textFill>
        </w:rPr>
        <w:t>报价日近3天的松台、梧田农贸市场摊位售价的80%或市区大型生鲜超市的售价</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需充分信任、尊重</w:t>
      </w:r>
      <w:r>
        <w:rPr>
          <w:rFonts w:hint="eastAsia" w:ascii="新宋体" w:hAnsi="新宋体" w:eastAsia="新宋体" w:cs="新宋体"/>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工作人员市场调查结果，如有必要，</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 xml:space="preserve">可委派公司人员随行价格调查。 </w:t>
      </w:r>
    </w:p>
    <w:p w14:paraId="52D71D85">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highlight w:val="none"/>
          <w14:textFill>
            <w14:solidFill>
              <w14:schemeClr w14:val="tx1"/>
            </w14:solidFill>
          </w14:textFill>
        </w:rPr>
        <w:t xml:space="preserve">提供的货品不得缺斤少两，提供诚信服务。 </w:t>
      </w:r>
    </w:p>
    <w:p w14:paraId="042A972B">
      <w:pPr>
        <w:tabs>
          <w:tab w:val="left" w:pos="360"/>
        </w:tabs>
        <w:spacing w:line="460" w:lineRule="exact"/>
        <w:ind w:firstLine="440" w:firstLineChars="200"/>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highlight w:val="none"/>
          <w14:textFill>
            <w14:solidFill>
              <w14:schemeClr w14:val="tx1"/>
            </w14:solidFill>
          </w14:textFill>
        </w:rPr>
        <w:t>）价格应包含供应商所有成本、利润、运输、装卸、各类劳保、保险及税费等一切费用。</w:t>
      </w:r>
    </w:p>
    <w:p w14:paraId="5509610B">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0" w:name="_Toc3733"/>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五、付款方式</w:t>
      </w:r>
      <w:bookmarkEnd w:id="30"/>
    </w:p>
    <w:p w14:paraId="025D0987">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1、结算周期为一个月结算一次</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甲方向乙方支付当月的80%款项，剩余20%作为考核金</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40061678">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2、乙方凭本月所有的《送货清单》。</w:t>
      </w:r>
    </w:p>
    <w:p w14:paraId="6CDD4B80">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3、乙方向甲方提交结算金额的全额增值税发票后，甲方</w:t>
      </w:r>
      <w:r>
        <w:rPr>
          <w:rFonts w:hint="eastAsia" w:ascii="新宋体" w:hAnsi="新宋体" w:eastAsia="新宋体" w:cs="新宋体"/>
          <w:b w:val="0"/>
          <w:bCs/>
          <w:color w:val="000000" w:themeColor="text1"/>
          <w:sz w:val="22"/>
          <w:szCs w:val="22"/>
          <w:highlight w:val="none"/>
          <w14:textFill>
            <w14:solidFill>
              <w14:schemeClr w14:val="tx1"/>
            </w14:solidFill>
          </w14:textFill>
        </w:rPr>
        <w:t>在</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w:t>
      </w:r>
      <w:r>
        <w:rPr>
          <w:rFonts w:hint="eastAsia" w:ascii="新宋体" w:hAnsi="新宋体" w:eastAsia="新宋体" w:cs="新宋体"/>
          <w:b w:val="0"/>
          <w:bCs/>
          <w:color w:val="000000" w:themeColor="text1"/>
          <w:sz w:val="22"/>
          <w:szCs w:val="22"/>
          <w:highlight w:val="none"/>
          <w14:textFill>
            <w14:solidFill>
              <w14:schemeClr w14:val="tx1"/>
            </w14:solidFill>
          </w14:textFill>
        </w:rPr>
        <w:t>个日</w:t>
      </w:r>
      <w:r>
        <w:rPr>
          <w:rFonts w:hint="eastAsia" w:ascii="新宋体" w:hAnsi="新宋体" w:eastAsia="新宋体" w:cs="新宋体"/>
          <w:bCs/>
          <w:color w:val="000000" w:themeColor="text1"/>
          <w:sz w:val="22"/>
          <w:szCs w:val="22"/>
          <w:highlight w:val="none"/>
          <w14:textFill>
            <w14:solidFill>
              <w14:schemeClr w14:val="tx1"/>
            </w14:solidFill>
          </w14:textFill>
        </w:rPr>
        <w:t>历日内向乙方付款。</w:t>
      </w:r>
    </w:p>
    <w:p w14:paraId="182127C8">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注：《送货清单》里面必须包括（不限于）货物单价、数量、总计价及总金额。</w:t>
      </w:r>
    </w:p>
    <w:p w14:paraId="6A6271BB">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1" w:name="_Toc14138"/>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六、订货</w:t>
      </w:r>
      <w:bookmarkEnd w:id="31"/>
    </w:p>
    <w:p w14:paraId="1E1ABF74">
      <w:p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在前一天将第二天的订单交与送货人员，一般</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以纸质方式直接通知供应商，特殊情况电话通知。订单内容包括名称、种类、规格、数量、运送时间、送达地点、订单联系人等具体要求。  </w:t>
      </w:r>
    </w:p>
    <w:p w14:paraId="2B5C3364">
      <w:p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供应商接到</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订单后，个别品种因缺货而无法提供的，供应商应在接到供货当 日上午6时前及时知会</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并协商好解决方法。 </w:t>
      </w:r>
    </w:p>
    <w:p w14:paraId="6EE29F4E">
      <w:pPr>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若遇特殊情况，如：</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用餐人数临时增减，特需物品临时增减等，供应商需无条件配合</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予以相应的补偿</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72549AD8">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2" w:name="_Toc28935"/>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七、交货</w:t>
      </w:r>
      <w:bookmarkEnd w:id="32"/>
    </w:p>
    <w:p w14:paraId="784A52C5">
      <w:pPr>
        <w:spacing w:line="44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1、供应商在指定时间内将订单内所有货品送到</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指定的地点并配送完毕，供应商提供《送货清单》一式三份（其中</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两份，一份食堂留档，一份财务做账），双方现场过秤并验收签名，作结算凭证。  </w:t>
      </w:r>
    </w:p>
    <w:p w14:paraId="31E0539D">
      <w:pPr>
        <w:spacing w:line="44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 xml:space="preserve">所有品种按除箱净重过磅，最终交易重量以双方确认的过磅数为准。  </w:t>
      </w:r>
    </w:p>
    <w:p w14:paraId="68EBE7D6">
      <w:pPr>
        <w:spacing w:line="44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供应商送货人员负责将货物从车上搬到称上过磅，然后放到指定地点，由</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食 堂人员负责验收并签字确认。  </w:t>
      </w:r>
    </w:p>
    <w:p w14:paraId="2A394442">
      <w:pPr>
        <w:spacing w:line="440" w:lineRule="exact"/>
        <w:ind w:firstLine="660" w:firstLineChars="3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highlight w:val="none"/>
          <w14:textFill>
            <w14:solidFill>
              <w14:schemeClr w14:val="tx1"/>
            </w14:solidFill>
          </w14:textFill>
        </w:rPr>
        <w:t>肉类货品根据</w:t>
      </w:r>
      <w:r>
        <w:rPr>
          <w:rFonts w:hint="eastAsia" w:ascii="新宋体" w:hAnsi="新宋体" w:eastAsia="新宋体" w:cs="新宋体"/>
          <w:color w:val="000000" w:themeColor="text1"/>
          <w:sz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要求加工，肉末、肉丝等原则上由</w:t>
      </w:r>
      <w:r>
        <w:rPr>
          <w:rFonts w:hint="eastAsia" w:ascii="新宋体" w:hAnsi="新宋体" w:eastAsia="新宋体" w:cs="新宋体"/>
          <w:color w:val="000000" w:themeColor="text1"/>
          <w:sz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 xml:space="preserve">食堂自行加工，在发生急需加工的情况时，可由供应商代为加工，但必须是招标单位的相关人员确定原材料 量后，在招标单位的相关人员在场的情况下完成加工。 </w:t>
      </w:r>
    </w:p>
    <w:p w14:paraId="4052BE29">
      <w:pPr>
        <w:spacing w:line="460" w:lineRule="exact"/>
        <w:ind w:firstLine="660" w:firstLineChars="3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highlight w:val="none"/>
          <w14:textFill>
            <w14:solidFill>
              <w14:schemeClr w14:val="tx1"/>
            </w14:solidFill>
          </w14:textFill>
        </w:rPr>
        <w:t>、质量必须达到本标书配送所列的要求及验收标准，并且品质不低于</w:t>
      </w:r>
      <w:r>
        <w:rPr>
          <w:rFonts w:hint="eastAsia" w:ascii="新宋体" w:hAnsi="新宋体" w:eastAsia="新宋体" w:cs="新宋体"/>
          <w:color w:val="000000" w:themeColor="text1"/>
          <w:sz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highlight w:val="none"/>
          <w14:textFill>
            <w14:solidFill>
              <w14:schemeClr w14:val="tx1"/>
            </w14:solidFill>
          </w14:textFill>
        </w:rPr>
        <w:t>当天在各大蔬菜批发市场的自购标准。</w:t>
      </w:r>
    </w:p>
    <w:p w14:paraId="53E9D58A">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3" w:name="_Toc24418"/>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八、质量保证及经营服务</w:t>
      </w:r>
      <w:bookmarkEnd w:id="33"/>
    </w:p>
    <w:p w14:paraId="637D6B37">
      <w:pPr>
        <w:tabs>
          <w:tab w:val="left" w:pos="360"/>
        </w:tabs>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1、乙方保证本合同中所供应的商品符合国家技术规格和质量标准的合格商品。如发生所供商品与合同不符</w:t>
      </w:r>
      <w:r>
        <w:rPr>
          <w:rFonts w:hint="eastAsia" w:ascii="新宋体" w:hAnsi="新宋体" w:eastAsia="新宋体" w:cs="新宋体"/>
          <w:b w:val="0"/>
          <w:bCs w:val="0"/>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bCs/>
          <w:color w:val="000000" w:themeColor="text1"/>
          <w:sz w:val="22"/>
          <w:szCs w:val="22"/>
          <w:highlight w:val="none"/>
          <w14:textFill>
            <w14:solidFill>
              <w14:schemeClr w14:val="tx1"/>
            </w14:solidFill>
          </w14:textFill>
        </w:rPr>
        <w:t>由此产生的一切责任和后果由乙方承担。</w:t>
      </w:r>
    </w:p>
    <w:p w14:paraId="6236ED78">
      <w:pPr>
        <w:tabs>
          <w:tab w:val="left" w:pos="360"/>
        </w:tabs>
        <w:spacing w:line="460" w:lineRule="exact"/>
        <w:ind w:firstLine="539" w:firstLineChars="245"/>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2、乙方必须保证合同履行过程中所提供的产品符合国家相关卫生质量标准，保证食材的新鲜、卫生。如因食材所致的相关卫生事件，一切后果由乙方承担。</w:t>
      </w:r>
    </w:p>
    <w:p w14:paraId="394F6A06">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4" w:name="_Toc3323"/>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九、处罚条款</w:t>
      </w:r>
      <w:bookmarkEnd w:id="34"/>
    </w:p>
    <w:p w14:paraId="43EA7608">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1、经调查，</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方实际供货的配送价格高于比价报价的，第一次发现，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方警告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方，要求其调整为比价时的价格，并暂停其供货一个月，第二次发现，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方有权</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向乙方收取五万</w:t>
      </w:r>
      <w:r>
        <w:rPr>
          <w:rFonts w:hint="eastAsia" w:ascii="新宋体" w:hAnsi="新宋体" w:eastAsia="新宋体" w:cs="新宋体"/>
          <w:color w:val="000000" w:themeColor="text1"/>
          <w:sz w:val="22"/>
          <w:szCs w:val="22"/>
          <w:highlight w:val="none"/>
          <w14:textFill>
            <w14:solidFill>
              <w14:schemeClr w14:val="tx1"/>
            </w14:solidFill>
          </w14:textFill>
        </w:rPr>
        <w:t>作为违约赔偿金，无条件解除合同，并要求</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方承担由此带来的所有损失。</w:t>
      </w:r>
    </w:p>
    <w:p w14:paraId="6892004C">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2、经调查，</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方提供的货物出现短斤缺两的，第一次发现，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方警告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方并要求其补足斤两，第二次发现，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方有权</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向乙方收取五万</w:t>
      </w:r>
      <w:r>
        <w:rPr>
          <w:rFonts w:hint="eastAsia" w:ascii="新宋体" w:hAnsi="新宋体" w:eastAsia="新宋体" w:cs="新宋体"/>
          <w:color w:val="000000" w:themeColor="text1"/>
          <w:sz w:val="22"/>
          <w:szCs w:val="22"/>
          <w:highlight w:val="none"/>
          <w14:textFill>
            <w14:solidFill>
              <w14:schemeClr w14:val="tx1"/>
            </w14:solidFill>
          </w14:textFill>
        </w:rPr>
        <w:t>作为违约赔偿金，无条件解除合同，并要求</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方承担由此带来的所有损失。</w:t>
      </w:r>
    </w:p>
    <w:p w14:paraId="50FD17F2">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5" w:name="_Toc30307"/>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十、合同生效、变更和终止</w:t>
      </w:r>
      <w:bookmarkEnd w:id="35"/>
    </w:p>
    <w:p w14:paraId="7A95457C">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1、本合同经双方授权代表签字盖章后生效。</w:t>
      </w:r>
    </w:p>
    <w:p w14:paraId="1B3A4FAF">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2、乙方在合作期内确需中途终止协议，应提前两个月向甲方提出书面申请，经甲方同意后，乙方须缴清应缴费用。</w:t>
      </w:r>
    </w:p>
    <w:p w14:paraId="1A1686A6">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6" w:name="_Toc3839"/>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十一、违约责任</w:t>
      </w:r>
      <w:bookmarkEnd w:id="36"/>
    </w:p>
    <w:p w14:paraId="759CEB38">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1、乙方如违反甲方规定，甲方将视情节轻重给予警告、扣除</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相应货款</w:t>
      </w:r>
      <w:r>
        <w:rPr>
          <w:rFonts w:hint="eastAsia" w:ascii="新宋体" w:hAnsi="新宋体" w:eastAsia="新宋体" w:cs="新宋体"/>
          <w:color w:val="000000" w:themeColor="text1"/>
          <w:sz w:val="22"/>
          <w:szCs w:val="22"/>
          <w:highlight w:val="none"/>
          <w14:textFill>
            <w14:solidFill>
              <w14:schemeClr w14:val="tx1"/>
            </w14:solidFill>
          </w14:textFill>
        </w:rPr>
        <w:t>、单方面解除合同的处理。如导致甲方单方解除合同，乙方应承担全部违约责任。</w:t>
      </w:r>
    </w:p>
    <w:p w14:paraId="0C6E62C2">
      <w:pPr>
        <w:tabs>
          <w:tab w:val="left" w:pos="360"/>
        </w:tabs>
        <w:spacing w:line="460" w:lineRule="exact"/>
        <w:ind w:firstLine="539" w:firstLineChars="245"/>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2、每出现一次供货不及时，处罚1000元及以上，如遇三次供货不及时，甲方有权取消该单位配送资格。</w:t>
      </w:r>
    </w:p>
    <w:p w14:paraId="5E500C77">
      <w:pPr>
        <w:tabs>
          <w:tab w:val="left" w:pos="360"/>
        </w:tabs>
        <w:spacing w:line="460" w:lineRule="exact"/>
        <w:ind w:firstLine="539" w:firstLineChars="245"/>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3、承担所供商品质量、安全所致事件为完全责任的，若因商品质量问题引起的退货，处罚10000及以上，如遇两次质量不合格，甲方有权取消该单位配送资格。</w:t>
      </w:r>
    </w:p>
    <w:p w14:paraId="0639662C">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4、本合同范围的经营权，应由乙方直接经营，不得转让他人，否</w:t>
      </w:r>
      <w:r>
        <w:rPr>
          <w:rFonts w:hint="eastAsia" w:ascii="新宋体" w:hAnsi="新宋体" w:eastAsia="新宋体" w:cs="新宋体"/>
          <w:color w:val="000000" w:themeColor="text1"/>
          <w:sz w:val="22"/>
          <w:szCs w:val="22"/>
          <w:highlight w:val="none"/>
          <w14:textFill>
            <w14:solidFill>
              <w14:schemeClr w14:val="tx1"/>
            </w14:solidFill>
          </w14:textFill>
        </w:rPr>
        <w:t>则，甲方有权解除合同并追究乙方的违约责任。</w:t>
      </w:r>
    </w:p>
    <w:p w14:paraId="06662667">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若核查发现</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实际配送</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报价对应内容高于</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比价时</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的报价：本合同期内第一次</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发现的</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取消</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当月</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配送权；本合同期内第二次</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发现的，</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则取消</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当月</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配送权</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及下二</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个月</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报价权及配送权</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本合同期内第三次</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发现，</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则取消该供应方在本合同期内</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报价权及</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配送权;</w:t>
      </w:r>
    </w:p>
    <w:p w14:paraId="1A6AE376">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7" w:name="_Toc1120"/>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十二、其他</w:t>
      </w:r>
      <w:bookmarkEnd w:id="37"/>
    </w:p>
    <w:p w14:paraId="1D0163BB">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1、合作期内，如遇不可抗力的自然灾害造成的损失，由双方协商解决。</w:t>
      </w:r>
    </w:p>
    <w:p w14:paraId="28529DB3">
      <w:pPr>
        <w:spacing w:line="460" w:lineRule="exact"/>
        <w:ind w:firstLine="565" w:firstLineChars="257"/>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2、本合同在履行过程中有未尽事宜，经甲乙双方共同协商后，签订补充协议，补充协议与本合同具有同等法律效力。补充协议与本合同不一致的，以补充协议为准。</w:t>
      </w:r>
    </w:p>
    <w:p w14:paraId="3E545826">
      <w:pPr>
        <w:spacing w:line="460" w:lineRule="exact"/>
        <w:ind w:firstLine="565" w:firstLineChars="257"/>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3、本合同一式</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四</w:t>
      </w:r>
      <w:r>
        <w:rPr>
          <w:rFonts w:hint="eastAsia" w:ascii="新宋体" w:hAnsi="新宋体" w:eastAsia="新宋体" w:cs="新宋体"/>
          <w:b w:val="0"/>
          <w:bCs w:val="0"/>
          <w:color w:val="000000" w:themeColor="text1"/>
          <w:sz w:val="22"/>
          <w:szCs w:val="22"/>
          <w:highlight w:val="none"/>
          <w14:textFill>
            <w14:solidFill>
              <w14:schemeClr w14:val="tx1"/>
            </w14:solidFill>
          </w14:textFill>
        </w:rPr>
        <w:t>份，甲乙双方各执</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贰</w:t>
      </w:r>
      <w:r>
        <w:rPr>
          <w:rFonts w:hint="eastAsia" w:ascii="新宋体" w:hAnsi="新宋体" w:eastAsia="新宋体" w:cs="新宋体"/>
          <w:b w:val="0"/>
          <w:bCs w:val="0"/>
          <w:color w:val="000000" w:themeColor="text1"/>
          <w:sz w:val="22"/>
          <w:szCs w:val="22"/>
          <w:highlight w:val="none"/>
          <w14:textFill>
            <w14:solidFill>
              <w14:schemeClr w14:val="tx1"/>
            </w14:solidFill>
          </w14:textFill>
        </w:rPr>
        <w:t>份。</w:t>
      </w:r>
    </w:p>
    <w:p w14:paraId="17A5E764">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8" w:name="_Toc28046"/>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十三、争议的解决</w:t>
      </w:r>
      <w:bookmarkEnd w:id="38"/>
    </w:p>
    <w:p w14:paraId="1EC9A55B">
      <w:pPr>
        <w:spacing w:line="460" w:lineRule="exact"/>
        <w:ind w:firstLine="565" w:firstLineChars="257"/>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本合同如发生纠纷，经协商仍不能解决的，任何一方均可向当地人民法院提起诉讼。</w:t>
      </w:r>
    </w:p>
    <w:p w14:paraId="0D07869D">
      <w:pPr>
        <w:spacing w:line="460" w:lineRule="exact"/>
        <w:ind w:firstLine="1449" w:firstLineChars="659"/>
        <w:jc w:val="left"/>
        <w:rPr>
          <w:rFonts w:hint="eastAsia" w:ascii="新宋体" w:hAnsi="新宋体" w:eastAsia="新宋体" w:cs="新宋体"/>
          <w:color w:val="000000" w:themeColor="text1"/>
          <w:sz w:val="22"/>
          <w:szCs w:val="22"/>
          <w:highlight w:val="none"/>
          <w14:textFill>
            <w14:solidFill>
              <w14:schemeClr w14:val="tx1"/>
            </w14:solidFill>
          </w14:textFill>
        </w:rPr>
      </w:pPr>
    </w:p>
    <w:p w14:paraId="44877B8A">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甲方：（盖章）                       乙方：（盖章）</w:t>
      </w:r>
    </w:p>
    <w:p w14:paraId="74B52030">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全权代表:（签字）                    全权代表:（签字）</w:t>
      </w:r>
    </w:p>
    <w:p w14:paraId="610F5775">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地址：                               地址：</w:t>
      </w:r>
    </w:p>
    <w:p w14:paraId="0ED3D0EF">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邮政编码：                           邮政编码：</w:t>
      </w:r>
    </w:p>
    <w:p w14:paraId="0129986A">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电话：                               电话：</w:t>
      </w:r>
    </w:p>
    <w:p w14:paraId="3A3633E5">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传真：                               传真：</w:t>
      </w:r>
    </w:p>
    <w:p w14:paraId="3A1688F0">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开户银行：                           开户银行：</w:t>
      </w:r>
    </w:p>
    <w:p w14:paraId="0AC96ED2">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w:t>
      </w:r>
      <w:r>
        <w:rPr>
          <w:rFonts w:hint="eastAsia" w:ascii="新宋体" w:hAnsi="新宋体" w:eastAsia="新宋体" w:cs="新宋体"/>
          <w:color w:val="000000" w:themeColor="text1"/>
          <w:sz w:val="22"/>
          <w:szCs w:val="22"/>
          <w:highlight w:val="none"/>
          <w:lang w:eastAsia="zh-CN"/>
          <w14:textFill>
            <w14:solidFill>
              <w14:schemeClr w14:val="tx1"/>
            </w14:solidFill>
          </w14:textFill>
        </w:rPr>
        <w:t>账号</w:t>
      </w:r>
      <w:r>
        <w:rPr>
          <w:rFonts w:hint="eastAsia" w:ascii="新宋体" w:hAnsi="新宋体" w:eastAsia="新宋体" w:cs="新宋体"/>
          <w:color w:val="000000" w:themeColor="text1"/>
          <w:sz w:val="22"/>
          <w:szCs w:val="22"/>
          <w:highlight w:val="none"/>
          <w14:textFill>
            <w14:solidFill>
              <w14:schemeClr w14:val="tx1"/>
            </w14:solidFill>
          </w14:textFill>
        </w:rPr>
        <w:t xml:space="preserve">：                               </w:t>
      </w:r>
      <w:r>
        <w:rPr>
          <w:rFonts w:hint="eastAsia" w:ascii="新宋体" w:hAnsi="新宋体" w:eastAsia="新宋体" w:cs="新宋体"/>
          <w:color w:val="000000" w:themeColor="text1"/>
          <w:sz w:val="22"/>
          <w:szCs w:val="22"/>
          <w:highlight w:val="none"/>
          <w:lang w:eastAsia="zh-CN"/>
          <w14:textFill>
            <w14:solidFill>
              <w14:schemeClr w14:val="tx1"/>
            </w14:solidFill>
          </w14:textFill>
        </w:rPr>
        <w:t>账号</w:t>
      </w:r>
      <w:r>
        <w:rPr>
          <w:rFonts w:hint="eastAsia" w:ascii="新宋体" w:hAnsi="新宋体" w:eastAsia="新宋体" w:cs="新宋体"/>
          <w:color w:val="000000" w:themeColor="text1"/>
          <w:sz w:val="22"/>
          <w:szCs w:val="22"/>
          <w:highlight w:val="none"/>
          <w14:textFill>
            <w14:solidFill>
              <w14:schemeClr w14:val="tx1"/>
            </w14:solidFill>
          </w14:textFill>
        </w:rPr>
        <w:t>：</w:t>
      </w:r>
    </w:p>
    <w:p w14:paraId="711CF0F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b w:val="0"/>
          <w:bCs w:val="0"/>
          <w:color w:val="000000" w:themeColor="text1"/>
          <w:sz w:val="22"/>
          <w:szCs w:val="22"/>
          <w:highlight w:val="none"/>
          <w14:textFill>
            <w14:solidFill>
              <w14:schemeClr w14:val="tx1"/>
            </w14:solidFill>
          </w14:textFill>
        </w:rPr>
      </w:pPr>
    </w:p>
    <w:p w14:paraId="3FCF6EEE">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p>
    <w:p w14:paraId="0D0F2A6C">
      <w:pPr>
        <w:jc w:val="center"/>
        <w:rPr>
          <w:rFonts w:hint="eastAsia" w:ascii="新宋体" w:hAnsi="新宋体" w:eastAsia="新宋体" w:cs="新宋体"/>
          <w:b/>
          <w:color w:val="000000" w:themeColor="text1"/>
          <w:sz w:val="28"/>
          <w:szCs w:val="28"/>
          <w:highlight w:val="none"/>
          <w:shd w:val="clear" w:color="auto" w:fill="auto"/>
          <w:lang w:val="en-US" w:eastAsia="zh-CN"/>
          <w14:textFill>
            <w14:solidFill>
              <w14:schemeClr w14:val="tx1"/>
            </w14:solidFill>
          </w14:textFill>
        </w:rPr>
      </w:pPr>
      <w:bookmarkStart w:id="39" w:name="_Toc18439"/>
      <w:bookmarkStart w:id="40" w:name="_Toc19081"/>
      <w:r>
        <w:rPr>
          <w:rFonts w:hint="eastAsia" w:ascii="宋体" w:hAnsi="宋体" w:eastAsia="宋体" w:cs="宋体"/>
          <w:color w:val="000000" w:themeColor="text1"/>
          <w:highlight w:val="none"/>
          <w14:textFill>
            <w14:solidFill>
              <w14:schemeClr w14:val="tx1"/>
            </w14:solidFill>
          </w14:textFill>
        </w:rPr>
        <w:br w:type="page"/>
      </w:r>
      <w:r>
        <w:rPr>
          <w:rFonts w:hint="eastAsia" w:ascii="新宋体" w:hAnsi="新宋体" w:eastAsia="新宋体" w:cs="新宋体"/>
          <w:b/>
          <w:color w:val="000000" w:themeColor="text1"/>
          <w:sz w:val="28"/>
          <w:szCs w:val="28"/>
          <w:highlight w:val="none"/>
          <w:shd w:val="clear" w:color="auto" w:fill="auto"/>
          <w:lang w:val="en-US" w:eastAsia="zh-CN"/>
          <w14:textFill>
            <w14:solidFill>
              <w14:schemeClr w14:val="tx1"/>
            </w14:solidFill>
          </w14:textFill>
        </w:rPr>
        <w:t>动态考核机制</w:t>
      </w:r>
    </w:p>
    <w:p w14:paraId="4BC8A843">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配送任务完成后，</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温州市中心医院、</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温州市第六人民医院食堂</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每月</w:t>
      </w:r>
      <w:r>
        <w:rPr>
          <w:rFonts w:hint="eastAsia" w:ascii="新宋体" w:hAnsi="新宋体" w:eastAsia="新宋体" w:cs="新宋体"/>
          <w:b w:val="0"/>
          <w:bCs w:val="0"/>
          <w:color w:val="000000" w:themeColor="text1"/>
          <w:sz w:val="22"/>
          <w:highlight w:val="none"/>
          <w14:textFill>
            <w14:solidFill>
              <w14:schemeClr w14:val="tx1"/>
            </w14:solidFill>
          </w14:textFill>
        </w:rPr>
        <w:t>对配送单位实行考核评分，月度考核得分以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100</w:t>
      </w:r>
      <w:r>
        <w:rPr>
          <w:rFonts w:hint="eastAsia" w:ascii="新宋体" w:hAnsi="新宋体" w:eastAsia="新宋体" w:cs="新宋体"/>
          <w:b w:val="0"/>
          <w:bCs w:val="0"/>
          <w:color w:val="000000" w:themeColor="text1"/>
          <w:sz w:val="22"/>
          <w:highlight w:val="none"/>
          <w14:textFill>
            <w14:solidFill>
              <w14:schemeClr w14:val="tx1"/>
            </w14:solidFill>
          </w14:textFill>
        </w:rPr>
        <w:t>分为基准分。月考核分低于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分，高于等于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0分，则每少于基准分1分扣当月结算款的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2</w:t>
      </w:r>
      <w:r>
        <w:rPr>
          <w:rFonts w:hint="eastAsia" w:ascii="新宋体" w:hAnsi="新宋体" w:eastAsia="新宋体" w:cs="新宋体"/>
          <w:b w:val="0"/>
          <w:bCs w:val="0"/>
          <w:color w:val="000000" w:themeColor="text1"/>
          <w:sz w:val="22"/>
          <w:highlight w:val="none"/>
          <w14:textFill>
            <w14:solidFill>
              <w14:schemeClr w14:val="tx1"/>
            </w14:solidFill>
          </w14:textFill>
        </w:rPr>
        <w:t>%；,月考核考核分低于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0分，则每少于基准分1分扣当月结算款的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5</w:t>
      </w:r>
      <w:r>
        <w:rPr>
          <w:rFonts w:hint="eastAsia" w:ascii="新宋体" w:hAnsi="新宋体" w:eastAsia="新宋体" w:cs="新宋体"/>
          <w:b w:val="0"/>
          <w:bCs w:val="0"/>
          <w:color w:val="000000" w:themeColor="text1"/>
          <w:sz w:val="22"/>
          <w:highlight w:val="none"/>
          <w14:textFill>
            <w14:solidFill>
              <w14:schemeClr w14:val="tx1"/>
            </w14:solidFill>
          </w14:textFill>
        </w:rPr>
        <w:t>% ；高于或等于基准分，全额付款。</w:t>
      </w:r>
    </w:p>
    <w:p w14:paraId="3844F6F3">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同一年度，若配送单位出现三次考核得分低于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分的，采购人有权解除合同，取消配送供应资格，</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发生食物中毒等食品安全事故的将终止合同，</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各项指标扣完为止，不倒扣分。各食堂主管人员须做好日常的品质、数量、时效评价并登记记录工作，并将扣分记录告知供应商，并每月前将月考核表总分数作为结算依据。本动态考核细则为暂定内容,</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w:t>
      </w:r>
      <w:r>
        <w:rPr>
          <w:rFonts w:hint="eastAsia" w:ascii="新宋体" w:hAnsi="新宋体" w:eastAsia="新宋体" w:cs="新宋体"/>
          <w:b w:val="0"/>
          <w:bCs w:val="0"/>
          <w:color w:val="000000" w:themeColor="text1"/>
          <w:sz w:val="22"/>
          <w:highlight w:val="none"/>
          <w14:textFill>
            <w14:solidFill>
              <w14:schemeClr w14:val="tx1"/>
            </w14:solidFill>
          </w14:textFill>
        </w:rPr>
        <w:t>人有权根据配送具体情况修改及添加考核条款。</w:t>
      </w:r>
    </w:p>
    <w:p w14:paraId="6B1847F0">
      <w:pPr>
        <w:tabs>
          <w:tab w:val="left" w:pos="360"/>
        </w:tabs>
        <w:spacing w:line="460" w:lineRule="exact"/>
        <w:ind w:firstLine="552" w:firstLineChars="250"/>
        <w:jc w:val="center"/>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b/>
          <w:bCs/>
          <w:color w:val="000000" w:themeColor="text1"/>
          <w:sz w:val="22"/>
          <w:highlight w:val="none"/>
          <w14:textFill>
            <w14:solidFill>
              <w14:schemeClr w14:val="tx1"/>
            </w14:solidFill>
          </w14:textFill>
        </w:rPr>
        <w:t>动态考核细则</w:t>
      </w:r>
    </w:p>
    <w:tbl>
      <w:tblPr>
        <w:tblStyle w:val="5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12"/>
        <w:gridCol w:w="2800"/>
        <w:gridCol w:w="3000"/>
        <w:gridCol w:w="763"/>
        <w:gridCol w:w="750"/>
        <w:gridCol w:w="787"/>
      </w:tblGrid>
      <w:tr w14:paraId="39D1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2E4A7BC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序号</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DE75FA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w:t>
            </w:r>
          </w:p>
          <w:p w14:paraId="08222AF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内容</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A44CAA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考核细则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CC0FDC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标分标准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4BCB81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基本分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83E2BF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考核情况</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051F377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扣分情况</w:t>
            </w:r>
          </w:p>
        </w:tc>
      </w:tr>
      <w:tr w14:paraId="544F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14:paraId="33E9819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14:paraId="2171E9E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货源组织</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1648381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从符合规定资质的单位进货、有协议及资质证明材料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E1A446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EF44C19">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083F90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C806F8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508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29BDD6F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14:paraId="53AFF58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81E530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产品证件（合格证、检疫证、检验报告等原件或复印件）</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188823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808465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325BCC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979C2C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3CEB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02F4466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w:t>
            </w:r>
          </w:p>
        </w:tc>
        <w:tc>
          <w:tcPr>
            <w:tcW w:w="1112" w:type="dxa"/>
            <w:vMerge w:val="restart"/>
            <w:tcBorders>
              <w:top w:val="single" w:color="auto" w:sz="4" w:space="0"/>
              <w:left w:val="single" w:color="auto" w:sz="4" w:space="0"/>
              <w:right w:val="single" w:color="auto" w:sz="4" w:space="0"/>
            </w:tcBorders>
            <w:noWrap w:val="0"/>
            <w:vAlign w:val="center"/>
          </w:tcPr>
          <w:p w14:paraId="3C4D5BF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质量保障</w:t>
            </w:r>
          </w:p>
          <w:p w14:paraId="2BBB8974">
            <w:pPr>
              <w:pStyle w:val="22"/>
              <w:spacing w:after="0" w:line="460" w:lineRule="exact"/>
              <w:ind w:firstLine="220"/>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C6D914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包装产品有SC编码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2E7EAC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2C9225A">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EEBCAA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8CBBFA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2E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6BF6FE5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52FE81F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4C1F38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散装产品有质量合格证明或检测报告</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3BCCA7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4EA7DA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0E0906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85BBAA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20A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75E8EB7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3A258C7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9902D7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指定品牌食品采购情况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D3C299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不属指定品牌的每次扣1分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DF3E6A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54DE5D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C1F99F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49C0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2DEC9CB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4448E21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10120D0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配送</w:t>
            </w:r>
            <w:r>
              <w:rPr>
                <w:rFonts w:hint="eastAsia" w:ascii="新宋体" w:hAnsi="新宋体" w:eastAsia="新宋体" w:cs="新宋体"/>
                <w:color w:val="000000" w:themeColor="text1"/>
                <w:sz w:val="22"/>
                <w:szCs w:val="22"/>
                <w:highlight w:val="none"/>
                <w14:textFill>
                  <w14:solidFill>
                    <w14:schemeClr w14:val="tx1"/>
                  </w14:solidFill>
                </w14:textFill>
              </w:rPr>
              <w:t>食品的质量情况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4040EC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质量不符要求每次扣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分，如发生质量不符情况未能及时调换影响食堂正常运作的，每次扣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E75050F">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5A8BAD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062A89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339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bottom w:val="single" w:color="auto" w:sz="4" w:space="0"/>
              <w:right w:val="single" w:color="auto" w:sz="4" w:space="0"/>
            </w:tcBorders>
            <w:noWrap w:val="0"/>
            <w:vAlign w:val="center"/>
          </w:tcPr>
          <w:p w14:paraId="47BC7E6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bottom w:val="single" w:color="auto" w:sz="4" w:space="0"/>
              <w:right w:val="single" w:color="auto" w:sz="4" w:space="0"/>
            </w:tcBorders>
            <w:noWrap w:val="0"/>
            <w:vAlign w:val="center"/>
          </w:tcPr>
          <w:p w14:paraId="718A1AB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E900BA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按要求数量配送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B03DB2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出现一次缺斤少两情况每次扣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AF4DC94">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739B6B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BCD893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0364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2F81F2E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w:t>
            </w:r>
          </w:p>
        </w:tc>
        <w:tc>
          <w:tcPr>
            <w:tcW w:w="1112" w:type="dxa"/>
            <w:vMerge w:val="restart"/>
            <w:tcBorders>
              <w:top w:val="single" w:color="auto" w:sz="4" w:space="0"/>
              <w:left w:val="single" w:color="auto" w:sz="4" w:space="0"/>
              <w:right w:val="single" w:color="auto" w:sz="4" w:space="0"/>
            </w:tcBorders>
            <w:noWrap w:val="0"/>
            <w:vAlign w:val="center"/>
          </w:tcPr>
          <w:p w14:paraId="3687DE2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配送服务</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37B5E2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按时到位</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804EA3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不按时到位每次扣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8A1A2E9">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3814DB5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F6145C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6D83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01D7143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51835D7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297CB0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售后跟踪情况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1F986C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优：不扣分，良：扣1分，一般：扣3分，差：扣5分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CB7C70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52951E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4D0EE3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03C9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3AE3677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34DA096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9AFD1C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配送人员及车辆配置情况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26A6DE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优：不扣分，良：扣1分，一般：扣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分，差：扣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06691D8">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C9FDBC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53C6B3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386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5174FF3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445EDA4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64834F2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配送车辆及用具需保持清洁，每天清洗，无异味</w:t>
            </w:r>
          </w:p>
        </w:tc>
        <w:tc>
          <w:tcPr>
            <w:tcW w:w="3000" w:type="dxa"/>
            <w:tcBorders>
              <w:top w:val="single" w:color="auto" w:sz="4" w:space="0"/>
              <w:left w:val="single" w:color="auto" w:sz="4" w:space="0"/>
              <w:right w:val="single" w:color="auto" w:sz="4" w:space="0"/>
            </w:tcBorders>
            <w:noWrap w:val="0"/>
            <w:vAlign w:val="center"/>
          </w:tcPr>
          <w:p w14:paraId="0DAFC947">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right w:val="single" w:color="auto" w:sz="4" w:space="0"/>
            </w:tcBorders>
            <w:noWrap w:val="0"/>
            <w:vAlign w:val="center"/>
          </w:tcPr>
          <w:p w14:paraId="1386A14E">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3B5A0C0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2FAD96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371F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135A7FB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28B7DFE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1407C28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应急配送到位情况</w:t>
            </w:r>
          </w:p>
        </w:tc>
        <w:tc>
          <w:tcPr>
            <w:tcW w:w="3000" w:type="dxa"/>
            <w:tcBorders>
              <w:top w:val="single" w:color="auto" w:sz="4" w:space="0"/>
              <w:left w:val="single" w:color="auto" w:sz="4" w:space="0"/>
              <w:right w:val="single" w:color="auto" w:sz="4" w:space="0"/>
            </w:tcBorders>
            <w:noWrap w:val="0"/>
            <w:vAlign w:val="center"/>
          </w:tcPr>
          <w:p w14:paraId="0B976167">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不按要求到位每次扣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right w:val="single" w:color="auto" w:sz="4" w:space="0"/>
            </w:tcBorders>
            <w:noWrap w:val="0"/>
            <w:vAlign w:val="center"/>
          </w:tcPr>
          <w:p w14:paraId="31D194C6">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2D2DD66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D6DC87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5E5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73EB84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03D129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价格执行</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15E8ECC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价格与市场价格比较情况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50FDE5C">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优：不扣分，良：扣5分，一般：扣10分，差：扣15分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059429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588697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53FC83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554E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AECE066">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06914A0">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应急措施</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D69E9AB">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临时加单配送情况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FA7B7B2">
            <w:pPr>
              <w:spacing w:line="460" w:lineRule="exact"/>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优：不扣分，一般：扣0.5分，差：扣1分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7899FF7">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3E7778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122B79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419F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341F6C6">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F64BA2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财务对账及时</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1C6D9227">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财会人员及时</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对账</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831F7FB">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不及时每次扣0.5分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11CEA34">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CB2A3E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9E18E4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6461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52D9D8F">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7</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0FCEDF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业主评价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4CB817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服务满意度测评</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4CDC95B">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分，一般：扣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分，差：扣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11EC121">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234A59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E1F057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97F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14:paraId="3A958CA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总分</w:t>
            </w:r>
          </w:p>
        </w:tc>
        <w:tc>
          <w:tcPr>
            <w:tcW w:w="8100" w:type="dxa"/>
            <w:gridSpan w:val="5"/>
            <w:tcBorders>
              <w:top w:val="single" w:color="auto" w:sz="4" w:space="0"/>
              <w:left w:val="single" w:color="auto" w:sz="4" w:space="0"/>
              <w:bottom w:val="single" w:color="auto" w:sz="4" w:space="0"/>
              <w:right w:val="single" w:color="auto" w:sz="4" w:space="0"/>
            </w:tcBorders>
            <w:noWrap w:val="0"/>
            <w:vAlign w:val="center"/>
          </w:tcPr>
          <w:p w14:paraId="08988A61">
            <w:pPr>
              <w:spacing w:line="460" w:lineRule="exact"/>
              <w:jc w:val="left"/>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本考核表初始总分100分，考核得分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95</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分</w:t>
            </w:r>
            <w:r>
              <w:rPr>
                <w:rFonts w:hint="eastAsia" w:ascii="新宋体" w:hAnsi="新宋体" w:eastAsia="新宋体" w:cs="新宋体"/>
                <w:color w:val="000000" w:themeColor="text1"/>
                <w:sz w:val="22"/>
                <w:szCs w:val="22"/>
                <w:highlight w:val="none"/>
                <w14:textFill>
                  <w14:solidFill>
                    <w14:schemeClr w14:val="tx1"/>
                  </w14:solidFill>
                </w14:textFill>
              </w:rPr>
              <w:t>（含）以上为合格。以每月考核最终扣分结果为准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p>
        </w:tc>
      </w:tr>
    </w:tbl>
    <w:p w14:paraId="67B677CA">
      <w:pPr>
        <w:rPr>
          <w:rFonts w:hint="eastAsia" w:ascii="宋体" w:hAnsi="宋体" w:eastAsia="宋体" w:cs="宋体"/>
          <w:color w:val="000000" w:themeColor="text1"/>
          <w:highlight w:val="none"/>
          <w14:textFill>
            <w14:solidFill>
              <w14:schemeClr w14:val="tx1"/>
            </w14:solidFill>
          </w14:textFill>
        </w:rPr>
      </w:pPr>
    </w:p>
    <w:p w14:paraId="71A67FEB">
      <w:pPr>
        <w:rPr>
          <w:rFonts w:hint="eastAsia" w:ascii="宋体" w:hAnsi="宋体" w:eastAsia="宋体" w:cs="宋体"/>
          <w:color w:val="000000" w:themeColor="text1"/>
          <w:highlight w:val="none"/>
          <w14:textFill>
            <w14:solidFill>
              <w14:schemeClr w14:val="tx1"/>
            </w14:solidFill>
          </w14:textFill>
        </w:rPr>
      </w:pPr>
    </w:p>
    <w:p w14:paraId="623692A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FFF5F20">
      <w:pPr>
        <w:pStyle w:val="4"/>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第三部分    附件</w:t>
      </w:r>
      <w:bookmarkEnd w:id="39"/>
      <w:bookmarkEnd w:id="40"/>
    </w:p>
    <w:p w14:paraId="0F7CD702">
      <w:pPr>
        <w:pStyle w:val="24"/>
        <w:spacing w:line="460" w:lineRule="exact"/>
        <w:ind w:left="433" w:hanging="433" w:hangingChars="196"/>
        <w:outlineLvl w:val="1"/>
        <w:rPr>
          <w:rFonts w:hint="eastAsia" w:ascii="宋体" w:hAnsi="宋体" w:eastAsia="宋体" w:cs="宋体"/>
          <w:b/>
          <w:color w:val="000000" w:themeColor="text1"/>
          <w:sz w:val="22"/>
          <w:highlight w:val="none"/>
          <w14:textFill>
            <w14:solidFill>
              <w14:schemeClr w14:val="tx1"/>
            </w14:solidFill>
          </w14:textFill>
        </w:rPr>
      </w:pPr>
      <w:bookmarkStart w:id="41" w:name="_Toc6368"/>
      <w:bookmarkStart w:id="42" w:name="_Toc7056"/>
      <w:r>
        <w:rPr>
          <w:rFonts w:hint="eastAsia" w:ascii="宋体" w:hAnsi="宋体" w:eastAsia="宋体" w:cs="宋体"/>
          <w:b/>
          <w:color w:val="000000" w:themeColor="text1"/>
          <w:sz w:val="22"/>
          <w:highlight w:val="none"/>
          <w14:textFill>
            <w14:solidFill>
              <w14:schemeClr w14:val="tx1"/>
            </w14:solidFill>
          </w14:textFill>
        </w:rPr>
        <w:t>附件一</w:t>
      </w:r>
      <w:bookmarkEnd w:id="41"/>
      <w:bookmarkEnd w:id="42"/>
    </w:p>
    <w:p w14:paraId="70AACAA3">
      <w:pPr>
        <w:spacing w:line="400" w:lineRule="exact"/>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43" w:name="_Toc13365"/>
      <w:bookmarkStart w:id="44" w:name="_Toc5430"/>
      <w:r>
        <w:rPr>
          <w:rFonts w:hint="eastAsia" w:ascii="宋体" w:hAnsi="宋体" w:eastAsia="宋体" w:cs="宋体"/>
          <w:b/>
          <w:bCs/>
          <w:color w:val="000000" w:themeColor="text1"/>
          <w:sz w:val="28"/>
          <w:szCs w:val="28"/>
          <w:highlight w:val="none"/>
          <w14:textFill>
            <w14:solidFill>
              <w14:schemeClr w14:val="tx1"/>
            </w14:solidFill>
          </w14:textFill>
        </w:rPr>
        <w:t>报价文件</w:t>
      </w:r>
      <w:bookmarkEnd w:id="43"/>
      <w:bookmarkEnd w:id="44"/>
    </w:p>
    <w:p w14:paraId="3252858B">
      <w:pPr>
        <w:spacing w:line="400" w:lineRule="exact"/>
        <w:jc w:val="center"/>
        <w:outlineLvl w:val="3"/>
        <w:rPr>
          <w:rFonts w:hint="eastAsia" w:ascii="宋体" w:hAnsi="宋体" w:eastAsia="宋体" w:cs="宋体"/>
          <w:b/>
          <w:color w:val="000000" w:themeColor="text1"/>
          <w:sz w:val="22"/>
          <w:szCs w:val="22"/>
          <w:highlight w:val="none"/>
          <w:lang w:val="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w:t>
      </w:r>
      <w:r>
        <w:rPr>
          <w:rFonts w:hint="eastAsia" w:ascii="宋体" w:hAnsi="宋体" w:eastAsia="宋体" w:cs="宋体"/>
          <w:b/>
          <w:color w:val="000000" w:themeColor="text1"/>
          <w:sz w:val="22"/>
          <w:szCs w:val="22"/>
          <w:highlight w:val="none"/>
          <w:lang w:val="zh-CN"/>
          <w14:textFill>
            <w14:solidFill>
              <w14:schemeClr w14:val="tx1"/>
            </w14:solidFill>
          </w14:textFill>
        </w:rPr>
        <w:t>投标函</w:t>
      </w:r>
    </w:p>
    <w:p w14:paraId="2E3E95D7">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致：</w:t>
      </w:r>
      <w:r>
        <w:rPr>
          <w:rFonts w:hint="eastAsia" w:ascii="宋体" w:hAnsi="宋体" w:cs="宋体"/>
          <w:color w:val="000000" w:themeColor="text1"/>
          <w:sz w:val="22"/>
          <w:szCs w:val="22"/>
          <w:highlight w:val="none"/>
          <w:lang w:eastAsia="zh-CN"/>
          <w14:textFill>
            <w14:solidFill>
              <w14:schemeClr w14:val="tx1"/>
            </w14:solidFill>
          </w14:textFill>
        </w:rPr>
        <w:t>温州市中心医院</w:t>
      </w:r>
    </w:p>
    <w:p w14:paraId="3143985B">
      <w:pPr>
        <w:keepNext w:val="0"/>
        <w:keepLines w:val="0"/>
        <w:pageBreakBefore w:val="0"/>
        <w:kinsoku/>
        <w:wordWrap/>
        <w:overflowPunct/>
        <w:topLinePunct w:val="0"/>
        <w:autoSpaceDE/>
        <w:autoSpaceDN/>
        <w:bidi w:val="0"/>
        <w:adjustRightInd/>
        <w:spacing w:line="460" w:lineRule="exact"/>
        <w:ind w:firstLine="539" w:firstLineChars="2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根据贵方为</w:t>
      </w:r>
      <w:r>
        <w:rPr>
          <w:rFonts w:hint="eastAsia" w:ascii="宋体" w:hAnsi="宋体" w:eastAsia="宋体" w:cs="宋体"/>
          <w:color w:val="000000" w:themeColor="text1"/>
          <w:sz w:val="22"/>
          <w:szCs w:val="22"/>
          <w:highlight w:val="none"/>
          <w:u w:val="none"/>
          <w14:textFill>
            <w14:solidFill>
              <w14:schemeClr w14:val="tx1"/>
            </w14:solidFill>
          </w14:textFill>
        </w:rPr>
        <w:t xml:space="preserve"> </w:t>
      </w:r>
      <w:r>
        <w:rPr>
          <w:rFonts w:hint="eastAsia" w:ascii="宋体" w:hAnsi="宋体" w:cs="宋体"/>
          <w:color w:val="000000" w:themeColor="text1"/>
          <w:sz w:val="22"/>
          <w:szCs w:val="22"/>
          <w:highlight w:val="none"/>
          <w:u w:val="none"/>
          <w:lang w:eastAsia="zh-CN"/>
          <w14:textFill>
            <w14:solidFill>
              <w14:schemeClr w14:val="tx1"/>
            </w14:solidFill>
          </w14:textFill>
        </w:rPr>
        <w:t>食堂配送（鲜猪肉类）</w:t>
      </w:r>
      <w:r>
        <w:rPr>
          <w:rFonts w:hint="eastAsia" w:ascii="宋体" w:hAnsi="宋体" w:eastAsia="宋体" w:cs="宋体"/>
          <w:color w:val="000000" w:themeColor="text1"/>
          <w:sz w:val="22"/>
          <w:szCs w:val="22"/>
          <w:highlight w:val="none"/>
          <w14:textFill>
            <w14:solidFill>
              <w14:schemeClr w14:val="tx1"/>
            </w14:solidFill>
          </w14:textFill>
        </w:rPr>
        <w:t>项目（招标</w:t>
      </w:r>
      <w:r>
        <w:rPr>
          <w:rFonts w:hint="eastAsia" w:ascii="宋体" w:hAnsi="宋体" w:eastAsia="宋体" w:cs="宋体"/>
          <w:b w:val="0"/>
          <w:bCs w:val="0"/>
          <w:color w:val="000000" w:themeColor="text1"/>
          <w:sz w:val="22"/>
          <w:szCs w:val="22"/>
          <w:highlight w:val="none"/>
          <w14:textFill>
            <w14:solidFill>
              <w14:schemeClr w14:val="tx1"/>
            </w14:solidFill>
          </w14:textFill>
        </w:rPr>
        <w:t>编</w:t>
      </w:r>
      <w:r>
        <w:rPr>
          <w:rFonts w:hint="eastAsia" w:ascii="宋体" w:hAnsi="宋体" w:eastAsia="宋体" w:cs="宋体"/>
          <w:color w:val="000000" w:themeColor="text1"/>
          <w:sz w:val="22"/>
          <w:szCs w:val="22"/>
          <w:highlight w:val="none"/>
          <w14:textFill>
            <w14:solidFill>
              <w14:schemeClr w14:val="tx1"/>
            </w14:solidFill>
          </w14:textFill>
        </w:rPr>
        <w:t>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）的投标邀请，我方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w:t>
      </w:r>
      <w:r>
        <w:rPr>
          <w:rFonts w:hint="eastAsia" w:ascii="宋体" w:hAnsi="宋体" w:eastAsia="宋体" w:cs="宋体"/>
          <w:color w:val="000000" w:themeColor="text1"/>
          <w:sz w:val="22"/>
          <w:szCs w:val="22"/>
          <w:highlight w:val="none"/>
          <w14:textFill>
            <w14:solidFill>
              <w14:schemeClr w14:val="tx1"/>
            </w14:solidFill>
          </w14:textFill>
        </w:rPr>
        <w:t>（投标人名称）作为投标人正式授权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（授权代表全名，职务）代表我方处理有关本投标的一切事宜。为此：</w:t>
      </w:r>
    </w:p>
    <w:p w14:paraId="126B13DF">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1、我方同意在投标人</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规定的开标日期起遵守本投标书中的承诺且在投标有效期满之前均具有约束力。</w:t>
      </w:r>
    </w:p>
    <w:p w14:paraId="2CF63D67">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2、我方承诺已经具备《中华人民共和国政府采购法》中规定的参加政府采购活动的供应商应当具备的条件</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参加本次政府采购活动前3年内</w:t>
      </w:r>
      <w:r>
        <w:rPr>
          <w:rFonts w:hint="eastAsia" w:ascii="新宋体" w:hAnsi="新宋体" w:eastAsia="新宋体" w:cs="新宋体"/>
          <w:color w:val="000000" w:themeColor="text1"/>
          <w:sz w:val="22"/>
          <w:szCs w:val="22"/>
          <w:highlight w:val="none"/>
          <w14:textFill>
            <w14:solidFill>
              <w14:schemeClr w14:val="tx1"/>
            </w14:solidFill>
          </w14:textFill>
        </w:rPr>
        <w:t>：</w:t>
      </w:r>
    </w:p>
    <w:p w14:paraId="7EE9080F">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(1)具有独立承担民事责任的能力；</w:t>
      </w:r>
    </w:p>
    <w:p w14:paraId="475E7B58">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(2)遵守国家法律、行政法规，具有良好的信誉和商业道德；</w:t>
      </w:r>
    </w:p>
    <w:p w14:paraId="5C4965BC">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(3)具有履行合同的能力和良好的履行合同记录；</w:t>
      </w:r>
    </w:p>
    <w:p w14:paraId="2C344013">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(4)良好的资金、财务状况；</w:t>
      </w:r>
    </w:p>
    <w:p w14:paraId="6C4CF219">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(5)提供的产品和服务符合中国政府规定的相应标准和环保标准；</w:t>
      </w:r>
    </w:p>
    <w:p w14:paraId="33F074F8">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(6)没有违反政府采购法规、政策的记录；</w:t>
      </w:r>
    </w:p>
    <w:p w14:paraId="1CB12997">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(7)没有发生重大经济纠纷和走私犯罪记录。</w:t>
      </w:r>
    </w:p>
    <w:p w14:paraId="440540EE">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3、提供编制和提交投标文件须知规定的全部投标文件，包括资格文件、报价文件、商务技术文件。具体内容为：</w:t>
      </w:r>
    </w:p>
    <w:p w14:paraId="1C3ABE27">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(1)资格文件</w:t>
      </w:r>
    </w:p>
    <w:p w14:paraId="58C8243F">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(2)报价文件；</w:t>
      </w:r>
    </w:p>
    <w:p w14:paraId="36BBAF6D">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zh-CN"/>
          <w14:textFill>
            <w14:solidFill>
              <w14:schemeClr w14:val="tx1"/>
            </w14:solidFill>
          </w14:textFill>
        </w:rPr>
        <w:t>商务</w:t>
      </w:r>
      <w:r>
        <w:rPr>
          <w:rFonts w:hint="eastAsia" w:ascii="宋体" w:hAnsi="宋体" w:eastAsia="宋体" w:cs="宋体"/>
          <w:color w:val="000000" w:themeColor="text1"/>
          <w:kern w:val="0"/>
          <w:sz w:val="22"/>
          <w:szCs w:val="22"/>
          <w:highlight w:val="none"/>
          <w:lang w:val="zh-CN"/>
          <w14:textFill>
            <w14:solidFill>
              <w14:schemeClr w14:val="tx1"/>
            </w14:solidFill>
          </w14:textFill>
        </w:rPr>
        <w:t>技术文件</w:t>
      </w:r>
      <w:r>
        <w:rPr>
          <w:rFonts w:hint="eastAsia" w:ascii="宋体" w:hAnsi="宋体" w:eastAsia="宋体" w:cs="宋体"/>
          <w:color w:val="000000" w:themeColor="text1"/>
          <w:sz w:val="22"/>
          <w:szCs w:val="22"/>
          <w:highlight w:val="none"/>
          <w14:textFill>
            <w14:solidFill>
              <w14:schemeClr w14:val="tx1"/>
            </w14:solidFill>
          </w14:textFill>
        </w:rPr>
        <w:t>；</w:t>
      </w:r>
    </w:p>
    <w:p w14:paraId="025C416D">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要求投标人提交的全部文件；</w:t>
      </w:r>
    </w:p>
    <w:p w14:paraId="7D9DBDE8">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(5)按招标文件要求提供和交付的货物和服务的投标报价详见开标一览表；</w:t>
      </w:r>
    </w:p>
    <w:p w14:paraId="67FB55AB">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(6)保证忠实地执行双方所签订的合同，并承担合同规定的责任和义务；</w:t>
      </w:r>
    </w:p>
    <w:p w14:paraId="3AD33F3C">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(7)保证遵守招标文件中的其他有关规定。</w:t>
      </w:r>
    </w:p>
    <w:p w14:paraId="73DAAD40">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4、投标有效期内不撤销投标文件，如中标，有效期将延至合同终止日为止。</w:t>
      </w:r>
    </w:p>
    <w:p w14:paraId="3F5ABA28">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5、我方完全理解贵方不一定要接受最低价的投标。</w:t>
      </w:r>
    </w:p>
    <w:p w14:paraId="3DEF6869">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6、如中标，按招标文件规定与招标人签订合同。如拒绝签订合同，承诺按本项目预算金额的2%对招标人进行赔偿；赔偿金额不足以弥补招标人损失的，承诺继续承担超过部分的损失。</w:t>
      </w:r>
    </w:p>
    <w:p w14:paraId="2CAB6200">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7、如中标，按招标文件规定的招标代理服务费标准，在领取</w:t>
      </w:r>
      <w:r>
        <w:rPr>
          <w:rFonts w:hint="eastAsia" w:ascii="宋体" w:hAnsi="宋体" w:cs="宋体"/>
          <w:color w:val="000000" w:themeColor="text1"/>
          <w:sz w:val="22"/>
          <w:szCs w:val="22"/>
          <w:highlight w:val="none"/>
          <w:lang w:eastAsia="zh-CN"/>
          <w14:textFill>
            <w14:solidFill>
              <w14:schemeClr w14:val="tx1"/>
            </w14:solidFill>
          </w14:textFill>
        </w:rPr>
        <w:t>入围通知书</w:t>
      </w:r>
      <w:r>
        <w:rPr>
          <w:rFonts w:hint="eastAsia" w:ascii="宋体" w:hAnsi="宋体" w:eastAsia="宋体" w:cs="宋体"/>
          <w:color w:val="000000" w:themeColor="text1"/>
          <w:sz w:val="22"/>
          <w:szCs w:val="22"/>
          <w:highlight w:val="none"/>
          <w14:textFill>
            <w14:solidFill>
              <w14:schemeClr w14:val="tx1"/>
            </w14:solidFill>
          </w14:textFill>
        </w:rPr>
        <w:t>时向招标代理机构支付招标代理服务费。</w:t>
      </w:r>
    </w:p>
    <w:p w14:paraId="0072E88C">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8、我方愿意向贵方提供任何与该项投标有关的数据、情况和服务资料。若贵方需要，我方愿意提供我方作出的一切承诺的证明材料。</w:t>
      </w:r>
    </w:p>
    <w:p w14:paraId="4B39CCC4">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9、我方已详细审核全部招标文件，包括招标文件修改书（如有的话）、参考资料及有关附件，确认无误。我方完全理解并接受招标文件的各项规定和要求，对招标文件的合理性、合法性不再有异议。</w:t>
      </w:r>
    </w:p>
    <w:p w14:paraId="280BBC08">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FD42585">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(1)提供虚假材料谋取中标、成交的；</w:t>
      </w:r>
    </w:p>
    <w:p w14:paraId="366F850C">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(2)采取不正当手段诋毁、排挤其他供应商的；</w:t>
      </w:r>
    </w:p>
    <w:p w14:paraId="6776F555">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(3)与招标人、其它供应商或者招标代理机构恶意串通的；</w:t>
      </w:r>
    </w:p>
    <w:p w14:paraId="51FD6F14">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(4)向招标人、招标代理机构行贿或者提供其他不正当利益的；</w:t>
      </w:r>
    </w:p>
    <w:p w14:paraId="3785A2E9">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(5)在招标采购过程中与招标人进行协商谈判的；</w:t>
      </w:r>
    </w:p>
    <w:p w14:paraId="5DCB40F6">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(6)拒绝有关部门监督检查或提供虚假情况的。</w:t>
      </w:r>
    </w:p>
    <w:p w14:paraId="6801EB89">
      <w:pPr>
        <w:keepNext w:val="0"/>
        <w:keepLines w:val="0"/>
        <w:pageBreakBefore w:val="0"/>
        <w:shd w:val="clear" w:color="auto" w:fill="FFFFFF"/>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供应商有前款第(1)至(5)项情形之一的，中标、成交无效。</w:t>
      </w:r>
    </w:p>
    <w:p w14:paraId="05238531">
      <w:pPr>
        <w:shd w:val="clear" w:color="auto" w:fill="FFFFFF"/>
        <w:snapToGrid w:val="0"/>
        <w:spacing w:line="360" w:lineRule="auto"/>
        <w:rPr>
          <w:rFonts w:hint="eastAsia" w:ascii="宋体" w:hAnsi="宋体" w:eastAsia="宋体" w:cs="宋体"/>
          <w:color w:val="000000" w:themeColor="text1"/>
          <w:kern w:val="0"/>
          <w:sz w:val="22"/>
          <w:szCs w:val="22"/>
          <w:highlight w:val="none"/>
          <w:lang w:val="zh-CN"/>
          <w14:textFill>
            <w14:solidFill>
              <w14:schemeClr w14:val="tx1"/>
            </w14:solidFill>
          </w14:textFill>
        </w:rPr>
      </w:pPr>
    </w:p>
    <w:p w14:paraId="3518041E">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法定（授权）代表人（签字）：</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p>
    <w:p w14:paraId="17A35A9B">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u w:val="singl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投标人盖 章：</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6130EC43">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联系电话：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传真：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电子邮件：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0B9B5591">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联系地址：</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29112435">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邮政编码：</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传真号码：</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6632A79C">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日</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期</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年</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14:textFill>
            <w14:solidFill>
              <w14:schemeClr w14:val="tx1"/>
            </w14:solidFill>
          </w14:textFill>
        </w:rPr>
        <w:tab/>
      </w:r>
      <w:r>
        <w:rPr>
          <w:rFonts w:hint="eastAsia" w:ascii="宋体" w:hAnsi="宋体" w:eastAsia="宋体" w:cs="宋体"/>
          <w:color w:val="000000" w:themeColor="text1"/>
          <w:kern w:val="0"/>
          <w:sz w:val="22"/>
          <w:szCs w:val="22"/>
          <w:highlight w:val="none"/>
          <w:lang w:val="zh-CN"/>
          <w14:textFill>
            <w14:solidFill>
              <w14:schemeClr w14:val="tx1"/>
            </w14:solidFill>
          </w14:textFill>
        </w:rPr>
        <w:t>月</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日</w:t>
      </w:r>
    </w:p>
    <w:p w14:paraId="46276B5D">
      <w:pPr>
        <w:spacing w:line="44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zh-CN"/>
          <w14:textFill>
            <w14:solidFill>
              <w14:schemeClr w14:val="tx1"/>
            </w14:solidFill>
          </w14:textFill>
        </w:rPr>
        <w:t>注：未按照本投标响应函要求填报的将被视为非实质性响应，从而可能导致该投标文件被拒绝。</w:t>
      </w:r>
    </w:p>
    <w:p w14:paraId="57BD1DA7">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5FBFF7F9">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35466AEE">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0A097B91">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10DE0FDB">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536B055B">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6F040A1B">
      <w:pPr>
        <w:keepNext w:val="0"/>
        <w:keepLines w:val="0"/>
        <w:pageBreakBefore w:val="0"/>
        <w:widowControl w:val="0"/>
        <w:kinsoku/>
        <w:wordWrap/>
        <w:overflowPunct/>
        <w:topLinePunct w:val="0"/>
        <w:autoSpaceDE/>
        <w:autoSpaceDN/>
        <w:bidi w:val="0"/>
        <w:adjustRightInd/>
        <w:snapToGrid/>
        <w:spacing w:line="460" w:lineRule="exact"/>
        <w:textAlignment w:val="auto"/>
        <w:outlineLvl w:val="0"/>
        <w:rPr>
          <w:rFonts w:hint="eastAsia" w:ascii="宋体" w:hAnsi="宋体" w:eastAsia="宋体" w:cs="宋体"/>
          <w:b/>
          <w:color w:val="000000" w:themeColor="text1"/>
          <w:sz w:val="22"/>
          <w:szCs w:val="22"/>
          <w:highlight w:val="none"/>
          <w14:textFill>
            <w14:solidFill>
              <w14:schemeClr w14:val="tx1"/>
            </w14:solidFill>
          </w14:textFill>
        </w:rPr>
      </w:pPr>
      <w:bookmarkStart w:id="45" w:name="_Toc19402"/>
      <w:bookmarkStart w:id="46" w:name="_Toc12035"/>
      <w:r>
        <w:rPr>
          <w:rFonts w:hint="eastAsia" w:ascii="宋体" w:hAnsi="宋体" w:eastAsia="宋体" w:cs="宋体"/>
          <w:b/>
          <w:color w:val="000000" w:themeColor="text1"/>
          <w:sz w:val="22"/>
          <w:szCs w:val="22"/>
          <w:highlight w:val="none"/>
          <w14:textFill>
            <w14:solidFill>
              <w14:schemeClr w14:val="tx1"/>
            </w14:solidFill>
          </w14:textFill>
        </w:rPr>
        <w:t>附件二</w:t>
      </w:r>
      <w:bookmarkEnd w:id="45"/>
      <w:bookmarkEnd w:id="46"/>
    </w:p>
    <w:p w14:paraId="6041FD5F">
      <w:pPr>
        <w:spacing w:line="460" w:lineRule="exact"/>
        <w:jc w:val="center"/>
        <w:outlineLvl w:val="2"/>
        <w:rPr>
          <w:rFonts w:hint="eastAsia" w:ascii="宋体" w:hAnsi="宋体" w:eastAsia="宋体" w:cs="宋体"/>
          <w:b/>
          <w:bCs/>
          <w:color w:val="000000" w:themeColor="text1"/>
          <w:sz w:val="24"/>
          <w:highlight w:val="none"/>
          <w:lang w:eastAsia="zh-CN"/>
          <w14:textFill>
            <w14:solidFill>
              <w14:schemeClr w14:val="tx1"/>
            </w14:solidFill>
          </w14:textFill>
        </w:rPr>
      </w:pPr>
      <w:bookmarkStart w:id="47" w:name="_Toc25309"/>
      <w:bookmarkStart w:id="48" w:name="_Toc4718"/>
      <w:r>
        <w:rPr>
          <w:rFonts w:hint="eastAsia" w:ascii="宋体" w:hAnsi="宋体" w:eastAsia="宋体" w:cs="宋体"/>
          <w:b/>
          <w:bCs/>
          <w:color w:val="000000" w:themeColor="text1"/>
          <w:sz w:val="28"/>
          <w:szCs w:val="28"/>
          <w:highlight w:val="none"/>
          <w14:textFill>
            <w14:solidFill>
              <w14:schemeClr w14:val="tx1"/>
            </w14:solidFill>
          </w14:textFill>
        </w:rPr>
        <w:t>资格证明文件</w:t>
      </w:r>
      <w:bookmarkEnd w:id="47"/>
      <w:bookmarkEnd w:id="48"/>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02CDF57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000000" w:themeColor="text1"/>
          <w:sz w:val="24"/>
          <w:highlight w:val="none"/>
          <w14:textFill>
            <w14:solidFill>
              <w14:schemeClr w14:val="tx1"/>
            </w14:solidFill>
          </w14:textFill>
        </w:rPr>
      </w:pPr>
    </w:p>
    <w:p w14:paraId="228DF210">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000000" w:themeColor="text1"/>
          <w:sz w:val="28"/>
          <w:szCs w:val="28"/>
          <w:highlight w:val="none"/>
          <w14:textFill>
            <w14:solidFill>
              <w14:schemeClr w14:val="tx1"/>
            </w14:solidFill>
          </w14:textFill>
        </w:rPr>
      </w:pPr>
      <w:bookmarkStart w:id="49" w:name="_Toc31356"/>
      <w:bookmarkStart w:id="50" w:name="_Toc16516"/>
      <w:r>
        <w:rPr>
          <w:rFonts w:hint="eastAsia" w:cs="宋体"/>
          <w:b/>
          <w:bCs w:val="0"/>
          <w:color w:val="000000" w:themeColor="text1"/>
          <w:kern w:val="0"/>
          <w:sz w:val="28"/>
          <w:szCs w:val="28"/>
          <w:highlight w:val="none"/>
          <w:lang w:val="en-US" w:eastAsia="zh-CN" w:bidi="ar-SA"/>
          <w14:textFill>
            <w14:solidFill>
              <w14:schemeClr w14:val="tx1"/>
            </w14:solidFill>
          </w14:textFill>
        </w:rPr>
        <w:t>1、</w:t>
      </w:r>
      <w:r>
        <w:rPr>
          <w:rFonts w:hint="eastAsia" w:ascii="宋体" w:hAnsi="宋体" w:eastAsia="宋体" w:cs="宋体"/>
          <w:b/>
          <w:bCs w:val="0"/>
          <w:color w:val="000000" w:themeColor="text1"/>
          <w:kern w:val="0"/>
          <w:sz w:val="28"/>
          <w:szCs w:val="28"/>
          <w:highlight w:val="none"/>
          <w:lang w:val="en-US" w:eastAsia="zh-CN" w:bidi="ar-SA"/>
          <w14:textFill>
            <w14:solidFill>
              <w14:schemeClr w14:val="tx1"/>
            </w14:solidFill>
          </w14:textFill>
        </w:rPr>
        <w:t>资格条件承诺函</w:t>
      </w:r>
    </w:p>
    <w:p w14:paraId="3349EF75">
      <w:pPr>
        <w:shd w:val="clear" w:color="auto" w:fill="FFFFFF"/>
        <w:snapToGrid w:val="0"/>
        <w:spacing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温州市中心医院</w:t>
      </w:r>
      <w:r>
        <w:rPr>
          <w:rFonts w:hint="eastAsia" w:ascii="宋体" w:hAnsi="宋体" w:eastAsia="宋体" w:cs="宋体"/>
          <w:color w:val="000000" w:themeColor="text1"/>
          <w:sz w:val="22"/>
          <w:szCs w:val="22"/>
          <w:highlight w:val="none"/>
          <w14:textFill>
            <w14:solidFill>
              <w14:schemeClr w14:val="tx1"/>
            </w14:solidFill>
          </w14:textFill>
        </w:rPr>
        <w:t>、温州历程招标有限公司：</w:t>
      </w:r>
    </w:p>
    <w:p w14:paraId="6BD08F4B">
      <w:pPr>
        <w:widowControl/>
        <w:spacing w:line="44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我方参与</w:t>
      </w:r>
      <w:r>
        <w:rPr>
          <w:rFonts w:hint="eastAsia" w:ascii="宋体" w:hAnsi="宋体" w:cs="宋体"/>
          <w:color w:val="000000" w:themeColor="text1"/>
          <w:sz w:val="22"/>
          <w:szCs w:val="22"/>
          <w:highlight w:val="none"/>
          <w:u w:val="single"/>
          <w:lang w:eastAsia="zh-CN"/>
          <w14:textFill>
            <w14:solidFill>
              <w14:schemeClr w14:val="tx1"/>
            </w14:solidFill>
          </w14:textFill>
        </w:rPr>
        <w:t>食堂配送（鲜猪肉类）</w:t>
      </w:r>
      <w:r>
        <w:rPr>
          <w:rFonts w:hint="eastAsia" w:ascii="宋体" w:hAnsi="宋体" w:eastAsia="宋体" w:cs="宋体"/>
          <w:color w:val="000000" w:themeColor="text1"/>
          <w:sz w:val="22"/>
          <w:szCs w:val="22"/>
          <w:highlight w:val="none"/>
          <w14:textFill>
            <w14:solidFill>
              <w14:schemeClr w14:val="tx1"/>
            </w14:solidFill>
          </w14:textFill>
        </w:rPr>
        <w:t>项目（招标</w:t>
      </w:r>
      <w:r>
        <w:rPr>
          <w:rFonts w:hint="eastAsia" w:ascii="宋体" w:hAnsi="宋体" w:eastAsia="宋体" w:cs="宋体"/>
          <w:b w:val="0"/>
          <w:bCs w:val="0"/>
          <w:color w:val="000000" w:themeColor="text1"/>
          <w:sz w:val="22"/>
          <w:szCs w:val="22"/>
          <w:highlight w:val="none"/>
          <w14:textFill>
            <w14:solidFill>
              <w14:schemeClr w14:val="tx1"/>
            </w14:solidFill>
          </w14:textFill>
        </w:rPr>
        <w:t>编</w:t>
      </w:r>
      <w:r>
        <w:rPr>
          <w:rFonts w:hint="eastAsia" w:ascii="宋体" w:hAnsi="宋体" w:eastAsia="宋体" w:cs="宋体"/>
          <w:color w:val="000000" w:themeColor="text1"/>
          <w:sz w:val="22"/>
          <w:szCs w:val="22"/>
          <w:highlight w:val="none"/>
          <w14:textFill>
            <w14:solidFill>
              <w14:schemeClr w14:val="tx1"/>
            </w14:solidFill>
          </w14:textFill>
        </w:rPr>
        <w:t>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）投标，现郑重承诺</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参加本次政府采购活动前3年内</w:t>
      </w:r>
      <w:r>
        <w:rPr>
          <w:rFonts w:hint="eastAsia" w:ascii="宋体" w:hAnsi="宋体" w:eastAsia="宋体" w:cs="宋体"/>
          <w:color w:val="000000" w:themeColor="text1"/>
          <w:sz w:val="22"/>
          <w:szCs w:val="22"/>
          <w:highlight w:val="none"/>
          <w14:textFill>
            <w14:solidFill>
              <w14:schemeClr w14:val="tx1"/>
            </w14:solidFill>
          </w14:textFill>
        </w:rPr>
        <w:t>：</w:t>
      </w:r>
    </w:p>
    <w:p w14:paraId="47A7CCEC">
      <w:pPr>
        <w:widowControl/>
        <w:spacing w:line="44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1、我方符合《中华人民共和国政府采购法》第22条规定的资格条件，即</w:t>
      </w:r>
    </w:p>
    <w:p w14:paraId="021B913E">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（1）我方具有独立承担民事责任的能力；</w:t>
      </w:r>
    </w:p>
    <w:p w14:paraId="21BAC47E">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（2）我方具有良好的商业信誉和健全的财务会计制度；</w:t>
      </w:r>
    </w:p>
    <w:p w14:paraId="63E7FE2F">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（3）我方具有履行合同所必需的设备和专业技术能力；</w:t>
      </w:r>
    </w:p>
    <w:p w14:paraId="407CEBDA">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（4）我方有依法缴纳税收和社会保障资金的良好记录；</w:t>
      </w:r>
    </w:p>
    <w:p w14:paraId="58714B0E">
      <w:pPr>
        <w:widowControl/>
        <w:snapToGrid w:val="0"/>
        <w:spacing w:line="440" w:lineRule="exact"/>
        <w:ind w:left="989" w:leftChars="314" w:hanging="330" w:hangingChars="15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FB4CC8A">
      <w:pPr>
        <w:widowControl/>
        <w:spacing w:line="440" w:lineRule="exact"/>
        <w:ind w:left="479" w:leftChars="228" w:firstLine="180" w:firstLineChars="82"/>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2、到本项目投标截止时间为止，我方未被“信用中国（</w:t>
      </w:r>
      <w:r>
        <w:rPr>
          <w:rFonts w:hint="eastAsia" w:ascii="宋体" w:hAnsi="宋体" w:eastAsia="宋体" w:cs="宋体"/>
          <w:color w:val="000000" w:themeColor="text1"/>
          <w:kern w:val="0"/>
          <w:sz w:val="22"/>
          <w:szCs w:val="22"/>
          <w:highlight w:val="none"/>
          <w14:textFill>
            <w14:solidFill>
              <w14:schemeClr w14:val="tx1"/>
            </w14:solidFill>
          </w14:textFill>
        </w:rPr>
        <w:fldChar w:fldCharType="begin"/>
      </w:r>
      <w:r>
        <w:rPr>
          <w:rFonts w:hint="eastAsia" w:ascii="宋体" w:hAnsi="宋体" w:eastAsia="宋体" w:cs="宋体"/>
          <w:color w:val="000000" w:themeColor="text1"/>
          <w:kern w:val="0"/>
          <w:sz w:val="22"/>
          <w:szCs w:val="22"/>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kern w:val="0"/>
          <w:sz w:val="22"/>
          <w:szCs w:val="22"/>
          <w:highlight w:val="none"/>
          <w14:textFill>
            <w14:solidFill>
              <w14:schemeClr w14:val="tx1"/>
            </w14:solidFill>
          </w14:textFill>
        </w:rPr>
        <w:fldChar w:fldCharType="separate"/>
      </w:r>
      <w:r>
        <w:rPr>
          <w:rFonts w:hint="eastAsia" w:ascii="宋体" w:hAnsi="宋体" w:eastAsia="宋体" w:cs="宋体"/>
          <w:color w:val="000000" w:themeColor="text1"/>
          <w:kern w:val="0"/>
          <w:sz w:val="22"/>
          <w:szCs w:val="22"/>
          <w:highlight w:val="none"/>
          <w14:textFill>
            <w14:solidFill>
              <w14:schemeClr w14:val="tx1"/>
            </w14:solidFill>
          </w14:textFill>
        </w:rPr>
        <w:t>www.creditchina.gov.cn）、</w:t>
      </w:r>
      <w:r>
        <w:rPr>
          <w:rFonts w:hint="eastAsia" w:ascii="宋体" w:hAnsi="宋体" w:eastAsia="宋体" w:cs="宋体"/>
          <w:color w:val="000000" w:themeColor="text1"/>
          <w:kern w:val="0"/>
          <w:sz w:val="22"/>
          <w:szCs w:val="22"/>
          <w:highlight w:val="none"/>
          <w14:textFill>
            <w14:solidFill>
              <w14:schemeClr w14:val="tx1"/>
            </w14:solidFill>
          </w14:textFill>
        </w:rPr>
        <w:fldChar w:fldCharType="end"/>
      </w:r>
      <w:r>
        <w:rPr>
          <w:rFonts w:hint="eastAsia" w:ascii="宋体" w:hAnsi="宋体" w:eastAsia="宋体" w:cs="宋体"/>
          <w:color w:val="000000" w:themeColor="text1"/>
          <w:kern w:val="0"/>
          <w:sz w:val="22"/>
          <w:szCs w:val="22"/>
          <w:highlight w:val="none"/>
          <w14:textFill>
            <w14:solidFill>
              <w14:schemeClr w14:val="tx1"/>
            </w14:solidFill>
          </w14:textFill>
        </w:rPr>
        <w:t xml:space="preserve"> 中国政府采购网（www.ccgp.gov.cn）列入失信被执行人名单、重大税收违法案件当事人名单、政府采购严重违法失信行为记录名单。</w:t>
      </w:r>
    </w:p>
    <w:p w14:paraId="32E80531">
      <w:pPr>
        <w:widowControl/>
        <w:spacing w:line="440" w:lineRule="exact"/>
        <w:ind w:left="479" w:leftChars="228" w:firstLine="180" w:firstLineChars="82"/>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3、我方与参加本次项目同一合同项下政府采购活动的其他供应商不存在单位负责人为同一人或者直接控股、管理关系。</w:t>
      </w:r>
    </w:p>
    <w:p w14:paraId="25F1A660">
      <w:pPr>
        <w:widowControl/>
        <w:spacing w:line="440" w:lineRule="exact"/>
        <w:ind w:left="479" w:leftChars="228" w:firstLine="180" w:firstLineChars="82"/>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4、我方</w:t>
      </w:r>
      <w:r>
        <w:rPr>
          <w:rFonts w:hint="eastAsia" w:ascii="宋体" w:hAnsi="宋体" w:eastAsia="宋体" w:cs="宋体"/>
          <w:color w:val="000000" w:themeColor="text1"/>
          <w:kern w:val="0"/>
          <w:sz w:val="22"/>
          <w:szCs w:val="22"/>
          <w:highlight w:val="none"/>
          <w14:textFill>
            <w14:solidFill>
              <w14:schemeClr w14:val="tx1"/>
            </w14:solidFill>
          </w14:textFill>
        </w:rPr>
        <w:t>不属于公益一类事业单位。</w:t>
      </w:r>
    </w:p>
    <w:p w14:paraId="106B99A5">
      <w:pPr>
        <w:widowControl/>
        <w:snapToGrid w:val="0"/>
        <w:spacing w:line="440" w:lineRule="exact"/>
        <w:ind w:firstLine="440" w:firstLineChars="200"/>
        <w:jc w:val="left"/>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p w14:paraId="46730EDA">
      <w:pPr>
        <w:widowControl/>
        <w:snapToGrid w:val="0"/>
        <w:spacing w:line="440" w:lineRule="exact"/>
        <w:ind w:left="210" w:leftChars="100"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以上承诺如有虚假，</w:t>
      </w:r>
      <w:r>
        <w:rPr>
          <w:rFonts w:hint="eastAsia" w:ascii="宋体" w:hAnsi="宋体" w:eastAsia="宋体" w:cs="宋体"/>
          <w:color w:val="000000" w:themeColor="text1"/>
          <w:sz w:val="22"/>
          <w:szCs w:val="22"/>
          <w:highlight w:val="none"/>
          <w14:textFill>
            <w14:solidFill>
              <w14:schemeClr w14:val="tx1"/>
            </w14:solidFill>
          </w14:textFill>
        </w:rPr>
        <w:t>愿接受取消</w:t>
      </w:r>
      <w:r>
        <w:rPr>
          <w:rFonts w:hint="eastAsia" w:ascii="宋体" w:hAnsi="宋体" w:eastAsia="宋体" w:cs="宋体"/>
          <w:color w:val="000000" w:themeColor="text1"/>
          <w:kern w:val="0"/>
          <w:sz w:val="22"/>
          <w:szCs w:val="22"/>
          <w:highlight w:val="none"/>
          <w14:textFill>
            <w14:solidFill>
              <w14:schemeClr w14:val="tx1"/>
            </w14:solidFill>
          </w14:textFill>
        </w:rPr>
        <w:t>我方任何资格（投标/成交/签订合同）</w:t>
      </w:r>
      <w:r>
        <w:rPr>
          <w:rFonts w:hint="eastAsia" w:ascii="宋体" w:hAnsi="宋体" w:eastAsia="宋体" w:cs="宋体"/>
          <w:color w:val="000000" w:themeColor="text1"/>
          <w:sz w:val="22"/>
          <w:szCs w:val="22"/>
          <w:highlight w:val="none"/>
          <w14:textFill>
            <w14:solidFill>
              <w14:schemeClr w14:val="tx1"/>
            </w14:solidFill>
          </w14:textFill>
        </w:rPr>
        <w:t>及其他任何形式的处理。</w:t>
      </w:r>
    </w:p>
    <w:p w14:paraId="2F9C9225">
      <w:pPr>
        <w:widowControl/>
        <w:snapToGrid w:val="0"/>
        <w:spacing w:line="44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14:paraId="24253723">
      <w:pPr>
        <w:snapToGrid w:val="0"/>
        <w:spacing w:line="360" w:lineRule="auto"/>
        <w:ind w:firstLine="5060" w:firstLineChars="2300"/>
        <w:rPr>
          <w:rFonts w:hint="eastAsia" w:ascii="宋体" w:hAnsi="宋体" w:eastAsia="宋体" w:cs="宋体"/>
          <w:color w:val="000000" w:themeColor="text1"/>
          <w:kern w:val="0"/>
          <w:sz w:val="22"/>
          <w:szCs w:val="22"/>
          <w:highlight w:val="none"/>
          <w:lang w:val="zh-CN"/>
          <w14:textFill>
            <w14:solidFill>
              <w14:schemeClr w14:val="tx1"/>
            </w14:solidFill>
          </w14:textFill>
        </w:rPr>
      </w:pPr>
    </w:p>
    <w:p w14:paraId="19382A4F">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14:paraId="05A770BF">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p>
    <w:p w14:paraId="2FEFF9A9">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14:paraId="773CB47D">
      <w:pPr>
        <w:pStyle w:val="24"/>
        <w:spacing w:line="460" w:lineRule="exact"/>
        <w:ind w:left="479" w:leftChars="228" w:firstLine="5280" w:firstLineChars="24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  日</w:t>
      </w:r>
    </w:p>
    <w:p w14:paraId="4A3C81D1">
      <w:pPr>
        <w:rPr>
          <w:rFonts w:hint="eastAsia" w:ascii="宋体" w:hAnsi="宋体" w:eastAsia="宋体" w:cs="宋体"/>
          <w:color w:val="000000" w:themeColor="text1"/>
          <w:highlight w:val="none"/>
          <w14:textFill>
            <w14:solidFill>
              <w14:schemeClr w14:val="tx1"/>
            </w14:solidFill>
          </w14:textFill>
        </w:rPr>
      </w:pPr>
    </w:p>
    <w:p w14:paraId="46C4A4C9">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000000" w:themeColor="text1"/>
          <w:sz w:val="28"/>
          <w:szCs w:val="28"/>
          <w:highlight w:val="none"/>
          <w14:textFill>
            <w14:solidFill>
              <w14:schemeClr w14:val="tx1"/>
            </w14:solidFill>
          </w14:textFill>
        </w:rPr>
      </w:pPr>
    </w:p>
    <w:p w14:paraId="2750E760">
      <w:pPr>
        <w:rPr>
          <w:rFonts w:hint="eastAsia" w:ascii="宋体" w:hAnsi="宋体" w:eastAsia="宋体" w:cs="宋体"/>
          <w:b/>
          <w:bCs w:val="0"/>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32"/>
          <w:szCs w:val="32"/>
          <w:highlight w:val="none"/>
          <w:lang w:val="en-US" w:eastAsia="zh-CN" w:bidi="ar-SA"/>
          <w14:textFill>
            <w14:solidFill>
              <w14:schemeClr w14:val="tx1"/>
            </w14:solidFill>
          </w14:textFill>
        </w:rPr>
        <w:br w:type="page"/>
      </w:r>
    </w:p>
    <w:p w14:paraId="223D32EC">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2、有效营业执照</w:t>
      </w:r>
    </w:p>
    <w:p w14:paraId="76E55E32">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000000" w:themeColor="text1"/>
          <w:sz w:val="24"/>
          <w:szCs w:val="24"/>
          <w:highlight w:val="none"/>
          <w14:textFill>
            <w14:solidFill>
              <w14:schemeClr w14:val="tx1"/>
            </w14:solidFill>
          </w14:textFill>
        </w:rPr>
      </w:pPr>
    </w:p>
    <w:p w14:paraId="2F5F996C">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投标人须在投标文件中出具符合以下情况的证明材料复印件（五选一）：</w:t>
      </w:r>
    </w:p>
    <w:p w14:paraId="2A651FE8">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①</w:t>
      </w:r>
      <w:r>
        <w:rPr>
          <w:rFonts w:hint="eastAsia" w:ascii="宋体" w:hAnsi="宋体" w:eastAsia="宋体" w:cs="宋体"/>
          <w:bCs/>
          <w:color w:val="000000" w:themeColor="text1"/>
          <w:sz w:val="22"/>
          <w:szCs w:val="22"/>
          <w:highlight w:val="none"/>
          <w14:textFill>
            <w14:solidFill>
              <w14:schemeClr w14:val="tx1"/>
            </w14:solidFill>
          </w14:textFill>
        </w:rPr>
        <w:t>如投标人是企业（包括合伙企业），提供在工商部门注册的有效“企业法人营业执照”或“营业执照”；</w:t>
      </w:r>
    </w:p>
    <w:p w14:paraId="51FC3DA0">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②</w:t>
      </w:r>
      <w:r>
        <w:rPr>
          <w:rFonts w:hint="eastAsia" w:ascii="宋体" w:hAnsi="宋体" w:eastAsia="宋体" w:cs="宋体"/>
          <w:bCs/>
          <w:color w:val="000000" w:themeColor="text1"/>
          <w:sz w:val="22"/>
          <w:szCs w:val="22"/>
          <w:highlight w:val="none"/>
          <w14:textFill>
            <w14:solidFill>
              <w14:schemeClr w14:val="tx1"/>
            </w14:solidFill>
          </w14:textFill>
        </w:rPr>
        <w:t>如投标人是事业单位，提供有效的“事业单位法人证书”；</w:t>
      </w:r>
    </w:p>
    <w:p w14:paraId="64E621D1">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③</w:t>
      </w:r>
      <w:r>
        <w:rPr>
          <w:rFonts w:hint="eastAsia" w:ascii="宋体" w:hAnsi="宋体" w:eastAsia="宋体" w:cs="宋体"/>
          <w:bCs/>
          <w:color w:val="000000" w:themeColor="text1"/>
          <w:sz w:val="22"/>
          <w:szCs w:val="22"/>
          <w:highlight w:val="none"/>
          <w14:textFill>
            <w14:solidFill>
              <w14:schemeClr w14:val="tx1"/>
            </w14:solidFill>
          </w14:textFill>
        </w:rPr>
        <w:t>如投标人是非企业专业服务机构的，提供执业许可证等证明文件；</w:t>
      </w:r>
    </w:p>
    <w:p w14:paraId="6C825A67">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④</w:t>
      </w:r>
      <w:r>
        <w:rPr>
          <w:rFonts w:hint="eastAsia" w:ascii="宋体" w:hAnsi="宋体" w:eastAsia="宋体" w:cs="宋体"/>
          <w:bCs/>
          <w:color w:val="000000" w:themeColor="text1"/>
          <w:sz w:val="22"/>
          <w:szCs w:val="22"/>
          <w:highlight w:val="none"/>
          <w14:textFill>
            <w14:solidFill>
              <w14:schemeClr w14:val="tx1"/>
            </w14:solidFill>
          </w14:textFill>
        </w:rPr>
        <w:t>如投标人是个体工商户，提供有效的“个体工商户营业执照”；</w:t>
      </w:r>
    </w:p>
    <w:p w14:paraId="5EFC6780">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⑤</w:t>
      </w:r>
      <w:r>
        <w:rPr>
          <w:rFonts w:hint="eastAsia" w:ascii="宋体" w:hAnsi="宋体" w:eastAsia="宋体" w:cs="宋体"/>
          <w:bCs/>
          <w:color w:val="000000" w:themeColor="text1"/>
          <w:sz w:val="22"/>
          <w:szCs w:val="22"/>
          <w:highlight w:val="none"/>
          <w14:textFill>
            <w14:solidFill>
              <w14:schemeClr w14:val="tx1"/>
            </w14:solidFill>
          </w14:textFill>
        </w:rPr>
        <w:t>如投标人是自然人，提供有效的自然人身份证明（居民身份证正反面或公安机关出具的临时居民身份证正反面或港澳台胞证或护照）。</w:t>
      </w:r>
    </w:p>
    <w:p w14:paraId="1A1A0446">
      <w:pPr>
        <w:pStyle w:val="49"/>
        <w:tabs>
          <w:tab w:val="left" w:pos="312"/>
        </w:tabs>
        <w:adjustRightInd w:val="0"/>
        <w:snapToGrid w:val="0"/>
        <w:spacing w:before="0" w:beforeAutospacing="0" w:after="0" w:afterAutospacing="0" w:line="360" w:lineRule="auto"/>
        <w:rPr>
          <w:rFonts w:hint="eastAsia" w:ascii="宋体" w:hAnsi="宋体" w:eastAsia="宋体" w:cs="宋体"/>
          <w:bCs/>
          <w:color w:val="000000" w:themeColor="text1"/>
          <w:sz w:val="22"/>
          <w:szCs w:val="22"/>
          <w:highlight w:val="none"/>
          <w14:textFill>
            <w14:solidFill>
              <w14:schemeClr w14:val="tx1"/>
            </w14:solidFill>
          </w14:textFill>
        </w:rPr>
      </w:pPr>
    </w:p>
    <w:p w14:paraId="264A86DE">
      <w:pPr>
        <w:pStyle w:val="219"/>
        <w:tabs>
          <w:tab w:val="left" w:pos="1212"/>
          <w:tab w:val="left" w:pos="3888"/>
        </w:tabs>
        <w:snapToGrid w:val="0"/>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26B7D9F">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78B6C593">
      <w:pPr>
        <w:rPr>
          <w:rFonts w:hint="eastAsia" w:ascii="宋体" w:hAnsi="宋体" w:eastAsia="宋体" w:cs="宋体"/>
          <w:color w:val="000000" w:themeColor="text1"/>
          <w:highlight w:val="none"/>
          <w14:textFill>
            <w14:solidFill>
              <w14:schemeClr w14:val="tx1"/>
            </w14:solidFill>
          </w14:textFill>
        </w:rPr>
      </w:pPr>
    </w:p>
    <w:p w14:paraId="29C8278D">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3、投标人信用查询</w:t>
      </w:r>
    </w:p>
    <w:p w14:paraId="6E77386D">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1、投标人信用信息查询的查询渠道：“信用中国”(www.creditchina.gov.cn)；“中国政府采购网”（http://www.ccgp.gov.cn/）；</w:t>
      </w:r>
    </w:p>
    <w:p w14:paraId="77FEA25F">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2、投标人信用信息查询截止时点：招标公告发布之日至投标截止时间前。</w:t>
      </w:r>
    </w:p>
    <w:p w14:paraId="6F77D106">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3、投标人信用信息查询记录和证据留存的具体方式：</w:t>
      </w:r>
      <w:r>
        <w:rPr>
          <w:rFonts w:hint="eastAsia" w:ascii="宋体" w:hAnsi="宋体" w:eastAsia="宋体" w:cs="宋体"/>
          <w:b/>
          <w:bCs/>
          <w:color w:val="000000" w:themeColor="text1"/>
          <w:sz w:val="22"/>
          <w:highlight w:val="none"/>
          <w14:textFill>
            <w14:solidFill>
              <w14:schemeClr w14:val="tx1"/>
            </w14:solidFill>
          </w14:textFill>
        </w:rPr>
        <w:t>网页截图</w:t>
      </w:r>
      <w:r>
        <w:rPr>
          <w:rFonts w:hint="eastAsia" w:ascii="宋体" w:hAnsi="宋体" w:eastAsia="宋体" w:cs="宋体"/>
          <w:color w:val="000000" w:themeColor="text1"/>
          <w:sz w:val="22"/>
          <w:highlight w:val="none"/>
          <w14:textFill>
            <w14:solidFill>
              <w14:schemeClr w14:val="tx1"/>
            </w14:solidFill>
          </w14:textFill>
        </w:rPr>
        <w:t>；</w:t>
      </w:r>
    </w:p>
    <w:p w14:paraId="5A10712B">
      <w:pPr>
        <w:tabs>
          <w:tab w:val="left" w:pos="360"/>
        </w:tabs>
        <w:spacing w:line="460" w:lineRule="exact"/>
        <w:ind w:firstLine="550" w:firstLineChars="250"/>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highlight w:val="none"/>
          <w:u w:val="none"/>
          <w14:textFill>
            <w14:solidFill>
              <w14:schemeClr w14:val="tx1"/>
            </w14:solidFill>
          </w14:textFill>
        </w:rPr>
        <w:t>4、信用信息的使用规则：对列入失信被执行人、重大税收违法案件当事人名单、政府采购严重违法失信行为记录名单的投标人，其投标将作无效标处理。</w:t>
      </w:r>
    </w:p>
    <w:p w14:paraId="132A7CE4">
      <w:pPr>
        <w:rPr>
          <w:rFonts w:hint="eastAsia" w:cs="宋体"/>
          <w:b/>
          <w:bCs w:val="0"/>
          <w:color w:val="000000" w:themeColor="text1"/>
          <w:kern w:val="0"/>
          <w:sz w:val="28"/>
          <w:szCs w:val="28"/>
          <w:highlight w:val="none"/>
          <w:lang w:val="en-US" w:eastAsia="zh-CN" w:bidi="ar-SA"/>
          <w14:textFill>
            <w14:solidFill>
              <w14:schemeClr w14:val="tx1"/>
            </w14:solidFill>
          </w14:textFill>
        </w:rPr>
      </w:pPr>
    </w:p>
    <w:p w14:paraId="79B8B77D">
      <w:pPr>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br w:type="page"/>
      </w:r>
    </w:p>
    <w:p w14:paraId="74EC8FEA">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4、采购活动现场确认声明书</w:t>
      </w:r>
    </w:p>
    <w:p w14:paraId="1DA13356">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14:paraId="08DE4D27">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温州历程招标有限公司</w:t>
      </w:r>
      <w:r>
        <w:rPr>
          <w:rFonts w:hint="eastAsia" w:ascii="宋体" w:hAnsi="宋体" w:eastAsia="宋体" w:cs="宋体"/>
          <w:color w:val="000000" w:themeColor="text1"/>
          <w:sz w:val="22"/>
          <w:szCs w:val="22"/>
          <w:highlight w:val="none"/>
          <w14:textFill>
            <w14:solidFill>
              <w14:schemeClr w14:val="tx1"/>
            </w14:solidFill>
          </w14:textFill>
        </w:rPr>
        <w:t>：</w:t>
      </w:r>
    </w:p>
    <w:p w14:paraId="41B12B81">
      <w:pPr>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本人经由</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（供应商名称）负责人</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（姓名）合法授权参加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项目（编号：</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）采购活动，经与本单位法人代表（负责人）联系确认，现就有关公平竞争事项郑重声明如下：</w:t>
      </w:r>
    </w:p>
    <w:p w14:paraId="20F73682">
      <w:pPr>
        <w:numPr>
          <w:ilvl w:val="0"/>
          <w:numId w:val="2"/>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本单位与招标人之间 □不存在利害关系 □存在下列利害关系：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A.投资关系    </w:t>
      </w:r>
    </w:p>
    <w:p w14:paraId="670424DD">
      <w:pPr>
        <w:spacing w:line="460" w:lineRule="exact"/>
        <w:ind w:firstLine="660" w:firstLineChars="3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B.行政隶属关系    </w:t>
      </w:r>
    </w:p>
    <w:p w14:paraId="4D11E0C5">
      <w:pPr>
        <w:spacing w:line="460" w:lineRule="exact"/>
        <w:ind w:firstLine="660" w:firstLineChars="3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C.业务指导关系  </w:t>
      </w:r>
    </w:p>
    <w:p w14:paraId="7D06999B">
      <w:pPr>
        <w:spacing w:line="460" w:lineRule="exact"/>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D.其他可能影响采购公正的利害关系</w:t>
      </w:r>
      <w:r>
        <w:rPr>
          <w:rStyle w:val="333"/>
          <w:rFonts w:hint="eastAsia" w:ascii="宋体" w:hAnsi="宋体" w:eastAsia="宋体" w:cs="宋体"/>
          <w:color w:val="000000" w:themeColor="text1"/>
          <w:sz w:val="22"/>
          <w:szCs w:val="22"/>
          <w:highlight w:val="none"/>
          <w14:textFill>
            <w14:solidFill>
              <w14:schemeClr w14:val="tx1"/>
            </w14:solidFill>
          </w14:textFill>
        </w:rPr>
        <w:t xml:space="preserve">（如有，请如实说明）                 </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5DA9F7D8">
      <w:pPr>
        <w:numPr>
          <w:ilvl w:val="0"/>
          <w:numId w:val="2"/>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现已清楚知道参加本项目采购活动的其他所有供应商名称，本单位 </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□与其他所有供应商之间均不存在利害关系 </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□与</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供应商名称）之间存在下列利害关系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A.法定代表人或负责人或实际控制人是同一人</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B.法定代表人或负责人或实际控制人是夫妻关系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G.存在共同直接或间接投资设立子公司、联营企业和合营企业情况</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I.其他利害关系情况</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32243957">
      <w:pPr>
        <w:pStyle w:val="24"/>
        <w:spacing w:line="460" w:lineRule="exact"/>
        <w:ind w:left="0" w:firstLine="0" w:firstLineChars="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（三）现已清楚知道并严格遵守政府采购法律法规和现场纪律</w:t>
      </w:r>
    </w:p>
    <w:p w14:paraId="1549210A">
      <w:pPr>
        <w:pStyle w:val="24"/>
        <w:spacing w:line="460" w:lineRule="exact"/>
        <w:ind w:left="0" w:firstLine="0" w:firstLineChars="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（四）我发现</w:t>
      </w:r>
      <w:r>
        <w:rPr>
          <w:rStyle w:val="333"/>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Style w:val="333"/>
          <w:rFonts w:hint="eastAsia" w:ascii="宋体" w:hAnsi="宋体" w:eastAsia="宋体" w:cs="宋体"/>
          <w:color w:val="000000" w:themeColor="text1"/>
          <w:sz w:val="22"/>
          <w:szCs w:val="22"/>
          <w:highlight w:val="none"/>
          <w14:textFill>
            <w14:solidFill>
              <w14:schemeClr w14:val="tx1"/>
            </w14:solidFill>
          </w14:textFill>
        </w:rPr>
        <w:t>与</w:t>
      </w:r>
      <w:r>
        <w:rPr>
          <w:rStyle w:val="333"/>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Style w:val="333"/>
          <w:rFonts w:hint="eastAsia" w:ascii="宋体" w:hAnsi="宋体" w:eastAsia="宋体" w:cs="宋体"/>
          <w:color w:val="000000" w:themeColor="text1"/>
          <w:sz w:val="22"/>
          <w:szCs w:val="22"/>
          <w:highlight w:val="none"/>
          <w14:textFill>
            <w14:solidFill>
              <w14:schemeClr w14:val="tx1"/>
            </w14:solidFill>
          </w14:textFill>
        </w:rPr>
        <w:t>（供应商名称）</w:t>
      </w:r>
      <w:r>
        <w:rPr>
          <w:rFonts w:hint="eastAsia" w:ascii="宋体" w:hAnsi="宋体" w:eastAsia="宋体" w:cs="宋体"/>
          <w:color w:val="000000" w:themeColor="text1"/>
          <w:kern w:val="0"/>
          <w:sz w:val="22"/>
          <w:szCs w:val="22"/>
          <w:highlight w:val="none"/>
          <w14:textFill>
            <w14:solidFill>
              <w14:schemeClr w14:val="tx1"/>
            </w14:solidFill>
          </w14:textFill>
        </w:rPr>
        <w:t>之间存在或可能存在上述第二条第</w:t>
      </w:r>
      <w:r>
        <w:rPr>
          <w:rStyle w:val="333"/>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项利害关系。</w:t>
      </w:r>
    </w:p>
    <w:p w14:paraId="3E437BA6">
      <w:pPr>
        <w:pStyle w:val="24"/>
        <w:spacing w:line="460" w:lineRule="exact"/>
        <w:ind w:left="0" w:firstLine="0" w:firstLineChars="0"/>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供应商代表签名:</w:t>
      </w:r>
    </w:p>
    <w:p w14:paraId="79783611">
      <w:pPr>
        <w:pStyle w:val="24"/>
        <w:spacing w:line="460" w:lineRule="exact"/>
        <w:ind w:left="0" w:firstLine="0" w:firstLineChars="0"/>
        <w:jc w:val="righ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日期:202</w:t>
      </w:r>
      <w:r>
        <w:rPr>
          <w:rFonts w:hint="eastAsia" w:ascii="宋体" w:hAnsi="宋体" w:eastAsia="宋体" w:cs="宋体"/>
          <w:b/>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2"/>
          <w:szCs w:val="22"/>
          <w:highlight w:val="none"/>
          <w14:textFill>
            <w14:solidFill>
              <w14:schemeClr w14:val="tx1"/>
            </w14:solidFill>
          </w14:textFill>
        </w:rPr>
        <w:t>年    月    日</w:t>
      </w:r>
    </w:p>
    <w:p w14:paraId="5E170F2C">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01FE27D5">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5、具有有效的餐饮服务许可证或食品经营许可证（食品流通许可证）或食品生产许可证或相关备案证明材料。</w:t>
      </w:r>
    </w:p>
    <w:p w14:paraId="110394E2">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3381101D">
      <w:pPr>
        <w:outlineLvl w:val="1"/>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附件三</w:t>
      </w:r>
      <w:bookmarkEnd w:id="49"/>
      <w:bookmarkEnd w:id="50"/>
    </w:p>
    <w:p w14:paraId="1301D8EA">
      <w:pPr>
        <w:spacing w:line="460" w:lineRule="exact"/>
        <w:jc w:val="center"/>
        <w:outlineLvl w:val="2"/>
        <w:rPr>
          <w:rFonts w:hint="eastAsia" w:ascii="宋体" w:hAnsi="宋体" w:eastAsia="宋体" w:cs="宋体"/>
          <w:b/>
          <w:bCs/>
          <w:color w:val="000000" w:themeColor="text1"/>
          <w:sz w:val="28"/>
          <w:szCs w:val="28"/>
          <w:highlight w:val="none"/>
          <w:lang w:val="zh-CN"/>
          <w14:textFill>
            <w14:solidFill>
              <w14:schemeClr w14:val="tx1"/>
            </w14:solidFill>
          </w14:textFill>
        </w:rPr>
      </w:pPr>
      <w:bookmarkStart w:id="51" w:name="_Toc29102"/>
      <w:bookmarkStart w:id="52" w:name="_Toc13639"/>
      <w:r>
        <w:rPr>
          <w:rFonts w:hint="eastAsia" w:ascii="宋体" w:hAnsi="宋体" w:eastAsia="宋体" w:cs="宋体"/>
          <w:b/>
          <w:bCs/>
          <w:color w:val="000000" w:themeColor="text1"/>
          <w:sz w:val="28"/>
          <w:szCs w:val="28"/>
          <w:highlight w:val="none"/>
          <w:lang w:val="zh-CN"/>
          <w14:textFill>
            <w14:solidFill>
              <w14:schemeClr w14:val="tx1"/>
            </w14:solidFill>
          </w14:textFill>
        </w:rPr>
        <w:t>商务技术文件</w:t>
      </w:r>
      <w:bookmarkEnd w:id="51"/>
      <w:bookmarkEnd w:id="52"/>
    </w:p>
    <w:p w14:paraId="4202513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154D259E">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1、法定代表人授权书</w:t>
      </w:r>
    </w:p>
    <w:p w14:paraId="143735D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温州市中心医院</w:t>
      </w:r>
      <w:r>
        <w:rPr>
          <w:rFonts w:hint="eastAsia" w:ascii="宋体" w:hAnsi="宋体" w:eastAsia="宋体" w:cs="宋体"/>
          <w:color w:val="000000" w:themeColor="text1"/>
          <w:sz w:val="22"/>
          <w:szCs w:val="22"/>
          <w:highlight w:val="none"/>
          <w14:textFill>
            <w14:solidFill>
              <w14:schemeClr w14:val="tx1"/>
            </w14:solidFill>
          </w14:textFill>
        </w:rPr>
        <w:t>：</w:t>
      </w:r>
    </w:p>
    <w:p w14:paraId="0BCF11FF">
      <w:pPr>
        <w:spacing w:line="460" w:lineRule="exact"/>
        <w:rPr>
          <w:rFonts w:hint="eastAsia" w:ascii="宋体" w:hAnsi="宋体" w:eastAsia="宋体" w:cs="宋体"/>
          <w:color w:val="000000" w:themeColor="text1"/>
          <w:sz w:val="22"/>
          <w:szCs w:val="22"/>
          <w:highlight w:val="none"/>
          <w:u w:val="single"/>
          <w14:textFill>
            <w14:solidFill>
              <w14:schemeClr w14:val="tx1"/>
            </w14:solidFill>
          </w14:textFill>
        </w:rPr>
      </w:pPr>
    </w:p>
    <w:p w14:paraId="6F148E55">
      <w:pPr>
        <w:spacing w:line="460" w:lineRule="exact"/>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（投标人全称）法定代表人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授权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（全权代表姓名）为全权代表，参加贵处组织的</w:t>
      </w:r>
      <w:r>
        <w:rPr>
          <w:rFonts w:hint="eastAsia" w:ascii="宋体" w:hAnsi="宋体" w:cs="宋体"/>
          <w:color w:val="000000" w:themeColor="text1"/>
          <w:sz w:val="22"/>
          <w:szCs w:val="22"/>
          <w:highlight w:val="none"/>
          <w:u w:val="none"/>
          <w:lang w:eastAsia="zh-CN"/>
          <w14:textFill>
            <w14:solidFill>
              <w14:schemeClr w14:val="tx1"/>
            </w14:solidFill>
          </w14:textFill>
        </w:rPr>
        <w:t>食堂配送（鲜猪肉类）</w:t>
      </w:r>
      <w:r>
        <w:rPr>
          <w:rFonts w:hint="eastAsia" w:ascii="宋体" w:hAnsi="宋体" w:eastAsia="宋体" w:cs="宋体"/>
          <w:color w:val="000000" w:themeColor="text1"/>
          <w:sz w:val="22"/>
          <w:szCs w:val="22"/>
          <w:highlight w:val="none"/>
          <w14:textFill>
            <w14:solidFill>
              <w14:schemeClr w14:val="tx1"/>
            </w14:solidFill>
          </w14:textFill>
        </w:rPr>
        <w:t>项目（招标</w:t>
      </w:r>
      <w:r>
        <w:rPr>
          <w:rFonts w:hint="eastAsia" w:ascii="宋体" w:hAnsi="宋体" w:eastAsia="宋体" w:cs="宋体"/>
          <w:b w:val="0"/>
          <w:bCs w:val="0"/>
          <w:color w:val="000000" w:themeColor="text1"/>
          <w:sz w:val="22"/>
          <w:szCs w:val="22"/>
          <w:highlight w:val="none"/>
          <w14:textFill>
            <w14:solidFill>
              <w14:schemeClr w14:val="tx1"/>
            </w14:solidFill>
          </w14:textFill>
        </w:rPr>
        <w:t>编</w:t>
      </w:r>
      <w:r>
        <w:rPr>
          <w:rFonts w:hint="eastAsia" w:ascii="宋体" w:hAnsi="宋体" w:eastAsia="宋体" w:cs="宋体"/>
          <w:color w:val="000000" w:themeColor="text1"/>
          <w:sz w:val="22"/>
          <w:szCs w:val="22"/>
          <w:highlight w:val="none"/>
          <w14:textFill>
            <w14:solidFill>
              <w14:schemeClr w14:val="tx1"/>
            </w14:solidFill>
          </w14:textFill>
        </w:rPr>
        <w:t>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）的招标活动，全权代表我方处理招标活动中的一切事宜。</w:t>
      </w:r>
    </w:p>
    <w:p w14:paraId="5BDB9148">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p>
    <w:p w14:paraId="106DA795">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28315D4E">
      <w:pPr>
        <w:spacing w:line="460" w:lineRule="exact"/>
        <w:ind w:firstLine="4081" w:firstLineChars="18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  (签字或盖章)：</w:t>
      </w:r>
    </w:p>
    <w:p w14:paraId="301DE0A1">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投标人全称（公章）：</w:t>
      </w:r>
    </w:p>
    <w:p w14:paraId="4836AA4F">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w:t>
      </w:r>
    </w:p>
    <w:p w14:paraId="0A2B2CDC">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333806DE">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0959452E">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6ED1A7A1">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w:t>
      </w:r>
    </w:p>
    <w:p w14:paraId="29195BCA">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授权代表姓名：                               </w:t>
      </w:r>
    </w:p>
    <w:p w14:paraId="13454EAC">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p w14:paraId="697F28DB">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详细通讯地址：</w:t>
      </w:r>
    </w:p>
    <w:p w14:paraId="0D77B6E8">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电话：</w:t>
      </w:r>
    </w:p>
    <w:p w14:paraId="1B1B3844">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传真：</w:t>
      </w:r>
    </w:p>
    <w:p w14:paraId="3A2441D9">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邮政编码:</w:t>
      </w:r>
    </w:p>
    <w:p w14:paraId="3EA31141">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400E09C0">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A4AC640">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84D5E27">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D0CB664">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1956522">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AA9939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E84ED7F">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6F47E8A">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5A2882A">
      <w:pPr>
        <w:spacing w:line="460" w:lineRule="exact"/>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EF299C">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27EF299C">
                      <w:r>
                        <w:rPr>
                          <w:rFonts w:hint="eastAsia" w:ascii="新宋体" w:hAnsi="新宋体" w:eastAsia="新宋体"/>
                          <w:sz w:val="22"/>
                          <w:szCs w:val="22"/>
                        </w:rPr>
                        <w:t xml:space="preserve">  法定代表人身份证（正反面）：</w:t>
                      </w:r>
                    </w:p>
                  </w:txbxContent>
                </v:textbox>
              </v:shape>
            </w:pict>
          </mc:Fallback>
        </mc:AlternateContent>
      </w:r>
    </w:p>
    <w:p w14:paraId="7554C252">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7AA6BFF">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4D841A9">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E4C1B0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95D121D">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E2D9370">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05B8B1A">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64DA8B5">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61655C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339578E">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3681F08">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A36F3A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206843E">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B18668">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62B18668">
                      <w:r>
                        <w:rPr>
                          <w:rFonts w:hint="eastAsia" w:ascii="新宋体" w:hAnsi="新宋体" w:eastAsia="新宋体"/>
                          <w:sz w:val="22"/>
                          <w:szCs w:val="22"/>
                        </w:rPr>
                        <w:t xml:space="preserve">  授权代表身份证（正反面）：</w:t>
                      </w:r>
                    </w:p>
                  </w:txbxContent>
                </v:textbox>
              </v:shape>
            </w:pict>
          </mc:Fallback>
        </mc:AlternateContent>
      </w:r>
    </w:p>
    <w:p w14:paraId="3E9E21BF">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E68C1E9">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3AB9AF7">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D082287">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C79603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1401FF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056511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C190B99">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0F75987">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9B6A69E">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A00CDD2">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1C176AA">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34C94A9">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EE78C15">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6CF4141">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63FDA0C">
      <w:pPr>
        <w:spacing w:line="460" w:lineRule="exact"/>
        <w:jc w:val="center"/>
        <w:outlineLvl w:val="3"/>
        <w:rPr>
          <w:rFonts w:hint="eastAsia" w:ascii="宋体" w:hAnsi="宋体" w:eastAsia="宋体" w:cs="宋体"/>
          <w:b/>
          <w:bCs/>
          <w:color w:val="000000" w:themeColor="text1"/>
          <w:sz w:val="22"/>
          <w:szCs w:val="22"/>
          <w:highlight w:val="none"/>
          <w14:textFill>
            <w14:solidFill>
              <w14:schemeClr w14:val="tx1"/>
            </w14:solidFill>
          </w14:textFill>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53233553">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2、投标人情况表</w:t>
      </w:r>
    </w:p>
    <w:p w14:paraId="3B602B84">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038C0702">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3CD5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06228E06">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单位名称（盖章）</w:t>
            </w:r>
          </w:p>
        </w:tc>
        <w:tc>
          <w:tcPr>
            <w:tcW w:w="2804" w:type="dxa"/>
            <w:gridSpan w:val="2"/>
          </w:tcPr>
          <w:p w14:paraId="28B6C829">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gridSpan w:val="2"/>
          </w:tcPr>
          <w:p w14:paraId="03FF610A">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 话</w:t>
            </w:r>
          </w:p>
        </w:tc>
        <w:tc>
          <w:tcPr>
            <w:tcW w:w="2588" w:type="dxa"/>
            <w:gridSpan w:val="2"/>
          </w:tcPr>
          <w:p w14:paraId="0EEC970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14:paraId="0C1C3493">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主管部门</w:t>
            </w:r>
          </w:p>
        </w:tc>
        <w:tc>
          <w:tcPr>
            <w:tcW w:w="1502" w:type="dxa"/>
          </w:tcPr>
          <w:p w14:paraId="318304EB">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14:paraId="1E265CF1">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企业负责人</w:t>
            </w:r>
          </w:p>
        </w:tc>
        <w:tc>
          <w:tcPr>
            <w:tcW w:w="1115" w:type="dxa"/>
          </w:tcPr>
          <w:p w14:paraId="5E7B4778">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61" w:type="dxa"/>
            <w:gridSpan w:val="2"/>
          </w:tcPr>
          <w:p w14:paraId="52514D00">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tc>
      </w:tr>
      <w:tr w14:paraId="46E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24846FDD">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    址</w:t>
            </w:r>
          </w:p>
        </w:tc>
        <w:tc>
          <w:tcPr>
            <w:tcW w:w="2804" w:type="dxa"/>
            <w:gridSpan w:val="2"/>
          </w:tcPr>
          <w:p w14:paraId="10154682">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gridSpan w:val="2"/>
          </w:tcPr>
          <w:p w14:paraId="0C5FA2DA">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 真</w:t>
            </w:r>
          </w:p>
        </w:tc>
        <w:tc>
          <w:tcPr>
            <w:tcW w:w="2588" w:type="dxa"/>
            <w:gridSpan w:val="2"/>
          </w:tcPr>
          <w:p w14:paraId="62382C85">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14:paraId="455F8BDD">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企业性质</w:t>
            </w:r>
          </w:p>
        </w:tc>
        <w:tc>
          <w:tcPr>
            <w:tcW w:w="1502" w:type="dxa"/>
          </w:tcPr>
          <w:p w14:paraId="3F6DA102">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14:paraId="2EB593F3">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授权代表</w:t>
            </w:r>
          </w:p>
        </w:tc>
        <w:tc>
          <w:tcPr>
            <w:tcW w:w="1115" w:type="dxa"/>
          </w:tcPr>
          <w:p w14:paraId="2AF31EB0">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61" w:type="dxa"/>
            <w:gridSpan w:val="2"/>
          </w:tcPr>
          <w:p w14:paraId="5C0DCA58">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tc>
      </w:tr>
      <w:tr w14:paraId="1D21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334890D9">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单位简介</w:t>
            </w:r>
          </w:p>
          <w:p w14:paraId="6EB812F2">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及机构</w:t>
            </w:r>
          </w:p>
        </w:tc>
        <w:tc>
          <w:tcPr>
            <w:tcW w:w="6507" w:type="dxa"/>
            <w:gridSpan w:val="6"/>
            <w:vAlign w:val="center"/>
          </w:tcPr>
          <w:p w14:paraId="36078B04">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Align w:val="center"/>
          </w:tcPr>
          <w:p w14:paraId="6AC017FB">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单位优势</w:t>
            </w:r>
          </w:p>
          <w:p w14:paraId="5D927D94">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及特长</w:t>
            </w:r>
          </w:p>
        </w:tc>
        <w:tc>
          <w:tcPr>
            <w:tcW w:w="5566" w:type="dxa"/>
            <w:gridSpan w:val="5"/>
          </w:tcPr>
          <w:p w14:paraId="7719E273">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r>
      <w:tr w14:paraId="4EB4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391E6A97">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单位概况</w:t>
            </w:r>
          </w:p>
        </w:tc>
        <w:tc>
          <w:tcPr>
            <w:tcW w:w="1115" w:type="dxa"/>
            <w:vMerge w:val="restart"/>
          </w:tcPr>
          <w:p w14:paraId="36B25BD1">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职工总数</w:t>
            </w:r>
          </w:p>
        </w:tc>
        <w:tc>
          <w:tcPr>
            <w:tcW w:w="1689" w:type="dxa"/>
            <w:vMerge w:val="restart"/>
          </w:tcPr>
          <w:p w14:paraId="0CDB9884">
            <w:pPr>
              <w:spacing w:line="480" w:lineRule="exact"/>
              <w:ind w:firstLine="1540" w:firstLineChars="700"/>
              <w:rPr>
                <w:rFonts w:hint="eastAsia" w:ascii="宋体" w:hAnsi="宋体" w:eastAsia="宋体" w:cs="宋体"/>
                <w:color w:val="000000" w:themeColor="text1"/>
                <w:sz w:val="22"/>
                <w:szCs w:val="22"/>
                <w:highlight w:val="none"/>
                <w14:textFill>
                  <w14:solidFill>
                    <w14:schemeClr w14:val="tx1"/>
                  </w14:solidFill>
                </w14:textFill>
              </w:rPr>
            </w:pPr>
          </w:p>
        </w:tc>
        <w:tc>
          <w:tcPr>
            <w:tcW w:w="3703" w:type="dxa"/>
            <w:gridSpan w:val="4"/>
            <w:vMerge w:val="restart"/>
          </w:tcPr>
          <w:p w14:paraId="58CF4547">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各人员构成情况</w:t>
            </w:r>
          </w:p>
        </w:tc>
        <w:tc>
          <w:tcPr>
            <w:tcW w:w="1488" w:type="dxa"/>
            <w:vMerge w:val="restart"/>
            <w:vAlign w:val="center"/>
          </w:tcPr>
          <w:p w14:paraId="5CFED67D">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上一年主要  经济指标</w:t>
            </w:r>
          </w:p>
        </w:tc>
        <w:tc>
          <w:tcPr>
            <w:tcW w:w="1502" w:type="dxa"/>
            <w:vAlign w:val="center"/>
          </w:tcPr>
          <w:p w14:paraId="260D9E31">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指标名称</w:t>
            </w:r>
          </w:p>
        </w:tc>
        <w:tc>
          <w:tcPr>
            <w:tcW w:w="1488" w:type="dxa"/>
            <w:tcBorders>
              <w:tr2bl w:val="single" w:color="auto" w:sz="4" w:space="0"/>
            </w:tcBorders>
            <w:vAlign w:val="center"/>
          </w:tcPr>
          <w:p w14:paraId="0CA15A20">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70" w:type="dxa"/>
            <w:gridSpan w:val="2"/>
            <w:vAlign w:val="center"/>
          </w:tcPr>
          <w:p w14:paraId="62962F57">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实际完成</w:t>
            </w:r>
          </w:p>
        </w:tc>
        <w:tc>
          <w:tcPr>
            <w:tcW w:w="1106" w:type="dxa"/>
            <w:tcBorders>
              <w:tr2bl w:val="single" w:color="auto" w:sz="4" w:space="0"/>
            </w:tcBorders>
            <w:vAlign w:val="center"/>
          </w:tcPr>
          <w:p w14:paraId="2E6FB486">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9E7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53CE5A8B">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Pr>
          <w:p w14:paraId="5DEF57F5">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Pr>
          <w:p w14:paraId="48FF464F">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3703" w:type="dxa"/>
            <w:gridSpan w:val="4"/>
            <w:vMerge w:val="continue"/>
          </w:tcPr>
          <w:p w14:paraId="58861428">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Merge w:val="continue"/>
          </w:tcPr>
          <w:p w14:paraId="7306F995">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14:paraId="4945B301">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总产值</w:t>
            </w:r>
          </w:p>
        </w:tc>
        <w:tc>
          <w:tcPr>
            <w:tcW w:w="1488" w:type="dxa"/>
            <w:vAlign w:val="center"/>
          </w:tcPr>
          <w:p w14:paraId="4D96ACFC">
            <w:pPr>
              <w:spacing w:line="480" w:lineRule="exact"/>
              <w:ind w:firstLine="660" w:firstLineChars="30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70" w:type="dxa"/>
            <w:gridSpan w:val="2"/>
            <w:vAlign w:val="center"/>
          </w:tcPr>
          <w:p w14:paraId="25C8887F">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总产值</w:t>
            </w:r>
          </w:p>
        </w:tc>
        <w:tc>
          <w:tcPr>
            <w:tcW w:w="1106" w:type="dxa"/>
            <w:vAlign w:val="center"/>
          </w:tcPr>
          <w:p w14:paraId="5241889E">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r>
      <w:tr w14:paraId="64F2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2C344FD9">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restart"/>
          </w:tcPr>
          <w:p w14:paraId="00EB1A5C">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流动资金</w:t>
            </w:r>
          </w:p>
        </w:tc>
        <w:tc>
          <w:tcPr>
            <w:tcW w:w="1689" w:type="dxa"/>
            <w:vMerge w:val="restart"/>
          </w:tcPr>
          <w:p w14:paraId="766CCE2E">
            <w:pPr>
              <w:spacing w:line="480" w:lineRule="exact"/>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A5F212E">
            <w:pPr>
              <w:spacing w:line="480" w:lineRule="exact"/>
              <w:ind w:firstLine="660" w:firstLineChars="30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万元 </w:t>
            </w:r>
          </w:p>
        </w:tc>
        <w:tc>
          <w:tcPr>
            <w:tcW w:w="728" w:type="dxa"/>
            <w:vMerge w:val="restart"/>
          </w:tcPr>
          <w:p w14:paraId="28BEDDED">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资金来源</w:t>
            </w:r>
          </w:p>
        </w:tc>
        <w:tc>
          <w:tcPr>
            <w:tcW w:w="1487" w:type="dxa"/>
            <w:gridSpan w:val="2"/>
            <w:vAlign w:val="center"/>
          </w:tcPr>
          <w:p w14:paraId="6E400EED">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自有资金</w:t>
            </w:r>
          </w:p>
        </w:tc>
        <w:tc>
          <w:tcPr>
            <w:tcW w:w="1488" w:type="dxa"/>
            <w:vAlign w:val="center"/>
          </w:tcPr>
          <w:p w14:paraId="2FFC5A27">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1488" w:type="dxa"/>
            <w:vMerge w:val="continue"/>
          </w:tcPr>
          <w:p w14:paraId="546739F9">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14:paraId="35E417A2">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实现利润</w:t>
            </w:r>
          </w:p>
        </w:tc>
        <w:tc>
          <w:tcPr>
            <w:tcW w:w="1488" w:type="dxa"/>
            <w:vAlign w:val="center"/>
          </w:tcPr>
          <w:p w14:paraId="5E2BD5AF">
            <w:pPr>
              <w:spacing w:line="480" w:lineRule="exact"/>
              <w:ind w:firstLine="660" w:firstLineChars="30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70" w:type="dxa"/>
            <w:gridSpan w:val="2"/>
            <w:vAlign w:val="center"/>
          </w:tcPr>
          <w:p w14:paraId="359F58F0">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实现利润</w:t>
            </w:r>
          </w:p>
        </w:tc>
        <w:tc>
          <w:tcPr>
            <w:tcW w:w="1106" w:type="dxa"/>
            <w:vAlign w:val="center"/>
          </w:tcPr>
          <w:p w14:paraId="4A804C88">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r>
      <w:tr w14:paraId="421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263019C7">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Borders>
              <w:bottom w:val="single" w:color="auto" w:sz="4" w:space="0"/>
            </w:tcBorders>
          </w:tcPr>
          <w:p w14:paraId="792A3935">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Borders>
              <w:bottom w:val="single" w:color="auto" w:sz="4" w:space="0"/>
            </w:tcBorders>
          </w:tcPr>
          <w:p w14:paraId="2310EC66">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728" w:type="dxa"/>
            <w:vMerge w:val="continue"/>
            <w:tcBorders>
              <w:bottom w:val="single" w:color="auto" w:sz="4" w:space="0"/>
            </w:tcBorders>
          </w:tcPr>
          <w:p w14:paraId="747A0C91">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7" w:type="dxa"/>
            <w:gridSpan w:val="2"/>
            <w:tcBorders>
              <w:bottom w:val="single" w:color="auto" w:sz="4" w:space="0"/>
            </w:tcBorders>
          </w:tcPr>
          <w:p w14:paraId="7E92DCF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银行贷款</w:t>
            </w:r>
          </w:p>
        </w:tc>
        <w:tc>
          <w:tcPr>
            <w:tcW w:w="1488" w:type="dxa"/>
            <w:tcBorders>
              <w:bottom w:val="single" w:color="auto" w:sz="4" w:space="0"/>
            </w:tcBorders>
          </w:tcPr>
          <w:p w14:paraId="704298A5">
            <w:pPr>
              <w:spacing w:line="48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88" w:type="dxa"/>
            <w:vMerge w:val="continue"/>
            <w:tcBorders>
              <w:bottom w:val="single" w:color="auto" w:sz="4" w:space="0"/>
            </w:tcBorders>
          </w:tcPr>
          <w:p w14:paraId="67AB6D2C">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Merge w:val="restart"/>
            <w:tcBorders>
              <w:bottom w:val="single" w:color="auto" w:sz="4" w:space="0"/>
            </w:tcBorders>
            <w:vAlign w:val="center"/>
          </w:tcPr>
          <w:p w14:paraId="5379F51E">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主要业绩</w:t>
            </w:r>
          </w:p>
        </w:tc>
        <w:tc>
          <w:tcPr>
            <w:tcW w:w="4064" w:type="dxa"/>
            <w:gridSpan w:val="4"/>
            <w:vMerge w:val="restart"/>
            <w:tcBorders>
              <w:bottom w:val="single" w:color="auto" w:sz="4" w:space="0"/>
            </w:tcBorders>
            <w:vAlign w:val="center"/>
          </w:tcPr>
          <w:p w14:paraId="709BBCA0">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B40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5AE6293B">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restart"/>
          </w:tcPr>
          <w:p w14:paraId="08A942B4">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固定资产</w:t>
            </w:r>
          </w:p>
        </w:tc>
        <w:tc>
          <w:tcPr>
            <w:tcW w:w="1689" w:type="dxa"/>
            <w:vMerge w:val="restart"/>
          </w:tcPr>
          <w:p w14:paraId="6BFE6A13">
            <w:pPr>
              <w:spacing w:line="480" w:lineRule="exact"/>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原值   万元</w:t>
            </w:r>
          </w:p>
          <w:p w14:paraId="78281101">
            <w:pPr>
              <w:spacing w:line="480" w:lineRule="exact"/>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净值   万元</w:t>
            </w:r>
          </w:p>
        </w:tc>
        <w:tc>
          <w:tcPr>
            <w:tcW w:w="728" w:type="dxa"/>
            <w:vMerge w:val="restart"/>
          </w:tcPr>
          <w:p w14:paraId="07F2B49F">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资金性质</w:t>
            </w:r>
          </w:p>
        </w:tc>
        <w:tc>
          <w:tcPr>
            <w:tcW w:w="1487" w:type="dxa"/>
            <w:gridSpan w:val="2"/>
          </w:tcPr>
          <w:p w14:paraId="196292EC">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生产性</w:t>
            </w:r>
          </w:p>
        </w:tc>
        <w:tc>
          <w:tcPr>
            <w:tcW w:w="1488" w:type="dxa"/>
          </w:tcPr>
          <w:p w14:paraId="2F48D0B4">
            <w:pPr>
              <w:spacing w:line="480" w:lineRule="exact"/>
              <w:ind w:left="220" w:hanging="220" w:hanging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1488" w:type="dxa"/>
            <w:vMerge w:val="continue"/>
          </w:tcPr>
          <w:p w14:paraId="2CA3C690">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Merge w:val="continue"/>
          </w:tcPr>
          <w:p w14:paraId="1536AFFC">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4064" w:type="dxa"/>
            <w:gridSpan w:val="4"/>
            <w:vMerge w:val="continue"/>
          </w:tcPr>
          <w:p w14:paraId="4C067D80">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r>
      <w:tr w14:paraId="1177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028644D2">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Pr>
          <w:p w14:paraId="4A9C55DF">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Pr>
          <w:p w14:paraId="16C8CD26">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728" w:type="dxa"/>
            <w:vMerge w:val="continue"/>
          </w:tcPr>
          <w:p w14:paraId="0F0882DB">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7" w:type="dxa"/>
            <w:gridSpan w:val="2"/>
          </w:tcPr>
          <w:p w14:paraId="45363EB0">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非生产性</w:t>
            </w:r>
          </w:p>
        </w:tc>
        <w:tc>
          <w:tcPr>
            <w:tcW w:w="1488" w:type="dxa"/>
          </w:tcPr>
          <w:p w14:paraId="482295E6">
            <w:pPr>
              <w:spacing w:line="480" w:lineRule="exact"/>
              <w:ind w:left="220" w:hanging="220" w:hanging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1488" w:type="dxa"/>
            <w:vMerge w:val="continue"/>
          </w:tcPr>
          <w:p w14:paraId="712DABAD">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Merge w:val="continue"/>
          </w:tcPr>
          <w:p w14:paraId="30A463F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4064" w:type="dxa"/>
            <w:gridSpan w:val="4"/>
            <w:vMerge w:val="continue"/>
          </w:tcPr>
          <w:p w14:paraId="2A88410E">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r>
    </w:tbl>
    <w:p w14:paraId="0555CC8E">
      <w:pPr>
        <w:spacing w:line="460" w:lineRule="exact"/>
        <w:rPr>
          <w:rFonts w:hint="eastAsia" w:ascii="宋体" w:hAnsi="宋体" w:eastAsia="宋体" w:cs="宋体"/>
          <w:color w:val="000000" w:themeColor="text1"/>
          <w:sz w:val="22"/>
          <w:szCs w:val="22"/>
          <w:highlight w:val="none"/>
          <w14:textFill>
            <w14:solidFill>
              <w14:schemeClr w14:val="tx1"/>
            </w14:solidFill>
          </w14:textFill>
        </w:rPr>
        <w:sectPr>
          <w:pgSz w:w="16838" w:h="11906" w:orient="landscape"/>
          <w:pgMar w:top="1134" w:right="1134" w:bottom="1134" w:left="1134" w:header="850" w:footer="992" w:gutter="0"/>
          <w:cols w:space="720" w:num="1"/>
          <w:docGrid w:type="lines" w:linePitch="321" w:charSpace="0"/>
        </w:sectPr>
      </w:pPr>
    </w:p>
    <w:p w14:paraId="5A66D6D6">
      <w:pPr>
        <w:spacing w:line="400" w:lineRule="exact"/>
        <w:jc w:val="center"/>
        <w:outlineLvl w:val="3"/>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lang w:val="zh-CN" w:eastAsia="zh-CN"/>
          <w14:textFill>
            <w14:solidFill>
              <w14:schemeClr w14:val="tx1"/>
            </w14:solidFill>
          </w14:textFill>
        </w:rPr>
        <w:t>偏离表（</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商务、技术偏离</w:t>
      </w:r>
      <w:r>
        <w:rPr>
          <w:rFonts w:hint="eastAsia" w:ascii="宋体" w:hAnsi="宋体" w:eastAsia="宋体" w:cs="宋体"/>
          <w:b/>
          <w:bCs/>
          <w:color w:val="000000" w:themeColor="text1"/>
          <w:sz w:val="28"/>
          <w:szCs w:val="28"/>
          <w:highlight w:val="none"/>
          <w:lang w:val="zh-CN" w:eastAsia="zh-CN"/>
          <w14:textFill>
            <w14:solidFill>
              <w14:schemeClr w14:val="tx1"/>
            </w14:solidFill>
          </w14:textFill>
        </w:rPr>
        <w:t>）</w:t>
      </w:r>
    </w:p>
    <w:p w14:paraId="361B0949">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64ECF339">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609E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6C1E3B9F">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  号</w:t>
            </w:r>
          </w:p>
        </w:tc>
        <w:tc>
          <w:tcPr>
            <w:tcW w:w="3687" w:type="dxa"/>
            <w:shd w:val="clear" w:color="auto" w:fill="FFFFFF"/>
            <w:vAlign w:val="center"/>
          </w:tcPr>
          <w:p w14:paraId="7B4180ED">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招标文件</w:t>
            </w:r>
          </w:p>
          <w:p w14:paraId="131BEC29">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规格要求</w:t>
            </w:r>
          </w:p>
        </w:tc>
        <w:tc>
          <w:tcPr>
            <w:tcW w:w="3402" w:type="dxa"/>
            <w:shd w:val="clear" w:color="auto" w:fill="FFFFFF"/>
            <w:vAlign w:val="center"/>
          </w:tcPr>
          <w:p w14:paraId="14573BB5">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投标文件</w:t>
            </w:r>
          </w:p>
          <w:p w14:paraId="1E458662">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对应规格</w:t>
            </w:r>
          </w:p>
        </w:tc>
        <w:tc>
          <w:tcPr>
            <w:tcW w:w="1580" w:type="dxa"/>
            <w:shd w:val="clear" w:color="auto" w:fill="FFFFFF"/>
            <w:vAlign w:val="center"/>
          </w:tcPr>
          <w:p w14:paraId="788DC45E">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说   明</w:t>
            </w:r>
          </w:p>
        </w:tc>
      </w:tr>
      <w:tr w14:paraId="4D94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03634875">
            <w:pPr>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3687" w:type="dxa"/>
            <w:vAlign w:val="center"/>
          </w:tcPr>
          <w:p w14:paraId="200C3CB9">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2015F1F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3D45DBD0">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45E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E1E99BF">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70CECE44">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4E226C32">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07BACB2C">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24A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0512DF2">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5EAC831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475EC499">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35807388">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B74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CB0649C">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692FDCA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3967420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526B7525">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F78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88E0539">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53BDFEC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307E975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2093B326">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299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E0C6C3F">
            <w:pPr>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3687" w:type="dxa"/>
            <w:vAlign w:val="center"/>
          </w:tcPr>
          <w:p w14:paraId="4AE7C1E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5571F4F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25649A8C">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B3A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7C323F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31CE8C32">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1E4C693D">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5BC7072F">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C31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C286B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12FF07CF">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016A4DDD">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0E843AC7">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05B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3C81DF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5FEFD7C2">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616AA38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66CBABF9">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1E1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9291FBF">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3838EC88">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3AE82991">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272FCC25">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1E9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856619D">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194B739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1CFD41E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24ECE961">
            <w:pPr>
              <w:jc w:val="center"/>
              <w:rPr>
                <w:rFonts w:hint="eastAsia" w:ascii="宋体" w:hAnsi="宋体" w:eastAsia="宋体" w:cs="宋体"/>
                <w:color w:val="000000" w:themeColor="text1"/>
                <w:sz w:val="22"/>
                <w:szCs w:val="22"/>
                <w:highlight w:val="none"/>
                <w14:textFill>
                  <w14:solidFill>
                    <w14:schemeClr w14:val="tx1"/>
                  </w14:solidFill>
                </w14:textFill>
              </w:rPr>
            </w:pPr>
          </w:p>
        </w:tc>
      </w:tr>
    </w:tbl>
    <w:p w14:paraId="50FDDE89">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注： 如有偏离，必须在偏离表中进行详细对比说明并注明正偏离和负偏离，如不说明偏离情况，视为完全响应采购文件要求无偏离</w:t>
      </w:r>
    </w:p>
    <w:p w14:paraId="726B14C6">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73AB31F5">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389DA6B0">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12E299D8">
      <w:pPr>
        <w:rPr>
          <w:rFonts w:hint="eastAsia" w:ascii="宋体" w:hAnsi="宋体" w:eastAsia="宋体" w:cs="宋体"/>
          <w:b/>
          <w:color w:val="000000" w:themeColor="text1"/>
          <w:sz w:val="24"/>
          <w:highlight w:val="none"/>
          <w14:textFill>
            <w14:solidFill>
              <w14:schemeClr w14:val="tx1"/>
            </w14:solidFill>
          </w14:textFill>
        </w:rPr>
      </w:pPr>
      <w:bookmarkStart w:id="53" w:name="_Toc415152386"/>
      <w:r>
        <w:rPr>
          <w:rFonts w:hint="eastAsia" w:ascii="宋体" w:hAnsi="宋体" w:eastAsia="宋体" w:cs="宋体"/>
          <w:b/>
          <w:color w:val="000000" w:themeColor="text1"/>
          <w:sz w:val="24"/>
          <w:highlight w:val="none"/>
          <w14:textFill>
            <w14:solidFill>
              <w14:schemeClr w14:val="tx1"/>
            </w14:solidFill>
          </w14:textFill>
        </w:rPr>
        <w:br w:type="page"/>
      </w:r>
    </w:p>
    <w:p w14:paraId="432D91DC">
      <w:pPr>
        <w:spacing w:line="400" w:lineRule="exact"/>
        <w:jc w:val="center"/>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4、企业综合情况</w:t>
      </w:r>
    </w:p>
    <w:p w14:paraId="2EBC37BF">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201DDEBE">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7E75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05CC4CC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3C87B9CE">
      <w:pPr>
        <w:pStyle w:val="31"/>
        <w:spacing w:line="400" w:lineRule="atLeast"/>
        <w:rPr>
          <w:rFonts w:ascii="新宋体" w:hAnsi="新宋体" w:eastAsia="新宋体"/>
          <w:color w:val="000000" w:themeColor="text1"/>
          <w:sz w:val="22"/>
          <w:szCs w:val="22"/>
          <w:highlight w:val="none"/>
          <w14:textFill>
            <w14:solidFill>
              <w14:schemeClr w14:val="tx1"/>
            </w14:solidFill>
          </w14:textFill>
        </w:rPr>
      </w:pPr>
    </w:p>
    <w:p w14:paraId="076962C4">
      <w:pPr>
        <w:spacing w:line="460" w:lineRule="exact"/>
        <w:ind w:firstLine="5060" w:firstLineChars="2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投标人全称（盖章）：</w:t>
      </w:r>
    </w:p>
    <w:p w14:paraId="5DD0F8BB">
      <w:pPr>
        <w:spacing w:line="460" w:lineRule="exact"/>
        <w:ind w:firstLine="5060" w:firstLineChars="2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投标人代表（签字）：</w:t>
      </w:r>
    </w:p>
    <w:p w14:paraId="289BE21C">
      <w:pPr>
        <w:spacing w:line="460" w:lineRule="exact"/>
        <w:ind w:firstLine="5060" w:firstLineChars="2300"/>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日  期：</w:t>
      </w:r>
    </w:p>
    <w:p w14:paraId="543D0863">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4D99294">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5BC91941">
      <w:pPr>
        <w:spacing w:line="400" w:lineRule="exact"/>
        <w:jc w:val="center"/>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bookmarkEnd w:id="53"/>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食品安全责任保险</w:t>
      </w:r>
    </w:p>
    <w:p w14:paraId="4BB34A79">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4498AA0D">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3"/>
      </w:tblGrid>
      <w:tr w14:paraId="6B61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5" w:hRule="atLeast"/>
          <w:jc w:val="center"/>
        </w:trPr>
        <w:tc>
          <w:tcPr>
            <w:tcW w:w="9953" w:type="dxa"/>
            <w:vAlign w:val="center"/>
          </w:tcPr>
          <w:p w14:paraId="29F1F46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1F99AB4B">
      <w:pPr>
        <w:pStyle w:val="31"/>
        <w:spacing w:line="400" w:lineRule="atLeast"/>
        <w:rPr>
          <w:rFonts w:hint="eastAsia" w:ascii="宋体" w:hAnsi="宋体" w:eastAsia="宋体" w:cs="宋体"/>
          <w:color w:val="000000" w:themeColor="text1"/>
          <w:sz w:val="22"/>
          <w:szCs w:val="22"/>
          <w:highlight w:val="none"/>
          <w14:textFill>
            <w14:solidFill>
              <w14:schemeClr w14:val="tx1"/>
            </w14:solidFill>
          </w14:textFill>
        </w:rPr>
      </w:pPr>
    </w:p>
    <w:p w14:paraId="036261A5">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2F78168B">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272D8FAF">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4EE563AB">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p>
    <w:p w14:paraId="507926A6">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5B10FEF2">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、总体服务方案</w:t>
      </w:r>
    </w:p>
    <w:p w14:paraId="70D6082F">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54C3B04B">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192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F3B5A0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085E6D94">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14:paraId="02E033A6">
      <w:pPr>
        <w:pStyle w:val="31"/>
        <w:spacing w:line="460" w:lineRule="atLeast"/>
        <w:ind w:left="657" w:leftChars="313" w:firstLine="3960" w:firstLineChars="18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投标人名称（盖章）：</w:t>
      </w:r>
    </w:p>
    <w:p w14:paraId="4BA1BB65">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投标人代表（签字）：   </w:t>
      </w:r>
    </w:p>
    <w:p w14:paraId="3A70C433">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日   期：</w:t>
      </w:r>
    </w:p>
    <w:p w14:paraId="66486C5A">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14:paraId="339EA7A0">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、配送方案</w:t>
      </w:r>
    </w:p>
    <w:p w14:paraId="1E87E167">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76964EA6">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9DF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9F4EE0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3B9AA475">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14:paraId="3FFA2F89">
      <w:pPr>
        <w:pStyle w:val="31"/>
        <w:spacing w:line="460" w:lineRule="atLeast"/>
        <w:ind w:left="657" w:leftChars="313" w:firstLine="3960" w:firstLineChars="18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投标人名称（盖章）：</w:t>
      </w:r>
    </w:p>
    <w:p w14:paraId="1C83A6F2">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投标人代表（签字）：   </w:t>
      </w:r>
    </w:p>
    <w:p w14:paraId="6962F071">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日   期： </w:t>
      </w:r>
    </w:p>
    <w:p w14:paraId="11391FB0">
      <w:pPr>
        <w:jc w:val="both"/>
        <w:rPr>
          <w:rFonts w:hint="eastAsia" w:ascii="宋体" w:hAnsi="宋体" w:eastAsia="宋体" w:cs="宋体"/>
          <w:b/>
          <w:bCs/>
          <w:color w:val="000000" w:themeColor="text1"/>
          <w:sz w:val="22"/>
          <w:szCs w:val="22"/>
          <w:highlight w:val="none"/>
          <w14:textFill>
            <w14:solidFill>
              <w14:schemeClr w14:val="tx1"/>
            </w14:solidFill>
          </w14:textFill>
        </w:rPr>
      </w:pPr>
    </w:p>
    <w:p w14:paraId="5329F21C">
      <w:pPr>
        <w:pStyle w:val="9"/>
        <w:rPr>
          <w:rFonts w:hint="eastAsia" w:ascii="宋体" w:hAnsi="宋体" w:eastAsia="宋体" w:cs="宋体"/>
          <w:bCs/>
          <w:color w:val="000000" w:themeColor="text1"/>
          <w:sz w:val="22"/>
          <w:szCs w:val="22"/>
          <w:highlight w:val="none"/>
          <w14:textFill>
            <w14:solidFill>
              <w14:schemeClr w14:val="tx1"/>
            </w14:solidFill>
          </w14:textFill>
        </w:rPr>
      </w:pPr>
    </w:p>
    <w:p w14:paraId="47A9D169">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、供货情况</w:t>
      </w:r>
    </w:p>
    <w:p w14:paraId="1ED39662">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38603744">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8C0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DC8B07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000C8AE9">
      <w:pPr>
        <w:spacing w:line="380" w:lineRule="exact"/>
        <w:rPr>
          <w:rFonts w:hint="eastAsia" w:ascii="宋体" w:hAnsi="宋体" w:eastAsia="宋体" w:cs="宋体"/>
          <w:color w:val="000000" w:themeColor="text1"/>
          <w:sz w:val="36"/>
          <w:szCs w:val="36"/>
          <w:highlight w:val="none"/>
          <w14:textFill>
            <w14:solidFill>
              <w14:schemeClr w14:val="tx1"/>
            </w14:solidFill>
          </w14:textFill>
        </w:rPr>
      </w:pPr>
    </w:p>
    <w:p w14:paraId="0DF4B8FA">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0C9D4E6B">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3E14C7DA">
      <w:pPr>
        <w:spacing w:line="460" w:lineRule="exact"/>
        <w:ind w:firstLine="4400" w:firstLineChars="200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日  期：   </w:t>
      </w:r>
    </w:p>
    <w:p w14:paraId="7EF931A9">
      <w:pPr>
        <w:spacing w:line="380" w:lineRule="exact"/>
        <w:rPr>
          <w:rFonts w:hint="eastAsia" w:ascii="宋体" w:hAnsi="宋体" w:eastAsia="宋体" w:cs="宋体"/>
          <w:b/>
          <w:color w:val="000000" w:themeColor="text1"/>
          <w:sz w:val="36"/>
          <w:szCs w:val="36"/>
          <w:highlight w:val="none"/>
          <w14:textFill>
            <w14:solidFill>
              <w14:schemeClr w14:val="tx1"/>
            </w14:solidFill>
          </w14:textFill>
        </w:rPr>
      </w:pPr>
    </w:p>
    <w:p w14:paraId="10EF192C">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14:paraId="784F6F76">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9、质量监督制度、卫生管理制度、留样制度及安全</w:t>
      </w:r>
    </w:p>
    <w:p w14:paraId="7B0EDFCE">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7B1B9CAB">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C98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D6F7FF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645E1FDE">
      <w:pPr>
        <w:spacing w:line="380" w:lineRule="exact"/>
        <w:rPr>
          <w:rFonts w:hint="eastAsia" w:ascii="宋体" w:hAnsi="宋体" w:eastAsia="宋体" w:cs="宋体"/>
          <w:color w:val="000000" w:themeColor="text1"/>
          <w:sz w:val="36"/>
          <w:szCs w:val="36"/>
          <w:highlight w:val="none"/>
          <w14:textFill>
            <w14:solidFill>
              <w14:schemeClr w14:val="tx1"/>
            </w14:solidFill>
          </w14:textFill>
        </w:rPr>
      </w:pPr>
    </w:p>
    <w:p w14:paraId="04150147">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16580B94">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731389D1">
      <w:pPr>
        <w:spacing w:line="460" w:lineRule="exact"/>
        <w:ind w:firstLine="4400" w:firstLineChars="20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7DBD50DD">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5FB3672F">
      <w:pPr>
        <w:spacing w:line="400" w:lineRule="exact"/>
        <w:jc w:val="center"/>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10、功能区情况</w:t>
      </w:r>
    </w:p>
    <w:p w14:paraId="71050862">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44DD6A7A">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226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38A186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223F940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0613E084">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7FCCB142">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770A2133">
      <w:pPr>
        <w:pStyle w:val="31"/>
        <w:spacing w:line="460" w:lineRule="atLeast"/>
        <w:ind w:left="659" w:leftChars="314" w:firstLine="3740" w:firstLineChars="17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r>
        <w:rPr>
          <w:rFonts w:hint="eastAsia" w:ascii="宋体" w:hAnsi="宋体" w:eastAsia="宋体" w:cs="宋体"/>
          <w:b w:val="0"/>
          <w:bCs/>
          <w:color w:val="000000" w:themeColor="text1"/>
          <w:sz w:val="22"/>
          <w:highlight w:val="none"/>
          <w14:textFill>
            <w14:solidFill>
              <w14:schemeClr w14:val="tx1"/>
            </w14:solidFill>
          </w14:textFill>
        </w:rPr>
        <w:t xml:space="preserve"> </w:t>
      </w:r>
    </w:p>
    <w:p w14:paraId="30FFBDDD">
      <w:pPr>
        <w:pStyle w:val="31"/>
        <w:spacing w:line="400" w:lineRule="atLeast"/>
        <w:ind w:left="663" w:hanging="663" w:hangingChars="300"/>
        <w:rPr>
          <w:rFonts w:hint="eastAsia" w:ascii="宋体" w:hAnsi="宋体" w:eastAsia="宋体" w:cs="宋体"/>
          <w:color w:val="000000" w:themeColor="text1"/>
          <w:sz w:val="22"/>
          <w:highlight w:val="none"/>
          <w14:textFill>
            <w14:solidFill>
              <w14:schemeClr w14:val="tx1"/>
            </w14:solidFill>
          </w14:textFill>
        </w:rPr>
      </w:pPr>
    </w:p>
    <w:p w14:paraId="131B5E31">
      <w:pPr>
        <w:pStyle w:val="31"/>
        <w:spacing w:line="400" w:lineRule="atLeast"/>
        <w:ind w:left="663" w:hanging="663" w:hangingChars="300"/>
        <w:rPr>
          <w:rFonts w:hint="eastAsia" w:ascii="宋体" w:hAnsi="宋体" w:eastAsia="宋体" w:cs="宋体"/>
          <w:color w:val="000000" w:themeColor="text1"/>
          <w:sz w:val="22"/>
          <w:highlight w:val="none"/>
          <w14:textFill>
            <w14:solidFill>
              <w14:schemeClr w14:val="tx1"/>
            </w14:solidFill>
          </w14:textFill>
        </w:rPr>
      </w:pPr>
    </w:p>
    <w:p w14:paraId="41B9572E">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14:paraId="24EB46AF">
      <w:pPr>
        <w:spacing w:line="400" w:lineRule="exact"/>
        <w:jc w:val="center"/>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、车辆情况</w:t>
      </w:r>
    </w:p>
    <w:p w14:paraId="2D120681">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2EB1C9DD">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72D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05CF80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1D422A33">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C46B16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3B802E79">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61C730F0">
      <w:pPr>
        <w:pStyle w:val="31"/>
        <w:spacing w:line="460" w:lineRule="atLeast"/>
        <w:ind w:left="659" w:leftChars="314" w:firstLine="3740" w:firstLineChars="17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r>
        <w:rPr>
          <w:rFonts w:hint="eastAsia" w:ascii="宋体" w:hAnsi="宋体" w:eastAsia="宋体" w:cs="宋体"/>
          <w:b w:val="0"/>
          <w:bCs/>
          <w:color w:val="000000" w:themeColor="text1"/>
          <w:sz w:val="22"/>
          <w:highlight w:val="none"/>
          <w14:textFill>
            <w14:solidFill>
              <w14:schemeClr w14:val="tx1"/>
            </w14:solidFill>
          </w14:textFill>
        </w:rPr>
        <w:t xml:space="preserve"> </w:t>
      </w:r>
    </w:p>
    <w:p w14:paraId="2659F41B">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59DBDDC5">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、突发事件应急预案</w:t>
      </w:r>
    </w:p>
    <w:p w14:paraId="6CFEDC66">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782FCA19">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0C5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0BE69B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7C2A2A31">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08B16E10">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5D6400F2">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6977CF28">
      <w:pPr>
        <w:spacing w:line="460" w:lineRule="exact"/>
        <w:ind w:firstLine="4400" w:firstLineChars="20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p>
    <w:p w14:paraId="6205B345">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2985AB8C">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、质量保证及售后服务</w:t>
      </w:r>
    </w:p>
    <w:p w14:paraId="62FDFEB3">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1FBF41C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r>
        <w:rPr>
          <w:rFonts w:hint="eastAsia" w:ascii="宋体" w:hAnsi="宋体" w:eastAsia="宋体" w:cs="宋体"/>
          <w:color w:val="000000" w:themeColor="text1"/>
          <w:sz w:val="22"/>
          <w:szCs w:val="22"/>
          <w:highlight w:val="none"/>
          <w14:textFill>
            <w14:solidFill>
              <w14:schemeClr w14:val="tx1"/>
            </w14:solidFill>
          </w14:textFill>
        </w:rPr>
        <w:t xml:space="preserve">  </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0A0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E22259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25F7D1B7">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14:paraId="31BE9E46">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013C0A0B">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7B1131D1">
      <w:pPr>
        <w:spacing w:line="460" w:lineRule="exact"/>
        <w:ind w:firstLine="4400" w:firstLineChars="2000"/>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p>
    <w:p w14:paraId="75F5BE4E">
      <w:pPr>
        <w:rPr>
          <w:rFonts w:hint="eastAsia" w:ascii="宋体" w:hAnsi="宋体" w:eastAsia="宋体" w:cs="宋体"/>
          <w:b w:val="0"/>
          <w:color w:val="000000" w:themeColor="text1"/>
          <w:kern w:val="2"/>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br w:type="page"/>
      </w:r>
    </w:p>
    <w:p w14:paraId="2EA864F1">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、业绩</w:t>
      </w:r>
    </w:p>
    <w:p w14:paraId="0FAE0F89">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食堂配送（鲜猪肉类）</w:t>
      </w:r>
    </w:p>
    <w:p w14:paraId="2FBEDEF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WZLCZB（W）-2025-06040</w:t>
      </w:r>
      <w:r>
        <w:rPr>
          <w:rFonts w:hint="eastAsia" w:ascii="宋体" w:hAnsi="宋体" w:eastAsia="宋体" w:cs="宋体"/>
          <w:color w:val="000000" w:themeColor="text1"/>
          <w:sz w:val="22"/>
          <w:szCs w:val="22"/>
          <w:highlight w:val="none"/>
          <w14:textFill>
            <w14:solidFill>
              <w14:schemeClr w14:val="tx1"/>
            </w14:solidFill>
          </w14:textFill>
        </w:rPr>
        <w:t xml:space="preserve">  </w:t>
      </w:r>
    </w:p>
    <w:tbl>
      <w:tblPr>
        <w:tblStyle w:val="52"/>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4E41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7E89A2D">
            <w:pPr>
              <w:pageBreakBefore w:val="0"/>
              <w:kinsoku/>
              <w:topLinePunct w:val="0"/>
              <w:bidi w:val="0"/>
              <w:spacing w:line="460" w:lineRule="exact"/>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color w:val="000000" w:themeColor="text1"/>
                <w:sz w:val="22"/>
                <w:highlight w:val="none"/>
                <w14:textFill>
                  <w14:solidFill>
                    <w14:schemeClr w14:val="tx1"/>
                  </w14:solidFill>
                </w14:textFill>
              </w:rPr>
              <w:t xml:space="preserve"> </w:t>
            </w: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序号</w:t>
            </w:r>
          </w:p>
        </w:tc>
        <w:tc>
          <w:tcPr>
            <w:tcW w:w="2069" w:type="dxa"/>
            <w:noWrap w:val="0"/>
            <w:vAlign w:val="center"/>
          </w:tcPr>
          <w:p w14:paraId="5670705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用户名称</w:t>
            </w:r>
          </w:p>
        </w:tc>
        <w:tc>
          <w:tcPr>
            <w:tcW w:w="2437" w:type="dxa"/>
            <w:noWrap w:val="0"/>
            <w:vAlign w:val="center"/>
          </w:tcPr>
          <w:p w14:paraId="1813C50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项目名称</w:t>
            </w:r>
          </w:p>
        </w:tc>
        <w:tc>
          <w:tcPr>
            <w:tcW w:w="1737" w:type="dxa"/>
            <w:noWrap w:val="0"/>
            <w:vAlign w:val="center"/>
          </w:tcPr>
          <w:p w14:paraId="1574A15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合同金额</w:t>
            </w:r>
          </w:p>
        </w:tc>
        <w:tc>
          <w:tcPr>
            <w:tcW w:w="1737" w:type="dxa"/>
            <w:noWrap w:val="0"/>
            <w:vAlign w:val="center"/>
          </w:tcPr>
          <w:p w14:paraId="030F7C7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联系方式</w:t>
            </w:r>
          </w:p>
        </w:tc>
        <w:tc>
          <w:tcPr>
            <w:tcW w:w="926" w:type="dxa"/>
            <w:noWrap w:val="0"/>
            <w:vAlign w:val="center"/>
          </w:tcPr>
          <w:p w14:paraId="454706A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备注</w:t>
            </w:r>
          </w:p>
        </w:tc>
      </w:tr>
      <w:tr w14:paraId="0620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C7FEDC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5252E3B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6DA91DC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C7323E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63D0785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521E977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0B42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455C4D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48EDE67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209AB31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689FA89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EA29DA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2A61A43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CFC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8441C9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2D115E4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646EF86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4B3E39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392B1EA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6879DFF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61D0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49F631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3E44945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488D6865">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733B69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DB3834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2F7E854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63AB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643BEA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1291A2B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3A23AE7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5FC3661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FC31CE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7D330B8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FA3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B3E1EE2">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7C03E03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62EFFB1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35ACC25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612F9C9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199D0B4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6622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07AADC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378E91B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1365BD5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0CD249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1C6A0F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5E8A8E8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3A45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C4D2BD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5E75EB0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6DBD183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9B8138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1BFEA2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41CDF94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5CE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F7A04E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408407F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65277F3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8CF76E2">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5B2483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49FFADF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5E87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8F4982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58494C3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233E841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3CC2569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C453573">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7F5EAED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725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B84EA4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0D69F17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29FDFE8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192E2B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0175A85">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148C3905">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927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9795D8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6D1D1A8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66F2119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9B26CE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E799EC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6CD4E13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3965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C04992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21DED47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1EEC68D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F67337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3435059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3ABC3CD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5B4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129084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240AC1E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2DBDC49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5F5870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88BAFD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1FEFB60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bl>
    <w:p w14:paraId="15ABB35E">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14:paraId="4EFD56ED">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64CDD7D0">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14:paraId="413BCA7B">
      <w:pPr>
        <w:spacing w:line="460" w:lineRule="exact"/>
        <w:ind w:firstLine="4400" w:firstLineChars="20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p>
    <w:p w14:paraId="6578D0EA">
      <w:pPr>
        <w:keepNext/>
        <w:keepLines/>
        <w:pageBreakBefore w:val="0"/>
        <w:widowControl w:val="0"/>
        <w:kinsoku/>
        <w:wordWrap/>
        <w:overflowPunct/>
        <w:topLinePunct w:val="0"/>
        <w:autoSpaceDE/>
        <w:autoSpaceDN/>
        <w:bidi w:val="0"/>
        <w:adjustRightInd/>
        <w:snapToGrid/>
        <w:textAlignment w:val="auto"/>
        <w:outlineLvl w:val="9"/>
        <w:rPr>
          <w:rFonts w:hint="eastAsia"/>
          <w:color w:val="000000" w:themeColor="text1"/>
          <w:highlight w:val="none"/>
          <w14:textFill>
            <w14:solidFill>
              <w14:schemeClr w14:val="tx1"/>
            </w14:solidFill>
          </w14:textFill>
        </w:rPr>
      </w:pPr>
    </w:p>
    <w:p w14:paraId="1D06A2B8">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269AE8E7">
      <w:pPr>
        <w:pStyle w:val="4"/>
        <w:numPr>
          <w:ilvl w:val="0"/>
          <w:numId w:val="3"/>
        </w:numPr>
        <w:bidi w:val="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bookmarkStart w:id="54" w:name="_Toc3381"/>
      <w:bookmarkStart w:id="55" w:name="_Toc10142"/>
      <w:bookmarkStart w:id="56" w:name="_Toc221356958"/>
      <w:bookmarkStart w:id="57" w:name="_Toc221356895"/>
      <w:r>
        <w:rPr>
          <w:rFonts w:hint="eastAsia" w:ascii="宋体" w:hAnsi="宋体" w:eastAsia="宋体" w:cs="宋体"/>
          <w:color w:val="000000" w:themeColor="text1"/>
          <w:highlight w:val="none"/>
          <w14:textFill>
            <w14:solidFill>
              <w14:schemeClr w14:val="tx1"/>
            </w14:solidFill>
          </w14:textFill>
        </w:rPr>
        <w:t>项目技术规范和服务要求</w:t>
      </w:r>
      <w:bookmarkEnd w:id="54"/>
      <w:bookmarkEnd w:id="55"/>
    </w:p>
    <w:bookmarkEnd w:id="56"/>
    <w:bookmarkEnd w:id="57"/>
    <w:p w14:paraId="7FCA419D">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000000" w:themeColor="text1"/>
          <w:sz w:val="22"/>
          <w:szCs w:val="22"/>
          <w:highlight w:val="none"/>
          <w:shd w:val="clear" w:color="auto" w:fill="auto"/>
          <w14:textFill>
            <w14:solidFill>
              <w14:schemeClr w14:val="tx1"/>
            </w14:solidFill>
          </w14:textFill>
        </w:rPr>
      </w:pPr>
      <w:bookmarkStart w:id="58" w:name="_Toc14867"/>
      <w:bookmarkStart w:id="59" w:name="_Toc18194"/>
      <w:bookmarkStart w:id="60" w:name="_Toc30323"/>
    </w:p>
    <w:p w14:paraId="2AC30435">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14:textFill>
            <w14:solidFill>
              <w14:schemeClr w14:val="tx1"/>
            </w14:solidFill>
          </w14:textFill>
        </w:rPr>
        <w:t>一、招标内容</w:t>
      </w:r>
      <w:bookmarkEnd w:id="58"/>
    </w:p>
    <w:p w14:paraId="49A511BC">
      <w:pPr>
        <w:spacing w:line="460" w:lineRule="exact"/>
        <w:ind w:firstLine="539" w:firstLineChars="245"/>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t>1、采购内容为</w:t>
      </w:r>
      <w:r>
        <w:rPr>
          <w:rFonts w:hint="eastAsia" w:ascii="新宋体" w:hAnsi="新宋体" w:eastAsia="新宋体" w:cs="新宋体"/>
          <w:bCs/>
          <w:color w:val="000000" w:themeColor="text1"/>
          <w:sz w:val="22"/>
          <w:szCs w:val="22"/>
          <w:highlight w:val="none"/>
          <w:shd w:val="clear" w:color="auto" w:fill="auto"/>
          <w:lang w:eastAsia="zh-CN"/>
          <w14:textFill>
            <w14:solidFill>
              <w14:schemeClr w14:val="tx1"/>
            </w14:solidFill>
          </w14:textFill>
        </w:rPr>
        <w:t>温州市中心医院（百里坊院区、双屿院区）、</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温州市第六人民医院</w:t>
      </w:r>
      <w:r>
        <w:rPr>
          <w:rFonts w:hint="eastAsia" w:ascii="新宋体" w:hAnsi="新宋体" w:eastAsia="新宋体" w:cs="新宋体"/>
          <w:bCs/>
          <w:color w:val="000000" w:themeColor="text1"/>
          <w:sz w:val="22"/>
          <w:szCs w:val="22"/>
          <w:highlight w:val="none"/>
          <w:shd w:val="clear" w:color="auto" w:fill="auto"/>
          <w:lang w:eastAsia="zh-CN"/>
          <w14:textFill>
            <w14:solidFill>
              <w14:schemeClr w14:val="tx1"/>
            </w14:solidFill>
          </w14:textFill>
        </w:rPr>
        <w:t>食堂配送（鲜猪肉类）</w:t>
      </w:r>
      <w:r>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t>。</w:t>
      </w:r>
    </w:p>
    <w:p w14:paraId="78A0C302">
      <w:pPr>
        <w:spacing w:line="460" w:lineRule="exact"/>
        <w:ind w:firstLine="539" w:firstLineChars="245"/>
        <w:rPr>
          <w:rFonts w:hint="default" w:ascii="新宋体" w:hAnsi="新宋体" w:eastAsia="新宋体" w:cs="新宋体"/>
          <w:b w:val="0"/>
          <w:bCs/>
          <w:color w:val="000000" w:themeColor="text1"/>
          <w:sz w:val="22"/>
          <w:szCs w:val="22"/>
          <w:highlight w:val="none"/>
          <w:shd w:val="clear" w:color="auto" w:fill="auto"/>
          <w:lang w:val="en-US"/>
          <w14:textFill>
            <w14:solidFill>
              <w14:schemeClr w14:val="tx1"/>
            </w14:solidFill>
          </w14:textFill>
        </w:rPr>
      </w:pPr>
      <w:r>
        <w:rPr>
          <w:rFonts w:hint="eastAsia" w:ascii="新宋体" w:hAnsi="新宋体" w:eastAsia="新宋体" w:cs="新宋体"/>
          <w:b w:val="0"/>
          <w:bCs/>
          <w:color w:val="000000" w:themeColor="text1"/>
          <w:sz w:val="22"/>
          <w:szCs w:val="22"/>
          <w:highlight w:val="none"/>
          <w:shd w:val="clear" w:color="auto" w:fill="auto"/>
          <w:lang w:val="en-US" w:eastAsia="zh-CN"/>
          <w14:textFill>
            <w14:solidFill>
              <w14:schemeClr w14:val="tx1"/>
            </w14:solidFill>
          </w14:textFill>
        </w:rPr>
        <w:t>2、</w:t>
      </w:r>
      <w:r>
        <w:rPr>
          <w:rFonts w:hint="eastAsia" w:ascii="新宋体" w:hAnsi="新宋体" w:eastAsia="新宋体" w:cs="新宋体"/>
          <w:b w:val="0"/>
          <w:bCs/>
          <w:color w:val="000000" w:themeColor="text1"/>
          <w:sz w:val="22"/>
          <w:szCs w:val="22"/>
          <w:highlight w:val="none"/>
          <w:shd w:val="clear" w:color="auto" w:fill="auto"/>
          <w14:textFill>
            <w14:solidFill>
              <w14:schemeClr w14:val="tx1"/>
            </w14:solidFill>
          </w14:textFill>
        </w:rPr>
        <w:t>本</w:t>
      </w:r>
      <w:r>
        <w:rPr>
          <w:rFonts w:hint="eastAsia" w:ascii="新宋体" w:hAnsi="新宋体" w:eastAsia="新宋体" w:cs="新宋体"/>
          <w:b w:val="0"/>
          <w:bCs/>
          <w:color w:val="000000" w:themeColor="text1"/>
          <w:sz w:val="22"/>
          <w:szCs w:val="22"/>
          <w:highlight w:val="none"/>
          <w:shd w:val="clear" w:color="auto" w:fill="auto"/>
          <w:lang w:val="en-US" w:eastAsia="zh-CN"/>
          <w14:textFill>
            <w14:solidFill>
              <w14:schemeClr w14:val="tx1"/>
            </w14:solidFill>
          </w14:textFill>
        </w:rPr>
        <w:t>次招标</w:t>
      </w:r>
      <w:r>
        <w:rPr>
          <w:rFonts w:hint="eastAsia" w:ascii="新宋体" w:hAnsi="新宋体" w:eastAsia="新宋体" w:cs="新宋体"/>
          <w:b w:val="0"/>
          <w:bCs/>
          <w:color w:val="000000" w:themeColor="text1"/>
          <w:sz w:val="22"/>
          <w:szCs w:val="22"/>
          <w:highlight w:val="none"/>
          <w:shd w:val="clear" w:color="auto" w:fill="auto"/>
          <w14:textFill>
            <w14:solidFill>
              <w14:schemeClr w14:val="tx1"/>
            </w14:solidFill>
          </w14:textFill>
        </w:rPr>
        <w:t>确定</w:t>
      </w:r>
      <w:r>
        <w:rPr>
          <w:rFonts w:hint="eastAsia" w:ascii="新宋体" w:hAnsi="新宋体" w:eastAsia="新宋体" w:cs="新宋体"/>
          <w:b w:val="0"/>
          <w:bCs/>
          <w:color w:val="000000" w:themeColor="text1"/>
          <w:sz w:val="22"/>
          <w:szCs w:val="22"/>
          <w:highlight w:val="none"/>
          <w:u w:val="single"/>
          <w:shd w:val="clear" w:color="auto" w:fill="auto"/>
          <w:lang w:val="en-US" w:eastAsia="zh-CN"/>
          <w14:textFill>
            <w14:solidFill>
              <w14:schemeClr w14:val="tx1"/>
            </w14:solidFill>
          </w14:textFill>
        </w:rPr>
        <w:t xml:space="preserve"> 3家 </w:t>
      </w:r>
      <w:r>
        <w:rPr>
          <w:rFonts w:hint="eastAsia" w:ascii="新宋体" w:hAnsi="新宋体" w:eastAsia="新宋体" w:cs="新宋体"/>
          <w:b w:val="0"/>
          <w:bCs/>
          <w:color w:val="000000" w:themeColor="text1"/>
          <w:sz w:val="22"/>
          <w:szCs w:val="22"/>
          <w:highlight w:val="none"/>
          <w:shd w:val="clear" w:color="auto" w:fill="auto"/>
          <w:lang w:val="en-US" w:eastAsia="zh-CN"/>
          <w14:textFill>
            <w14:solidFill>
              <w14:schemeClr w14:val="tx1"/>
            </w14:solidFill>
          </w14:textFill>
        </w:rPr>
        <w:t>供应商，供货商根据招标人每日提供的食堂菜品清单进行配送。</w:t>
      </w:r>
    </w:p>
    <w:p w14:paraId="6DF5C514">
      <w:pPr>
        <w:spacing w:line="460" w:lineRule="exact"/>
        <w:ind w:firstLine="539" w:firstLineChars="245"/>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3、本项目预算金额：</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285</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万元（温州市中心医院（百里坊院区）：</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200</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万元，温州市中心医院（双屿院区）：</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43</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万元，温州市第六人民医院：</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42</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w:t>
      </w:r>
    </w:p>
    <w:p w14:paraId="326133A0">
      <w:pPr>
        <w:tabs>
          <w:tab w:val="left" w:pos="360"/>
        </w:tabs>
        <w:spacing w:line="460" w:lineRule="exact"/>
        <w:ind w:firstLine="550" w:firstLineChars="250"/>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4、配送服务期：</w:t>
      </w:r>
      <w:r>
        <w:rPr>
          <w:rFonts w:hint="eastAsia" w:ascii="新宋体" w:hAnsi="新宋体" w:eastAsia="新宋体" w:cs="新宋体"/>
          <w:color w:val="000000" w:themeColor="text1"/>
          <w:sz w:val="22"/>
          <w:szCs w:val="22"/>
          <w:highlight w:val="none"/>
          <w14:textFill>
            <w14:solidFill>
              <w14:schemeClr w14:val="tx1"/>
            </w14:solidFill>
          </w14:textFill>
        </w:rPr>
        <w:t>1年。</w:t>
      </w:r>
    </w:p>
    <w:p w14:paraId="11DE2467">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bookmarkStart w:id="61" w:name="_Toc31053"/>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二、配送要求</w:t>
      </w:r>
      <w:bookmarkEnd w:id="61"/>
    </w:p>
    <w:p w14:paraId="4415ED3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221" w:firstLineChars="100"/>
        <w:textAlignment w:val="auto"/>
        <w:outlineLvl w:val="9"/>
        <w:rPr>
          <w:rFonts w:hint="eastAsia" w:ascii="新宋体" w:hAnsi="新宋体" w:eastAsia="新宋体" w:cs="新宋体"/>
          <w:b/>
          <w:bCs/>
          <w:color w:val="000000" w:themeColor="text1"/>
          <w:sz w:val="22"/>
          <w:highlight w:val="none"/>
          <w14:textFill>
            <w14:solidFill>
              <w14:schemeClr w14:val="tx1"/>
            </w14:solidFill>
          </w14:textFill>
        </w:rPr>
      </w:pPr>
      <w:bookmarkStart w:id="62" w:name="_Toc5517"/>
      <w:r>
        <w:rPr>
          <w:rFonts w:hint="eastAsia" w:ascii="新宋体" w:hAnsi="新宋体" w:eastAsia="新宋体" w:cs="新宋体"/>
          <w:b/>
          <w:bCs/>
          <w:color w:val="000000" w:themeColor="text1"/>
          <w:sz w:val="22"/>
          <w:highlight w:val="none"/>
          <w:lang w:val="en-US" w:eastAsia="zh-CN"/>
          <w14:textFill>
            <w14:solidFill>
              <w14:schemeClr w14:val="tx1"/>
            </w14:solidFill>
          </w14:textFill>
        </w:rPr>
        <w:t>（一）</w:t>
      </w:r>
      <w:r>
        <w:rPr>
          <w:rFonts w:hint="eastAsia" w:ascii="新宋体" w:hAnsi="新宋体" w:eastAsia="新宋体" w:cs="新宋体"/>
          <w:b/>
          <w:bCs/>
          <w:color w:val="000000" w:themeColor="text1"/>
          <w:sz w:val="22"/>
          <w:highlight w:val="none"/>
          <w14:textFill>
            <w14:solidFill>
              <w14:schemeClr w14:val="tx1"/>
            </w14:solidFill>
          </w14:textFill>
        </w:rPr>
        <w:t>食堂配送相关事项</w:t>
      </w:r>
      <w:bookmarkEnd w:id="62"/>
    </w:p>
    <w:p w14:paraId="0BD486A0">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1、入围供应商与温州市中心医院集团</w:t>
      </w:r>
      <w:r>
        <w:rPr>
          <w:rFonts w:hint="eastAsia" w:ascii="新宋体" w:hAnsi="新宋体" w:eastAsia="新宋体" w:cs="新宋体"/>
          <w:color w:val="000000" w:themeColor="text1"/>
          <w:sz w:val="22"/>
          <w:szCs w:val="22"/>
          <w:highlight w:val="none"/>
          <w:lang w:val="zh-CN"/>
          <w14:textFill>
            <w14:solidFill>
              <w14:schemeClr w14:val="tx1"/>
            </w14:solidFill>
          </w14:textFill>
        </w:rPr>
        <w:t>的百里坊院区、双屿院区、温州市第六人民医院食堂部及总务科、监察室相关人员建立加入微信群或QQ群，方便工作联系，以透明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w:t>
      </w:r>
      <w:r>
        <w:rPr>
          <w:rFonts w:hint="eastAsia" w:ascii="新宋体" w:hAnsi="新宋体" w:eastAsia="新宋体" w:cs="新宋体"/>
          <w:color w:val="000000" w:themeColor="text1"/>
          <w:sz w:val="22"/>
          <w:szCs w:val="22"/>
          <w:highlight w:val="none"/>
          <w:lang w:val="zh-CN"/>
          <w14:textFill>
            <w14:solidFill>
              <w14:schemeClr w14:val="tx1"/>
            </w14:solidFill>
          </w14:textFill>
        </w:rPr>
        <w:t>过程，做到公开、公平、公正。</w:t>
      </w:r>
    </w:p>
    <w:p w14:paraId="71CA4F32">
      <w:pPr>
        <w:tabs>
          <w:tab w:val="left" w:pos="360"/>
        </w:tabs>
        <w:spacing w:line="460" w:lineRule="exact"/>
        <w:ind w:firstLine="550" w:firstLineChars="250"/>
        <w:rPr>
          <w:rFonts w:hint="eastAsia" w:ascii="新宋体" w:hAnsi="新宋体" w:eastAsia="新宋体" w:cs="新宋体"/>
          <w:b/>
          <w:bCs/>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2、每次报价前确定一名比价经办员（司务长），汇总三院区采购清单后用邮箱</w:t>
      </w:r>
      <w:r>
        <w:rPr>
          <w:rFonts w:hint="eastAsia" w:ascii="新宋体" w:hAnsi="新宋体" w:eastAsia="新宋体" w:cs="新宋体"/>
          <w:color w:val="000000" w:themeColor="text1"/>
          <w:sz w:val="22"/>
          <w:szCs w:val="22"/>
          <w:highlight w:val="none"/>
          <w:lang w:val="zh-CN"/>
          <w14:textFill>
            <w14:solidFill>
              <w14:schemeClr w14:val="tx1"/>
            </w14:solidFill>
          </w14:textFill>
        </w:rPr>
        <w:t>的方式传给供应商进行</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价格比选</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p>
    <w:p w14:paraId="04AD5E08">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lang w:val="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通知各</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市场价格相对稳定的情况下，根据市场行情和入围供应商配送价格、质量及服务情况，15—60天确定下一轮比价</w:t>
      </w:r>
      <w:r>
        <w:rPr>
          <w:rFonts w:hint="eastAsia" w:ascii="新宋体" w:hAnsi="新宋体" w:eastAsia="新宋体" w:cs="新宋体"/>
          <w:color w:val="000000" w:themeColor="text1"/>
          <w:sz w:val="22"/>
          <w:szCs w:val="22"/>
          <w:highlight w:val="none"/>
          <w:lang w:val="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lang w:val="zh-CN"/>
          <w14:textFill>
            <w14:solidFill>
              <w14:schemeClr w14:val="tx1"/>
            </w14:solidFill>
          </w14:textFill>
        </w:rPr>
        <w:t>根据三个院区提供的采购清单，认真阅读电子表格内容及表单批注要求，在已确认的截止时间前完成一次性报价，以电子（或书面）形式及时报价（分单价和总价）。在报价当日于约定地点及具体时间准时提供，同时上传至监察室专用邮箱wzszxyyjcs@163.com（需定时在报价当日10点整前后不超过5分钟内集中发至该邮箱），并由</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比价经办员</w:t>
      </w:r>
      <w:r>
        <w:rPr>
          <w:rFonts w:hint="eastAsia" w:ascii="新宋体" w:hAnsi="新宋体" w:eastAsia="新宋体" w:cs="新宋体"/>
          <w:color w:val="000000" w:themeColor="text1"/>
          <w:sz w:val="22"/>
          <w:szCs w:val="22"/>
          <w:highlight w:val="none"/>
          <w:lang w:val="zh-CN"/>
          <w14:textFill>
            <w14:solidFill>
              <w14:schemeClr w14:val="tx1"/>
            </w14:solidFill>
          </w14:textFill>
        </w:rPr>
        <w:t>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监督核对人（三院区司务长轮流担任）</w:t>
      </w:r>
      <w:r>
        <w:rPr>
          <w:rFonts w:hint="eastAsia" w:ascii="新宋体" w:hAnsi="新宋体" w:eastAsia="新宋体" w:cs="新宋体"/>
          <w:color w:val="000000" w:themeColor="text1"/>
          <w:sz w:val="22"/>
          <w:szCs w:val="22"/>
          <w:highlight w:val="none"/>
          <w:lang w:val="zh-CN"/>
          <w14:textFill>
            <w14:solidFill>
              <w14:schemeClr w14:val="tx1"/>
            </w14:solidFill>
          </w14:textFill>
        </w:rPr>
        <w:t>一起核对该报价单的准确性（电子报价表单函数准确性、纸质报价单和电子报价单的一致性。）选定价格最低的为配送供应商</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比价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相同的采用随机抽取方式确定）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选中后的供应商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供货15-60天，具体期限采购人根据配送质量、价格、服务情况评估决定。</w:t>
      </w:r>
      <w:r>
        <w:rPr>
          <w:rFonts w:hint="eastAsia" w:ascii="新宋体" w:hAnsi="新宋体" w:eastAsia="新宋体" w:cs="新宋体"/>
          <w:color w:val="000000" w:themeColor="text1"/>
          <w:sz w:val="22"/>
          <w:szCs w:val="22"/>
          <w:highlight w:val="none"/>
          <w14:textFill>
            <w14:solidFill>
              <w14:schemeClr w14:val="tx1"/>
            </w14:solidFill>
          </w14:textFill>
        </w:rPr>
        <w:t>已连续供货2次的供应商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若第三次比价仍是该供应商为最低价，则由次低价的供应商为配送供货商。若市场价格波动比较大，则由采购人决定具体比价时间间隔。</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三个院区统一价格，</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少量特殊食品</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不能统一价格的，另行增加报价栏</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p>
    <w:p w14:paraId="6FB0ABAD">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4、入围供应商在比价时，报价应在采购人提供的参考价格表基础上进行报价，报价价格不能高于报价日近3天的松台、梧田农贸市场摊位售价的80%或市区大型生鲜超市的售价（以下称“市场参考价”）。</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采购人根据报价填写“各供应单位报价登记表”予以备案并及时在温州市中心医院</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食堂配送</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微信群中予以网络公示询价结</w:t>
      </w:r>
      <w:r>
        <w:rPr>
          <w:rFonts w:hint="eastAsia" w:ascii="新宋体" w:hAnsi="新宋体" w:eastAsia="新宋体" w:cs="新宋体"/>
          <w:color w:val="000000" w:themeColor="text1"/>
          <w:sz w:val="22"/>
          <w:szCs w:val="22"/>
          <w:highlight w:val="none"/>
          <w:lang w:val="zh-CN"/>
          <w14:textFill>
            <w14:solidFill>
              <w14:schemeClr w14:val="tx1"/>
            </w14:solidFill>
          </w14:textFill>
        </w:rPr>
        <w:t>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医院</w:t>
      </w:r>
      <w:r>
        <w:rPr>
          <w:rFonts w:hint="eastAsia" w:ascii="新宋体" w:hAnsi="新宋体" w:eastAsia="新宋体" w:cs="新宋体"/>
          <w:color w:val="000000" w:themeColor="text1"/>
          <w:sz w:val="22"/>
          <w:szCs w:val="22"/>
          <w:highlight w:val="none"/>
          <w:lang w:val="zh-CN"/>
          <w14:textFill>
            <w14:solidFill>
              <w14:schemeClr w14:val="tx1"/>
            </w14:solidFill>
          </w14:textFill>
        </w:rPr>
        <w:t>价格监督员将进行不定期监督管理，报价单价是否高于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市场参考</w:t>
      </w:r>
      <w:r>
        <w:rPr>
          <w:rFonts w:hint="eastAsia" w:ascii="新宋体" w:hAnsi="新宋体" w:eastAsia="新宋体" w:cs="新宋体"/>
          <w:color w:val="000000" w:themeColor="text1"/>
          <w:sz w:val="22"/>
          <w:szCs w:val="22"/>
          <w:highlight w:val="none"/>
          <w:lang w:val="zh-CN"/>
          <w14:textFill>
            <w14:solidFill>
              <w14:schemeClr w14:val="tx1"/>
            </w14:solidFill>
          </w14:textFill>
        </w:rPr>
        <w:t>价。</w:t>
      </w:r>
    </w:p>
    <w:p w14:paraId="3DCDC403">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报</w:t>
      </w:r>
      <w:r>
        <w:rPr>
          <w:rFonts w:hint="eastAsia" w:ascii="新宋体" w:hAnsi="新宋体" w:eastAsia="新宋体" w:cs="新宋体"/>
          <w:color w:val="000000" w:themeColor="text1"/>
          <w:sz w:val="22"/>
          <w:szCs w:val="22"/>
          <w:highlight w:val="none"/>
          <w14:textFill>
            <w14:solidFill>
              <w14:schemeClr w14:val="tx1"/>
            </w14:solidFill>
          </w14:textFill>
        </w:rPr>
        <w:t>价格如高于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提供的价格表价格，须在供货前向</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作出书面合理解释。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有权根据市场调查情况进行调整。</w:t>
      </w:r>
    </w:p>
    <w:p w14:paraId="081A3382">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将不定期对农贸市场随机摊位或市区大型生鲜超市进行现场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价格</w:t>
      </w:r>
      <w:r>
        <w:rPr>
          <w:rFonts w:hint="eastAsia" w:ascii="新宋体" w:hAnsi="新宋体" w:eastAsia="新宋体" w:cs="新宋体"/>
          <w:color w:val="000000" w:themeColor="text1"/>
          <w:sz w:val="22"/>
          <w:szCs w:val="22"/>
          <w:highlight w:val="none"/>
          <w14:textFill>
            <w14:solidFill>
              <w14:schemeClr w14:val="tx1"/>
            </w14:solidFill>
          </w14:textFill>
        </w:rPr>
        <w:t>调查，如</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14:textFill>
            <w14:solidFill>
              <w14:schemeClr w14:val="tx1"/>
            </w14:solidFill>
          </w14:textFill>
        </w:rPr>
        <w:t>供货价格出现三次明显高于市场调查依据价格的情况，而</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szCs w:val="22"/>
          <w:highlight w:val="none"/>
          <w14:textFill>
            <w14:solidFill>
              <w14:schemeClr w14:val="tx1"/>
            </w14:solidFill>
          </w14:textFill>
        </w:rPr>
        <w:t>没有在供货前作出书面合解释的，</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szCs w:val="22"/>
          <w:highlight w:val="none"/>
          <w14:textFill>
            <w14:solidFill>
              <w14:schemeClr w14:val="tx1"/>
            </w14:solidFill>
          </w14:textFill>
        </w:rPr>
        <w:t>有权直接解除合同。</w:t>
      </w:r>
    </w:p>
    <w:p w14:paraId="13B22984">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7</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须安排专人长期负责采购单位的临时采购任务，该人员经确定后不得随意更换，如遇临时采购任务，</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对</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提出的配送需求须无条件响应，并保证在接到配送指令1小时内将所需食材配送到位。</w:t>
      </w:r>
    </w:p>
    <w:p w14:paraId="6F38BF0A">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8</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按照以下渠道获取所需产品参考价格，并以此作为下一次供货商所供货品</w:t>
      </w:r>
      <w:r>
        <w:rPr>
          <w:rFonts w:hint="eastAsia" w:ascii="新宋体" w:hAnsi="新宋体" w:eastAsia="新宋体" w:cs="新宋体"/>
          <w:color w:val="000000" w:themeColor="text1"/>
          <w:sz w:val="22"/>
          <w:highlight w:val="none"/>
          <w:lang w:val="en-US" w:eastAsia="zh-CN"/>
          <w14:textFill>
            <w14:solidFill>
              <w14:schemeClr w14:val="tx1"/>
            </w14:solidFill>
          </w14:textFill>
        </w:rPr>
        <w:t>价格</w:t>
      </w:r>
      <w:r>
        <w:rPr>
          <w:rFonts w:hint="eastAsia" w:ascii="新宋体" w:hAnsi="新宋体" w:eastAsia="新宋体" w:cs="新宋体"/>
          <w:color w:val="000000" w:themeColor="text1"/>
          <w:sz w:val="22"/>
          <w:highlight w:val="none"/>
          <w14:textFill>
            <w14:solidFill>
              <w14:schemeClr w14:val="tx1"/>
            </w14:solidFill>
          </w14:textFill>
        </w:rPr>
        <w:t xml:space="preserve">协商重要依据： </w:t>
      </w:r>
    </w:p>
    <w:p w14:paraId="466CB9D3">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highlight w:val="none"/>
          <w14:textFill>
            <w14:solidFill>
              <w14:schemeClr w14:val="tx1"/>
            </w14:solidFill>
          </w14:textFill>
        </w:rPr>
        <w:t>）报价日近3天的松台、梧田农贸市场摊位售价的80%或市区大型生鲜超市的售价。。</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需充分信任、尊重</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工作人员市场调查结果，如有必要，</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 xml:space="preserve">可委派公司人员随行价格调查。 </w:t>
      </w:r>
    </w:p>
    <w:p w14:paraId="76AC5DEC">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eastAsia="zh-CN"/>
          <w14:textFill>
            <w14:solidFill>
              <w14:schemeClr w14:val="tx1"/>
            </w14:solidFill>
          </w14:textFill>
        </w:rPr>
        <w:t>入围供应商</w:t>
      </w:r>
      <w:r>
        <w:rPr>
          <w:rFonts w:hint="eastAsia" w:ascii="新宋体" w:hAnsi="新宋体" w:eastAsia="新宋体" w:cs="新宋体"/>
          <w:color w:val="000000" w:themeColor="text1"/>
          <w:sz w:val="22"/>
          <w:highlight w:val="none"/>
          <w14:textFill>
            <w14:solidFill>
              <w14:schemeClr w14:val="tx1"/>
            </w14:solidFill>
          </w14:textFill>
        </w:rPr>
        <w:t xml:space="preserve">提供的货品不得缺斤少两，提供诚信服务。 </w:t>
      </w:r>
    </w:p>
    <w:p w14:paraId="32E892EF">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highlight w:val="none"/>
          <w14:textFill>
            <w14:solidFill>
              <w14:schemeClr w14:val="tx1"/>
            </w14:solidFill>
          </w14:textFill>
        </w:rPr>
        <w:t>）价格应包含供应商所有成本、利润、运输、装卸、各类劳保、保险及税费等一切费用。</w:t>
      </w:r>
    </w:p>
    <w:p w14:paraId="5EEB47A0">
      <w:pPr>
        <w:tabs>
          <w:tab w:val="left" w:pos="360"/>
        </w:tabs>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9</w:t>
      </w:r>
      <w:r>
        <w:rPr>
          <w:rFonts w:hint="eastAsia" w:ascii="新宋体" w:hAnsi="新宋体" w:eastAsia="新宋体" w:cs="新宋体"/>
          <w:color w:val="000000" w:themeColor="text1"/>
          <w:sz w:val="22"/>
          <w:highlight w:val="none"/>
          <w14:textFill>
            <w14:solidFill>
              <w14:schemeClr w14:val="tx1"/>
            </w14:solidFill>
          </w14:textFill>
        </w:rPr>
        <w:t>、配送单位应严格遵守《食品安全法》和《动物检疫法》等相关规定，配送产品须符合配送产品质量基本要求的验收标准，不满足配送产品质量验收标准的，将按下款违约处理，并按</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要求补货到位，如影响</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正常工作秩序，视情节严重，</w:t>
      </w:r>
      <w:r>
        <w:rPr>
          <w:rFonts w:hint="eastAsia" w:ascii="新宋体" w:hAnsi="新宋体" w:eastAsia="新宋体" w:cs="新宋体"/>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color w:val="000000" w:themeColor="text1"/>
          <w:sz w:val="22"/>
          <w:highlight w:val="none"/>
          <w14:textFill>
            <w14:solidFill>
              <w14:schemeClr w14:val="tx1"/>
            </w14:solidFill>
          </w14:textFill>
        </w:rPr>
        <w:t>有权取消供货单位的供货资格，并扣罚相应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p>
    <w:p w14:paraId="60BD5CCE">
      <w:pPr>
        <w:tabs>
          <w:tab w:val="left" w:pos="360"/>
        </w:tabs>
        <w:spacing w:line="460" w:lineRule="exact"/>
        <w:ind w:firstLine="550" w:firstLineChars="25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10、以上比选内容</w:t>
      </w:r>
      <w:r>
        <w:rPr>
          <w:rFonts w:hint="eastAsia" w:ascii="新宋体" w:hAnsi="新宋体" w:eastAsia="新宋体" w:cs="新宋体"/>
          <w:color w:val="000000" w:themeColor="text1"/>
          <w:sz w:val="22"/>
          <w:highlight w:val="none"/>
          <w14:textFill>
            <w14:solidFill>
              <w14:schemeClr w14:val="tx1"/>
            </w14:solidFill>
          </w14:textFill>
        </w:rPr>
        <w:t>为暂定内容,采购人有权根据配送具体情况修改及添加</w:t>
      </w:r>
      <w:r>
        <w:rPr>
          <w:rFonts w:hint="eastAsia" w:ascii="新宋体" w:hAnsi="新宋体" w:eastAsia="新宋体" w:cs="新宋体"/>
          <w:color w:val="000000" w:themeColor="text1"/>
          <w:sz w:val="22"/>
          <w:highlight w:val="none"/>
          <w:lang w:val="en-US" w:eastAsia="zh-CN"/>
          <w14:textFill>
            <w14:solidFill>
              <w14:schemeClr w14:val="tx1"/>
            </w14:solidFill>
          </w14:textFill>
        </w:rPr>
        <w:t>比选要求</w:t>
      </w:r>
      <w:r>
        <w:rPr>
          <w:rFonts w:hint="eastAsia" w:ascii="新宋体" w:hAnsi="新宋体" w:eastAsia="新宋体" w:cs="新宋体"/>
          <w:color w:val="000000" w:themeColor="text1"/>
          <w:sz w:val="22"/>
          <w:highlight w:val="none"/>
          <w14:textFill>
            <w14:solidFill>
              <w14:schemeClr w14:val="tx1"/>
            </w14:solidFill>
          </w14:textFill>
        </w:rPr>
        <w:t>。</w:t>
      </w:r>
    </w:p>
    <w:p w14:paraId="12B02E70">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11、食品安全责任保险：配送单位在合同执行期内，必须续保《食品安全责任保险》，保险额度不得低于投标时所保额度。</w:t>
      </w:r>
    </w:p>
    <w:p w14:paraId="235682C4">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12、违约责任</w:t>
      </w:r>
    </w:p>
    <w:p w14:paraId="214DDC1C">
      <w:pPr>
        <w:tabs>
          <w:tab w:val="left" w:pos="360"/>
        </w:tabs>
        <w:spacing w:line="460" w:lineRule="exact"/>
        <w:ind w:firstLine="770" w:firstLineChars="350"/>
        <w:rPr>
          <w:rFonts w:hint="eastAsia" w:ascii="新宋体" w:hAnsi="新宋体" w:eastAsia="新宋体" w:cs="新宋体"/>
          <w:b w:val="0"/>
          <w:bCs w:val="0"/>
          <w:color w:val="000000" w:themeColor="text1"/>
          <w:sz w:val="22"/>
          <w:highlight w:val="none"/>
          <w:lang w:eastAsia="zh-CN"/>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1）</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b w:val="0"/>
          <w:bCs w:val="0"/>
          <w:color w:val="000000" w:themeColor="text1"/>
          <w:sz w:val="22"/>
          <w:highlight w:val="none"/>
          <w14:textFill>
            <w14:solidFill>
              <w14:schemeClr w14:val="tx1"/>
            </w14:solidFill>
          </w14:textFill>
        </w:rPr>
        <w:t>对配送单位首次出现下列违约行为并采取有效补救措施，食堂工作不受影响的情况下，向配送单位发出书面通知书，并以配送单位当天供货总金额的50%作为违约金，从结账款中扣除；第二次出现下列违约行为的，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b w:val="0"/>
          <w:bCs w:val="0"/>
          <w:color w:val="000000" w:themeColor="text1"/>
          <w:sz w:val="22"/>
          <w:highlight w:val="none"/>
          <w14:textFill>
            <w14:solidFill>
              <w14:schemeClr w14:val="tx1"/>
            </w14:solidFill>
          </w14:textFill>
        </w:rPr>
        <w:t>向配送单位发出书面通知书，并以配送单位当天供货总金额的100%作为违约金，从结账款中扣除；第三次出现下列违约行为的，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b w:val="0"/>
          <w:bCs w:val="0"/>
          <w:color w:val="000000" w:themeColor="text1"/>
          <w:sz w:val="22"/>
          <w:highlight w:val="none"/>
          <w14:textFill>
            <w14:solidFill>
              <w14:schemeClr w14:val="tx1"/>
            </w14:solidFill>
          </w14:textFill>
        </w:rPr>
        <w:t>可视情终止部分或全部合同，取消配送供应资格</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p>
    <w:p w14:paraId="0F1C08F2">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① 配送单位提供的产品质量不符合国家规定和承诺的标准，或不符合上款标准的；</w:t>
      </w:r>
    </w:p>
    <w:p w14:paraId="7B42F904">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② 配送单位没有按承诺的时间供货、退换货或提供其他服务；</w:t>
      </w:r>
    </w:p>
    <w:p w14:paraId="3DE5951C">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③ 配送单位违反</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w:t>
      </w:r>
      <w:r>
        <w:rPr>
          <w:rFonts w:hint="eastAsia" w:ascii="新宋体" w:hAnsi="新宋体" w:eastAsia="新宋体" w:cs="新宋体"/>
          <w:b w:val="0"/>
          <w:bCs w:val="0"/>
          <w:color w:val="000000" w:themeColor="text1"/>
          <w:sz w:val="22"/>
          <w:highlight w:val="none"/>
          <w14:textFill>
            <w14:solidFill>
              <w14:schemeClr w14:val="tx1"/>
            </w14:solidFill>
          </w14:textFill>
        </w:rPr>
        <w:t>文件上其他有关要求和承诺（包括</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w:t>
      </w:r>
      <w:r>
        <w:rPr>
          <w:rFonts w:hint="eastAsia" w:ascii="新宋体" w:hAnsi="新宋体" w:eastAsia="新宋体" w:cs="新宋体"/>
          <w:b w:val="0"/>
          <w:bCs w:val="0"/>
          <w:color w:val="000000" w:themeColor="text1"/>
          <w:sz w:val="22"/>
          <w:highlight w:val="none"/>
          <w14:textFill>
            <w14:solidFill>
              <w14:schemeClr w14:val="tx1"/>
            </w14:solidFill>
          </w14:textFill>
        </w:rPr>
        <w:t>活动现场澄清或询标内容）。</w:t>
      </w:r>
    </w:p>
    <w:p w14:paraId="433089B0">
      <w:pPr>
        <w:tabs>
          <w:tab w:val="left" w:pos="360"/>
        </w:tabs>
        <w:spacing w:line="460" w:lineRule="exact"/>
        <w:ind w:firstLine="660" w:firstLineChars="30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2）对于配送单位违约行为严重影响食堂正常运行或造成工作事故。</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采购人</w:t>
      </w:r>
      <w:r>
        <w:rPr>
          <w:rFonts w:hint="eastAsia" w:ascii="新宋体" w:hAnsi="新宋体" w:eastAsia="新宋体" w:cs="新宋体"/>
          <w:b w:val="0"/>
          <w:bCs w:val="0"/>
          <w:color w:val="000000" w:themeColor="text1"/>
          <w:sz w:val="22"/>
          <w:highlight w:val="none"/>
          <w14:textFill>
            <w14:solidFill>
              <w14:schemeClr w14:val="tx1"/>
            </w14:solidFill>
          </w14:textFill>
        </w:rPr>
        <w:t>可提前终止合同，取消配送供应资格</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p>
    <w:p w14:paraId="1F93A57A">
      <w:pPr>
        <w:tabs>
          <w:tab w:val="left" w:pos="360"/>
        </w:tabs>
        <w:spacing w:line="460" w:lineRule="exact"/>
        <w:ind w:firstLine="550" w:firstLineChars="250"/>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3）对于配送单位配送食材不符合</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招标文件</w:t>
      </w:r>
      <w:r>
        <w:rPr>
          <w:rFonts w:hint="eastAsia" w:ascii="新宋体" w:hAnsi="新宋体" w:eastAsia="新宋体" w:cs="新宋体"/>
          <w:b w:val="0"/>
          <w:bCs w:val="0"/>
          <w:color w:val="000000" w:themeColor="text1"/>
          <w:sz w:val="22"/>
          <w:highlight w:val="none"/>
          <w14:textFill>
            <w14:solidFill>
              <w14:schemeClr w14:val="tx1"/>
            </w14:solidFill>
          </w14:textFill>
        </w:rPr>
        <w:t>对配送产品质量的基本要求，造成安全事故（食物中毒、肉类病化病变等），</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配送单位必须无条件配合采购人进行调查，采购人</w:t>
      </w:r>
      <w:r>
        <w:rPr>
          <w:rFonts w:hint="eastAsia" w:ascii="新宋体" w:hAnsi="新宋体" w:eastAsia="新宋体" w:cs="新宋体"/>
          <w:b w:val="0"/>
          <w:bCs w:val="0"/>
          <w:color w:val="000000" w:themeColor="text1"/>
          <w:sz w:val="22"/>
          <w:highlight w:val="none"/>
          <w14:textFill>
            <w14:solidFill>
              <w14:schemeClr w14:val="tx1"/>
            </w14:solidFill>
          </w14:textFill>
        </w:rPr>
        <w:t>可提前终止合同，取消配送供应资格</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并保留进一步追究配送方责任的权利。</w:t>
      </w:r>
    </w:p>
    <w:p w14:paraId="0DE2435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221" w:firstLineChars="100"/>
        <w:textAlignment w:val="auto"/>
        <w:outlineLvl w:val="9"/>
        <w:rPr>
          <w:rFonts w:hint="eastAsia" w:ascii="新宋体" w:hAnsi="新宋体" w:eastAsia="新宋体" w:cs="新宋体"/>
          <w:b/>
          <w:bCs/>
          <w:color w:val="000000" w:themeColor="text1"/>
          <w:sz w:val="22"/>
          <w:highlight w:val="none"/>
          <w:lang w:val="en-US" w:eastAsia="zh-CN"/>
          <w14:textFill>
            <w14:solidFill>
              <w14:schemeClr w14:val="tx1"/>
            </w14:solidFill>
          </w14:textFill>
        </w:rPr>
      </w:pPr>
      <w:bookmarkStart w:id="63" w:name="_Toc14648"/>
      <w:r>
        <w:rPr>
          <w:rFonts w:hint="eastAsia" w:ascii="新宋体" w:hAnsi="新宋体" w:eastAsia="新宋体" w:cs="新宋体"/>
          <w:b/>
          <w:bCs/>
          <w:color w:val="000000" w:themeColor="text1"/>
          <w:sz w:val="22"/>
          <w:highlight w:val="none"/>
          <w:lang w:val="en-US" w:eastAsia="zh-CN"/>
          <w14:textFill>
            <w14:solidFill>
              <w14:schemeClr w14:val="tx1"/>
            </w14:solidFill>
          </w14:textFill>
        </w:rPr>
        <w:t>（二）配送质量基本要求</w:t>
      </w:r>
      <w:bookmarkEnd w:id="63"/>
      <w:r>
        <w:rPr>
          <w:rFonts w:hint="eastAsia" w:ascii="新宋体" w:hAnsi="新宋体" w:eastAsia="新宋体" w:cs="新宋体"/>
          <w:b/>
          <w:bCs/>
          <w:color w:val="000000" w:themeColor="text1"/>
          <w:sz w:val="22"/>
          <w:highlight w:val="none"/>
          <w:lang w:val="en-US" w:eastAsia="zh-CN"/>
          <w14:textFill>
            <w14:solidFill>
              <w14:schemeClr w14:val="tx1"/>
            </w14:solidFill>
          </w14:textFill>
        </w:rPr>
        <w:t xml:space="preserve"> </w:t>
      </w:r>
    </w:p>
    <w:p w14:paraId="6846A949">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pPr>
      <w:r>
        <w:rPr>
          <w:rFonts w:hint="eastAsia" w:ascii="新宋体" w:hAnsi="新宋体" w:eastAsia="新宋体"/>
          <w:color w:val="000000" w:themeColor="text1"/>
          <w:kern w:val="0"/>
          <w:sz w:val="22"/>
          <w:szCs w:val="22"/>
          <w:highlight w:val="none"/>
          <w:lang w:val="en-US" w:eastAsia="zh-CN"/>
          <w14:textFill>
            <w14:solidFill>
              <w14:schemeClr w14:val="tx1"/>
            </w14:solidFill>
          </w14:textFill>
        </w:rPr>
        <w:t>1、</w:t>
      </w:r>
      <w:r>
        <w:rPr>
          <w:rFonts w:hint="eastAsia" w:ascii="新宋体" w:hAnsi="新宋体" w:eastAsia="新宋体"/>
          <w:color w:val="000000" w:themeColor="text1"/>
          <w:kern w:val="0"/>
          <w:sz w:val="22"/>
          <w:szCs w:val="22"/>
          <w:highlight w:val="none"/>
          <w14:textFill>
            <w14:solidFill>
              <w14:schemeClr w14:val="tx1"/>
            </w14:solidFill>
          </w14:textFill>
        </w:rPr>
        <w:t>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w:t>
      </w:r>
    </w:p>
    <w:p w14:paraId="2DE79D8C">
      <w:pPr>
        <w:keepNext w:val="0"/>
        <w:keepLines w:val="0"/>
        <w:pageBreakBefore w:val="0"/>
        <w:widowControl w:val="0"/>
        <w:tabs>
          <w:tab w:val="left" w:pos="360"/>
        </w:tabs>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2、</w:t>
      </w:r>
      <w:r>
        <w:rPr>
          <w:rFonts w:hint="eastAsia" w:ascii="新宋体" w:hAnsi="新宋体" w:eastAsia="新宋体" w:cs="新宋体"/>
          <w:b w:val="0"/>
          <w:bCs w:val="0"/>
          <w:color w:val="000000" w:themeColor="text1"/>
          <w:sz w:val="22"/>
          <w:highlight w:val="none"/>
          <w14:textFill>
            <w14:solidFill>
              <w14:schemeClr w14:val="tx1"/>
            </w14:solidFill>
          </w14:textFill>
        </w:rPr>
        <w:t>技术要求：符合国家标准、行业标准或双方技术协议及相关标准。</w:t>
      </w:r>
    </w:p>
    <w:p w14:paraId="1F0D741D">
      <w:pPr>
        <w:keepNext w:val="0"/>
        <w:keepLines w:val="0"/>
        <w:pageBreakBefore w:val="0"/>
        <w:widowControl w:val="0"/>
        <w:tabs>
          <w:tab w:val="left" w:pos="360"/>
        </w:tabs>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3、</w:t>
      </w:r>
      <w:r>
        <w:rPr>
          <w:rFonts w:hint="eastAsia" w:ascii="新宋体" w:hAnsi="新宋体" w:eastAsia="新宋体" w:cs="新宋体"/>
          <w:b w:val="0"/>
          <w:bCs w:val="0"/>
          <w:color w:val="000000" w:themeColor="text1"/>
          <w:sz w:val="22"/>
          <w:highlight w:val="none"/>
          <w14:textFill>
            <w14:solidFill>
              <w14:schemeClr w14:val="tx1"/>
            </w14:solidFill>
          </w14:textFill>
        </w:rPr>
        <w:t>供应商应严格遵守《食品安全法》和《动物检疫法》等相关规定，所有货物必须符合卫生防疫、检疫部门，质量检验、监督等部门的相关质量要求，不能有以下现象的食品：</w:t>
      </w:r>
    </w:p>
    <w:p w14:paraId="33402666">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1</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变质、油脂酸败、霉变、生虫、污秽不洁、混有异物或者其他感官性状异常，对人体健康有害的；</w:t>
      </w:r>
    </w:p>
    <w:p w14:paraId="6AE81755">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2</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含有毒、有害物质或者被有害物质污染，对人体健康有害的；</w:t>
      </w:r>
    </w:p>
    <w:p w14:paraId="37C11657">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3</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含有致病性寄生虫、微生物或者微生物含量超过国家限定标准的；</w:t>
      </w:r>
    </w:p>
    <w:p w14:paraId="54BE6F10">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4</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未经动物检疫部门检疫、检验或者检疫、检验不合格的肉类及其制品；</w:t>
      </w:r>
    </w:p>
    <w:p w14:paraId="792394F2">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5</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病死、毒死或者死因不明的禽、蓄、兽等及其制品；</w:t>
      </w:r>
    </w:p>
    <w:p w14:paraId="589F9E41">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6</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掺假、掺杂、伪造，影响营养、卫生的；</w:t>
      </w:r>
    </w:p>
    <w:p w14:paraId="5C8C9E1D">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7</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用非食品原料加工的，加入非食品用化学物质或者将非食品当作食品的；</w:t>
      </w:r>
    </w:p>
    <w:p w14:paraId="14205C57">
      <w:pPr>
        <w:tabs>
          <w:tab w:val="left" w:pos="360"/>
        </w:tabs>
        <w:spacing w:line="460" w:lineRule="exact"/>
        <w:ind w:firstLine="550" w:firstLineChars="250"/>
        <w:rPr>
          <w:rFonts w:hint="eastAsia" w:ascii="新宋体" w:hAnsi="新宋体" w:eastAsia="新宋体" w:cs="新宋体"/>
          <w:color w:val="000000" w:themeColor="text1"/>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8</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超过保质期限的。</w:t>
      </w:r>
    </w:p>
    <w:p w14:paraId="56C968B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221" w:firstLineChars="100"/>
        <w:textAlignment w:val="auto"/>
        <w:outlineLvl w:val="9"/>
        <w:rPr>
          <w:rFonts w:hint="eastAsia" w:ascii="新宋体" w:hAnsi="新宋体" w:eastAsia="新宋体" w:cs="新宋体"/>
          <w:b/>
          <w:bCs/>
          <w:color w:val="000000" w:themeColor="text1"/>
          <w:sz w:val="22"/>
          <w:highlight w:val="none"/>
          <w:lang w:val="en-US" w:eastAsia="zh-CN"/>
          <w14:textFill>
            <w14:solidFill>
              <w14:schemeClr w14:val="tx1"/>
            </w14:solidFill>
          </w14:textFill>
        </w:rPr>
      </w:pPr>
      <w:bookmarkStart w:id="64" w:name="_Toc4706"/>
      <w:bookmarkStart w:id="65" w:name="_Toc9167"/>
      <w:bookmarkStart w:id="66" w:name="_Toc5734"/>
      <w:r>
        <w:rPr>
          <w:rFonts w:hint="eastAsia" w:ascii="新宋体" w:hAnsi="新宋体" w:eastAsia="新宋体" w:cs="新宋体"/>
          <w:b/>
          <w:bCs/>
          <w:color w:val="000000" w:themeColor="text1"/>
          <w:sz w:val="22"/>
          <w:highlight w:val="none"/>
          <w:lang w:val="en-US" w:eastAsia="zh-CN"/>
          <w14:textFill>
            <w14:solidFill>
              <w14:schemeClr w14:val="tx1"/>
            </w14:solidFill>
          </w14:textFill>
        </w:rPr>
        <w:t>（三）对配送产品质量的基本要求</w:t>
      </w:r>
      <w:bookmarkEnd w:id="64"/>
    </w:p>
    <w:tbl>
      <w:tblPr>
        <w:tblStyle w:val="52"/>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3638"/>
        <w:gridCol w:w="4204"/>
      </w:tblGrid>
      <w:tr w14:paraId="7733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67" w:type="dxa"/>
            <w:noWrap w:val="0"/>
            <w:vAlign w:val="center"/>
          </w:tcPr>
          <w:p w14:paraId="34EC2416">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名称</w:t>
            </w:r>
          </w:p>
        </w:tc>
        <w:tc>
          <w:tcPr>
            <w:tcW w:w="3638" w:type="dxa"/>
            <w:noWrap w:val="0"/>
            <w:vAlign w:val="center"/>
          </w:tcPr>
          <w:p w14:paraId="66454FD7">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验收标准</w:t>
            </w:r>
          </w:p>
        </w:tc>
        <w:tc>
          <w:tcPr>
            <w:tcW w:w="4204" w:type="dxa"/>
            <w:noWrap w:val="0"/>
            <w:vAlign w:val="center"/>
          </w:tcPr>
          <w:p w14:paraId="2204E937">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退货依据</w:t>
            </w:r>
          </w:p>
        </w:tc>
      </w:tr>
      <w:tr w14:paraId="4EA7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67" w:type="dxa"/>
            <w:noWrap w:val="0"/>
            <w:vAlign w:val="center"/>
          </w:tcPr>
          <w:p w14:paraId="40374A98">
            <w:pPr>
              <w:autoSpaceDE w:val="0"/>
              <w:autoSpaceDN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猪肉类 </w:t>
            </w:r>
          </w:p>
        </w:tc>
        <w:tc>
          <w:tcPr>
            <w:tcW w:w="3638" w:type="dxa"/>
            <w:noWrap w:val="0"/>
            <w:vAlign w:val="center"/>
          </w:tcPr>
          <w:p w14:paraId="6AAA7F20">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后腿净肉：不带碎骨、不带肥肉，肉色鲜艳，无病变、不打水；猪肉：不带碎骨（一斤猪肉，三两肥肉七两瘦肉），肉色鲜艳，不打水；五花肉：要求中肋部分整方形，不带腩肉，带少量排骨，肉色鲜艳，层次分明。</w:t>
            </w:r>
          </w:p>
        </w:tc>
        <w:tc>
          <w:tcPr>
            <w:tcW w:w="4204" w:type="dxa"/>
            <w:noWrap w:val="0"/>
            <w:vAlign w:val="center"/>
          </w:tcPr>
          <w:p w14:paraId="5AAF325A">
            <w:pPr>
              <w:autoSpaceDE w:val="0"/>
              <w:autoSpaceDN w:val="0"/>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与验收标准不符，非正规渠道产品，没有检疫合格证，不新鲜，有异味、发粘现象，有瘀血，使用病死猪源，运输及装货不符合肉类配送要求。</w:t>
            </w:r>
          </w:p>
        </w:tc>
      </w:tr>
      <w:bookmarkEnd w:id="65"/>
      <w:bookmarkEnd w:id="66"/>
    </w:tbl>
    <w:p w14:paraId="0CFB1EF8">
      <w:pPr>
        <w:tabs>
          <w:tab w:val="left" w:pos="360"/>
        </w:tabs>
        <w:spacing w:line="460" w:lineRule="exact"/>
        <w:outlineLvl w:val="1"/>
        <w:rPr>
          <w:rFonts w:hint="eastAsia" w:ascii="新宋体" w:hAnsi="新宋体" w:eastAsia="新宋体" w:cs="新宋体"/>
          <w:b/>
          <w:bCs/>
          <w:color w:val="000000" w:themeColor="text1"/>
          <w:sz w:val="22"/>
          <w:szCs w:val="22"/>
          <w:highlight w:val="none"/>
          <w14:textFill>
            <w14:solidFill>
              <w14:schemeClr w14:val="tx1"/>
            </w14:solidFill>
          </w14:textFill>
        </w:rPr>
      </w:pPr>
      <w:bookmarkStart w:id="67" w:name="_Toc10837"/>
      <w:r>
        <w:rPr>
          <w:rFonts w:hint="eastAsia" w:ascii="新宋体" w:hAnsi="新宋体" w:eastAsia="新宋体" w:cs="新宋体"/>
          <w:b/>
          <w:bCs/>
          <w:color w:val="000000" w:themeColor="text1"/>
          <w:sz w:val="22"/>
          <w:szCs w:val="22"/>
          <w:highlight w:val="none"/>
          <w14:textFill>
            <w14:solidFill>
              <w14:schemeClr w14:val="tx1"/>
            </w14:solidFill>
          </w14:textFill>
        </w:rPr>
        <w:t>四、订货</w:t>
      </w:r>
      <w:bookmarkEnd w:id="67"/>
      <w:r>
        <w:rPr>
          <w:rFonts w:hint="eastAsia" w:ascii="新宋体" w:hAnsi="新宋体" w:eastAsia="新宋体" w:cs="新宋体"/>
          <w:b/>
          <w:bCs/>
          <w:color w:val="000000" w:themeColor="text1"/>
          <w:sz w:val="22"/>
          <w:szCs w:val="22"/>
          <w:highlight w:val="none"/>
          <w14:textFill>
            <w14:solidFill>
              <w14:schemeClr w14:val="tx1"/>
            </w14:solidFill>
          </w14:textFill>
        </w:rPr>
        <w:t xml:space="preserve"> </w:t>
      </w:r>
    </w:p>
    <w:p w14:paraId="4CF8E582">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1、招标人在前一天将第二天的订单交与送货人员，一般招标人以纸质方式直接通知供应商，特殊情况电话通知。订单内容包括名称、种类、规格、数量、运送时间、送达地点、订单联系人等具体要求。  </w:t>
      </w:r>
    </w:p>
    <w:p w14:paraId="68988181">
      <w:pPr>
        <w:numPr>
          <w:ilvl w:val="0"/>
          <w:numId w:val="0"/>
        </w:num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 xml:space="preserve">供应商接到招标人订单后，个别品种因缺货而无法提供的，供应商应在接到供货当日上午6时前及时知会招标人并协商好解决方法。 </w:t>
      </w:r>
    </w:p>
    <w:p w14:paraId="1A3FDD28">
      <w:pPr>
        <w:numPr>
          <w:ilvl w:val="0"/>
          <w:numId w:val="0"/>
        </w:num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 xml:space="preserve">若遇特殊情况，如：招标人用餐人数临时增减，特需物品临时增减等，供应商需无 条件配合招标人，招标人予以相应的补偿。 </w:t>
      </w:r>
    </w:p>
    <w:p w14:paraId="206FD4B0">
      <w:pPr>
        <w:tabs>
          <w:tab w:val="left" w:pos="360"/>
        </w:tabs>
        <w:spacing w:line="440" w:lineRule="exact"/>
        <w:outlineLvl w:val="1"/>
        <w:rPr>
          <w:rFonts w:hint="eastAsia" w:ascii="新宋体" w:hAnsi="新宋体" w:eastAsia="新宋体" w:cs="新宋体"/>
          <w:b/>
          <w:bCs/>
          <w:color w:val="000000" w:themeColor="text1"/>
          <w:sz w:val="22"/>
          <w:szCs w:val="22"/>
          <w:highlight w:val="none"/>
          <w14:textFill>
            <w14:solidFill>
              <w14:schemeClr w14:val="tx1"/>
            </w14:solidFill>
          </w14:textFill>
        </w:rPr>
      </w:pPr>
      <w:bookmarkStart w:id="68" w:name="_Toc28853"/>
      <w:r>
        <w:rPr>
          <w:rFonts w:hint="eastAsia" w:ascii="新宋体" w:hAnsi="新宋体" w:eastAsia="新宋体" w:cs="新宋体"/>
          <w:b/>
          <w:bCs/>
          <w:color w:val="000000" w:themeColor="text1"/>
          <w:sz w:val="22"/>
          <w:szCs w:val="22"/>
          <w:highlight w:val="none"/>
          <w14:textFill>
            <w14:solidFill>
              <w14:schemeClr w14:val="tx1"/>
            </w14:solidFill>
          </w14:textFill>
        </w:rPr>
        <w:t>五、交货</w:t>
      </w:r>
      <w:bookmarkEnd w:id="68"/>
    </w:p>
    <w:p w14:paraId="11ECFF63">
      <w:pPr>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1、供应商在指定时间内将订单内所有货品送到招标人指定的地点并配送完毕，供应商</w:t>
      </w:r>
    </w:p>
    <w:p w14:paraId="51874D89">
      <w:pPr>
        <w:spacing w:line="44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提供《送货清单》一式三份（其中招标人两份，一份食堂留档，一份财务做账），双方 现场过秤并验收签名，作结算凭证。  </w:t>
      </w:r>
    </w:p>
    <w:p w14:paraId="6F39D171">
      <w:pPr>
        <w:numPr>
          <w:ilvl w:val="0"/>
          <w:numId w:val="0"/>
        </w:numPr>
        <w:spacing w:line="44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 xml:space="preserve">所有品种按除箱净重过磅，最终交易重量以双方确认的过磅数为准。  </w:t>
      </w:r>
    </w:p>
    <w:p w14:paraId="1E7F9F38">
      <w:pPr>
        <w:numPr>
          <w:ilvl w:val="0"/>
          <w:numId w:val="0"/>
        </w:numPr>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 xml:space="preserve">供应商送货人员负责将货物从车上搬到称上过磅，然后放到指定地点，由招标人食 堂人员负责验收并签字确认。  </w:t>
      </w:r>
    </w:p>
    <w:p w14:paraId="5F7E5A38">
      <w:pPr>
        <w:spacing w:line="46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highlight w:val="none"/>
          <w14:textFill>
            <w14:solidFill>
              <w14:schemeClr w14:val="tx1"/>
            </w14:solidFill>
          </w14:textFill>
        </w:rPr>
        <w:t xml:space="preserve">肉类货品根据招标人要求加工，肉末、肉丝等原则上由招标人食堂自行加工，在发生急需加工的情况时，可由供应商代为加工，但必须是招标单位的相关人员确定原材料量后，在招标单位的相关人员在场的情况下完成加工。 </w:t>
      </w:r>
    </w:p>
    <w:p w14:paraId="3F991D0C">
      <w:pPr>
        <w:pStyle w:val="24"/>
        <w:numPr>
          <w:ilvl w:val="0"/>
          <w:numId w:val="0"/>
        </w:numPr>
        <w:spacing w:line="440" w:lineRule="exact"/>
        <w:ind w:leftChars="0" w:firstLine="440" w:firstLineChars="200"/>
        <w:jc w:val="left"/>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highlight w:val="none"/>
          <w14:textFill>
            <w14:solidFill>
              <w14:schemeClr w14:val="tx1"/>
            </w14:solidFill>
          </w14:textFill>
        </w:rPr>
        <w:t>质量必须达到本标书配送所列的要求及验收标准，并且品质不低于招标人当天在各批发市场的自购标准。</w:t>
      </w:r>
    </w:p>
    <w:p w14:paraId="667467DA">
      <w:pPr>
        <w:tabs>
          <w:tab w:val="left" w:pos="360"/>
        </w:tabs>
        <w:spacing w:line="440" w:lineRule="exact"/>
        <w:outlineLvl w:val="1"/>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pPr>
      <w:bookmarkStart w:id="69" w:name="_Toc12460"/>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六、付款方式</w:t>
      </w:r>
      <w:bookmarkEnd w:id="69"/>
    </w:p>
    <w:p w14:paraId="346AB263">
      <w:pPr>
        <w:spacing w:line="460" w:lineRule="exact"/>
        <w:ind w:firstLine="440" w:firstLineChars="200"/>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1、结算周期为一个月结算一次</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甲方向乙方支付当月的80%款项，剩余20%作为考核金</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6A3A0A77">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2、乙方凭本月所有的《送货清单》。</w:t>
      </w:r>
    </w:p>
    <w:p w14:paraId="5ED6B325">
      <w:pPr>
        <w:spacing w:line="460" w:lineRule="exact"/>
        <w:ind w:firstLine="440" w:firstLineChars="20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3、乙方向甲方提交结算金额的全额增值税发票后，甲方在</w:t>
      </w:r>
      <w:r>
        <w:rPr>
          <w:rFonts w:hint="eastAsia" w:ascii="新宋体" w:hAnsi="新宋体" w:eastAsia="新宋体" w:cs="新宋体"/>
          <w:b w:val="0"/>
          <w:bCs/>
          <w:color w:val="000000" w:themeColor="text1"/>
          <w:sz w:val="22"/>
          <w:szCs w:val="22"/>
          <w:highlight w:val="none"/>
          <w14:textFill>
            <w14:solidFill>
              <w14:schemeClr w14:val="tx1"/>
            </w14:solidFill>
          </w14:textFill>
        </w:rPr>
        <w:t>30个</w:t>
      </w:r>
      <w:r>
        <w:rPr>
          <w:rFonts w:hint="eastAsia" w:ascii="新宋体" w:hAnsi="新宋体" w:eastAsia="新宋体" w:cs="新宋体"/>
          <w:bCs/>
          <w:color w:val="000000" w:themeColor="text1"/>
          <w:sz w:val="22"/>
          <w:szCs w:val="22"/>
          <w:highlight w:val="none"/>
          <w14:textFill>
            <w14:solidFill>
              <w14:schemeClr w14:val="tx1"/>
            </w14:solidFill>
          </w14:textFill>
        </w:rPr>
        <w:t>日历日内向乙方付款。注：《送货清单》里面必须包括（不限于）货物单价、数量、总计价及总金额。</w:t>
      </w:r>
    </w:p>
    <w:p w14:paraId="72E06ABF">
      <w:pPr>
        <w:spacing w:line="460" w:lineRule="exact"/>
        <w:ind w:firstLine="440" w:firstLineChars="200"/>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4、甲方在付款时应随附相对应月份的月度动态考核细则打分表。</w:t>
      </w:r>
    </w:p>
    <w:p w14:paraId="71C8306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6B0B59D">
      <w:pPr>
        <w:jc w:val="center"/>
        <w:rPr>
          <w:rFonts w:hint="eastAsia" w:ascii="新宋体" w:hAnsi="新宋体" w:eastAsia="新宋体" w:cs="新宋体"/>
          <w:b/>
          <w:color w:val="000000" w:themeColor="text1"/>
          <w:sz w:val="28"/>
          <w:szCs w:val="28"/>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8"/>
          <w:szCs w:val="28"/>
          <w:highlight w:val="none"/>
          <w:shd w:val="clear" w:color="auto" w:fill="auto"/>
          <w:lang w:val="en-US" w:eastAsia="zh-CN"/>
          <w14:textFill>
            <w14:solidFill>
              <w14:schemeClr w14:val="tx1"/>
            </w14:solidFill>
          </w14:textFill>
        </w:rPr>
        <w:t>动态考核机制</w:t>
      </w:r>
    </w:p>
    <w:p w14:paraId="60F603EA">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配送任务完成后，</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温州市中心医院、</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温州市第六人民医院食堂</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每月</w:t>
      </w:r>
      <w:r>
        <w:rPr>
          <w:rFonts w:hint="eastAsia" w:ascii="新宋体" w:hAnsi="新宋体" w:eastAsia="新宋体" w:cs="新宋体"/>
          <w:b w:val="0"/>
          <w:bCs w:val="0"/>
          <w:color w:val="000000" w:themeColor="text1"/>
          <w:sz w:val="22"/>
          <w:highlight w:val="none"/>
          <w14:textFill>
            <w14:solidFill>
              <w14:schemeClr w14:val="tx1"/>
            </w14:solidFill>
          </w14:textFill>
        </w:rPr>
        <w:t>对配送单位实行考核评分，月度考核得分以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100</w:t>
      </w:r>
      <w:r>
        <w:rPr>
          <w:rFonts w:hint="eastAsia" w:ascii="新宋体" w:hAnsi="新宋体" w:eastAsia="新宋体" w:cs="新宋体"/>
          <w:b w:val="0"/>
          <w:bCs w:val="0"/>
          <w:color w:val="000000" w:themeColor="text1"/>
          <w:sz w:val="22"/>
          <w:highlight w:val="none"/>
          <w14:textFill>
            <w14:solidFill>
              <w14:schemeClr w14:val="tx1"/>
            </w14:solidFill>
          </w14:textFill>
        </w:rPr>
        <w:t>分为基准分。月考核分低于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分，高于等于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0分，则每少于基准分1分扣当月结算款的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2</w:t>
      </w:r>
      <w:r>
        <w:rPr>
          <w:rFonts w:hint="eastAsia" w:ascii="新宋体" w:hAnsi="新宋体" w:eastAsia="新宋体" w:cs="新宋体"/>
          <w:b w:val="0"/>
          <w:bCs w:val="0"/>
          <w:color w:val="000000" w:themeColor="text1"/>
          <w:sz w:val="22"/>
          <w:highlight w:val="none"/>
          <w14:textFill>
            <w14:solidFill>
              <w14:schemeClr w14:val="tx1"/>
            </w14:solidFill>
          </w14:textFill>
        </w:rPr>
        <w:t>%；,月考核考核分低于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0分，则每少于基准分1分扣当月结算款的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5</w:t>
      </w:r>
      <w:r>
        <w:rPr>
          <w:rFonts w:hint="eastAsia" w:ascii="新宋体" w:hAnsi="新宋体" w:eastAsia="新宋体" w:cs="新宋体"/>
          <w:b w:val="0"/>
          <w:bCs w:val="0"/>
          <w:color w:val="000000" w:themeColor="text1"/>
          <w:sz w:val="22"/>
          <w:highlight w:val="none"/>
          <w14:textFill>
            <w14:solidFill>
              <w14:schemeClr w14:val="tx1"/>
            </w14:solidFill>
          </w14:textFill>
        </w:rPr>
        <w:t>% ；高于或等于基准分，全额付款。</w:t>
      </w:r>
    </w:p>
    <w:p w14:paraId="06BC8DED">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同一年度，若配送单位出现三次考核得分低于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分的，采购人有权解除合同，取消配送供应资格，</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发生食物中毒等食品安全事故的将终止合同，</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各项指标扣完为止，不倒扣分。各食堂主管人员须做好日常的品质、数量、时效评价并登记记录工作，并将扣分记录告知供应商，并每月前将月考核表总分数作为结算依据。本动态考核细则为暂定内容,</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采购</w:t>
      </w:r>
      <w:r>
        <w:rPr>
          <w:rFonts w:hint="eastAsia" w:ascii="新宋体" w:hAnsi="新宋体" w:eastAsia="新宋体" w:cs="新宋体"/>
          <w:b w:val="0"/>
          <w:bCs w:val="0"/>
          <w:color w:val="000000" w:themeColor="text1"/>
          <w:sz w:val="22"/>
          <w:highlight w:val="none"/>
          <w14:textFill>
            <w14:solidFill>
              <w14:schemeClr w14:val="tx1"/>
            </w14:solidFill>
          </w14:textFill>
        </w:rPr>
        <w:t>人有权根据配送具体情况修改及添加考核条款。</w:t>
      </w:r>
    </w:p>
    <w:p w14:paraId="31D9D158">
      <w:pPr>
        <w:tabs>
          <w:tab w:val="left" w:pos="360"/>
        </w:tabs>
        <w:spacing w:line="460" w:lineRule="exact"/>
        <w:ind w:firstLine="552" w:firstLineChars="250"/>
        <w:jc w:val="center"/>
        <w:rPr>
          <w:rFonts w:hint="eastAsia" w:ascii="新宋体" w:hAnsi="新宋体" w:eastAsia="新宋体" w:cs="新宋体"/>
          <w:b/>
          <w:bCs/>
          <w:color w:val="000000" w:themeColor="text1"/>
          <w:sz w:val="22"/>
          <w:highlight w:val="none"/>
          <w14:textFill>
            <w14:solidFill>
              <w14:schemeClr w14:val="tx1"/>
            </w14:solidFill>
          </w14:textFill>
        </w:rPr>
      </w:pPr>
      <w:r>
        <w:rPr>
          <w:rFonts w:hint="eastAsia" w:ascii="新宋体" w:hAnsi="新宋体" w:eastAsia="新宋体" w:cs="新宋体"/>
          <w:b/>
          <w:bCs/>
          <w:color w:val="000000" w:themeColor="text1"/>
          <w:sz w:val="22"/>
          <w:highlight w:val="none"/>
          <w14:textFill>
            <w14:solidFill>
              <w14:schemeClr w14:val="tx1"/>
            </w14:solidFill>
          </w14:textFill>
        </w:rPr>
        <w:t>动态考核细则</w:t>
      </w:r>
    </w:p>
    <w:tbl>
      <w:tblPr>
        <w:tblStyle w:val="5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12"/>
        <w:gridCol w:w="2800"/>
        <w:gridCol w:w="3000"/>
        <w:gridCol w:w="763"/>
        <w:gridCol w:w="750"/>
        <w:gridCol w:w="787"/>
      </w:tblGrid>
      <w:tr w14:paraId="6B1E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167A54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序号</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665232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w:t>
            </w:r>
          </w:p>
          <w:p w14:paraId="36C6FD8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内容</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715566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考核细则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1166F1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标分标准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AEA7C3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基本分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C177B7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考核情况</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13DA6BB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扣分情况</w:t>
            </w:r>
          </w:p>
        </w:tc>
      </w:tr>
      <w:tr w14:paraId="5DD0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14:paraId="23EA133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14:paraId="39E70CF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货源组织</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C7560A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从符合规定资质的单位进货、有协议及资质证明材料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E67A3D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48CE0AB">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DB28DA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209D7B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AD1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2689DF9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14:paraId="40E29E5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A8D73C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产品证件（合格证、检疫证、检验报告等原件或复印件）</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C28AE9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3B9EE6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B2C1B5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F01D40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1426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7B729A2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w:t>
            </w:r>
          </w:p>
        </w:tc>
        <w:tc>
          <w:tcPr>
            <w:tcW w:w="1112" w:type="dxa"/>
            <w:vMerge w:val="restart"/>
            <w:tcBorders>
              <w:top w:val="single" w:color="auto" w:sz="4" w:space="0"/>
              <w:left w:val="single" w:color="auto" w:sz="4" w:space="0"/>
              <w:right w:val="single" w:color="auto" w:sz="4" w:space="0"/>
            </w:tcBorders>
            <w:noWrap w:val="0"/>
            <w:vAlign w:val="center"/>
          </w:tcPr>
          <w:p w14:paraId="4C06B09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质量保障</w:t>
            </w:r>
          </w:p>
          <w:p w14:paraId="680D6599">
            <w:pPr>
              <w:pStyle w:val="22"/>
              <w:spacing w:after="0" w:line="460" w:lineRule="exact"/>
              <w:ind w:firstLine="220"/>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EC4B99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包装产品有SC编码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8A0B18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4BC26DD">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7410B5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31BFD8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3D1F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641B079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538BF53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6CE740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散装产品有质量合格证明或检测报告</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4D741A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33A243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68DDE4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5387E3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674C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2BFE6F6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7D5CACD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FB104E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指定品牌食品采购情况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B2ABC5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不属指定品牌的每次扣1分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3CB0D2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5D04F4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525286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1906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3E6DE73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15DAAC0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6F79C7C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配送</w:t>
            </w:r>
            <w:r>
              <w:rPr>
                <w:rFonts w:hint="eastAsia" w:ascii="新宋体" w:hAnsi="新宋体" w:eastAsia="新宋体" w:cs="新宋体"/>
                <w:color w:val="000000" w:themeColor="text1"/>
                <w:sz w:val="22"/>
                <w:szCs w:val="22"/>
                <w:highlight w:val="none"/>
                <w14:textFill>
                  <w14:solidFill>
                    <w14:schemeClr w14:val="tx1"/>
                  </w14:solidFill>
                </w14:textFill>
              </w:rPr>
              <w:t>食品的质量情况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F4D0D4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质量不符要求每次扣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分，如发生质量不符情况未能及时调换影响食堂正常运作的，每次扣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D1649C3">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6A44DD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3E9E65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ADA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bottom w:val="single" w:color="auto" w:sz="4" w:space="0"/>
              <w:right w:val="single" w:color="auto" w:sz="4" w:space="0"/>
            </w:tcBorders>
            <w:noWrap w:val="0"/>
            <w:vAlign w:val="center"/>
          </w:tcPr>
          <w:p w14:paraId="550838C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bottom w:val="single" w:color="auto" w:sz="4" w:space="0"/>
              <w:right w:val="single" w:color="auto" w:sz="4" w:space="0"/>
            </w:tcBorders>
            <w:noWrap w:val="0"/>
            <w:vAlign w:val="center"/>
          </w:tcPr>
          <w:p w14:paraId="2415A95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11D232E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按要求数量配送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8A100A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出现一次缺斤少两情况每次扣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FBCFD99">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1A955B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E6874E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79CC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6007FD4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w:t>
            </w:r>
          </w:p>
        </w:tc>
        <w:tc>
          <w:tcPr>
            <w:tcW w:w="1112" w:type="dxa"/>
            <w:vMerge w:val="restart"/>
            <w:tcBorders>
              <w:top w:val="single" w:color="auto" w:sz="4" w:space="0"/>
              <w:left w:val="single" w:color="auto" w:sz="4" w:space="0"/>
              <w:right w:val="single" w:color="auto" w:sz="4" w:space="0"/>
            </w:tcBorders>
            <w:noWrap w:val="0"/>
            <w:vAlign w:val="center"/>
          </w:tcPr>
          <w:p w14:paraId="18CA477C">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配送服务</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FC94D4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按时到位</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432BDD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不按时到位每次扣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FC103FC">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12EB6F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03D1F7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52B2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50F7898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4580C5A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7249D2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售后跟踪情况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B6000B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优：不扣分，良：扣1分，一般：扣3分，差：扣5分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F6DA9C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44FA58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E5EEB1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4EBC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4827090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28EF20EA">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7F2015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配送人员及车辆配置情况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0FDB18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优：不扣分，良：扣1分，一般：扣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分，差：扣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2AD57F6">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2DFE2B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09C005E">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0033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5C7BA20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5EFF835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7E6B5EF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配送车辆及用具需保持清洁，每天清洗，无异味</w:t>
            </w:r>
          </w:p>
        </w:tc>
        <w:tc>
          <w:tcPr>
            <w:tcW w:w="3000" w:type="dxa"/>
            <w:tcBorders>
              <w:top w:val="single" w:color="auto" w:sz="4" w:space="0"/>
              <w:left w:val="single" w:color="auto" w:sz="4" w:space="0"/>
              <w:right w:val="single" w:color="auto" w:sz="4" w:space="0"/>
            </w:tcBorders>
            <w:noWrap w:val="0"/>
            <w:vAlign w:val="center"/>
          </w:tcPr>
          <w:p w14:paraId="63720147">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不符要求每次扣1分</w:t>
            </w:r>
          </w:p>
        </w:tc>
        <w:tc>
          <w:tcPr>
            <w:tcW w:w="763" w:type="dxa"/>
            <w:tcBorders>
              <w:top w:val="single" w:color="auto" w:sz="4" w:space="0"/>
              <w:left w:val="single" w:color="auto" w:sz="4" w:space="0"/>
              <w:right w:val="single" w:color="auto" w:sz="4" w:space="0"/>
            </w:tcBorders>
            <w:noWrap w:val="0"/>
            <w:vAlign w:val="center"/>
          </w:tcPr>
          <w:p w14:paraId="3CAF3187">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5532407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D371414">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69A1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06CEC4F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0EFC1C0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55724EF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应急配送到位情况</w:t>
            </w:r>
          </w:p>
        </w:tc>
        <w:tc>
          <w:tcPr>
            <w:tcW w:w="3000" w:type="dxa"/>
            <w:tcBorders>
              <w:top w:val="single" w:color="auto" w:sz="4" w:space="0"/>
              <w:left w:val="single" w:color="auto" w:sz="4" w:space="0"/>
              <w:right w:val="single" w:color="auto" w:sz="4" w:space="0"/>
            </w:tcBorders>
            <w:noWrap w:val="0"/>
            <w:vAlign w:val="center"/>
          </w:tcPr>
          <w:p w14:paraId="30D924F4">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不按要求到位每次扣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right w:val="single" w:color="auto" w:sz="4" w:space="0"/>
            </w:tcBorders>
            <w:noWrap w:val="0"/>
            <w:vAlign w:val="center"/>
          </w:tcPr>
          <w:p w14:paraId="4B7C1A72">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46A5402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0978B0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6E0C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2BA2587B">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2A317D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价格执行</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42C7AB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价格与市场价格比较情况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C49DCF7">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优：不扣分，良：扣5分，一般：扣10分，差：扣15分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F5B307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355F4E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495AC40">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2EE0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5EC077AE">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4BC6B73">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应急措施</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FF51D87">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临时加单配送情况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F070761">
            <w:pPr>
              <w:spacing w:line="460" w:lineRule="exact"/>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优：不扣分，一般：扣0.5分，差：扣1分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11A40B7">
            <w:pPr>
              <w:spacing w:line="460" w:lineRule="exact"/>
              <w:jc w:val="cente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BA578F2">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8417F2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1F35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79332217">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9CB94A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财务对账及时</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0581CBF">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财会人员及时</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对账</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CF717D0">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不及时每次扣0.5分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BE1AA87">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2FB0916">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FD6917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5240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D9F17B2">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7</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7407D5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业主评价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72A9389">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服务满意度测评</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2865BD8">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优：不扣分，良：扣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分，一般：扣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分，差：扣</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AC9313C">
            <w:pPr>
              <w:spacing w:line="460" w:lineRule="exact"/>
              <w:jc w:val="center"/>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4A4ECD13">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6CD9CB1">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14:paraId="0A49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14:paraId="0DF0097F">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总分</w:t>
            </w:r>
          </w:p>
        </w:tc>
        <w:tc>
          <w:tcPr>
            <w:tcW w:w="8100" w:type="dxa"/>
            <w:gridSpan w:val="5"/>
            <w:tcBorders>
              <w:top w:val="single" w:color="auto" w:sz="4" w:space="0"/>
              <w:left w:val="single" w:color="auto" w:sz="4" w:space="0"/>
              <w:bottom w:val="single" w:color="auto" w:sz="4" w:space="0"/>
              <w:right w:val="single" w:color="auto" w:sz="4" w:space="0"/>
            </w:tcBorders>
            <w:noWrap w:val="0"/>
            <w:vAlign w:val="center"/>
          </w:tcPr>
          <w:p w14:paraId="7944AC3B">
            <w:pPr>
              <w:spacing w:line="460" w:lineRule="exact"/>
              <w:jc w:val="left"/>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本考核表初始总分100分，考核得分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95</w:t>
            </w:r>
            <w:r>
              <w:rPr>
                <w:rFonts w:hint="eastAsia" w:ascii="新宋体" w:hAnsi="新宋体" w:eastAsia="新宋体" w:cs="新宋体"/>
                <w:color w:val="000000" w:themeColor="text1"/>
                <w:sz w:val="22"/>
                <w:szCs w:val="22"/>
                <w:highlight w:val="none"/>
                <w:lang w:eastAsia="zh-CN"/>
                <w14:textFill>
                  <w14:solidFill>
                    <w14:schemeClr w14:val="tx1"/>
                  </w14:solidFill>
                </w14:textFill>
              </w:rPr>
              <w:t>分</w:t>
            </w:r>
            <w:r>
              <w:rPr>
                <w:rFonts w:hint="eastAsia" w:ascii="新宋体" w:hAnsi="新宋体" w:eastAsia="新宋体" w:cs="新宋体"/>
                <w:color w:val="000000" w:themeColor="text1"/>
                <w:sz w:val="22"/>
                <w:szCs w:val="22"/>
                <w:highlight w:val="none"/>
                <w14:textFill>
                  <w14:solidFill>
                    <w14:schemeClr w14:val="tx1"/>
                  </w14:solidFill>
                </w14:textFill>
              </w:rPr>
              <w:t>（含）以上为合格。以每月考核最终扣分结果为准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p>
        </w:tc>
      </w:tr>
    </w:tbl>
    <w:p w14:paraId="717662D4">
      <w:pPr>
        <w:rPr>
          <w:rFonts w:hint="eastAsia" w:ascii="宋体" w:hAnsi="宋体" w:eastAsia="宋体" w:cs="宋体"/>
          <w:color w:val="000000" w:themeColor="text1"/>
          <w:highlight w:val="none"/>
          <w14:textFill>
            <w14:solidFill>
              <w14:schemeClr w14:val="tx1"/>
            </w14:solidFill>
          </w14:textFill>
        </w:rPr>
      </w:pPr>
    </w:p>
    <w:p w14:paraId="262D17A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AE6D09E">
      <w:pPr>
        <w:pStyle w:val="4"/>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第五部分   评标原则及方法</w:t>
      </w:r>
      <w:bookmarkEnd w:id="59"/>
      <w:bookmarkEnd w:id="60"/>
    </w:p>
    <w:p w14:paraId="727237C7">
      <w:pPr>
        <w:pStyle w:val="341"/>
        <w:keepNext w:val="0"/>
        <w:keepLines w:val="0"/>
        <w:pageBreakBefore w:val="0"/>
        <w:widowControl w:val="0"/>
        <w:kinsoku/>
        <w:overflowPunct/>
        <w:topLinePunct w:val="0"/>
        <w:bidi w:val="0"/>
        <w:snapToGrid w:val="0"/>
        <w:spacing w:beforeAutospacing="0" w:after="0" w:afterAutospacing="0" w:line="460" w:lineRule="exact"/>
        <w:ind w:firstLine="442" w:firstLineChars="200"/>
        <w:rPr>
          <w:rFonts w:hint="eastAsia" w:ascii="宋体" w:hAnsi="宋体" w:eastAsia="宋体"/>
          <w:b/>
          <w:bCs w:val="0"/>
          <w:color w:val="000000" w:themeColor="text1"/>
          <w:sz w:val="22"/>
          <w:szCs w:val="22"/>
          <w:highlight w:val="none"/>
          <w14:textFill>
            <w14:solidFill>
              <w14:schemeClr w14:val="tx1"/>
            </w14:solidFill>
          </w14:textFill>
        </w:rPr>
      </w:pPr>
      <w:r>
        <w:rPr>
          <w:rFonts w:hint="eastAsia" w:ascii="宋体" w:hAnsi="宋体"/>
          <w:b/>
          <w:bCs w:val="0"/>
          <w:color w:val="000000" w:themeColor="text1"/>
          <w:sz w:val="22"/>
          <w:szCs w:val="22"/>
          <w:highlight w:val="none"/>
          <w:lang w:val="en-US" w:eastAsia="zh-CN"/>
          <w14:textFill>
            <w14:solidFill>
              <w14:schemeClr w14:val="tx1"/>
            </w14:solidFill>
          </w14:textFill>
        </w:rPr>
        <w:t>参照</w:t>
      </w:r>
      <w:r>
        <w:rPr>
          <w:rFonts w:hint="eastAsia" w:ascii="宋体" w:hAnsi="宋体" w:eastAsia="宋体"/>
          <w:b/>
          <w:bCs w:val="0"/>
          <w:color w:val="000000" w:themeColor="text1"/>
          <w:sz w:val="22"/>
          <w:szCs w:val="22"/>
          <w:highlight w:val="none"/>
          <w14:textFill>
            <w14:solidFill>
              <w14:schemeClr w14:val="tx1"/>
            </w14:solidFill>
          </w14:textFill>
        </w:rPr>
        <w:t>相关法规特制定以下评标办法。</w:t>
      </w:r>
    </w:p>
    <w:p w14:paraId="6B6D5924">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0" w:name="_Toc4407"/>
      <w:bookmarkStart w:id="71" w:name="_Toc15713"/>
      <w:r>
        <w:rPr>
          <w:rFonts w:hint="eastAsia" w:ascii="宋体" w:hAnsi="宋体" w:eastAsia="宋体" w:cs="宋体"/>
          <w:b/>
          <w:color w:val="000000" w:themeColor="text1"/>
          <w:sz w:val="22"/>
          <w:szCs w:val="22"/>
          <w:highlight w:val="none"/>
          <w14:textFill>
            <w14:solidFill>
              <w14:schemeClr w14:val="tx1"/>
            </w14:solidFill>
          </w14:textFill>
        </w:rPr>
        <w:t>一、总 则</w:t>
      </w:r>
      <w:bookmarkEnd w:id="70"/>
      <w:bookmarkEnd w:id="71"/>
    </w:p>
    <w:p w14:paraId="47A2EBB2">
      <w:pPr>
        <w:spacing w:line="460" w:lineRule="exact"/>
        <w:ind w:firstLine="539" w:firstLineChars="245"/>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44E4FA0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2" w:name="_Toc24468"/>
      <w:bookmarkStart w:id="73" w:name="_Toc23152"/>
      <w:r>
        <w:rPr>
          <w:rFonts w:hint="eastAsia" w:ascii="宋体" w:hAnsi="宋体" w:eastAsia="宋体" w:cs="宋体"/>
          <w:b/>
          <w:color w:val="000000" w:themeColor="text1"/>
          <w:sz w:val="22"/>
          <w:szCs w:val="22"/>
          <w:highlight w:val="none"/>
          <w14:textFill>
            <w14:solidFill>
              <w14:schemeClr w14:val="tx1"/>
            </w14:solidFill>
          </w14:textFill>
        </w:rPr>
        <w:t>二、评标组织</w:t>
      </w:r>
      <w:bookmarkEnd w:id="72"/>
      <w:bookmarkEnd w:id="73"/>
    </w:p>
    <w:p w14:paraId="3A31FE44">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评标工作由</w:t>
      </w:r>
      <w:r>
        <w:rPr>
          <w:rFonts w:hint="eastAsia" w:ascii="宋体" w:hAnsi="宋体" w:cs="宋体"/>
          <w:color w:val="000000" w:themeColor="text1"/>
          <w:sz w:val="22"/>
          <w:szCs w:val="22"/>
          <w:highlight w:val="none"/>
          <w:lang w:eastAsia="zh-CN"/>
          <w14:textFill>
            <w14:solidFill>
              <w14:schemeClr w14:val="tx1"/>
            </w14:solidFill>
          </w14:textFill>
        </w:rPr>
        <w:t>采购人</w:t>
      </w:r>
      <w:r>
        <w:rPr>
          <w:rFonts w:hint="eastAsia" w:ascii="宋体" w:hAnsi="宋体" w:eastAsia="宋体" w:cs="宋体"/>
          <w:color w:val="000000" w:themeColor="text1"/>
          <w:sz w:val="22"/>
          <w:szCs w:val="22"/>
          <w:highlight w:val="none"/>
          <w14:textFill>
            <w14:solidFill>
              <w14:schemeClr w14:val="tx1"/>
            </w14:solidFill>
          </w14:textFill>
        </w:rPr>
        <w:t>组建的评标委员会负责，评标全过程由有关部门指导监督。</w:t>
      </w:r>
    </w:p>
    <w:p w14:paraId="003FE33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4" w:name="_Toc15153"/>
      <w:bookmarkStart w:id="75" w:name="_Toc67"/>
      <w:r>
        <w:rPr>
          <w:rFonts w:hint="eastAsia" w:ascii="宋体" w:hAnsi="宋体" w:eastAsia="宋体" w:cs="宋体"/>
          <w:b/>
          <w:color w:val="000000" w:themeColor="text1"/>
          <w:sz w:val="22"/>
          <w:szCs w:val="22"/>
          <w:highlight w:val="none"/>
          <w14:textFill>
            <w14:solidFill>
              <w14:schemeClr w14:val="tx1"/>
            </w14:solidFill>
          </w14:textFill>
        </w:rPr>
        <w:t>三、评标程序</w:t>
      </w:r>
      <w:bookmarkEnd w:id="74"/>
      <w:bookmarkEnd w:id="75"/>
    </w:p>
    <w:p w14:paraId="2EC623A9">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评标委员按照招标文件中规定的评标方法和标准，对投标文件进行商务和技术评估，综合比较与评价，根据综合评审结果，提交评审报告。</w:t>
      </w:r>
    </w:p>
    <w:p w14:paraId="6B07A492">
      <w:pPr>
        <w:spacing w:line="460" w:lineRule="exact"/>
        <w:ind w:firstLine="539" w:firstLineChars="245"/>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当有效供应商少于</w:t>
      </w:r>
      <w:r>
        <w:rPr>
          <w:rFonts w:hint="eastAsia" w:ascii="宋体" w:hAnsi="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家（不含</w:t>
      </w:r>
      <w:r>
        <w:rPr>
          <w:rFonts w:hint="eastAsia" w:ascii="宋体" w:hAnsi="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家）时，本</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标项</w:t>
      </w:r>
      <w:r>
        <w:rPr>
          <w:rFonts w:hint="eastAsia" w:ascii="宋体" w:hAnsi="宋体" w:eastAsia="宋体" w:cs="宋体"/>
          <w:bCs/>
          <w:color w:val="000000" w:themeColor="text1"/>
          <w:sz w:val="22"/>
          <w:szCs w:val="22"/>
          <w:highlight w:val="none"/>
          <w14:textFill>
            <w14:solidFill>
              <w14:schemeClr w14:val="tx1"/>
            </w14:solidFill>
          </w14:textFill>
        </w:rPr>
        <w:t>流标，重新组织采购</w:t>
      </w:r>
      <w:r>
        <w:rPr>
          <w:rFonts w:hint="eastAsia" w:ascii="宋体" w:hAnsi="宋体" w:eastAsia="宋体" w:cs="宋体"/>
          <w:bCs/>
          <w:color w:val="000000" w:themeColor="text1"/>
          <w:sz w:val="22"/>
          <w:szCs w:val="22"/>
          <w:highlight w:val="none"/>
          <w:lang w:eastAsia="zh-CN"/>
          <w14:textFill>
            <w14:solidFill>
              <w14:schemeClr w14:val="tx1"/>
            </w14:solidFill>
          </w14:textFill>
        </w:rPr>
        <w:t>；</w:t>
      </w:r>
    </w:p>
    <w:p w14:paraId="6A6B392B">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6" w:name="_Toc11306"/>
      <w:bookmarkStart w:id="77" w:name="_Toc24825"/>
      <w:r>
        <w:rPr>
          <w:rFonts w:hint="eastAsia" w:ascii="宋体" w:hAnsi="宋体" w:eastAsia="宋体" w:cs="宋体"/>
          <w:b/>
          <w:color w:val="000000" w:themeColor="text1"/>
          <w:sz w:val="22"/>
          <w:szCs w:val="22"/>
          <w:highlight w:val="none"/>
          <w14:textFill>
            <w14:solidFill>
              <w14:schemeClr w14:val="tx1"/>
            </w14:solidFill>
          </w14:textFill>
        </w:rPr>
        <w:t>四、评标办法</w:t>
      </w:r>
      <w:bookmarkEnd w:id="76"/>
      <w:bookmarkEnd w:id="77"/>
    </w:p>
    <w:p w14:paraId="7802DE11">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本次采购采用百分制综合评分法，即投标人最大限度地满足招标文件实质性要求的基础上，按照招标文件的各项因素进行综合评审后，</w:t>
      </w:r>
      <w:r>
        <w:rPr>
          <w:rFonts w:hint="eastAsia" w:ascii="新宋体" w:hAnsi="新宋体" w:eastAsia="新宋体" w:cs="新宋体"/>
          <w:color w:val="000000" w:themeColor="text1"/>
          <w:sz w:val="22"/>
          <w:szCs w:val="22"/>
          <w:highlight w:val="none"/>
          <w14:textFill>
            <w14:solidFill>
              <w14:schemeClr w14:val="tx1"/>
            </w14:solidFill>
          </w14:textFill>
        </w:rPr>
        <w:t>得分前</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二</w:t>
      </w:r>
      <w:r>
        <w:rPr>
          <w:rFonts w:hint="eastAsia" w:ascii="新宋体" w:hAnsi="新宋体" w:eastAsia="新宋体" w:cs="新宋体"/>
          <w:color w:val="000000" w:themeColor="text1"/>
          <w:sz w:val="22"/>
          <w:szCs w:val="22"/>
          <w:highlight w:val="none"/>
          <w14:textFill>
            <w14:solidFill>
              <w14:schemeClr w14:val="tx1"/>
            </w14:solidFill>
          </w14:textFill>
        </w:rPr>
        <w:t>名的投标人为确定为该项目的第一中标候选人，其他供应商按排名为依次为第二、第三中标候选人的评标方法</w:t>
      </w:r>
      <w:r>
        <w:rPr>
          <w:rFonts w:hint="eastAsia" w:ascii="宋体" w:hAnsi="宋体" w:eastAsia="宋体" w:cs="宋体"/>
          <w:color w:val="000000" w:themeColor="text1"/>
          <w:sz w:val="22"/>
          <w:szCs w:val="22"/>
          <w:highlight w:val="none"/>
          <w14:textFill>
            <w14:solidFill>
              <w14:schemeClr w14:val="tx1"/>
            </w14:solidFill>
          </w14:textFill>
        </w:rPr>
        <w:t>。根据采购要求，</w:t>
      </w:r>
      <w:r>
        <w:rPr>
          <w:rFonts w:hint="eastAsia" w:ascii="宋体" w:hAnsi="宋体" w:eastAsia="宋体" w:cs="宋体"/>
          <w:b/>
          <w:color w:val="000000" w:themeColor="text1"/>
          <w:sz w:val="22"/>
          <w:szCs w:val="22"/>
          <w:highlight w:val="none"/>
          <w14:textFill>
            <w14:solidFill>
              <w14:schemeClr w14:val="tx1"/>
            </w14:solidFill>
          </w14:textFill>
        </w:rPr>
        <w:t>总分设定为100分：技术标</w:t>
      </w:r>
      <w:r>
        <w:rPr>
          <w:rFonts w:hint="eastAsia" w:ascii="宋体" w:hAnsi="宋体" w:cs="宋体"/>
          <w:b/>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b/>
          <w:color w:val="000000" w:themeColor="text1"/>
          <w:sz w:val="22"/>
          <w:szCs w:val="22"/>
          <w:highlight w:val="none"/>
          <w14:textFill>
            <w14:solidFill>
              <w14:schemeClr w14:val="tx1"/>
            </w14:solidFill>
          </w14:textFill>
        </w:rPr>
        <w:t>分（权值</w:t>
      </w:r>
      <w:r>
        <w:rPr>
          <w:rFonts w:hint="eastAsia" w:ascii="宋体" w:hAnsi="宋体" w:cs="宋体"/>
          <w:b/>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b/>
          <w:color w:val="000000" w:themeColor="text1"/>
          <w:sz w:val="22"/>
          <w:szCs w:val="22"/>
          <w:highlight w:val="none"/>
          <w14:textFill>
            <w14:solidFill>
              <w14:schemeClr w14:val="tx1"/>
            </w14:solidFill>
          </w14:textFill>
        </w:rPr>
        <w:t>%）。</w:t>
      </w:r>
    </w:p>
    <w:p w14:paraId="55932FAC">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8" w:name="_Toc1535"/>
      <w:bookmarkStart w:id="79" w:name="_Toc11450"/>
      <w:r>
        <w:rPr>
          <w:rFonts w:hint="eastAsia" w:ascii="宋体" w:hAnsi="宋体" w:eastAsia="宋体" w:cs="宋体"/>
          <w:b/>
          <w:color w:val="000000" w:themeColor="text1"/>
          <w:sz w:val="22"/>
          <w:szCs w:val="22"/>
          <w:highlight w:val="none"/>
          <w14:textFill>
            <w14:solidFill>
              <w14:schemeClr w14:val="tx1"/>
            </w14:solidFill>
          </w14:textFill>
        </w:rPr>
        <w:t>评分细则</w:t>
      </w:r>
      <w:bookmarkEnd w:id="78"/>
      <w:bookmarkEnd w:id="79"/>
    </w:p>
    <w:p w14:paraId="0C368A2B">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1、技术分的评定：技术标</w:t>
      </w:r>
      <w:r>
        <w:rPr>
          <w:rFonts w:hint="eastAsia" w:ascii="宋体" w:hAnsi="宋体" w:cs="宋体"/>
          <w:b/>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b/>
          <w:color w:val="000000" w:themeColor="text1"/>
          <w:sz w:val="22"/>
          <w:szCs w:val="22"/>
          <w:highlight w:val="none"/>
          <w14:textFill>
            <w14:solidFill>
              <w14:schemeClr w14:val="tx1"/>
            </w14:solidFill>
          </w14:textFill>
        </w:rPr>
        <w:t>分（权值</w:t>
      </w:r>
      <w:r>
        <w:rPr>
          <w:rFonts w:hint="eastAsia" w:ascii="宋体" w:hAnsi="宋体" w:cs="宋体"/>
          <w:b/>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b/>
          <w:color w:val="000000" w:themeColor="text1"/>
          <w:sz w:val="22"/>
          <w:szCs w:val="22"/>
          <w:highlight w:val="none"/>
          <w14:textFill>
            <w14:solidFill>
              <w14:schemeClr w14:val="tx1"/>
            </w14:solidFill>
          </w14:textFill>
        </w:rPr>
        <w:t>%）</w:t>
      </w:r>
    </w:p>
    <w:p w14:paraId="6AE3CC32">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000000" w:themeColor="text1"/>
          <w:sz w:val="22"/>
          <w:highlight w:val="none"/>
          <w14:textFill>
            <w14:solidFill>
              <w14:schemeClr w14:val="tx1"/>
            </w14:solidFill>
          </w14:textFill>
        </w:rPr>
        <w:t>各评标委员会成员对各投标人的各项评分内容评分的算术平均值为各投标人技术分得分</w:t>
      </w:r>
      <w:r>
        <w:rPr>
          <w:rFonts w:hint="eastAsia" w:ascii="宋体" w:hAnsi="宋体" w:eastAsia="宋体" w:cs="宋体"/>
          <w:color w:val="000000" w:themeColor="text1"/>
          <w:sz w:val="22"/>
          <w:szCs w:val="22"/>
          <w:highlight w:val="none"/>
          <w14:textFill>
            <w14:solidFill>
              <w14:schemeClr w14:val="tx1"/>
            </w14:solidFill>
          </w14:textFill>
        </w:rPr>
        <w:t>（小数点后按四舍五入保留2位）。</w:t>
      </w:r>
      <w:r>
        <w:rPr>
          <w:rFonts w:hint="eastAsia" w:ascii="新宋体" w:hAnsi="新宋体" w:eastAsia="新宋体"/>
          <w:color w:val="000000" w:themeColor="text1"/>
          <w:sz w:val="22"/>
          <w:szCs w:val="22"/>
          <w:highlight w:val="none"/>
          <w14:textFill>
            <w14:solidFill>
              <w14:schemeClr w14:val="tx1"/>
            </w14:solidFill>
          </w14:textFill>
        </w:rPr>
        <w:t>有效投标人的综合得分为技术分</w:t>
      </w:r>
      <w:r>
        <w:rPr>
          <w:rFonts w:hint="eastAsia" w:ascii="新宋体" w:hAnsi="新宋体" w:eastAsia="新宋体"/>
          <w:color w:val="000000" w:themeColor="text1"/>
          <w:sz w:val="22"/>
          <w:szCs w:val="22"/>
          <w:highlight w:val="none"/>
          <w:lang w:val="en-US" w:eastAsia="zh-CN"/>
          <w14:textFill>
            <w14:solidFill>
              <w14:schemeClr w14:val="tx1"/>
            </w14:solidFill>
          </w14:textFill>
        </w:rPr>
        <w:t>总和</w:t>
      </w:r>
      <w:r>
        <w:rPr>
          <w:rFonts w:hint="eastAsia" w:ascii="新宋体" w:hAnsi="新宋体" w:eastAsia="新宋体"/>
          <w:color w:val="000000" w:themeColor="text1"/>
          <w:sz w:val="22"/>
          <w:szCs w:val="22"/>
          <w:highlight w:val="none"/>
          <w14:textFill>
            <w14:solidFill>
              <w14:schemeClr w14:val="tx1"/>
            </w14:solidFill>
          </w14:textFill>
        </w:rPr>
        <w:t>。</w:t>
      </w:r>
    </w:p>
    <w:tbl>
      <w:tblPr>
        <w:tblStyle w:val="5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39"/>
        <w:gridCol w:w="6732"/>
        <w:gridCol w:w="794"/>
      </w:tblGrid>
      <w:tr w14:paraId="7027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noWrap w:val="0"/>
            <w:vAlign w:val="center"/>
          </w:tcPr>
          <w:p w14:paraId="74AD3411">
            <w:pPr>
              <w:rPr>
                <w:rFonts w:hint="eastAsia"/>
                <w:b/>
                <w:bCs/>
                <w:color w:val="000000" w:themeColor="text1"/>
                <w:sz w:val="22"/>
                <w:szCs w:val="28"/>
                <w:highlight w:val="none"/>
                <w14:textFill>
                  <w14:solidFill>
                    <w14:schemeClr w14:val="tx1"/>
                  </w14:solidFill>
                </w14:textFill>
              </w:rPr>
            </w:pPr>
            <w:r>
              <w:rPr>
                <w:rFonts w:hint="eastAsia" w:ascii="新宋体" w:hAnsi="新宋体" w:eastAsia="新宋体"/>
                <w:color w:val="000000" w:themeColor="text1"/>
                <w:sz w:val="22"/>
                <w:szCs w:val="22"/>
                <w:highlight w:val="none"/>
                <w:lang w:val="en-US" w:eastAsia="zh-CN"/>
                <w14:textFill>
                  <w14:solidFill>
                    <w14:schemeClr w14:val="tx1"/>
                  </w14:solidFill>
                </w14:textFill>
              </w:rPr>
              <w:br w:type="page"/>
            </w:r>
            <w:r>
              <w:rPr>
                <w:rFonts w:hint="eastAsia"/>
                <w:b/>
                <w:bCs/>
                <w:color w:val="000000" w:themeColor="text1"/>
                <w:sz w:val="22"/>
                <w:szCs w:val="28"/>
                <w:highlight w:val="none"/>
                <w14:textFill>
                  <w14:solidFill>
                    <w14:schemeClr w14:val="tx1"/>
                  </w14:solidFill>
                </w14:textFill>
              </w:rPr>
              <w:t>序号</w:t>
            </w:r>
          </w:p>
        </w:tc>
        <w:tc>
          <w:tcPr>
            <w:tcW w:w="1739" w:type="dxa"/>
            <w:noWrap w:val="0"/>
            <w:vAlign w:val="center"/>
          </w:tcPr>
          <w:p w14:paraId="464C61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color w:val="000000" w:themeColor="text1"/>
                <w:sz w:val="22"/>
                <w:szCs w:val="28"/>
                <w:highlight w:val="none"/>
                <w14:textFill>
                  <w14:solidFill>
                    <w14:schemeClr w14:val="tx1"/>
                  </w14:solidFill>
                </w14:textFill>
              </w:rPr>
            </w:pPr>
            <w:r>
              <w:rPr>
                <w:rFonts w:hint="eastAsia"/>
                <w:b/>
                <w:bCs/>
                <w:color w:val="000000" w:themeColor="text1"/>
                <w:sz w:val="22"/>
                <w:szCs w:val="28"/>
                <w:highlight w:val="none"/>
                <w14:textFill>
                  <w14:solidFill>
                    <w14:schemeClr w14:val="tx1"/>
                  </w14:solidFill>
                </w14:textFill>
              </w:rPr>
              <w:t>评分内容</w:t>
            </w:r>
          </w:p>
        </w:tc>
        <w:tc>
          <w:tcPr>
            <w:tcW w:w="6732" w:type="dxa"/>
            <w:noWrap w:val="0"/>
            <w:vAlign w:val="center"/>
          </w:tcPr>
          <w:p w14:paraId="0BE4CD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color w:val="000000" w:themeColor="text1"/>
                <w:sz w:val="22"/>
                <w:szCs w:val="28"/>
                <w:highlight w:val="none"/>
                <w14:textFill>
                  <w14:solidFill>
                    <w14:schemeClr w14:val="tx1"/>
                  </w14:solidFill>
                </w14:textFill>
              </w:rPr>
            </w:pPr>
            <w:r>
              <w:rPr>
                <w:rFonts w:hint="eastAsia"/>
                <w:b/>
                <w:bCs/>
                <w:color w:val="000000" w:themeColor="text1"/>
                <w:sz w:val="22"/>
                <w:szCs w:val="28"/>
                <w:highlight w:val="none"/>
                <w14:textFill>
                  <w14:solidFill>
                    <w14:schemeClr w14:val="tx1"/>
                  </w14:solidFill>
                </w14:textFill>
              </w:rPr>
              <w:t>备注</w:t>
            </w:r>
          </w:p>
        </w:tc>
        <w:tc>
          <w:tcPr>
            <w:tcW w:w="794" w:type="dxa"/>
            <w:noWrap w:val="0"/>
            <w:vAlign w:val="center"/>
          </w:tcPr>
          <w:p w14:paraId="11E4E4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color w:val="000000" w:themeColor="text1"/>
                <w:sz w:val="22"/>
                <w:szCs w:val="28"/>
                <w:highlight w:val="none"/>
                <w:lang w:val="en-US" w:eastAsia="zh-CN"/>
                <w14:textFill>
                  <w14:solidFill>
                    <w14:schemeClr w14:val="tx1"/>
                  </w14:solidFill>
                </w14:textFill>
              </w:rPr>
            </w:pPr>
            <w:r>
              <w:rPr>
                <w:rFonts w:hint="eastAsia"/>
                <w:b/>
                <w:bCs/>
                <w:color w:val="000000" w:themeColor="text1"/>
                <w:sz w:val="22"/>
                <w:szCs w:val="28"/>
                <w:highlight w:val="none"/>
                <w14:textFill>
                  <w14:solidFill>
                    <w14:schemeClr w14:val="tx1"/>
                  </w14:solidFill>
                </w14:textFill>
              </w:rPr>
              <w:t>分值</w:t>
            </w:r>
          </w:p>
        </w:tc>
      </w:tr>
      <w:tr w14:paraId="6C09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3" w:type="dxa"/>
            <w:noWrap w:val="0"/>
            <w:vAlign w:val="center"/>
          </w:tcPr>
          <w:p w14:paraId="54685F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1</w:t>
            </w:r>
          </w:p>
        </w:tc>
        <w:tc>
          <w:tcPr>
            <w:tcW w:w="1739" w:type="dxa"/>
            <w:noWrap w:val="0"/>
            <w:vAlign w:val="center"/>
          </w:tcPr>
          <w:p w14:paraId="36112C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olor w:val="000000" w:themeColor="text1"/>
                <w:kern w:val="2"/>
                <w:sz w:val="22"/>
                <w:szCs w:val="28"/>
                <w:highlight w:val="none"/>
                <w:lang w:val="zh-CN" w:eastAsia="zh-CN" w:bidi="ar-SA"/>
                <w14:textFill>
                  <w14:solidFill>
                    <w14:schemeClr w14:val="tx1"/>
                  </w14:solidFill>
                </w14:textFill>
              </w:rPr>
            </w:pPr>
            <w:r>
              <w:rPr>
                <w:rFonts w:hint="eastAsia"/>
                <w:color w:val="000000" w:themeColor="text1"/>
                <w:sz w:val="22"/>
                <w:szCs w:val="28"/>
                <w:highlight w:val="none"/>
                <w14:textFill>
                  <w14:solidFill>
                    <w14:schemeClr w14:val="tx1"/>
                  </w14:solidFill>
                </w14:textFill>
              </w:rPr>
              <w:t>企业综合情况</w:t>
            </w:r>
          </w:p>
        </w:tc>
        <w:tc>
          <w:tcPr>
            <w:tcW w:w="6732" w:type="dxa"/>
            <w:noWrap w:val="0"/>
            <w:vAlign w:val="center"/>
          </w:tcPr>
          <w:p w14:paraId="55C44B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根据投标人综合情况和企业管理制度</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进行打分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包括文明服务制度</w:t>
            </w:r>
            <w:r>
              <w:rPr>
                <w:rFonts w:hint="eastAsia" w:ascii="宋体" w:hAnsi="宋体" w:cs="宋体"/>
                <w:color w:val="000000" w:themeColor="text1"/>
                <w:sz w:val="22"/>
                <w:szCs w:val="28"/>
                <w:highlight w:val="none"/>
                <w:lang w:val="en-US" w:eastAsia="zh-CN"/>
                <w14:textFill>
                  <w14:solidFill>
                    <w14:schemeClr w14:val="tx1"/>
                  </w14:solidFill>
                </w14:textFill>
              </w:rPr>
              <w:t>（评分范围：2.5,2,1,0分）</w:t>
            </w:r>
            <w:r>
              <w:rPr>
                <w:rFonts w:hint="eastAsia" w:ascii="新宋体" w:hAnsi="新宋体" w:eastAsia="新宋体" w:cs="新宋体"/>
                <w:color w:val="000000" w:themeColor="text1"/>
                <w:sz w:val="22"/>
                <w:szCs w:val="22"/>
                <w:highlight w:val="none"/>
                <w14:textFill>
                  <w14:solidFill>
                    <w14:schemeClr w14:val="tx1"/>
                  </w14:solidFill>
                </w14:textFill>
              </w:rPr>
              <w:t>，企业内部考核制度</w:t>
            </w:r>
            <w:r>
              <w:rPr>
                <w:rFonts w:hint="eastAsia" w:ascii="宋体" w:hAnsi="宋体" w:cs="宋体"/>
                <w:color w:val="000000" w:themeColor="text1"/>
                <w:sz w:val="22"/>
                <w:szCs w:val="28"/>
                <w:highlight w:val="none"/>
                <w:lang w:val="en-US" w:eastAsia="zh-CN"/>
                <w14:textFill>
                  <w14:solidFill>
                    <w14:schemeClr w14:val="tx1"/>
                  </w14:solidFill>
                </w14:textFill>
              </w:rPr>
              <w:t>（评分范围：2.5,2,1,0分）</w:t>
            </w:r>
            <w:r>
              <w:rPr>
                <w:rFonts w:hint="eastAsia" w:ascii="新宋体" w:hAnsi="新宋体" w:eastAsia="新宋体" w:cs="新宋体"/>
                <w:color w:val="000000" w:themeColor="text1"/>
                <w:sz w:val="22"/>
                <w:szCs w:val="22"/>
                <w:highlight w:val="none"/>
                <w14:textFill>
                  <w14:solidFill>
                    <w14:schemeClr w14:val="tx1"/>
                  </w14:solidFill>
                </w14:textFill>
              </w:rPr>
              <w:t>，人事管理制度</w:t>
            </w:r>
            <w:r>
              <w:rPr>
                <w:rFonts w:hint="eastAsia" w:ascii="宋体" w:hAnsi="宋体" w:cs="宋体"/>
                <w:color w:val="000000" w:themeColor="text1"/>
                <w:sz w:val="22"/>
                <w:szCs w:val="28"/>
                <w:highlight w:val="none"/>
                <w:lang w:val="en-US" w:eastAsia="zh-CN"/>
                <w14:textFill>
                  <w14:solidFill>
                    <w14:schemeClr w14:val="tx1"/>
                  </w14:solidFill>
                </w14:textFill>
              </w:rPr>
              <w:t>（评分范围：2.5,2,1,0分）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安全防患管理制度等</w:t>
            </w:r>
            <w:r>
              <w:rPr>
                <w:rFonts w:hint="eastAsia" w:ascii="宋体" w:hAnsi="宋体" w:cs="宋体"/>
                <w:color w:val="000000" w:themeColor="text1"/>
                <w:sz w:val="22"/>
                <w:szCs w:val="28"/>
                <w:highlight w:val="none"/>
                <w:lang w:val="en-US" w:eastAsia="zh-CN"/>
                <w14:textFill>
                  <w14:solidFill>
                    <w14:schemeClr w14:val="tx1"/>
                  </w14:solidFill>
                </w14:textFill>
              </w:rPr>
              <w:t>（评分范围：2.5,2,1,0分）</w:t>
            </w:r>
            <w:r>
              <w:rPr>
                <w:rFonts w:hint="eastAsia" w:ascii="宋体" w:hAnsi="宋体" w:eastAsia="宋体" w:cs="宋体"/>
                <w:color w:val="000000" w:themeColor="text1"/>
                <w:sz w:val="22"/>
                <w:szCs w:val="28"/>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相关</w:t>
            </w:r>
            <w:r>
              <w:rPr>
                <w:rFonts w:hint="eastAsia" w:ascii="新宋体" w:hAnsi="新宋体" w:eastAsia="新宋体" w:cs="新宋体"/>
                <w:color w:val="000000" w:themeColor="text1"/>
                <w:sz w:val="22"/>
                <w:szCs w:val="22"/>
                <w:highlight w:val="none"/>
                <w14:textFill>
                  <w14:solidFill>
                    <w14:schemeClr w14:val="tx1"/>
                  </w14:solidFill>
                </w14:textFill>
              </w:rPr>
              <w:t>证明材料提供复印件加盖公章</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tc>
        <w:tc>
          <w:tcPr>
            <w:tcW w:w="794" w:type="dxa"/>
            <w:noWrap w:val="0"/>
            <w:vAlign w:val="center"/>
          </w:tcPr>
          <w:p w14:paraId="68B042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p>
        </w:tc>
      </w:tr>
      <w:tr w14:paraId="46DB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73" w:type="dxa"/>
            <w:noWrap w:val="0"/>
            <w:vAlign w:val="center"/>
          </w:tcPr>
          <w:p w14:paraId="1F3A7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2</w:t>
            </w:r>
          </w:p>
        </w:tc>
        <w:tc>
          <w:tcPr>
            <w:tcW w:w="1739" w:type="dxa"/>
            <w:noWrap w:val="0"/>
            <w:vAlign w:val="center"/>
          </w:tcPr>
          <w:p w14:paraId="332E3A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themeColor="text1"/>
                <w:sz w:val="22"/>
                <w:szCs w:val="28"/>
                <w:highlight w:val="none"/>
                <w:lang w:val="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食品安全责任保险</w:t>
            </w:r>
          </w:p>
        </w:tc>
        <w:tc>
          <w:tcPr>
            <w:tcW w:w="6732" w:type="dxa"/>
            <w:noWrap w:val="0"/>
            <w:vAlign w:val="center"/>
          </w:tcPr>
          <w:p w14:paraId="1D7D07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提供有效期内的“食品安全责任险”保单复印件，无保险不得分，保额在500万（不含）以下得1分，保额在500万（含）-1000万（不含）的得3分，保额在1000万元（含）以上的得5分。（投标文件附有效期内的保单复印件</w:t>
            </w:r>
            <w:r>
              <w:rPr>
                <w:rFonts w:hint="eastAsia"/>
                <w:color w:val="000000" w:themeColor="text1"/>
                <w:sz w:val="22"/>
                <w:szCs w:val="28"/>
                <w:highlight w:val="none"/>
                <w:lang w:val="en-US" w:eastAsia="zh-CN"/>
                <w14:textFill>
                  <w14:solidFill>
                    <w14:schemeClr w14:val="tx1"/>
                  </w14:solidFill>
                </w14:textFill>
              </w:rPr>
              <w:t>，否则不得分。</w:t>
            </w:r>
            <w:r>
              <w:rPr>
                <w:rFonts w:hint="eastAsia" w:ascii="新宋体" w:hAnsi="新宋体" w:eastAsia="新宋体" w:cs="新宋体"/>
                <w:color w:val="000000" w:themeColor="text1"/>
                <w:sz w:val="22"/>
                <w:szCs w:val="22"/>
                <w:highlight w:val="none"/>
                <w14:textFill>
                  <w14:solidFill>
                    <w14:schemeClr w14:val="tx1"/>
                  </w14:solidFill>
                </w14:textFill>
              </w:rPr>
              <w:t>）</w:t>
            </w:r>
          </w:p>
        </w:tc>
        <w:tc>
          <w:tcPr>
            <w:tcW w:w="794" w:type="dxa"/>
            <w:noWrap w:val="0"/>
            <w:vAlign w:val="center"/>
          </w:tcPr>
          <w:p w14:paraId="615F8E3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000000" w:themeColor="text1"/>
                <w:sz w:val="22"/>
                <w:szCs w:val="22"/>
                <w:highlight w:val="none"/>
                <w:lang w:val="zh-CN"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p>
        </w:tc>
      </w:tr>
      <w:tr w14:paraId="697B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73" w:type="dxa"/>
            <w:noWrap w:val="0"/>
            <w:vAlign w:val="center"/>
          </w:tcPr>
          <w:p w14:paraId="69E95C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3</w:t>
            </w:r>
          </w:p>
        </w:tc>
        <w:tc>
          <w:tcPr>
            <w:tcW w:w="1739" w:type="dxa"/>
            <w:noWrap w:val="0"/>
            <w:vAlign w:val="center"/>
          </w:tcPr>
          <w:p w14:paraId="13B2BB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总体服务方案</w:t>
            </w:r>
          </w:p>
        </w:tc>
        <w:tc>
          <w:tcPr>
            <w:tcW w:w="6732" w:type="dxa"/>
            <w:noWrap w:val="0"/>
            <w:vAlign w:val="center"/>
          </w:tcPr>
          <w:p w14:paraId="47E31E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themeColor="text1"/>
                <w:sz w:val="22"/>
                <w:szCs w:val="22"/>
                <w:highlight w:val="none"/>
                <w:lang w:val="zh-CN"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14:textFill>
                  <w14:solidFill>
                    <w14:schemeClr w14:val="tx1"/>
                  </w14:solidFill>
                </w14:textFill>
              </w:rPr>
              <w:t>根据投标人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提供</w:t>
            </w:r>
            <w:r>
              <w:rPr>
                <w:rFonts w:hint="eastAsia" w:ascii="新宋体" w:hAnsi="新宋体" w:eastAsia="新宋体" w:cs="新宋体"/>
                <w:color w:val="000000" w:themeColor="text1"/>
                <w:sz w:val="22"/>
                <w:szCs w:val="22"/>
                <w:highlight w:val="none"/>
                <w14:textFill>
                  <w14:solidFill>
                    <w14:schemeClr w14:val="tx1"/>
                  </w14:solidFill>
                </w14:textFill>
              </w:rPr>
              <w:t>的服务方案评价：包括服务的方案、内容、措施，根据内容的全面性</w:t>
            </w:r>
            <w:r>
              <w:rPr>
                <w:rFonts w:hint="eastAsia" w:ascii="宋体" w:hAnsi="宋体" w:cs="宋体"/>
                <w:color w:val="000000" w:themeColor="text1"/>
                <w:sz w:val="22"/>
                <w:szCs w:val="28"/>
                <w:highlight w:val="none"/>
                <w:lang w:val="en-US" w:eastAsia="zh-CN"/>
                <w14:textFill>
                  <w14:solidFill>
                    <w14:schemeClr w14:val="tx1"/>
                  </w14:solidFill>
                </w14:textFill>
              </w:rPr>
              <w:t>（评分范围：4,3,2,1,0分）</w:t>
            </w:r>
            <w:r>
              <w:rPr>
                <w:rFonts w:hint="eastAsia" w:ascii="新宋体" w:hAnsi="新宋体" w:eastAsia="新宋体" w:cs="新宋体"/>
                <w:color w:val="000000" w:themeColor="text1"/>
                <w:sz w:val="22"/>
                <w:szCs w:val="22"/>
                <w:highlight w:val="none"/>
                <w14:textFill>
                  <w14:solidFill>
                    <w14:schemeClr w14:val="tx1"/>
                  </w14:solidFill>
                </w14:textFill>
              </w:rPr>
              <w:t>、科学性</w:t>
            </w:r>
            <w:r>
              <w:rPr>
                <w:rFonts w:hint="eastAsia" w:ascii="宋体" w:hAnsi="宋体" w:cs="宋体"/>
                <w:color w:val="000000" w:themeColor="text1"/>
                <w:sz w:val="22"/>
                <w:szCs w:val="28"/>
                <w:highlight w:val="none"/>
                <w:lang w:val="en-US" w:eastAsia="zh-CN"/>
                <w14:textFill>
                  <w14:solidFill>
                    <w14:schemeClr w14:val="tx1"/>
                  </w14:solidFill>
                </w14:textFill>
              </w:rPr>
              <w:t>（评分范围：4,3,2,1,0分）</w:t>
            </w:r>
            <w:r>
              <w:rPr>
                <w:rFonts w:hint="eastAsia" w:ascii="新宋体" w:hAnsi="新宋体" w:eastAsia="新宋体" w:cs="新宋体"/>
                <w:color w:val="000000" w:themeColor="text1"/>
                <w:sz w:val="22"/>
                <w:szCs w:val="22"/>
                <w:highlight w:val="none"/>
                <w14:textFill>
                  <w14:solidFill>
                    <w14:schemeClr w14:val="tx1"/>
                  </w14:solidFill>
                </w14:textFill>
              </w:rPr>
              <w:t>、针对性</w:t>
            </w:r>
            <w:r>
              <w:rPr>
                <w:rFonts w:hint="eastAsia" w:ascii="宋体" w:hAnsi="宋体" w:cs="宋体"/>
                <w:color w:val="000000" w:themeColor="text1"/>
                <w:sz w:val="22"/>
                <w:szCs w:val="28"/>
                <w:highlight w:val="none"/>
                <w:lang w:val="en-US" w:eastAsia="zh-CN"/>
                <w14:textFill>
                  <w14:solidFill>
                    <w14:schemeClr w14:val="tx1"/>
                  </w14:solidFill>
                </w14:textFill>
              </w:rPr>
              <w:t>（评分范围：4,3,2,1,0分）</w:t>
            </w:r>
            <w:r>
              <w:rPr>
                <w:rFonts w:hint="eastAsia" w:ascii="新宋体" w:hAnsi="新宋体" w:eastAsia="新宋体" w:cs="新宋体"/>
                <w:color w:val="000000" w:themeColor="text1"/>
                <w:sz w:val="22"/>
                <w:szCs w:val="22"/>
                <w:highlight w:val="none"/>
                <w14:textFill>
                  <w14:solidFill>
                    <w14:schemeClr w14:val="tx1"/>
                  </w14:solidFill>
                </w14:textFill>
              </w:rPr>
              <w:t>等进行打分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tc>
        <w:tc>
          <w:tcPr>
            <w:tcW w:w="794" w:type="dxa"/>
            <w:noWrap w:val="0"/>
            <w:vAlign w:val="center"/>
          </w:tcPr>
          <w:p w14:paraId="002F66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12</w:t>
            </w:r>
          </w:p>
        </w:tc>
      </w:tr>
      <w:tr w14:paraId="0A40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73" w:type="dxa"/>
            <w:noWrap w:val="0"/>
            <w:vAlign w:val="center"/>
          </w:tcPr>
          <w:p w14:paraId="76B64F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4</w:t>
            </w:r>
          </w:p>
        </w:tc>
        <w:tc>
          <w:tcPr>
            <w:tcW w:w="1739" w:type="dxa"/>
            <w:noWrap w:val="0"/>
            <w:vAlign w:val="center"/>
          </w:tcPr>
          <w:p w14:paraId="50EFAD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color w:val="000000" w:themeColor="text1"/>
                <w:kern w:val="2"/>
                <w:sz w:val="22"/>
                <w:szCs w:val="28"/>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配送方案</w:t>
            </w:r>
          </w:p>
        </w:tc>
        <w:tc>
          <w:tcPr>
            <w:tcW w:w="6732" w:type="dxa"/>
            <w:noWrap w:val="0"/>
            <w:vAlign w:val="center"/>
          </w:tcPr>
          <w:p w14:paraId="3141A733">
            <w:pPr>
              <w:pStyle w:val="9"/>
              <w:keepNext w:val="0"/>
              <w:keepLines w:val="0"/>
              <w:pageBreakBefore w:val="0"/>
              <w:widowControl w:val="0"/>
              <w:kinsoku/>
              <w:wordWrap/>
              <w:overflowPunct/>
              <w:topLinePunct w:val="0"/>
              <w:autoSpaceDE/>
              <w:autoSpaceDN/>
              <w:bidi w:val="0"/>
              <w:snapToGrid/>
              <w:spacing w:line="460" w:lineRule="exact"/>
              <w:ind w:left="0" w:leftChars="0" w:firstLine="0" w:firstLineChars="0"/>
              <w:jc w:val="left"/>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根据投标人供货配送方案：包括响应时间（评分范围：2,1,0分）、设备配置（评分范围：2,1,0分）、人员配备（评分范围：2,1,0分），距离采购人最便捷的经营服务网点情况（评分范围：2,1,0分），与服务相适应的服务机构和人员数量（评分范围：2,1,0分）、确保服务满足招标要求的措施等（评分范围：2,1,0分）进行打分。</w:t>
            </w:r>
          </w:p>
        </w:tc>
        <w:tc>
          <w:tcPr>
            <w:tcW w:w="794" w:type="dxa"/>
            <w:noWrap w:val="0"/>
            <w:vAlign w:val="center"/>
          </w:tcPr>
          <w:p w14:paraId="2A3C9F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12</w:t>
            </w:r>
          </w:p>
        </w:tc>
      </w:tr>
      <w:tr w14:paraId="3AA6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73" w:type="dxa"/>
            <w:noWrap w:val="0"/>
            <w:vAlign w:val="center"/>
          </w:tcPr>
          <w:p w14:paraId="685F37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5</w:t>
            </w:r>
          </w:p>
        </w:tc>
        <w:tc>
          <w:tcPr>
            <w:tcW w:w="1739" w:type="dxa"/>
            <w:noWrap w:val="0"/>
            <w:vAlign w:val="center"/>
          </w:tcPr>
          <w:p w14:paraId="057C82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供货情况</w:t>
            </w:r>
          </w:p>
        </w:tc>
        <w:tc>
          <w:tcPr>
            <w:tcW w:w="6732" w:type="dxa"/>
            <w:noWrap w:val="0"/>
            <w:vAlign w:val="center"/>
          </w:tcPr>
          <w:p w14:paraId="3F58CC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color w:val="000000" w:themeColor="text1"/>
                <w:kern w:val="2"/>
                <w:sz w:val="22"/>
                <w:szCs w:val="22"/>
                <w:highlight w:val="none"/>
                <w:lang w:val="zh-CN"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根据投标人对食材原料采购方案和来源渠道（评分范围：4,3,2,1,0分），食品检测情况（评分范围：4,3,2,1,0分），食品加工、包装、保存、运输、仓储等各环节的食品质量安全保证措施及承诺等（评分范围：4,3,2,1,0分）进行打分</w:t>
            </w:r>
          </w:p>
        </w:tc>
        <w:tc>
          <w:tcPr>
            <w:tcW w:w="794" w:type="dxa"/>
            <w:noWrap w:val="0"/>
            <w:vAlign w:val="center"/>
          </w:tcPr>
          <w:p w14:paraId="6112A7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12</w:t>
            </w:r>
          </w:p>
        </w:tc>
      </w:tr>
      <w:tr w14:paraId="7D39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3" w:type="dxa"/>
            <w:vMerge w:val="restart"/>
            <w:noWrap w:val="0"/>
            <w:vAlign w:val="center"/>
          </w:tcPr>
          <w:p w14:paraId="132A43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6</w:t>
            </w:r>
          </w:p>
        </w:tc>
        <w:tc>
          <w:tcPr>
            <w:tcW w:w="1739" w:type="dxa"/>
            <w:vMerge w:val="restart"/>
            <w:noWrap w:val="0"/>
            <w:vAlign w:val="center"/>
          </w:tcPr>
          <w:p w14:paraId="73D4D7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14:textFill>
                  <w14:solidFill>
                    <w14:schemeClr w14:val="tx1"/>
                  </w14:solidFill>
                </w14:textFill>
              </w:rPr>
              <w:t>质量监督制度</w:t>
            </w:r>
            <w:r>
              <w:rPr>
                <w:rFonts w:hint="eastAsia"/>
                <w:color w:val="000000" w:themeColor="text1"/>
                <w:sz w:val="22"/>
                <w:szCs w:val="28"/>
                <w:highlight w:val="none"/>
                <w:lang w:eastAsia="zh-CN"/>
                <w14:textFill>
                  <w14:solidFill>
                    <w14:schemeClr w14:val="tx1"/>
                  </w14:solidFill>
                </w14:textFill>
              </w:rPr>
              <w:t>、</w:t>
            </w:r>
            <w:r>
              <w:rPr>
                <w:rFonts w:hint="eastAsia"/>
                <w:color w:val="000000" w:themeColor="text1"/>
                <w:sz w:val="22"/>
                <w:szCs w:val="28"/>
                <w:highlight w:val="none"/>
                <w14:textFill>
                  <w14:solidFill>
                    <w14:schemeClr w14:val="tx1"/>
                  </w14:solidFill>
                </w14:textFill>
              </w:rPr>
              <w:t>卫生管理制度</w:t>
            </w:r>
            <w:r>
              <w:rPr>
                <w:rFonts w:hint="eastAsia"/>
                <w:color w:val="000000" w:themeColor="text1"/>
                <w:sz w:val="22"/>
                <w:szCs w:val="28"/>
                <w:highlight w:val="none"/>
                <w:lang w:eastAsia="zh-CN"/>
                <w14:textFill>
                  <w14:solidFill>
                    <w14:schemeClr w14:val="tx1"/>
                  </w14:solidFill>
                </w14:textFill>
              </w:rPr>
              <w:t>、</w:t>
            </w:r>
            <w:r>
              <w:rPr>
                <w:rFonts w:hint="eastAsia"/>
                <w:color w:val="000000" w:themeColor="text1"/>
                <w:sz w:val="22"/>
                <w:szCs w:val="28"/>
                <w:highlight w:val="none"/>
                <w14:textFill>
                  <w14:solidFill>
                    <w14:schemeClr w14:val="tx1"/>
                  </w14:solidFill>
                </w14:textFill>
              </w:rPr>
              <w:t>留样制度</w:t>
            </w:r>
            <w:r>
              <w:rPr>
                <w:rFonts w:hint="eastAsia"/>
                <w:color w:val="000000" w:themeColor="text1"/>
                <w:sz w:val="22"/>
                <w:szCs w:val="28"/>
                <w:highlight w:val="none"/>
                <w:lang w:val="en-US" w:eastAsia="zh-CN"/>
                <w14:textFill>
                  <w14:solidFill>
                    <w14:schemeClr w14:val="tx1"/>
                  </w14:solidFill>
                </w14:textFill>
              </w:rPr>
              <w:t>及</w:t>
            </w:r>
            <w:r>
              <w:rPr>
                <w:rFonts w:hint="eastAsia"/>
                <w:color w:val="000000" w:themeColor="text1"/>
                <w:sz w:val="22"/>
                <w:szCs w:val="28"/>
                <w:highlight w:val="none"/>
                <w14:textFill>
                  <w14:solidFill>
                    <w14:schemeClr w14:val="tx1"/>
                  </w14:solidFill>
                </w14:textFill>
              </w:rPr>
              <w:t>安全</w:t>
            </w:r>
          </w:p>
        </w:tc>
        <w:tc>
          <w:tcPr>
            <w:tcW w:w="6732" w:type="dxa"/>
            <w:noWrap w:val="0"/>
            <w:vAlign w:val="center"/>
          </w:tcPr>
          <w:p w14:paraId="438314A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color w:val="000000" w:themeColor="text1"/>
                <w:kern w:val="2"/>
                <w:sz w:val="22"/>
                <w:szCs w:val="22"/>
                <w:highlight w:val="none"/>
                <w:lang w:val="zh-CN"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根据投标人提供的质量监督制度（评分范围：3.5,3,2,1,0分）、卫生管理制度（评分范围：3.5,3,2,1,0分）、留样制度等（评分范围：3,2,1,0分）进行打分。</w:t>
            </w:r>
          </w:p>
        </w:tc>
        <w:tc>
          <w:tcPr>
            <w:tcW w:w="794" w:type="dxa"/>
            <w:noWrap w:val="0"/>
            <w:vAlign w:val="center"/>
          </w:tcPr>
          <w:p w14:paraId="1CCDA8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10</w:t>
            </w:r>
          </w:p>
        </w:tc>
      </w:tr>
      <w:tr w14:paraId="5AD1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73" w:type="dxa"/>
            <w:vMerge w:val="continue"/>
            <w:noWrap w:val="0"/>
            <w:vAlign w:val="center"/>
          </w:tcPr>
          <w:p w14:paraId="4B9E93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themeColor="text1"/>
                <w:sz w:val="22"/>
                <w:szCs w:val="28"/>
                <w:highlight w:val="none"/>
                <w:lang w:val="en-US" w:eastAsia="zh-CN"/>
                <w14:textFill>
                  <w14:solidFill>
                    <w14:schemeClr w14:val="tx1"/>
                  </w14:solidFill>
                </w14:textFill>
              </w:rPr>
            </w:pPr>
          </w:p>
        </w:tc>
        <w:tc>
          <w:tcPr>
            <w:tcW w:w="1739" w:type="dxa"/>
            <w:vMerge w:val="continue"/>
            <w:noWrap w:val="0"/>
            <w:vAlign w:val="center"/>
          </w:tcPr>
          <w:p w14:paraId="335BA6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000000" w:themeColor="text1"/>
                <w:sz w:val="22"/>
                <w:szCs w:val="22"/>
                <w:highlight w:val="none"/>
                <w14:textFill>
                  <w14:solidFill>
                    <w14:schemeClr w14:val="tx1"/>
                  </w14:solidFill>
                </w14:textFill>
              </w:rPr>
            </w:pPr>
          </w:p>
        </w:tc>
        <w:tc>
          <w:tcPr>
            <w:tcW w:w="6732" w:type="dxa"/>
            <w:noWrap w:val="0"/>
            <w:vAlign w:val="center"/>
          </w:tcPr>
          <w:p w14:paraId="7AE81A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投标人在生产区域内安装视频监控系统，且视频保存时间不少于30天，得3分；（提供监控系统安装合同、购置发票及监控视频截图</w:t>
            </w:r>
            <w:r>
              <w:rPr>
                <w:rFonts w:hint="eastAsia"/>
                <w:color w:val="000000" w:themeColor="text1"/>
                <w:sz w:val="22"/>
                <w:szCs w:val="28"/>
                <w:highlight w:val="none"/>
                <w:lang w:val="en-US" w:eastAsia="zh-CN"/>
                <w14:textFill>
                  <w14:solidFill>
                    <w14:schemeClr w14:val="tx1"/>
                  </w14:solidFill>
                </w14:textFill>
              </w:rPr>
              <w:t>，否则不得分。</w:t>
            </w: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w:t>
            </w:r>
          </w:p>
        </w:tc>
        <w:tc>
          <w:tcPr>
            <w:tcW w:w="794" w:type="dxa"/>
            <w:noWrap w:val="0"/>
            <w:vAlign w:val="center"/>
          </w:tcPr>
          <w:p w14:paraId="3741F4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3</w:t>
            </w:r>
          </w:p>
        </w:tc>
      </w:tr>
      <w:tr w14:paraId="2C31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3" w:type="dxa"/>
            <w:noWrap w:val="0"/>
            <w:vAlign w:val="center"/>
          </w:tcPr>
          <w:p w14:paraId="1B6705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7</w:t>
            </w:r>
          </w:p>
        </w:tc>
        <w:tc>
          <w:tcPr>
            <w:tcW w:w="1739" w:type="dxa"/>
            <w:noWrap w:val="0"/>
            <w:vAlign w:val="center"/>
          </w:tcPr>
          <w:p w14:paraId="1496EA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功能区情况</w:t>
            </w:r>
          </w:p>
        </w:tc>
        <w:tc>
          <w:tcPr>
            <w:tcW w:w="6732" w:type="dxa"/>
            <w:noWrap w:val="0"/>
            <w:vAlign w:val="center"/>
          </w:tcPr>
          <w:p w14:paraId="403013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企业经营场所功能区（如仓储、分拣车间、检验室等）情况</w:t>
            </w:r>
            <w:r>
              <w:rPr>
                <w:rFonts w:hint="eastAsia" w:ascii="宋体" w:hAnsi="宋体" w:cs="宋体"/>
                <w:color w:val="000000" w:themeColor="text1"/>
                <w:sz w:val="22"/>
                <w:szCs w:val="28"/>
                <w:highlight w:val="none"/>
                <w:lang w:val="en-US" w:eastAsia="zh-CN"/>
                <w14:textFill>
                  <w14:solidFill>
                    <w14:schemeClr w14:val="tx1"/>
                  </w14:solidFill>
                </w14:textFill>
              </w:rPr>
              <w:t>（评分范围：5,4,3,2,1,0分）；</w:t>
            </w: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面积、位置、设施、食品储存情况等进行打分</w:t>
            </w:r>
            <w:r>
              <w:rPr>
                <w:rFonts w:hint="eastAsia" w:ascii="宋体" w:hAnsi="宋体" w:cs="宋体"/>
                <w:color w:val="000000" w:themeColor="text1"/>
                <w:sz w:val="22"/>
                <w:szCs w:val="28"/>
                <w:highlight w:val="none"/>
                <w:lang w:val="en-US" w:eastAsia="zh-CN"/>
                <w14:textFill>
                  <w14:solidFill>
                    <w14:schemeClr w14:val="tx1"/>
                  </w14:solidFill>
                </w14:textFill>
              </w:rPr>
              <w:t>（评分范围：5,4,3,2,1,0分）。</w:t>
            </w:r>
          </w:p>
          <w:p w14:paraId="524F07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color w:val="000000" w:themeColor="text1"/>
                <w:kern w:val="2"/>
                <w:sz w:val="22"/>
                <w:szCs w:val="22"/>
                <w:highlight w:val="none"/>
                <w:lang w:val="zh-CN"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提供场地图片、房屋使用或租赁证明资料</w:t>
            </w:r>
            <w:r>
              <w:rPr>
                <w:rFonts w:hint="eastAsia"/>
                <w:color w:val="000000" w:themeColor="text1"/>
                <w:sz w:val="22"/>
                <w:szCs w:val="28"/>
                <w:highlight w:val="none"/>
                <w:lang w:val="en-US" w:eastAsia="zh-CN"/>
                <w14:textFill>
                  <w14:solidFill>
                    <w14:schemeClr w14:val="tx1"/>
                  </w14:solidFill>
                </w14:textFill>
              </w:rPr>
              <w:t>，否则不得分。</w:t>
            </w:r>
          </w:p>
        </w:tc>
        <w:tc>
          <w:tcPr>
            <w:tcW w:w="794" w:type="dxa"/>
            <w:noWrap w:val="0"/>
            <w:vAlign w:val="center"/>
          </w:tcPr>
          <w:p w14:paraId="3E2E7C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10</w:t>
            </w:r>
          </w:p>
        </w:tc>
      </w:tr>
      <w:tr w14:paraId="7ECA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3" w:type="dxa"/>
            <w:noWrap w:val="0"/>
            <w:vAlign w:val="center"/>
          </w:tcPr>
          <w:p w14:paraId="7CA73A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8</w:t>
            </w:r>
          </w:p>
        </w:tc>
        <w:tc>
          <w:tcPr>
            <w:tcW w:w="1739" w:type="dxa"/>
            <w:noWrap w:val="0"/>
            <w:vAlign w:val="center"/>
          </w:tcPr>
          <w:p w14:paraId="7B97CC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车辆情况</w:t>
            </w:r>
          </w:p>
        </w:tc>
        <w:tc>
          <w:tcPr>
            <w:tcW w:w="6732" w:type="dxa"/>
            <w:noWrap w:val="0"/>
            <w:vAlign w:val="center"/>
          </w:tcPr>
          <w:p w14:paraId="0CCED15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color w:val="000000" w:themeColor="text1"/>
                <w:kern w:val="2"/>
                <w:sz w:val="22"/>
                <w:szCs w:val="22"/>
                <w:highlight w:val="none"/>
                <w:lang w:val="zh-CN"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投标人拥有冷藏功能的自有配送车辆，每提供一辆得1分，最高3分。注：①自有车辆行驶证中所有人须为投标人且须在年审有效期内；②车辆实景照片须将车牌和制冷设备体现在一张照片上；③机动车登记证书；缺一不得分，且所有租赁车辆不得分。</w:t>
            </w:r>
          </w:p>
        </w:tc>
        <w:tc>
          <w:tcPr>
            <w:tcW w:w="794" w:type="dxa"/>
            <w:noWrap w:val="0"/>
            <w:vAlign w:val="center"/>
          </w:tcPr>
          <w:p w14:paraId="5206302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3</w:t>
            </w:r>
          </w:p>
        </w:tc>
      </w:tr>
      <w:tr w14:paraId="2772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73" w:type="dxa"/>
            <w:noWrap w:val="0"/>
            <w:vAlign w:val="center"/>
          </w:tcPr>
          <w:p w14:paraId="7683FBC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9</w:t>
            </w:r>
          </w:p>
        </w:tc>
        <w:tc>
          <w:tcPr>
            <w:tcW w:w="1739" w:type="dxa"/>
            <w:noWrap w:val="0"/>
            <w:vAlign w:val="center"/>
          </w:tcPr>
          <w:p w14:paraId="5888CC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突发事件应急预案</w:t>
            </w:r>
          </w:p>
        </w:tc>
        <w:tc>
          <w:tcPr>
            <w:tcW w:w="6732" w:type="dxa"/>
            <w:noWrap w:val="0"/>
            <w:vAlign w:val="center"/>
          </w:tcPr>
          <w:p w14:paraId="7EAFD84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根据投标人提供的对供货突发事件（天气、交通、临时补货等因素）时的应急预案进行打分</w:t>
            </w:r>
            <w:r>
              <w:rPr>
                <w:rFonts w:hint="eastAsia" w:ascii="宋体" w:hAnsi="宋体" w:cs="宋体"/>
                <w:color w:val="000000" w:themeColor="text1"/>
                <w:sz w:val="22"/>
                <w:szCs w:val="28"/>
                <w:highlight w:val="none"/>
                <w:lang w:val="en-US" w:eastAsia="zh-CN"/>
                <w14:textFill>
                  <w14:solidFill>
                    <w14:schemeClr w14:val="tx1"/>
                  </w14:solidFill>
                </w14:textFill>
              </w:rPr>
              <w:t>（评分范围：8,7,6,5,4,3,2,1,0分）</w:t>
            </w:r>
          </w:p>
        </w:tc>
        <w:tc>
          <w:tcPr>
            <w:tcW w:w="794" w:type="dxa"/>
            <w:noWrap w:val="0"/>
            <w:vAlign w:val="center"/>
          </w:tcPr>
          <w:p w14:paraId="46034B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8</w:t>
            </w:r>
          </w:p>
        </w:tc>
      </w:tr>
      <w:tr w14:paraId="26DD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73" w:type="dxa"/>
            <w:noWrap w:val="0"/>
            <w:vAlign w:val="center"/>
          </w:tcPr>
          <w:p w14:paraId="3F92CA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10</w:t>
            </w:r>
          </w:p>
        </w:tc>
        <w:tc>
          <w:tcPr>
            <w:tcW w:w="1739" w:type="dxa"/>
            <w:noWrap w:val="0"/>
            <w:vAlign w:val="center"/>
          </w:tcPr>
          <w:p w14:paraId="3D2874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14:textFill>
                  <w14:solidFill>
                    <w14:schemeClr w14:val="tx1"/>
                  </w14:solidFill>
                </w14:textFill>
              </w:rPr>
              <w:t>质量保证及售后服务</w:t>
            </w:r>
          </w:p>
        </w:tc>
        <w:tc>
          <w:tcPr>
            <w:tcW w:w="6732" w:type="dxa"/>
            <w:noWrap w:val="0"/>
            <w:vAlign w:val="center"/>
          </w:tcPr>
          <w:p w14:paraId="127F9A4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针对投标人对所供商品如何做到质量保证</w:t>
            </w:r>
            <w:r>
              <w:rPr>
                <w:rFonts w:hint="eastAsia" w:ascii="宋体" w:hAnsi="宋体" w:cs="宋体"/>
                <w:color w:val="000000" w:themeColor="text1"/>
                <w:sz w:val="22"/>
                <w:szCs w:val="28"/>
                <w:highlight w:val="none"/>
                <w:lang w:val="en-US" w:eastAsia="zh-CN"/>
                <w14:textFill>
                  <w14:solidFill>
                    <w14:schemeClr w14:val="tx1"/>
                  </w14:solidFill>
                </w14:textFill>
              </w:rPr>
              <w:t>（评分范围：2,1,0分）</w:t>
            </w: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、物流及时</w:t>
            </w:r>
            <w:r>
              <w:rPr>
                <w:rFonts w:hint="eastAsia" w:ascii="宋体" w:hAnsi="宋体" w:cs="宋体"/>
                <w:color w:val="000000" w:themeColor="text1"/>
                <w:sz w:val="22"/>
                <w:szCs w:val="28"/>
                <w:highlight w:val="none"/>
                <w:lang w:val="en-US" w:eastAsia="zh-CN"/>
                <w14:textFill>
                  <w14:solidFill>
                    <w14:schemeClr w14:val="tx1"/>
                  </w14:solidFill>
                </w14:textFill>
              </w:rPr>
              <w:t>（评分范围：3,2,1,0分）</w:t>
            </w: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、避免积压商品</w:t>
            </w:r>
            <w:r>
              <w:rPr>
                <w:rFonts w:hint="eastAsia" w:ascii="宋体" w:hAnsi="宋体" w:cs="宋体"/>
                <w:color w:val="000000" w:themeColor="text1"/>
                <w:sz w:val="22"/>
                <w:szCs w:val="28"/>
                <w:highlight w:val="none"/>
                <w:lang w:val="en-US" w:eastAsia="zh-CN"/>
                <w14:textFill>
                  <w14:solidFill>
                    <w14:schemeClr w14:val="tx1"/>
                  </w14:solidFill>
                </w14:textFill>
              </w:rPr>
              <w:t>（评分范围：2,1,0分）</w:t>
            </w: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、保证商品在保质期内等</w:t>
            </w:r>
            <w:r>
              <w:rPr>
                <w:rFonts w:hint="eastAsia" w:ascii="宋体" w:hAnsi="宋体" w:cs="宋体"/>
                <w:color w:val="000000" w:themeColor="text1"/>
                <w:sz w:val="22"/>
                <w:szCs w:val="28"/>
                <w:highlight w:val="none"/>
                <w:lang w:val="en-US" w:eastAsia="zh-CN"/>
                <w14:textFill>
                  <w14:solidFill>
                    <w14:schemeClr w14:val="tx1"/>
                  </w14:solidFill>
                </w14:textFill>
              </w:rPr>
              <w:t>（评分范围：3,2,1,0分）</w:t>
            </w: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进行打分</w:t>
            </w:r>
          </w:p>
        </w:tc>
        <w:tc>
          <w:tcPr>
            <w:tcW w:w="794" w:type="dxa"/>
            <w:noWrap w:val="0"/>
            <w:vAlign w:val="center"/>
          </w:tcPr>
          <w:p w14:paraId="788919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10</w:t>
            </w:r>
          </w:p>
        </w:tc>
      </w:tr>
      <w:tr w14:paraId="3980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3" w:type="dxa"/>
            <w:noWrap w:val="0"/>
            <w:vAlign w:val="center"/>
          </w:tcPr>
          <w:p w14:paraId="4B874CC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11</w:t>
            </w:r>
          </w:p>
        </w:tc>
        <w:tc>
          <w:tcPr>
            <w:tcW w:w="1739" w:type="dxa"/>
            <w:noWrap w:val="0"/>
            <w:vAlign w:val="center"/>
          </w:tcPr>
          <w:p w14:paraId="26C2D0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color w:val="000000" w:themeColor="text1"/>
                <w:sz w:val="22"/>
                <w:szCs w:val="28"/>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业绩</w:t>
            </w:r>
          </w:p>
        </w:tc>
        <w:tc>
          <w:tcPr>
            <w:tcW w:w="6732" w:type="dxa"/>
            <w:noWrap w:val="0"/>
            <w:vAlign w:val="center"/>
          </w:tcPr>
          <w:p w14:paraId="1F78FA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根据投标人2022年1月1日至今（以合同签订日期为准）食堂食材供货服务（鲜猪肉类）的成功案例，每提供一个得1分，同一个用户不重复得分，最多得5分。</w:t>
            </w:r>
          </w:p>
          <w:p w14:paraId="01DD131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注：需提供合同复印件及业务往来税务发票复印件，否则不得分。</w:t>
            </w:r>
          </w:p>
        </w:tc>
        <w:tc>
          <w:tcPr>
            <w:tcW w:w="794" w:type="dxa"/>
            <w:noWrap w:val="0"/>
            <w:vAlign w:val="center"/>
          </w:tcPr>
          <w:p w14:paraId="36632A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5</w:t>
            </w:r>
          </w:p>
        </w:tc>
      </w:tr>
      <w:tr w14:paraId="2D16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938" w:type="dxa"/>
            <w:gridSpan w:val="4"/>
            <w:noWrap w:val="0"/>
            <w:vAlign w:val="center"/>
          </w:tcPr>
          <w:p w14:paraId="015FD7A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bookmarkStart w:id="80" w:name="_Toc4727"/>
            <w:bookmarkStart w:id="81" w:name="_Toc2482"/>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注：以上相关证明材料均须加盖投标人公章，否则不得分。</w:t>
            </w:r>
          </w:p>
        </w:tc>
      </w:tr>
    </w:tbl>
    <w:p w14:paraId="674C5A00">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六、定标办法</w:t>
      </w:r>
      <w:bookmarkEnd w:id="80"/>
      <w:bookmarkEnd w:id="81"/>
    </w:p>
    <w:p w14:paraId="0D63E2CE">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bookmarkStart w:id="82" w:name="_Toc17587"/>
      <w:bookmarkStart w:id="83" w:name="_Toc3629"/>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确定中标候选人</w:t>
      </w:r>
    </w:p>
    <w:p w14:paraId="55057D3A">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1.1由评标委员会确定中标候选人。</w:t>
      </w:r>
    </w:p>
    <w:p w14:paraId="16D025B2">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1.2评标委员会依据法律、法规及招标文件有关规定按评审后得分（即商务技术分与报价得分之和）由高到低顺序排序，</w:t>
      </w:r>
      <w:r>
        <w:rPr>
          <w:rFonts w:hint="eastAsia" w:ascii="宋体" w:hAnsi="宋体" w:eastAsia="宋体" w:cs="宋体"/>
          <w:b/>
          <w:bCs/>
          <w:color w:val="000000" w:themeColor="text1"/>
          <w:sz w:val="22"/>
          <w:szCs w:val="22"/>
          <w:highlight w:val="none"/>
          <w14:textFill>
            <w14:solidFill>
              <w14:schemeClr w14:val="tx1"/>
            </w14:solidFill>
          </w14:textFill>
        </w:rPr>
        <w:t>得分前</w:t>
      </w:r>
      <w:r>
        <w:rPr>
          <w:rFonts w:hint="eastAsia" w:ascii="宋体" w:hAnsi="宋体" w:cs="宋体"/>
          <w:b/>
          <w:bCs/>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b/>
          <w:bCs/>
          <w:color w:val="000000" w:themeColor="text1"/>
          <w:sz w:val="22"/>
          <w:szCs w:val="22"/>
          <w:highlight w:val="none"/>
          <w14:textFill>
            <w14:solidFill>
              <w14:schemeClr w14:val="tx1"/>
            </w14:solidFill>
          </w14:textFill>
        </w:rPr>
        <w:t>名的投标人为确定为该项目的第一中标（成交）候选人</w:t>
      </w:r>
      <w:r>
        <w:rPr>
          <w:rFonts w:hint="eastAsia" w:ascii="宋体" w:hAnsi="宋体" w:eastAsia="宋体" w:cs="宋体"/>
          <w:color w:val="000000" w:themeColor="text1"/>
          <w:sz w:val="22"/>
          <w:szCs w:val="22"/>
          <w:highlight w:val="none"/>
          <w14:textFill>
            <w14:solidFill>
              <w14:schemeClr w14:val="tx1"/>
            </w14:solidFill>
          </w14:textFill>
        </w:rPr>
        <w:t>，其他供应商按排名为依次为第二、第三中标（成交）候选人（得分相同的，按投标报价由低到高顺序排列。得分且投标报价相同的并列。）向</w:t>
      </w:r>
      <w:r>
        <w:rPr>
          <w:rFonts w:hint="eastAsia" w:ascii="宋体" w:hAnsi="宋体" w:cs="宋体"/>
          <w:color w:val="000000" w:themeColor="text1"/>
          <w:sz w:val="22"/>
          <w:szCs w:val="22"/>
          <w:highlight w:val="none"/>
          <w:lang w:eastAsia="zh-CN"/>
          <w14:textFill>
            <w14:solidFill>
              <w14:schemeClr w14:val="tx1"/>
            </w14:solidFill>
          </w14:textFill>
        </w:rPr>
        <w:t>采购人</w:t>
      </w:r>
      <w:r>
        <w:rPr>
          <w:rFonts w:hint="eastAsia" w:ascii="宋体" w:hAnsi="宋体" w:eastAsia="宋体" w:cs="宋体"/>
          <w:color w:val="000000" w:themeColor="text1"/>
          <w:sz w:val="22"/>
          <w:szCs w:val="22"/>
          <w:highlight w:val="none"/>
          <w14:textFill>
            <w14:solidFill>
              <w14:schemeClr w14:val="tx1"/>
            </w14:solidFill>
          </w14:textFill>
        </w:rPr>
        <w:t>推荐。</w:t>
      </w:r>
    </w:p>
    <w:p w14:paraId="4E26DE0C">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2、确定中标人</w:t>
      </w:r>
    </w:p>
    <w:p w14:paraId="1374C31D">
      <w:pPr>
        <w:spacing w:line="46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7E1A51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2.2如中标人放弃中标；或未能在规定时间内与招标人签订合同的；或者经质疑，招标人审查后，确因排名前</w:t>
      </w:r>
      <w:r>
        <w:rPr>
          <w:rFonts w:hint="eastAsia" w:ascii="宋体" w:hAnsi="宋体" w:cs="宋体"/>
          <w:color w:val="000000" w:themeColor="text1"/>
          <w:sz w:val="22"/>
          <w:szCs w:val="22"/>
          <w:highlight w:val="none"/>
          <w:lang w:eastAsia="zh-CN"/>
          <w14:textFill>
            <w14:solidFill>
              <w14:schemeClr w14:val="tx1"/>
            </w14:solidFill>
          </w14:textFill>
        </w:rPr>
        <w:t>三</w:t>
      </w:r>
      <w:r>
        <w:rPr>
          <w:rFonts w:hint="eastAsia" w:ascii="宋体" w:hAnsi="宋体" w:eastAsia="宋体" w:cs="宋体"/>
          <w:color w:val="000000" w:themeColor="text1"/>
          <w:sz w:val="22"/>
          <w:szCs w:val="22"/>
          <w:highlight w:val="none"/>
          <w14:textFill>
            <w14:solidFill>
              <w14:schemeClr w14:val="tx1"/>
            </w14:solidFill>
          </w14:textFill>
        </w:rPr>
        <w:t>名的第一中标候选人在本次采购活动中存在违法违规行为或其他原因使质疑成立的，招标人可以视情况直接确定第二中标候选人为中标人或重新组织招标。</w:t>
      </w:r>
    </w:p>
    <w:p w14:paraId="5CBE486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中标人确定后，招标人将在指定媒体公告中标结果，招标人向中标人发出中标通知书。</w:t>
      </w:r>
    </w:p>
    <w:p w14:paraId="42834404">
      <w:pPr>
        <w:spacing w:line="460" w:lineRule="exact"/>
        <w:ind w:firstLine="541" w:firstLineChars="245"/>
        <w:outlineLvl w:val="1"/>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七、投标人义务</w:t>
      </w:r>
      <w:bookmarkEnd w:id="82"/>
      <w:bookmarkEnd w:id="83"/>
    </w:p>
    <w:p w14:paraId="0D387B7A">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投标人应随时接受评标委员会的询标，解答包括有关的商务、技术问题等。评标结束，所有评标资料存招标机构备查。</w:t>
      </w:r>
    </w:p>
    <w:p w14:paraId="56E8A2CF">
      <w:pPr>
        <w:spacing w:line="4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0006064C">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br w:type="page"/>
      </w:r>
    </w:p>
    <w:p w14:paraId="4E212117">
      <w:pPr>
        <w:jc w:val="center"/>
        <w:rPr>
          <w:rFonts w:hint="eastAsia" w:ascii="新宋体" w:hAnsi="新宋体" w:eastAsia="新宋体" w:cs="新宋体"/>
          <w:b/>
          <w:color w:val="000000" w:themeColor="text1"/>
          <w:sz w:val="32"/>
          <w:szCs w:val="32"/>
          <w:highlight w:val="none"/>
          <w14:textFill>
            <w14:solidFill>
              <w14:schemeClr w14:val="tx1"/>
            </w14:solidFill>
          </w14:textFill>
        </w:rPr>
      </w:pPr>
      <w:r>
        <w:rPr>
          <w:rFonts w:hint="eastAsia" w:ascii="新宋体" w:hAnsi="新宋体" w:eastAsia="新宋体" w:cs="新宋体"/>
          <w:b/>
          <w:color w:val="000000" w:themeColor="text1"/>
          <w:sz w:val="32"/>
          <w:szCs w:val="32"/>
          <w:highlight w:val="none"/>
          <w14:textFill>
            <w14:solidFill>
              <w14:schemeClr w14:val="tx1"/>
            </w14:solidFill>
          </w14:textFill>
        </w:rPr>
        <w:t>温州市中心医院医疗集团下属三个院区（百里坊院区、双屿院区、温州市</w:t>
      </w:r>
      <w:r>
        <w:rPr>
          <w:rFonts w:hint="eastAsia" w:ascii="新宋体" w:hAnsi="新宋体" w:eastAsia="新宋体" w:cs="新宋体"/>
          <w:b/>
          <w:color w:val="000000" w:themeColor="text1"/>
          <w:sz w:val="32"/>
          <w:szCs w:val="32"/>
          <w:highlight w:val="none"/>
          <w:lang w:val="en-US" w:eastAsia="zh-CN"/>
          <w14:textFill>
            <w14:solidFill>
              <w14:schemeClr w14:val="tx1"/>
            </w14:solidFill>
          </w14:textFill>
        </w:rPr>
        <w:t>第六人民</w:t>
      </w:r>
      <w:r>
        <w:rPr>
          <w:rFonts w:hint="eastAsia" w:ascii="新宋体" w:hAnsi="新宋体" w:eastAsia="新宋体" w:cs="新宋体"/>
          <w:b/>
          <w:color w:val="000000" w:themeColor="text1"/>
          <w:sz w:val="32"/>
          <w:szCs w:val="32"/>
          <w:highlight w:val="none"/>
          <w14:textFill>
            <w14:solidFill>
              <w14:schemeClr w14:val="tx1"/>
            </w14:solidFill>
          </w14:textFill>
        </w:rPr>
        <w:t>医院）</w:t>
      </w:r>
      <w:r>
        <w:rPr>
          <w:rFonts w:hint="eastAsia" w:ascii="新宋体" w:hAnsi="新宋体" w:eastAsia="新宋体" w:cs="新宋体"/>
          <w:b/>
          <w:color w:val="000000" w:themeColor="text1"/>
          <w:sz w:val="32"/>
          <w:szCs w:val="32"/>
          <w:highlight w:val="none"/>
          <w:lang w:val="en-US" w:eastAsia="zh-CN"/>
          <w14:textFill>
            <w14:solidFill>
              <w14:schemeClr w14:val="tx1"/>
            </w14:solidFill>
          </w14:textFill>
        </w:rPr>
        <w:t>食堂</w:t>
      </w:r>
      <w:r>
        <w:rPr>
          <w:rFonts w:hint="eastAsia" w:ascii="新宋体" w:hAnsi="新宋体" w:eastAsia="新宋体" w:cs="新宋体"/>
          <w:b/>
          <w:color w:val="000000" w:themeColor="text1"/>
          <w:sz w:val="32"/>
          <w:szCs w:val="32"/>
          <w:highlight w:val="none"/>
          <w14:textFill>
            <w14:solidFill>
              <w14:schemeClr w14:val="tx1"/>
            </w14:solidFill>
          </w14:textFill>
        </w:rPr>
        <w:t>配送项目比价细则</w:t>
      </w:r>
    </w:p>
    <w:p w14:paraId="28413DE8">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为更好的管理温州市中心医院医疗集团下属三个院区（百里坊院区、双屿院区、温州市第六人民医院）</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食堂</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配送项目比价事宜，经相关科室部门讨论决定实施以下细则：</w:t>
      </w:r>
    </w:p>
    <w:p w14:paraId="366A19B5">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比价资料电子版发送报价邮箱前做成压缩包，格式名称统一XX公司温州市中心医院食堂报价XX年XX月XX日；</w:t>
      </w:r>
    </w:p>
    <w:p w14:paraId="11685E87">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各公司报价资料电子版在报价日当天早上10点整由邮箱定时发送至指定邮箱，时间由邮箱接收记录时间为准，如接收时间超过早上10点整前后5分钟以上的，视为该报价作废。</w:t>
      </w:r>
    </w:p>
    <w:p w14:paraId="54FA28B4">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各公司需派人在报价日早上10点整前到报价现场签到，如迟到超过5分钟以上的视为该轮次报价作废，如出现多次迟到的情况，适用于4.3和4.4条中的发生频次情况与措施。</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如因疫情防控等特殊情况未能到场，则由采购人通知供应商报价情况</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p>
    <w:p w14:paraId="1040C4EA">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4、</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关于报价中出现报价错误的措施：</w:t>
      </w:r>
    </w:p>
    <w:tbl>
      <w:tblPr>
        <w:tblStyle w:val="53"/>
        <w:tblW w:w="976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5227"/>
        <w:gridCol w:w="3848"/>
      </w:tblGrid>
      <w:tr w14:paraId="1996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3" w:type="dxa"/>
          </w:tcPr>
          <w:p w14:paraId="23D30419">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序</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号</w:t>
            </w:r>
          </w:p>
        </w:tc>
        <w:tc>
          <w:tcPr>
            <w:tcW w:w="5227" w:type="dxa"/>
          </w:tcPr>
          <w:p w14:paraId="0A3D822A">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具体情况描述</w:t>
            </w:r>
          </w:p>
        </w:tc>
        <w:tc>
          <w:tcPr>
            <w:tcW w:w="3848" w:type="dxa"/>
          </w:tcPr>
          <w:p w14:paraId="7D16832E">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措施</w:t>
            </w:r>
          </w:p>
        </w:tc>
      </w:tr>
      <w:tr w14:paraId="2194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49762312">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1</w:t>
            </w:r>
          </w:p>
        </w:tc>
        <w:tc>
          <w:tcPr>
            <w:tcW w:w="5227" w:type="dxa"/>
          </w:tcPr>
          <w:p w14:paraId="352FBD85">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某公司单轮次报价中出现单个院区报价单错误的</w:t>
            </w:r>
          </w:p>
        </w:tc>
        <w:tc>
          <w:tcPr>
            <w:tcW w:w="3848" w:type="dxa"/>
          </w:tcPr>
          <w:p w14:paraId="45B3D0AE">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该公司在该院区报价作废</w:t>
            </w:r>
          </w:p>
        </w:tc>
      </w:tr>
      <w:tr w14:paraId="0FDC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217F726">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2</w:t>
            </w:r>
          </w:p>
        </w:tc>
        <w:tc>
          <w:tcPr>
            <w:tcW w:w="5227" w:type="dxa"/>
          </w:tcPr>
          <w:p w14:paraId="5186C5A7">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某公司单轮次报价中出现2个院区以上报价单错误的</w:t>
            </w:r>
          </w:p>
        </w:tc>
        <w:tc>
          <w:tcPr>
            <w:tcW w:w="3848" w:type="dxa"/>
          </w:tcPr>
          <w:p w14:paraId="6CF5BB7C">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该公司在本轮次的所有报价作废</w:t>
            </w:r>
          </w:p>
        </w:tc>
      </w:tr>
      <w:tr w14:paraId="4888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93" w:type="dxa"/>
            <w:vAlign w:val="center"/>
          </w:tcPr>
          <w:p w14:paraId="3C4EA086">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3</w:t>
            </w:r>
          </w:p>
        </w:tc>
        <w:tc>
          <w:tcPr>
            <w:tcW w:w="5227" w:type="dxa"/>
          </w:tcPr>
          <w:p w14:paraId="4ED70759">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某公司连续2个轮次报价中出现院区报价单错误的（单个院区）</w:t>
            </w:r>
          </w:p>
        </w:tc>
        <w:tc>
          <w:tcPr>
            <w:tcW w:w="3848" w:type="dxa"/>
          </w:tcPr>
          <w:p w14:paraId="2B866D69">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该公司在本轮次的错误报价作废，取消该公司下轮次报价</w:t>
            </w:r>
          </w:p>
        </w:tc>
      </w:tr>
      <w:tr w14:paraId="511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7C316A07">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4</w:t>
            </w:r>
          </w:p>
        </w:tc>
        <w:tc>
          <w:tcPr>
            <w:tcW w:w="5227" w:type="dxa"/>
          </w:tcPr>
          <w:p w14:paraId="52BB2436">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某公司连续2个轮次报价中出现院区报价单错误的（2个院区以上）</w:t>
            </w:r>
          </w:p>
        </w:tc>
        <w:tc>
          <w:tcPr>
            <w:tcW w:w="3848" w:type="dxa"/>
          </w:tcPr>
          <w:p w14:paraId="1F4CB872">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该公司在本轮次的所有报价作废，取消该公司下轮次报价</w:t>
            </w:r>
          </w:p>
        </w:tc>
      </w:tr>
      <w:tr w14:paraId="6749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93" w:type="dxa"/>
            <w:vAlign w:val="center"/>
          </w:tcPr>
          <w:p w14:paraId="598BAD0A">
            <w:pPr>
              <w:spacing w:line="460" w:lineRule="exact"/>
              <w:jc w:val="cente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5</w:t>
            </w:r>
          </w:p>
        </w:tc>
        <w:tc>
          <w:tcPr>
            <w:tcW w:w="5227" w:type="dxa"/>
          </w:tcPr>
          <w:p w14:paraId="514C103F">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某公司在</w:t>
            </w:r>
          </w:p>
          <w:p w14:paraId="1E5D426B">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半年（1-6月，7-12月）中出现4个轮次的报价错误；</w:t>
            </w:r>
          </w:p>
          <w:p w14:paraId="17D71C9F">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一年（1-12月）中出现5个轮次的报价错误；</w:t>
            </w:r>
          </w:p>
        </w:tc>
        <w:tc>
          <w:tcPr>
            <w:tcW w:w="3848" w:type="dxa"/>
          </w:tcPr>
          <w:p w14:paraId="688DCE7A">
            <w:pPr>
              <w:spacing w:line="460" w:lineRule="exact"/>
              <w:jc w:val="lef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取消该公司的报价权，由原比选中</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排名第二的供应商</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进行替补</w:t>
            </w:r>
          </w:p>
        </w:tc>
      </w:tr>
    </w:tbl>
    <w:p w14:paraId="32D2E0B2">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报价错误的情况举例：</w:t>
      </w:r>
    </w:p>
    <w:p w14:paraId="1D035AAE">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计算错误</w:t>
      </w:r>
    </w:p>
    <w:p w14:paraId="77128905">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统计错误</w:t>
      </w:r>
    </w:p>
    <w:p w14:paraId="04596436">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清单错误</w:t>
      </w:r>
    </w:p>
    <w:p w14:paraId="35979A64">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4</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电子和纸质报价单不对应</w:t>
      </w:r>
    </w:p>
    <w:p w14:paraId="3A25C533">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其他应当认为是报价错误的情况</w:t>
      </w:r>
    </w:p>
    <w:p w14:paraId="06D6FD6A">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供应商不得以无货的理由频繁更换或拒供已中选报价单内的产品，除非征得相应院区</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食堂</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部采购员的确认(书面签字留底备查)，如因该情况采购员向</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食堂配送</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微信群内公开反映（一年内超过3次的），则采购方有权取消供应方下个月的报价权。如情况严重，由各院区</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食堂部</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、总务科、监察室负责人书面记录情况，取消该供应方在本合同期内的配送权;</w:t>
      </w:r>
    </w:p>
    <w:p w14:paraId="2CA42FE4">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6、本细节不足之处在后续陆续进行完善。</w:t>
      </w:r>
    </w:p>
    <w:p w14:paraId="2C240C98">
      <w:pPr>
        <w:pStyle w:val="24"/>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504020202030204"/>
    <w:charset w:val="00"/>
    <w:family w:val="swiss"/>
    <w:pitch w:val="default"/>
    <w:sig w:usb0="00000000" w:usb1="00000000" w:usb2="00000000" w:usb3="00000000" w:csb0="00000093"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01D3">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1EA197DE">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DB5C">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75892974">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A6B1">
    <w:pPr>
      <w:pStyle w:val="38"/>
      <w:pBdr>
        <w:bottom w:val="single" w:color="auto" w:sz="6" w:space="0"/>
      </w:pBdr>
      <w:jc w:val="both"/>
    </w:pPr>
    <w:r>
      <w:rPr>
        <w:rFonts w:hint="eastAsia"/>
        <w:lang w:val="en-US" w:eastAsia="zh-CN"/>
      </w:rPr>
      <w:t>温州市中心医院</w:t>
    </w:r>
    <w:r>
      <w:rPr>
        <w:rFonts w:hint="eastAsia"/>
      </w:rPr>
      <w:t>招标文件                                             项目编号：</w:t>
    </w:r>
    <w:r>
      <w:rPr>
        <w:rFonts w:hint="eastAsia"/>
        <w:lang w:eastAsia="zh-CN"/>
      </w:rPr>
      <w:t xml:space="preserve">WZLCZB（W）-2025-06040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A2EC">
    <w:pPr>
      <w:pStyle w:val="38"/>
      <w:pBdr>
        <w:bottom w:val="single" w:color="auto" w:sz="6" w:space="0"/>
      </w:pBdr>
      <w:jc w:val="both"/>
    </w:pPr>
    <w:r>
      <w:rPr>
        <w:rFonts w:hint="eastAsia"/>
      </w:rPr>
      <w:t>温州市</w:t>
    </w:r>
    <w:r>
      <w:rPr>
        <w:rFonts w:hint="eastAsia"/>
        <w:lang w:val="en-US" w:eastAsia="zh-CN"/>
      </w:rPr>
      <w:t>中心医院</w:t>
    </w:r>
    <w:r>
      <w:rPr>
        <w:rFonts w:hint="eastAsia"/>
      </w:rPr>
      <w:t>招标文件                                             项目编号：</w:t>
    </w:r>
    <w:r>
      <w:rPr>
        <w:rFonts w:hint="eastAsia"/>
        <w:lang w:eastAsia="zh-CN"/>
      </w:rPr>
      <w:t xml:space="preserve">WZLCZB（W）-2025-06040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52D7A3B6"/>
    <w:multiLevelType w:val="singleLevel"/>
    <w:tmpl w:val="52D7A3B6"/>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FkZWM5NThlZmRiMDI3MjA2Y2MyZGFiOGJhYTAifQ=="/>
  </w:docVars>
  <w:rsids>
    <w:rsidRoot w:val="00172A27"/>
    <w:rsid w:val="000149E3"/>
    <w:rsid w:val="00020693"/>
    <w:rsid w:val="000217C7"/>
    <w:rsid w:val="00026A46"/>
    <w:rsid w:val="00027D0D"/>
    <w:rsid w:val="00031F49"/>
    <w:rsid w:val="00037B6F"/>
    <w:rsid w:val="000474B4"/>
    <w:rsid w:val="00063600"/>
    <w:rsid w:val="000837B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05457"/>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95F1C"/>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0674CD"/>
    <w:rsid w:val="0116709E"/>
    <w:rsid w:val="012E3330"/>
    <w:rsid w:val="014D0B1B"/>
    <w:rsid w:val="01606883"/>
    <w:rsid w:val="020D29B1"/>
    <w:rsid w:val="021F7DAD"/>
    <w:rsid w:val="0224444B"/>
    <w:rsid w:val="022D7429"/>
    <w:rsid w:val="02451328"/>
    <w:rsid w:val="027D25C0"/>
    <w:rsid w:val="02841565"/>
    <w:rsid w:val="0295277A"/>
    <w:rsid w:val="02A20B90"/>
    <w:rsid w:val="02B3222E"/>
    <w:rsid w:val="02E762E9"/>
    <w:rsid w:val="02F63BA4"/>
    <w:rsid w:val="031D0871"/>
    <w:rsid w:val="03283281"/>
    <w:rsid w:val="03331487"/>
    <w:rsid w:val="034A64CB"/>
    <w:rsid w:val="03953C14"/>
    <w:rsid w:val="039714E5"/>
    <w:rsid w:val="03BE392F"/>
    <w:rsid w:val="03E13A1E"/>
    <w:rsid w:val="04156ACE"/>
    <w:rsid w:val="042A5AFC"/>
    <w:rsid w:val="042F52A8"/>
    <w:rsid w:val="0438006D"/>
    <w:rsid w:val="043D6DF1"/>
    <w:rsid w:val="043F2279"/>
    <w:rsid w:val="04463D2B"/>
    <w:rsid w:val="044865A2"/>
    <w:rsid w:val="048D46D7"/>
    <w:rsid w:val="04A01243"/>
    <w:rsid w:val="04AB649F"/>
    <w:rsid w:val="04C062C6"/>
    <w:rsid w:val="04C27070"/>
    <w:rsid w:val="04E23C80"/>
    <w:rsid w:val="04FD6D0A"/>
    <w:rsid w:val="050751FC"/>
    <w:rsid w:val="05166806"/>
    <w:rsid w:val="0529508C"/>
    <w:rsid w:val="053457D5"/>
    <w:rsid w:val="053A30CA"/>
    <w:rsid w:val="057D25F0"/>
    <w:rsid w:val="05936339"/>
    <w:rsid w:val="05CF1AFF"/>
    <w:rsid w:val="05D76F02"/>
    <w:rsid w:val="05E25CD6"/>
    <w:rsid w:val="05F8152D"/>
    <w:rsid w:val="0622412D"/>
    <w:rsid w:val="062F7E7F"/>
    <w:rsid w:val="0633077A"/>
    <w:rsid w:val="064260D9"/>
    <w:rsid w:val="0650016B"/>
    <w:rsid w:val="06695ADA"/>
    <w:rsid w:val="0676641E"/>
    <w:rsid w:val="067F52AB"/>
    <w:rsid w:val="06A64F55"/>
    <w:rsid w:val="06BD554A"/>
    <w:rsid w:val="06E17425"/>
    <w:rsid w:val="06E81491"/>
    <w:rsid w:val="07081502"/>
    <w:rsid w:val="072046E3"/>
    <w:rsid w:val="07373C8C"/>
    <w:rsid w:val="074234A9"/>
    <w:rsid w:val="0747552D"/>
    <w:rsid w:val="07592C30"/>
    <w:rsid w:val="07750484"/>
    <w:rsid w:val="07791E20"/>
    <w:rsid w:val="078177D5"/>
    <w:rsid w:val="07924879"/>
    <w:rsid w:val="079C0E64"/>
    <w:rsid w:val="07AB3404"/>
    <w:rsid w:val="07D60F62"/>
    <w:rsid w:val="0815067C"/>
    <w:rsid w:val="08283748"/>
    <w:rsid w:val="08332947"/>
    <w:rsid w:val="08621901"/>
    <w:rsid w:val="08760957"/>
    <w:rsid w:val="088B2045"/>
    <w:rsid w:val="08911C02"/>
    <w:rsid w:val="08913549"/>
    <w:rsid w:val="08A302D0"/>
    <w:rsid w:val="08A6123D"/>
    <w:rsid w:val="08B53A61"/>
    <w:rsid w:val="08E76FD5"/>
    <w:rsid w:val="08F27E3E"/>
    <w:rsid w:val="08FD20E7"/>
    <w:rsid w:val="08FF26FB"/>
    <w:rsid w:val="09101BCD"/>
    <w:rsid w:val="09315C91"/>
    <w:rsid w:val="09473C1D"/>
    <w:rsid w:val="09510BFE"/>
    <w:rsid w:val="095F763D"/>
    <w:rsid w:val="09691A4F"/>
    <w:rsid w:val="097E368B"/>
    <w:rsid w:val="09816EE6"/>
    <w:rsid w:val="099512B1"/>
    <w:rsid w:val="099757EE"/>
    <w:rsid w:val="09A34824"/>
    <w:rsid w:val="09B85302"/>
    <w:rsid w:val="09B94936"/>
    <w:rsid w:val="09D26DBF"/>
    <w:rsid w:val="09F65854"/>
    <w:rsid w:val="0A07422F"/>
    <w:rsid w:val="0A081A83"/>
    <w:rsid w:val="0A1B49C1"/>
    <w:rsid w:val="0A3A1E25"/>
    <w:rsid w:val="0A3D0590"/>
    <w:rsid w:val="0A492719"/>
    <w:rsid w:val="0A636CB9"/>
    <w:rsid w:val="0A7416D8"/>
    <w:rsid w:val="0A75063E"/>
    <w:rsid w:val="0A85312F"/>
    <w:rsid w:val="0A8945EB"/>
    <w:rsid w:val="0AC7549A"/>
    <w:rsid w:val="0AC9091F"/>
    <w:rsid w:val="0B073AE9"/>
    <w:rsid w:val="0B4032FB"/>
    <w:rsid w:val="0B572874"/>
    <w:rsid w:val="0BA53A2D"/>
    <w:rsid w:val="0BAC1F4C"/>
    <w:rsid w:val="0BBE4F63"/>
    <w:rsid w:val="0BCD4D32"/>
    <w:rsid w:val="0BDA530A"/>
    <w:rsid w:val="0BE870EC"/>
    <w:rsid w:val="0BF202F5"/>
    <w:rsid w:val="0BF978D5"/>
    <w:rsid w:val="0C0247C0"/>
    <w:rsid w:val="0C353302"/>
    <w:rsid w:val="0C496297"/>
    <w:rsid w:val="0C525237"/>
    <w:rsid w:val="0C660E5E"/>
    <w:rsid w:val="0C7D22B4"/>
    <w:rsid w:val="0C825B1D"/>
    <w:rsid w:val="0C9A109E"/>
    <w:rsid w:val="0CA74D09"/>
    <w:rsid w:val="0CA9483B"/>
    <w:rsid w:val="0CC51217"/>
    <w:rsid w:val="0CC95B27"/>
    <w:rsid w:val="0CD87430"/>
    <w:rsid w:val="0CF44112"/>
    <w:rsid w:val="0D0A01F7"/>
    <w:rsid w:val="0D1F1C9D"/>
    <w:rsid w:val="0D1F336B"/>
    <w:rsid w:val="0D531267"/>
    <w:rsid w:val="0D735BCC"/>
    <w:rsid w:val="0D7C2119"/>
    <w:rsid w:val="0D920730"/>
    <w:rsid w:val="0D9B6F5F"/>
    <w:rsid w:val="0DC932D7"/>
    <w:rsid w:val="0DD81CBF"/>
    <w:rsid w:val="0DD82C1B"/>
    <w:rsid w:val="0DE33D9A"/>
    <w:rsid w:val="0E022677"/>
    <w:rsid w:val="0E064CB1"/>
    <w:rsid w:val="0E0C0A31"/>
    <w:rsid w:val="0E2F75DE"/>
    <w:rsid w:val="0E342D10"/>
    <w:rsid w:val="0E4706D1"/>
    <w:rsid w:val="0E4B6575"/>
    <w:rsid w:val="0E5C2643"/>
    <w:rsid w:val="0E6537C4"/>
    <w:rsid w:val="0E67321C"/>
    <w:rsid w:val="0E701E1B"/>
    <w:rsid w:val="0E750CB0"/>
    <w:rsid w:val="0E7C77F4"/>
    <w:rsid w:val="0E833DCE"/>
    <w:rsid w:val="0E8518F4"/>
    <w:rsid w:val="0E884428"/>
    <w:rsid w:val="0E8A6F0A"/>
    <w:rsid w:val="0E8E6882"/>
    <w:rsid w:val="0EC86A0D"/>
    <w:rsid w:val="0ECA37AB"/>
    <w:rsid w:val="0EDE2DB2"/>
    <w:rsid w:val="0EE50D43"/>
    <w:rsid w:val="0EF11457"/>
    <w:rsid w:val="0F0377AE"/>
    <w:rsid w:val="0F0E6EE3"/>
    <w:rsid w:val="0F706416"/>
    <w:rsid w:val="0F855625"/>
    <w:rsid w:val="0FAD2FF6"/>
    <w:rsid w:val="0FC24482"/>
    <w:rsid w:val="0FCD5779"/>
    <w:rsid w:val="0FD03A0D"/>
    <w:rsid w:val="10381F40"/>
    <w:rsid w:val="104869BA"/>
    <w:rsid w:val="10575CC4"/>
    <w:rsid w:val="109C4CD3"/>
    <w:rsid w:val="10F47168"/>
    <w:rsid w:val="10FE310A"/>
    <w:rsid w:val="110264F1"/>
    <w:rsid w:val="1104198D"/>
    <w:rsid w:val="1105049E"/>
    <w:rsid w:val="110C4B7A"/>
    <w:rsid w:val="110F36F7"/>
    <w:rsid w:val="11254CC9"/>
    <w:rsid w:val="11531E67"/>
    <w:rsid w:val="115434FF"/>
    <w:rsid w:val="115D3896"/>
    <w:rsid w:val="116E041E"/>
    <w:rsid w:val="116F50E5"/>
    <w:rsid w:val="11B62E53"/>
    <w:rsid w:val="11C664AC"/>
    <w:rsid w:val="11CA3DDF"/>
    <w:rsid w:val="11E76422"/>
    <w:rsid w:val="12103D4D"/>
    <w:rsid w:val="12345EA5"/>
    <w:rsid w:val="1235718D"/>
    <w:rsid w:val="123C051C"/>
    <w:rsid w:val="124027F2"/>
    <w:rsid w:val="124B55BD"/>
    <w:rsid w:val="124D44D7"/>
    <w:rsid w:val="124E24C5"/>
    <w:rsid w:val="125A673E"/>
    <w:rsid w:val="126D36B3"/>
    <w:rsid w:val="12774BB9"/>
    <w:rsid w:val="12775E6D"/>
    <w:rsid w:val="12A01322"/>
    <w:rsid w:val="12AB0828"/>
    <w:rsid w:val="12B75DF4"/>
    <w:rsid w:val="12E05DF5"/>
    <w:rsid w:val="13022F82"/>
    <w:rsid w:val="130A4B8F"/>
    <w:rsid w:val="130B455F"/>
    <w:rsid w:val="133616DD"/>
    <w:rsid w:val="13582BF6"/>
    <w:rsid w:val="13583E3E"/>
    <w:rsid w:val="138356B4"/>
    <w:rsid w:val="13884680"/>
    <w:rsid w:val="13996DA4"/>
    <w:rsid w:val="13A56966"/>
    <w:rsid w:val="13B50586"/>
    <w:rsid w:val="13B56A40"/>
    <w:rsid w:val="13B65548"/>
    <w:rsid w:val="13D309B3"/>
    <w:rsid w:val="13EC3F05"/>
    <w:rsid w:val="14077D57"/>
    <w:rsid w:val="1412255E"/>
    <w:rsid w:val="14342819"/>
    <w:rsid w:val="144B7EA0"/>
    <w:rsid w:val="1457487D"/>
    <w:rsid w:val="14965811"/>
    <w:rsid w:val="14D507B4"/>
    <w:rsid w:val="14D92610"/>
    <w:rsid w:val="15001500"/>
    <w:rsid w:val="150A0B4B"/>
    <w:rsid w:val="154A25D7"/>
    <w:rsid w:val="154F287A"/>
    <w:rsid w:val="15525604"/>
    <w:rsid w:val="156E5828"/>
    <w:rsid w:val="156F29B6"/>
    <w:rsid w:val="15AB2A92"/>
    <w:rsid w:val="15B36E57"/>
    <w:rsid w:val="15B43A33"/>
    <w:rsid w:val="15C02CFA"/>
    <w:rsid w:val="15D02588"/>
    <w:rsid w:val="16104199"/>
    <w:rsid w:val="163004AD"/>
    <w:rsid w:val="16377978"/>
    <w:rsid w:val="164356BB"/>
    <w:rsid w:val="166B2C4D"/>
    <w:rsid w:val="166F777C"/>
    <w:rsid w:val="169C21B8"/>
    <w:rsid w:val="169C6B59"/>
    <w:rsid w:val="16BB60A4"/>
    <w:rsid w:val="16BD3943"/>
    <w:rsid w:val="16D604C4"/>
    <w:rsid w:val="16E96798"/>
    <w:rsid w:val="173A5387"/>
    <w:rsid w:val="17487963"/>
    <w:rsid w:val="17725C57"/>
    <w:rsid w:val="17755246"/>
    <w:rsid w:val="17800AEC"/>
    <w:rsid w:val="17E01949"/>
    <w:rsid w:val="18147845"/>
    <w:rsid w:val="18245E40"/>
    <w:rsid w:val="183A0A04"/>
    <w:rsid w:val="18502F73"/>
    <w:rsid w:val="186B461D"/>
    <w:rsid w:val="188B4950"/>
    <w:rsid w:val="18C7387D"/>
    <w:rsid w:val="18C76564"/>
    <w:rsid w:val="18D771F0"/>
    <w:rsid w:val="18D91D75"/>
    <w:rsid w:val="18E90CD1"/>
    <w:rsid w:val="19087A11"/>
    <w:rsid w:val="191B7534"/>
    <w:rsid w:val="191E6BCD"/>
    <w:rsid w:val="196C6250"/>
    <w:rsid w:val="196E2C37"/>
    <w:rsid w:val="1974690A"/>
    <w:rsid w:val="198139C3"/>
    <w:rsid w:val="19BD3C10"/>
    <w:rsid w:val="19C072D3"/>
    <w:rsid w:val="19D92281"/>
    <w:rsid w:val="19F52B9A"/>
    <w:rsid w:val="1A25720B"/>
    <w:rsid w:val="1A3A17E5"/>
    <w:rsid w:val="1A4F0788"/>
    <w:rsid w:val="1A510684"/>
    <w:rsid w:val="1A6171B2"/>
    <w:rsid w:val="1A6774BB"/>
    <w:rsid w:val="1A840538"/>
    <w:rsid w:val="1AA65F2A"/>
    <w:rsid w:val="1AA666F2"/>
    <w:rsid w:val="1ADC340E"/>
    <w:rsid w:val="1AED2C78"/>
    <w:rsid w:val="1AEF15D5"/>
    <w:rsid w:val="1B1F6B22"/>
    <w:rsid w:val="1B343FD0"/>
    <w:rsid w:val="1B356551"/>
    <w:rsid w:val="1B377F92"/>
    <w:rsid w:val="1B3E4ABA"/>
    <w:rsid w:val="1B530E2E"/>
    <w:rsid w:val="1B813443"/>
    <w:rsid w:val="1B866CAC"/>
    <w:rsid w:val="1B9D2D2C"/>
    <w:rsid w:val="1BAB13EA"/>
    <w:rsid w:val="1BAC6712"/>
    <w:rsid w:val="1BBE4697"/>
    <w:rsid w:val="1BE02644"/>
    <w:rsid w:val="1BF27CE6"/>
    <w:rsid w:val="1BF57F17"/>
    <w:rsid w:val="1C13053F"/>
    <w:rsid w:val="1C162BF5"/>
    <w:rsid w:val="1C212DFA"/>
    <w:rsid w:val="1C225626"/>
    <w:rsid w:val="1C3065A1"/>
    <w:rsid w:val="1C32514E"/>
    <w:rsid w:val="1C406787"/>
    <w:rsid w:val="1C5A43C0"/>
    <w:rsid w:val="1C8449C2"/>
    <w:rsid w:val="1C8676F7"/>
    <w:rsid w:val="1C8B5EF5"/>
    <w:rsid w:val="1C9B7764"/>
    <w:rsid w:val="1C9C37E6"/>
    <w:rsid w:val="1C9F3D41"/>
    <w:rsid w:val="1CA3081A"/>
    <w:rsid w:val="1CB81673"/>
    <w:rsid w:val="1CEB7EC5"/>
    <w:rsid w:val="1CFB3AFF"/>
    <w:rsid w:val="1D0A50BD"/>
    <w:rsid w:val="1D2A3DAB"/>
    <w:rsid w:val="1D305121"/>
    <w:rsid w:val="1D46542E"/>
    <w:rsid w:val="1D4D182F"/>
    <w:rsid w:val="1D6359BB"/>
    <w:rsid w:val="1D664936"/>
    <w:rsid w:val="1D71729C"/>
    <w:rsid w:val="1D981331"/>
    <w:rsid w:val="1DA96856"/>
    <w:rsid w:val="1DAB3C89"/>
    <w:rsid w:val="1DC06E93"/>
    <w:rsid w:val="1DCC77C2"/>
    <w:rsid w:val="1DCF4890"/>
    <w:rsid w:val="1DE663D2"/>
    <w:rsid w:val="1DF0397D"/>
    <w:rsid w:val="1DFB57EB"/>
    <w:rsid w:val="1E0062C5"/>
    <w:rsid w:val="1E4310C7"/>
    <w:rsid w:val="1E4F15C4"/>
    <w:rsid w:val="1E5310C7"/>
    <w:rsid w:val="1E665E93"/>
    <w:rsid w:val="1E6D0B8E"/>
    <w:rsid w:val="1E740910"/>
    <w:rsid w:val="1E894AE9"/>
    <w:rsid w:val="1E8A1B7B"/>
    <w:rsid w:val="1ECC5632"/>
    <w:rsid w:val="1ED05FDD"/>
    <w:rsid w:val="1EDA4565"/>
    <w:rsid w:val="1EE94580"/>
    <w:rsid w:val="1F0115E6"/>
    <w:rsid w:val="1F054E33"/>
    <w:rsid w:val="1F531B84"/>
    <w:rsid w:val="1F693781"/>
    <w:rsid w:val="1F78690B"/>
    <w:rsid w:val="1F8B73B9"/>
    <w:rsid w:val="1FC0508F"/>
    <w:rsid w:val="1FD17519"/>
    <w:rsid w:val="1FDE37FF"/>
    <w:rsid w:val="1FE87CF6"/>
    <w:rsid w:val="20104D96"/>
    <w:rsid w:val="20142293"/>
    <w:rsid w:val="20260760"/>
    <w:rsid w:val="202875D1"/>
    <w:rsid w:val="203B6405"/>
    <w:rsid w:val="204042C4"/>
    <w:rsid w:val="204434A6"/>
    <w:rsid w:val="20671469"/>
    <w:rsid w:val="2086602E"/>
    <w:rsid w:val="208E2CB0"/>
    <w:rsid w:val="20C22534"/>
    <w:rsid w:val="20C7192F"/>
    <w:rsid w:val="20C94ACB"/>
    <w:rsid w:val="20E34258"/>
    <w:rsid w:val="20F3606E"/>
    <w:rsid w:val="213009EF"/>
    <w:rsid w:val="213D75BE"/>
    <w:rsid w:val="213F7AB1"/>
    <w:rsid w:val="217A33A1"/>
    <w:rsid w:val="21872636"/>
    <w:rsid w:val="218F2648"/>
    <w:rsid w:val="21AB5C9B"/>
    <w:rsid w:val="21B427AB"/>
    <w:rsid w:val="21BD46E0"/>
    <w:rsid w:val="21D95D87"/>
    <w:rsid w:val="21EA7F94"/>
    <w:rsid w:val="226C7CCA"/>
    <w:rsid w:val="227C0C68"/>
    <w:rsid w:val="227D1F07"/>
    <w:rsid w:val="22AE5DFE"/>
    <w:rsid w:val="22C205C9"/>
    <w:rsid w:val="23025E80"/>
    <w:rsid w:val="23101A34"/>
    <w:rsid w:val="23203542"/>
    <w:rsid w:val="23496F3C"/>
    <w:rsid w:val="235C31B0"/>
    <w:rsid w:val="23700025"/>
    <w:rsid w:val="23C16FD2"/>
    <w:rsid w:val="23DD3EC1"/>
    <w:rsid w:val="2418246B"/>
    <w:rsid w:val="24213BF6"/>
    <w:rsid w:val="24297ED7"/>
    <w:rsid w:val="242C445B"/>
    <w:rsid w:val="243B4AD7"/>
    <w:rsid w:val="247E04BE"/>
    <w:rsid w:val="248B6BF0"/>
    <w:rsid w:val="24975A35"/>
    <w:rsid w:val="24A451C8"/>
    <w:rsid w:val="24B0777F"/>
    <w:rsid w:val="24B80E3D"/>
    <w:rsid w:val="24BA3A6C"/>
    <w:rsid w:val="24C14262"/>
    <w:rsid w:val="24DB11B1"/>
    <w:rsid w:val="24DB1DC1"/>
    <w:rsid w:val="24F32F21"/>
    <w:rsid w:val="24F5112A"/>
    <w:rsid w:val="252C4420"/>
    <w:rsid w:val="254579AD"/>
    <w:rsid w:val="25550995"/>
    <w:rsid w:val="25916749"/>
    <w:rsid w:val="25962353"/>
    <w:rsid w:val="25DC5E46"/>
    <w:rsid w:val="25E5097B"/>
    <w:rsid w:val="25ED1CE2"/>
    <w:rsid w:val="25FF67CB"/>
    <w:rsid w:val="260366CA"/>
    <w:rsid w:val="26190B1E"/>
    <w:rsid w:val="261954E5"/>
    <w:rsid w:val="26712A32"/>
    <w:rsid w:val="267A740D"/>
    <w:rsid w:val="26926505"/>
    <w:rsid w:val="26B25A04"/>
    <w:rsid w:val="26D0702D"/>
    <w:rsid w:val="26DD70C7"/>
    <w:rsid w:val="26E731AE"/>
    <w:rsid w:val="26E86A48"/>
    <w:rsid w:val="27101EDB"/>
    <w:rsid w:val="273E5E8D"/>
    <w:rsid w:val="27450F96"/>
    <w:rsid w:val="27814EF7"/>
    <w:rsid w:val="27A03254"/>
    <w:rsid w:val="27A230C5"/>
    <w:rsid w:val="27A851CF"/>
    <w:rsid w:val="27AC35F6"/>
    <w:rsid w:val="27B02DC6"/>
    <w:rsid w:val="27B75391"/>
    <w:rsid w:val="27F6755B"/>
    <w:rsid w:val="27F84A8D"/>
    <w:rsid w:val="280E3C35"/>
    <w:rsid w:val="283006CB"/>
    <w:rsid w:val="2835156C"/>
    <w:rsid w:val="285E7742"/>
    <w:rsid w:val="285F589C"/>
    <w:rsid w:val="2860075F"/>
    <w:rsid w:val="286940D9"/>
    <w:rsid w:val="286D3120"/>
    <w:rsid w:val="287F24DE"/>
    <w:rsid w:val="288E7537"/>
    <w:rsid w:val="28D51CE9"/>
    <w:rsid w:val="28E0382C"/>
    <w:rsid w:val="28FB2940"/>
    <w:rsid w:val="29051210"/>
    <w:rsid w:val="29177195"/>
    <w:rsid w:val="292673D8"/>
    <w:rsid w:val="2935387C"/>
    <w:rsid w:val="295642C7"/>
    <w:rsid w:val="29712D49"/>
    <w:rsid w:val="297B3BC8"/>
    <w:rsid w:val="29923BE6"/>
    <w:rsid w:val="29D70027"/>
    <w:rsid w:val="29DD3F3B"/>
    <w:rsid w:val="29E4565C"/>
    <w:rsid w:val="2A217644"/>
    <w:rsid w:val="2A5522DC"/>
    <w:rsid w:val="2A6D7AE4"/>
    <w:rsid w:val="2A81126C"/>
    <w:rsid w:val="2A9036A3"/>
    <w:rsid w:val="2A9A509F"/>
    <w:rsid w:val="2ABE75C5"/>
    <w:rsid w:val="2AC54EDF"/>
    <w:rsid w:val="2ADE1592"/>
    <w:rsid w:val="2AE72478"/>
    <w:rsid w:val="2AFE6BB2"/>
    <w:rsid w:val="2AFF547A"/>
    <w:rsid w:val="2B0F5BE3"/>
    <w:rsid w:val="2B194010"/>
    <w:rsid w:val="2B1971F4"/>
    <w:rsid w:val="2B1A0A86"/>
    <w:rsid w:val="2B2B6F28"/>
    <w:rsid w:val="2B3202B6"/>
    <w:rsid w:val="2B4C3CDB"/>
    <w:rsid w:val="2B766889"/>
    <w:rsid w:val="2B824D9A"/>
    <w:rsid w:val="2B8F7412"/>
    <w:rsid w:val="2BAE3DE1"/>
    <w:rsid w:val="2BB62C14"/>
    <w:rsid w:val="2BB82208"/>
    <w:rsid w:val="2BC1544C"/>
    <w:rsid w:val="2BF25A55"/>
    <w:rsid w:val="2BF83122"/>
    <w:rsid w:val="2C2E53EA"/>
    <w:rsid w:val="2C46226B"/>
    <w:rsid w:val="2C4D4422"/>
    <w:rsid w:val="2C61592A"/>
    <w:rsid w:val="2C7775A2"/>
    <w:rsid w:val="2CE11E29"/>
    <w:rsid w:val="2CE33F5E"/>
    <w:rsid w:val="2CE90E48"/>
    <w:rsid w:val="2CEB696E"/>
    <w:rsid w:val="2CF23348"/>
    <w:rsid w:val="2D0212AF"/>
    <w:rsid w:val="2D0721CE"/>
    <w:rsid w:val="2D2D0FB8"/>
    <w:rsid w:val="2D452C72"/>
    <w:rsid w:val="2D5369A4"/>
    <w:rsid w:val="2D553E12"/>
    <w:rsid w:val="2D563294"/>
    <w:rsid w:val="2D572DE8"/>
    <w:rsid w:val="2D5B378A"/>
    <w:rsid w:val="2D7657B0"/>
    <w:rsid w:val="2DA92533"/>
    <w:rsid w:val="2DBB0A37"/>
    <w:rsid w:val="2DC542FD"/>
    <w:rsid w:val="2E027319"/>
    <w:rsid w:val="2E714D93"/>
    <w:rsid w:val="2E740C9C"/>
    <w:rsid w:val="2E772BB0"/>
    <w:rsid w:val="2E8928E3"/>
    <w:rsid w:val="2E912614"/>
    <w:rsid w:val="2EA36854"/>
    <w:rsid w:val="2EB82B9B"/>
    <w:rsid w:val="2EBD258D"/>
    <w:rsid w:val="2EBD305B"/>
    <w:rsid w:val="2EC102CF"/>
    <w:rsid w:val="2ED41BB9"/>
    <w:rsid w:val="2EDB211E"/>
    <w:rsid w:val="2EEF6BEA"/>
    <w:rsid w:val="2F103B63"/>
    <w:rsid w:val="2F1228D8"/>
    <w:rsid w:val="2F1403FE"/>
    <w:rsid w:val="2F520F27"/>
    <w:rsid w:val="2F725125"/>
    <w:rsid w:val="2FAF734F"/>
    <w:rsid w:val="2FB74538"/>
    <w:rsid w:val="2FEF49C8"/>
    <w:rsid w:val="2FF16930"/>
    <w:rsid w:val="3000597D"/>
    <w:rsid w:val="30167EED"/>
    <w:rsid w:val="30255652"/>
    <w:rsid w:val="302A5959"/>
    <w:rsid w:val="305B0C4B"/>
    <w:rsid w:val="306F34C7"/>
    <w:rsid w:val="30804F22"/>
    <w:rsid w:val="3082583C"/>
    <w:rsid w:val="30C47C02"/>
    <w:rsid w:val="31024AE6"/>
    <w:rsid w:val="31232744"/>
    <w:rsid w:val="31350B00"/>
    <w:rsid w:val="313F60CD"/>
    <w:rsid w:val="316C164E"/>
    <w:rsid w:val="31A677D0"/>
    <w:rsid w:val="31AC33EA"/>
    <w:rsid w:val="31B469D0"/>
    <w:rsid w:val="31D02889"/>
    <w:rsid w:val="31D64F96"/>
    <w:rsid w:val="31F167D5"/>
    <w:rsid w:val="31F272BB"/>
    <w:rsid w:val="32017181"/>
    <w:rsid w:val="3202578C"/>
    <w:rsid w:val="32081D71"/>
    <w:rsid w:val="3255145A"/>
    <w:rsid w:val="32552FE3"/>
    <w:rsid w:val="325D41B7"/>
    <w:rsid w:val="326D3B31"/>
    <w:rsid w:val="327021FA"/>
    <w:rsid w:val="327F7FED"/>
    <w:rsid w:val="329C1DF0"/>
    <w:rsid w:val="329E2BA3"/>
    <w:rsid w:val="32A41A99"/>
    <w:rsid w:val="32AE7A75"/>
    <w:rsid w:val="32E032B1"/>
    <w:rsid w:val="32EF11A3"/>
    <w:rsid w:val="32EF2028"/>
    <w:rsid w:val="33011C41"/>
    <w:rsid w:val="33122EA7"/>
    <w:rsid w:val="333077D1"/>
    <w:rsid w:val="333C6A3D"/>
    <w:rsid w:val="33414E17"/>
    <w:rsid w:val="33641229"/>
    <w:rsid w:val="33644CFD"/>
    <w:rsid w:val="33704071"/>
    <w:rsid w:val="33774568"/>
    <w:rsid w:val="338D5086"/>
    <w:rsid w:val="338D75E6"/>
    <w:rsid w:val="33A0028D"/>
    <w:rsid w:val="33A570FA"/>
    <w:rsid w:val="33C63C91"/>
    <w:rsid w:val="33D32C1C"/>
    <w:rsid w:val="33D92429"/>
    <w:rsid w:val="342D3D10"/>
    <w:rsid w:val="343B3818"/>
    <w:rsid w:val="343C1893"/>
    <w:rsid w:val="34E73EBF"/>
    <w:rsid w:val="34EF0E9E"/>
    <w:rsid w:val="354E03E2"/>
    <w:rsid w:val="358526AE"/>
    <w:rsid w:val="35B46497"/>
    <w:rsid w:val="35B54B22"/>
    <w:rsid w:val="35DF0F8E"/>
    <w:rsid w:val="35E83CBD"/>
    <w:rsid w:val="35EF293B"/>
    <w:rsid w:val="35F13A2A"/>
    <w:rsid w:val="360453EB"/>
    <w:rsid w:val="361633A9"/>
    <w:rsid w:val="362C0965"/>
    <w:rsid w:val="36432BB5"/>
    <w:rsid w:val="36495F37"/>
    <w:rsid w:val="36523501"/>
    <w:rsid w:val="366A124C"/>
    <w:rsid w:val="366A6E58"/>
    <w:rsid w:val="36B85B13"/>
    <w:rsid w:val="3721787A"/>
    <w:rsid w:val="372A4537"/>
    <w:rsid w:val="37366041"/>
    <w:rsid w:val="373D0F4E"/>
    <w:rsid w:val="37625DAE"/>
    <w:rsid w:val="377717B0"/>
    <w:rsid w:val="379D7A74"/>
    <w:rsid w:val="37A001EE"/>
    <w:rsid w:val="37A03DDA"/>
    <w:rsid w:val="37B55951"/>
    <w:rsid w:val="37DC389E"/>
    <w:rsid w:val="37E41DF1"/>
    <w:rsid w:val="37FC364E"/>
    <w:rsid w:val="38174D5B"/>
    <w:rsid w:val="38294521"/>
    <w:rsid w:val="38327B47"/>
    <w:rsid w:val="383A2495"/>
    <w:rsid w:val="38463090"/>
    <w:rsid w:val="386C3059"/>
    <w:rsid w:val="3882116E"/>
    <w:rsid w:val="388234B9"/>
    <w:rsid w:val="38973473"/>
    <w:rsid w:val="38A56CC9"/>
    <w:rsid w:val="38C05F24"/>
    <w:rsid w:val="38D750B8"/>
    <w:rsid w:val="38F2240C"/>
    <w:rsid w:val="390735B8"/>
    <w:rsid w:val="39171CC0"/>
    <w:rsid w:val="393B3687"/>
    <w:rsid w:val="393F39C1"/>
    <w:rsid w:val="3941283A"/>
    <w:rsid w:val="395212E1"/>
    <w:rsid w:val="39550245"/>
    <w:rsid w:val="39764087"/>
    <w:rsid w:val="398B5761"/>
    <w:rsid w:val="39976574"/>
    <w:rsid w:val="39A165F9"/>
    <w:rsid w:val="39A84565"/>
    <w:rsid w:val="39B4306C"/>
    <w:rsid w:val="39B50A30"/>
    <w:rsid w:val="39B72706"/>
    <w:rsid w:val="39C84E5A"/>
    <w:rsid w:val="39FA0921"/>
    <w:rsid w:val="3A3457E8"/>
    <w:rsid w:val="3A3F0320"/>
    <w:rsid w:val="3A536E24"/>
    <w:rsid w:val="3A565A98"/>
    <w:rsid w:val="3A810ECA"/>
    <w:rsid w:val="3A871F8A"/>
    <w:rsid w:val="3A994ED7"/>
    <w:rsid w:val="3AA31206"/>
    <w:rsid w:val="3AB57780"/>
    <w:rsid w:val="3AC65AD2"/>
    <w:rsid w:val="3ACF5A26"/>
    <w:rsid w:val="3B1B509F"/>
    <w:rsid w:val="3B2714BA"/>
    <w:rsid w:val="3B3575B2"/>
    <w:rsid w:val="3B425300"/>
    <w:rsid w:val="3B4764C1"/>
    <w:rsid w:val="3B4D3ED2"/>
    <w:rsid w:val="3B54731C"/>
    <w:rsid w:val="3B67428D"/>
    <w:rsid w:val="3B713350"/>
    <w:rsid w:val="3B7A26BE"/>
    <w:rsid w:val="3B914B85"/>
    <w:rsid w:val="3BE767A5"/>
    <w:rsid w:val="3BFF41E4"/>
    <w:rsid w:val="3C1701DB"/>
    <w:rsid w:val="3C2E25AC"/>
    <w:rsid w:val="3C33699A"/>
    <w:rsid w:val="3C41291B"/>
    <w:rsid w:val="3C447C27"/>
    <w:rsid w:val="3C4E3440"/>
    <w:rsid w:val="3C771FCD"/>
    <w:rsid w:val="3C7D7975"/>
    <w:rsid w:val="3D136199"/>
    <w:rsid w:val="3D1D0DC6"/>
    <w:rsid w:val="3D1F41C2"/>
    <w:rsid w:val="3D734E8A"/>
    <w:rsid w:val="3D74475E"/>
    <w:rsid w:val="3D7D7AB7"/>
    <w:rsid w:val="3DA61D19"/>
    <w:rsid w:val="3DD75419"/>
    <w:rsid w:val="3DEE2762"/>
    <w:rsid w:val="3E0B6E71"/>
    <w:rsid w:val="3E1675C3"/>
    <w:rsid w:val="3E225ED0"/>
    <w:rsid w:val="3E29108F"/>
    <w:rsid w:val="3E5D4E52"/>
    <w:rsid w:val="3E6C4802"/>
    <w:rsid w:val="3E6E4C79"/>
    <w:rsid w:val="3E763568"/>
    <w:rsid w:val="3EB341AB"/>
    <w:rsid w:val="3EC20226"/>
    <w:rsid w:val="3EC451E1"/>
    <w:rsid w:val="3EC47F80"/>
    <w:rsid w:val="3EDB40B8"/>
    <w:rsid w:val="3EDC1611"/>
    <w:rsid w:val="3F0206D3"/>
    <w:rsid w:val="3F0D5E35"/>
    <w:rsid w:val="3F1461F9"/>
    <w:rsid w:val="3F1E63B0"/>
    <w:rsid w:val="3F2226EC"/>
    <w:rsid w:val="3F5B4E0B"/>
    <w:rsid w:val="3F601C75"/>
    <w:rsid w:val="3F696545"/>
    <w:rsid w:val="3F7647BE"/>
    <w:rsid w:val="3F9A7DA7"/>
    <w:rsid w:val="3FAC6CE4"/>
    <w:rsid w:val="3FDA48AC"/>
    <w:rsid w:val="3FE53CF2"/>
    <w:rsid w:val="3FED239F"/>
    <w:rsid w:val="400718BA"/>
    <w:rsid w:val="40181D19"/>
    <w:rsid w:val="402A3DD6"/>
    <w:rsid w:val="402E363B"/>
    <w:rsid w:val="403A7A13"/>
    <w:rsid w:val="407133FF"/>
    <w:rsid w:val="40883F9A"/>
    <w:rsid w:val="409475F1"/>
    <w:rsid w:val="40A6403B"/>
    <w:rsid w:val="40BE01CA"/>
    <w:rsid w:val="40C31767"/>
    <w:rsid w:val="40CB1D5D"/>
    <w:rsid w:val="40D11C13"/>
    <w:rsid w:val="40D14228"/>
    <w:rsid w:val="40E1210B"/>
    <w:rsid w:val="40E32648"/>
    <w:rsid w:val="413F338F"/>
    <w:rsid w:val="415D3A83"/>
    <w:rsid w:val="419F343F"/>
    <w:rsid w:val="41A05B22"/>
    <w:rsid w:val="41A50FA5"/>
    <w:rsid w:val="41B55D01"/>
    <w:rsid w:val="41CC07BC"/>
    <w:rsid w:val="41DD5AAF"/>
    <w:rsid w:val="41F8770C"/>
    <w:rsid w:val="420569A4"/>
    <w:rsid w:val="420F2CA7"/>
    <w:rsid w:val="42355148"/>
    <w:rsid w:val="4246080B"/>
    <w:rsid w:val="427D40B5"/>
    <w:rsid w:val="42CE24FD"/>
    <w:rsid w:val="42F302DD"/>
    <w:rsid w:val="43260C43"/>
    <w:rsid w:val="433E3844"/>
    <w:rsid w:val="435F3F24"/>
    <w:rsid w:val="438034F8"/>
    <w:rsid w:val="4388321A"/>
    <w:rsid w:val="43884ABF"/>
    <w:rsid w:val="441A31FF"/>
    <w:rsid w:val="4420119C"/>
    <w:rsid w:val="44676DCB"/>
    <w:rsid w:val="446A3759"/>
    <w:rsid w:val="446B4961"/>
    <w:rsid w:val="447A1E8A"/>
    <w:rsid w:val="449428DA"/>
    <w:rsid w:val="44AF7A39"/>
    <w:rsid w:val="44C154E3"/>
    <w:rsid w:val="44DF2E05"/>
    <w:rsid w:val="44ED72D0"/>
    <w:rsid w:val="45132E7E"/>
    <w:rsid w:val="45A046DF"/>
    <w:rsid w:val="45A51959"/>
    <w:rsid w:val="45B725A0"/>
    <w:rsid w:val="45BE6EBE"/>
    <w:rsid w:val="45C30031"/>
    <w:rsid w:val="46026DEC"/>
    <w:rsid w:val="462E25CA"/>
    <w:rsid w:val="46303A17"/>
    <w:rsid w:val="465A58CC"/>
    <w:rsid w:val="46931FE6"/>
    <w:rsid w:val="46D637ED"/>
    <w:rsid w:val="46DD3F38"/>
    <w:rsid w:val="46F16F1D"/>
    <w:rsid w:val="46F30DEA"/>
    <w:rsid w:val="46FD2CBF"/>
    <w:rsid w:val="472910BD"/>
    <w:rsid w:val="472B5EAE"/>
    <w:rsid w:val="47523D62"/>
    <w:rsid w:val="47553E8E"/>
    <w:rsid w:val="475F3D89"/>
    <w:rsid w:val="477C293C"/>
    <w:rsid w:val="47867568"/>
    <w:rsid w:val="47CA2F97"/>
    <w:rsid w:val="47D84675"/>
    <w:rsid w:val="47E17B3A"/>
    <w:rsid w:val="47F44E19"/>
    <w:rsid w:val="481379C4"/>
    <w:rsid w:val="481947FE"/>
    <w:rsid w:val="483B043E"/>
    <w:rsid w:val="4854752F"/>
    <w:rsid w:val="486B0826"/>
    <w:rsid w:val="486B1D8E"/>
    <w:rsid w:val="48A93D74"/>
    <w:rsid w:val="48D139F6"/>
    <w:rsid w:val="48DD28EF"/>
    <w:rsid w:val="48F56DD6"/>
    <w:rsid w:val="48F747A3"/>
    <w:rsid w:val="49066BB2"/>
    <w:rsid w:val="491916C6"/>
    <w:rsid w:val="49573AC8"/>
    <w:rsid w:val="495D4E11"/>
    <w:rsid w:val="49871389"/>
    <w:rsid w:val="49AA7971"/>
    <w:rsid w:val="49B30571"/>
    <w:rsid w:val="49E5688E"/>
    <w:rsid w:val="49FE240E"/>
    <w:rsid w:val="4A141151"/>
    <w:rsid w:val="4A316318"/>
    <w:rsid w:val="4A643B84"/>
    <w:rsid w:val="4A777A6A"/>
    <w:rsid w:val="4AB03279"/>
    <w:rsid w:val="4ABB1C1E"/>
    <w:rsid w:val="4AC9062D"/>
    <w:rsid w:val="4AE50A49"/>
    <w:rsid w:val="4AE52C42"/>
    <w:rsid w:val="4AEB7C9E"/>
    <w:rsid w:val="4AF2187D"/>
    <w:rsid w:val="4AFC3953"/>
    <w:rsid w:val="4B1E385E"/>
    <w:rsid w:val="4B676E9E"/>
    <w:rsid w:val="4B6870F9"/>
    <w:rsid w:val="4B6C2969"/>
    <w:rsid w:val="4B86446D"/>
    <w:rsid w:val="4BCF6DCB"/>
    <w:rsid w:val="4BD06B38"/>
    <w:rsid w:val="4BDF321A"/>
    <w:rsid w:val="4C0065CE"/>
    <w:rsid w:val="4C18241E"/>
    <w:rsid w:val="4C1954E3"/>
    <w:rsid w:val="4C1A4723"/>
    <w:rsid w:val="4C227943"/>
    <w:rsid w:val="4C417F01"/>
    <w:rsid w:val="4C4373DD"/>
    <w:rsid w:val="4C472142"/>
    <w:rsid w:val="4C5211AB"/>
    <w:rsid w:val="4C547C35"/>
    <w:rsid w:val="4C5F22C4"/>
    <w:rsid w:val="4C6C5291"/>
    <w:rsid w:val="4C72455F"/>
    <w:rsid w:val="4CA7392D"/>
    <w:rsid w:val="4CBE61D2"/>
    <w:rsid w:val="4D106251"/>
    <w:rsid w:val="4D2717ED"/>
    <w:rsid w:val="4D2B35CB"/>
    <w:rsid w:val="4D445EFB"/>
    <w:rsid w:val="4D4B1F09"/>
    <w:rsid w:val="4D5763B7"/>
    <w:rsid w:val="4D9A012A"/>
    <w:rsid w:val="4D9B178C"/>
    <w:rsid w:val="4DC86CD0"/>
    <w:rsid w:val="4DD5468F"/>
    <w:rsid w:val="4DD62C1F"/>
    <w:rsid w:val="4DF46D27"/>
    <w:rsid w:val="4DFC4A28"/>
    <w:rsid w:val="4E367509"/>
    <w:rsid w:val="4E5211BA"/>
    <w:rsid w:val="4E72651E"/>
    <w:rsid w:val="4E90713C"/>
    <w:rsid w:val="4E9D1D1E"/>
    <w:rsid w:val="4EC57D8E"/>
    <w:rsid w:val="4EE07EA5"/>
    <w:rsid w:val="4F0E0B1D"/>
    <w:rsid w:val="4F181E82"/>
    <w:rsid w:val="4F1F468D"/>
    <w:rsid w:val="4F551F67"/>
    <w:rsid w:val="4FB629B4"/>
    <w:rsid w:val="4FBD41CA"/>
    <w:rsid w:val="4FD246D2"/>
    <w:rsid w:val="4FDD43E5"/>
    <w:rsid w:val="50077D56"/>
    <w:rsid w:val="500951DA"/>
    <w:rsid w:val="500E0164"/>
    <w:rsid w:val="50131451"/>
    <w:rsid w:val="506A11FD"/>
    <w:rsid w:val="50831BFE"/>
    <w:rsid w:val="50A373DC"/>
    <w:rsid w:val="50AB003F"/>
    <w:rsid w:val="50B52FE4"/>
    <w:rsid w:val="50BF2E54"/>
    <w:rsid w:val="50E03265"/>
    <w:rsid w:val="50EC2B32"/>
    <w:rsid w:val="50F6575E"/>
    <w:rsid w:val="512A18AC"/>
    <w:rsid w:val="51390BE4"/>
    <w:rsid w:val="517D7C2E"/>
    <w:rsid w:val="518965D2"/>
    <w:rsid w:val="51A927D1"/>
    <w:rsid w:val="51B64EEE"/>
    <w:rsid w:val="51C804DE"/>
    <w:rsid w:val="51CB3149"/>
    <w:rsid w:val="51CF0D4C"/>
    <w:rsid w:val="51E12FF8"/>
    <w:rsid w:val="51E33826"/>
    <w:rsid w:val="51E71C22"/>
    <w:rsid w:val="520C6B50"/>
    <w:rsid w:val="522E62F3"/>
    <w:rsid w:val="523F3135"/>
    <w:rsid w:val="524B7D2C"/>
    <w:rsid w:val="529E7E5B"/>
    <w:rsid w:val="52A168A9"/>
    <w:rsid w:val="52A33960"/>
    <w:rsid w:val="52B476CE"/>
    <w:rsid w:val="52F47A95"/>
    <w:rsid w:val="531645CA"/>
    <w:rsid w:val="531F2A96"/>
    <w:rsid w:val="53262EC9"/>
    <w:rsid w:val="53447A7D"/>
    <w:rsid w:val="53642E53"/>
    <w:rsid w:val="53734149"/>
    <w:rsid w:val="537B63EF"/>
    <w:rsid w:val="53932760"/>
    <w:rsid w:val="539873E7"/>
    <w:rsid w:val="53A17E71"/>
    <w:rsid w:val="53B46D0C"/>
    <w:rsid w:val="54087353"/>
    <w:rsid w:val="540A3502"/>
    <w:rsid w:val="54375044"/>
    <w:rsid w:val="544232E7"/>
    <w:rsid w:val="544906E2"/>
    <w:rsid w:val="54557110"/>
    <w:rsid w:val="547846DC"/>
    <w:rsid w:val="5492579E"/>
    <w:rsid w:val="549661B6"/>
    <w:rsid w:val="54A0435F"/>
    <w:rsid w:val="54A379AB"/>
    <w:rsid w:val="54D24E79"/>
    <w:rsid w:val="54D538DD"/>
    <w:rsid w:val="54D90D75"/>
    <w:rsid w:val="54E21175"/>
    <w:rsid w:val="5503429F"/>
    <w:rsid w:val="551027C6"/>
    <w:rsid w:val="552F6C70"/>
    <w:rsid w:val="552F7315"/>
    <w:rsid w:val="554B0FDD"/>
    <w:rsid w:val="55631D2D"/>
    <w:rsid w:val="55BB1E97"/>
    <w:rsid w:val="55C8709D"/>
    <w:rsid w:val="55CE5FAF"/>
    <w:rsid w:val="560509A3"/>
    <w:rsid w:val="56250237"/>
    <w:rsid w:val="563D3E2F"/>
    <w:rsid w:val="56440D1A"/>
    <w:rsid w:val="564569EB"/>
    <w:rsid w:val="56AB5944"/>
    <w:rsid w:val="56F52014"/>
    <w:rsid w:val="56F645A2"/>
    <w:rsid w:val="56FC33A3"/>
    <w:rsid w:val="570041EA"/>
    <w:rsid w:val="57214861"/>
    <w:rsid w:val="5725139C"/>
    <w:rsid w:val="572B4616"/>
    <w:rsid w:val="57541EAD"/>
    <w:rsid w:val="577465D8"/>
    <w:rsid w:val="578C0BCA"/>
    <w:rsid w:val="579E061E"/>
    <w:rsid w:val="57A8352A"/>
    <w:rsid w:val="57AE5029"/>
    <w:rsid w:val="57B36157"/>
    <w:rsid w:val="57C23486"/>
    <w:rsid w:val="57D123D3"/>
    <w:rsid w:val="5807247D"/>
    <w:rsid w:val="581035A9"/>
    <w:rsid w:val="58117CC1"/>
    <w:rsid w:val="58150BC0"/>
    <w:rsid w:val="582C3384"/>
    <w:rsid w:val="58624A55"/>
    <w:rsid w:val="58937D37"/>
    <w:rsid w:val="58B433E4"/>
    <w:rsid w:val="58DD2376"/>
    <w:rsid w:val="58E8400B"/>
    <w:rsid w:val="59010D17"/>
    <w:rsid w:val="59216A89"/>
    <w:rsid w:val="597D7A0F"/>
    <w:rsid w:val="59A175DF"/>
    <w:rsid w:val="59AF6DF2"/>
    <w:rsid w:val="59B819C2"/>
    <w:rsid w:val="59BD469A"/>
    <w:rsid w:val="59C7668D"/>
    <w:rsid w:val="59CD5F33"/>
    <w:rsid w:val="59FC4729"/>
    <w:rsid w:val="59FF697B"/>
    <w:rsid w:val="5A0B75E4"/>
    <w:rsid w:val="5A575BFF"/>
    <w:rsid w:val="5A77586F"/>
    <w:rsid w:val="5AA12CBD"/>
    <w:rsid w:val="5ACA65CD"/>
    <w:rsid w:val="5ACC7A53"/>
    <w:rsid w:val="5AE51758"/>
    <w:rsid w:val="5AE76118"/>
    <w:rsid w:val="5B1851A9"/>
    <w:rsid w:val="5B581F93"/>
    <w:rsid w:val="5B6B529B"/>
    <w:rsid w:val="5BB250E2"/>
    <w:rsid w:val="5BB3320D"/>
    <w:rsid w:val="5BC31A45"/>
    <w:rsid w:val="5BC772C9"/>
    <w:rsid w:val="5BF50377"/>
    <w:rsid w:val="5C465FA2"/>
    <w:rsid w:val="5C544090"/>
    <w:rsid w:val="5C583771"/>
    <w:rsid w:val="5C726BB6"/>
    <w:rsid w:val="5C727CE8"/>
    <w:rsid w:val="5C7322D1"/>
    <w:rsid w:val="5C7F0109"/>
    <w:rsid w:val="5CCE3A33"/>
    <w:rsid w:val="5CEF4070"/>
    <w:rsid w:val="5CFC28A8"/>
    <w:rsid w:val="5D246FFC"/>
    <w:rsid w:val="5D36426B"/>
    <w:rsid w:val="5DC866D4"/>
    <w:rsid w:val="5DDA696A"/>
    <w:rsid w:val="5DF05908"/>
    <w:rsid w:val="5E0F1C0D"/>
    <w:rsid w:val="5E18354D"/>
    <w:rsid w:val="5E410FFD"/>
    <w:rsid w:val="5E4D0988"/>
    <w:rsid w:val="5E4D2736"/>
    <w:rsid w:val="5E544606"/>
    <w:rsid w:val="5E68756F"/>
    <w:rsid w:val="5E725BD8"/>
    <w:rsid w:val="5E8B1BDC"/>
    <w:rsid w:val="5E8E05EA"/>
    <w:rsid w:val="5E8F0FA0"/>
    <w:rsid w:val="5EC073AC"/>
    <w:rsid w:val="5ED1089D"/>
    <w:rsid w:val="5EEC1F4F"/>
    <w:rsid w:val="5EFB61FA"/>
    <w:rsid w:val="5F17346F"/>
    <w:rsid w:val="5F2C7D02"/>
    <w:rsid w:val="5F305E02"/>
    <w:rsid w:val="5F3A53B0"/>
    <w:rsid w:val="5F7663E9"/>
    <w:rsid w:val="5F7A1C50"/>
    <w:rsid w:val="5F97010C"/>
    <w:rsid w:val="5FB656F9"/>
    <w:rsid w:val="5FBC2CFA"/>
    <w:rsid w:val="5FC53466"/>
    <w:rsid w:val="5FD13015"/>
    <w:rsid w:val="5FF93E5A"/>
    <w:rsid w:val="60190EE3"/>
    <w:rsid w:val="601D48F2"/>
    <w:rsid w:val="601E31F8"/>
    <w:rsid w:val="6025396A"/>
    <w:rsid w:val="602832C7"/>
    <w:rsid w:val="60395667"/>
    <w:rsid w:val="603D1F50"/>
    <w:rsid w:val="603E264B"/>
    <w:rsid w:val="603F673E"/>
    <w:rsid w:val="605467C6"/>
    <w:rsid w:val="60765F74"/>
    <w:rsid w:val="607A6509"/>
    <w:rsid w:val="60A246D9"/>
    <w:rsid w:val="60D605A1"/>
    <w:rsid w:val="610B4046"/>
    <w:rsid w:val="61377DF9"/>
    <w:rsid w:val="61464F6C"/>
    <w:rsid w:val="61515A7F"/>
    <w:rsid w:val="61633E93"/>
    <w:rsid w:val="61A4558D"/>
    <w:rsid w:val="61BA27D8"/>
    <w:rsid w:val="61BB2BEF"/>
    <w:rsid w:val="61C32B70"/>
    <w:rsid w:val="61E045CD"/>
    <w:rsid w:val="61E23930"/>
    <w:rsid w:val="62016875"/>
    <w:rsid w:val="62210161"/>
    <w:rsid w:val="623E052A"/>
    <w:rsid w:val="628B7263"/>
    <w:rsid w:val="62902D58"/>
    <w:rsid w:val="62960B4F"/>
    <w:rsid w:val="62AE4BDA"/>
    <w:rsid w:val="62C91876"/>
    <w:rsid w:val="62C97640"/>
    <w:rsid w:val="62D27C48"/>
    <w:rsid w:val="62D45EE4"/>
    <w:rsid w:val="6307315E"/>
    <w:rsid w:val="63184211"/>
    <w:rsid w:val="631B5AD9"/>
    <w:rsid w:val="633B4149"/>
    <w:rsid w:val="63506F50"/>
    <w:rsid w:val="635A6ED4"/>
    <w:rsid w:val="635C575B"/>
    <w:rsid w:val="636863CF"/>
    <w:rsid w:val="63715219"/>
    <w:rsid w:val="63752C12"/>
    <w:rsid w:val="638C1080"/>
    <w:rsid w:val="63B413CF"/>
    <w:rsid w:val="63D4721A"/>
    <w:rsid w:val="63DA2CBD"/>
    <w:rsid w:val="63FF6C27"/>
    <w:rsid w:val="6405263C"/>
    <w:rsid w:val="642454D9"/>
    <w:rsid w:val="6464336B"/>
    <w:rsid w:val="64D26871"/>
    <w:rsid w:val="653C5193"/>
    <w:rsid w:val="65402FF4"/>
    <w:rsid w:val="654C3747"/>
    <w:rsid w:val="655C7828"/>
    <w:rsid w:val="65916253"/>
    <w:rsid w:val="65931376"/>
    <w:rsid w:val="65CB1350"/>
    <w:rsid w:val="65DE4CE7"/>
    <w:rsid w:val="65F34EF1"/>
    <w:rsid w:val="65F8742B"/>
    <w:rsid w:val="66330E7B"/>
    <w:rsid w:val="66351622"/>
    <w:rsid w:val="6639016F"/>
    <w:rsid w:val="665A2304"/>
    <w:rsid w:val="66680A54"/>
    <w:rsid w:val="66862C89"/>
    <w:rsid w:val="669C6349"/>
    <w:rsid w:val="66A80AC6"/>
    <w:rsid w:val="67144976"/>
    <w:rsid w:val="67202357"/>
    <w:rsid w:val="672E4171"/>
    <w:rsid w:val="673F17B5"/>
    <w:rsid w:val="67573969"/>
    <w:rsid w:val="67603F26"/>
    <w:rsid w:val="67D3264E"/>
    <w:rsid w:val="67EC027D"/>
    <w:rsid w:val="67EC6B9E"/>
    <w:rsid w:val="68024DD3"/>
    <w:rsid w:val="68093B71"/>
    <w:rsid w:val="680F332B"/>
    <w:rsid w:val="681F5143"/>
    <w:rsid w:val="6832253F"/>
    <w:rsid w:val="685C3C4D"/>
    <w:rsid w:val="687102AD"/>
    <w:rsid w:val="68724B40"/>
    <w:rsid w:val="687E00BB"/>
    <w:rsid w:val="68902798"/>
    <w:rsid w:val="68AD6BF3"/>
    <w:rsid w:val="690C7142"/>
    <w:rsid w:val="6925120C"/>
    <w:rsid w:val="69407A67"/>
    <w:rsid w:val="69412846"/>
    <w:rsid w:val="6949401F"/>
    <w:rsid w:val="695907E9"/>
    <w:rsid w:val="6964290E"/>
    <w:rsid w:val="69686CD5"/>
    <w:rsid w:val="698304CD"/>
    <w:rsid w:val="69932BAE"/>
    <w:rsid w:val="69A16FDB"/>
    <w:rsid w:val="69A55B1C"/>
    <w:rsid w:val="69BA6060"/>
    <w:rsid w:val="69ED5B2B"/>
    <w:rsid w:val="6A223F21"/>
    <w:rsid w:val="6A4771F0"/>
    <w:rsid w:val="6A554E4C"/>
    <w:rsid w:val="6A641277"/>
    <w:rsid w:val="6A985E45"/>
    <w:rsid w:val="6AAD0001"/>
    <w:rsid w:val="6ACC3B62"/>
    <w:rsid w:val="6AE30427"/>
    <w:rsid w:val="6B0B7C00"/>
    <w:rsid w:val="6B1B05C6"/>
    <w:rsid w:val="6B35684E"/>
    <w:rsid w:val="6B43383E"/>
    <w:rsid w:val="6B6C1D6A"/>
    <w:rsid w:val="6B706DFD"/>
    <w:rsid w:val="6B735145"/>
    <w:rsid w:val="6B76701F"/>
    <w:rsid w:val="6BB64940"/>
    <w:rsid w:val="6BBA5ABD"/>
    <w:rsid w:val="6BC04151"/>
    <w:rsid w:val="6BED2EAC"/>
    <w:rsid w:val="6BFF6B53"/>
    <w:rsid w:val="6C02371C"/>
    <w:rsid w:val="6C161EDD"/>
    <w:rsid w:val="6C17534B"/>
    <w:rsid w:val="6C1C3D03"/>
    <w:rsid w:val="6C52384A"/>
    <w:rsid w:val="6C5F577B"/>
    <w:rsid w:val="6C5F6B13"/>
    <w:rsid w:val="6C6C54D2"/>
    <w:rsid w:val="6C831486"/>
    <w:rsid w:val="6C8C7141"/>
    <w:rsid w:val="6C903E5F"/>
    <w:rsid w:val="6C92595F"/>
    <w:rsid w:val="6C9E2FDD"/>
    <w:rsid w:val="6CA31D11"/>
    <w:rsid w:val="6CB87914"/>
    <w:rsid w:val="6CD0524B"/>
    <w:rsid w:val="6CE513BE"/>
    <w:rsid w:val="6CE911CA"/>
    <w:rsid w:val="6CEE595E"/>
    <w:rsid w:val="6CF82160"/>
    <w:rsid w:val="6D094BFA"/>
    <w:rsid w:val="6D1D7324"/>
    <w:rsid w:val="6D283EB3"/>
    <w:rsid w:val="6D476F5C"/>
    <w:rsid w:val="6D524D35"/>
    <w:rsid w:val="6D592EA5"/>
    <w:rsid w:val="6D631E8B"/>
    <w:rsid w:val="6D7E290C"/>
    <w:rsid w:val="6DA45721"/>
    <w:rsid w:val="6DE22E9A"/>
    <w:rsid w:val="6DEF5724"/>
    <w:rsid w:val="6E21682C"/>
    <w:rsid w:val="6E2D7396"/>
    <w:rsid w:val="6E533D98"/>
    <w:rsid w:val="6E8403F6"/>
    <w:rsid w:val="6E977E1E"/>
    <w:rsid w:val="6E9A02BC"/>
    <w:rsid w:val="6E9A083E"/>
    <w:rsid w:val="6E9D3BA7"/>
    <w:rsid w:val="6EE36ECA"/>
    <w:rsid w:val="6F1013D6"/>
    <w:rsid w:val="6F1830F3"/>
    <w:rsid w:val="6F2C4E6B"/>
    <w:rsid w:val="6F7502BE"/>
    <w:rsid w:val="6F8E346E"/>
    <w:rsid w:val="6F922D77"/>
    <w:rsid w:val="6FA85985"/>
    <w:rsid w:val="6FB40867"/>
    <w:rsid w:val="6FEA2DEF"/>
    <w:rsid w:val="70001CFE"/>
    <w:rsid w:val="70231C9D"/>
    <w:rsid w:val="70411BFE"/>
    <w:rsid w:val="706C61C4"/>
    <w:rsid w:val="70770F68"/>
    <w:rsid w:val="707B5C7D"/>
    <w:rsid w:val="708C386D"/>
    <w:rsid w:val="7093353E"/>
    <w:rsid w:val="70A25D2A"/>
    <w:rsid w:val="70EC15F1"/>
    <w:rsid w:val="70F606D1"/>
    <w:rsid w:val="710C3141"/>
    <w:rsid w:val="71104E62"/>
    <w:rsid w:val="713927A1"/>
    <w:rsid w:val="71426CAF"/>
    <w:rsid w:val="7164396E"/>
    <w:rsid w:val="719525E5"/>
    <w:rsid w:val="71C43EDF"/>
    <w:rsid w:val="71D12B7B"/>
    <w:rsid w:val="71D40D4C"/>
    <w:rsid w:val="72047D57"/>
    <w:rsid w:val="72435ED2"/>
    <w:rsid w:val="7250388B"/>
    <w:rsid w:val="7254510E"/>
    <w:rsid w:val="72563FB1"/>
    <w:rsid w:val="72615DBA"/>
    <w:rsid w:val="7263703F"/>
    <w:rsid w:val="726E28BC"/>
    <w:rsid w:val="7270316B"/>
    <w:rsid w:val="72712A3F"/>
    <w:rsid w:val="729701F7"/>
    <w:rsid w:val="72C13435"/>
    <w:rsid w:val="72FE52AE"/>
    <w:rsid w:val="73216213"/>
    <w:rsid w:val="7332304C"/>
    <w:rsid w:val="73460DCF"/>
    <w:rsid w:val="7356586B"/>
    <w:rsid w:val="736F51CC"/>
    <w:rsid w:val="73765DF7"/>
    <w:rsid w:val="738E59B0"/>
    <w:rsid w:val="739C093C"/>
    <w:rsid w:val="739D0315"/>
    <w:rsid w:val="73B452D9"/>
    <w:rsid w:val="73CE4F10"/>
    <w:rsid w:val="73DE0BF4"/>
    <w:rsid w:val="73EF72A5"/>
    <w:rsid w:val="73F2195D"/>
    <w:rsid w:val="740166CA"/>
    <w:rsid w:val="741606DE"/>
    <w:rsid w:val="74454183"/>
    <w:rsid w:val="746740F9"/>
    <w:rsid w:val="746B4618"/>
    <w:rsid w:val="748E187D"/>
    <w:rsid w:val="74AB4F7F"/>
    <w:rsid w:val="74CD2C21"/>
    <w:rsid w:val="74D22307"/>
    <w:rsid w:val="74F727ED"/>
    <w:rsid w:val="74F855D1"/>
    <w:rsid w:val="75395A4F"/>
    <w:rsid w:val="754D1541"/>
    <w:rsid w:val="75826D11"/>
    <w:rsid w:val="75A62599"/>
    <w:rsid w:val="75B23A9A"/>
    <w:rsid w:val="75C718AC"/>
    <w:rsid w:val="75E5168E"/>
    <w:rsid w:val="75E65018"/>
    <w:rsid w:val="75FD7923"/>
    <w:rsid w:val="76152769"/>
    <w:rsid w:val="761D52CB"/>
    <w:rsid w:val="76323832"/>
    <w:rsid w:val="764536B8"/>
    <w:rsid w:val="764C1E95"/>
    <w:rsid w:val="765340BE"/>
    <w:rsid w:val="76600B0B"/>
    <w:rsid w:val="76614AE9"/>
    <w:rsid w:val="766355C5"/>
    <w:rsid w:val="76820886"/>
    <w:rsid w:val="769B71B7"/>
    <w:rsid w:val="76A2766B"/>
    <w:rsid w:val="76EC025F"/>
    <w:rsid w:val="770519A8"/>
    <w:rsid w:val="77104195"/>
    <w:rsid w:val="77532B5B"/>
    <w:rsid w:val="77925931"/>
    <w:rsid w:val="77A72B49"/>
    <w:rsid w:val="77AD276B"/>
    <w:rsid w:val="77BA48A1"/>
    <w:rsid w:val="77EA45C3"/>
    <w:rsid w:val="77EE068E"/>
    <w:rsid w:val="77F3515D"/>
    <w:rsid w:val="77F537AF"/>
    <w:rsid w:val="78427D95"/>
    <w:rsid w:val="78454752"/>
    <w:rsid w:val="784C1540"/>
    <w:rsid w:val="78625FD0"/>
    <w:rsid w:val="78CE3373"/>
    <w:rsid w:val="78EA06B1"/>
    <w:rsid w:val="79303653"/>
    <w:rsid w:val="79332894"/>
    <w:rsid w:val="793A1DDD"/>
    <w:rsid w:val="79432FDA"/>
    <w:rsid w:val="794E031B"/>
    <w:rsid w:val="795343B6"/>
    <w:rsid w:val="796340FE"/>
    <w:rsid w:val="7973709D"/>
    <w:rsid w:val="79B871A5"/>
    <w:rsid w:val="79BD2A0E"/>
    <w:rsid w:val="79C26222"/>
    <w:rsid w:val="79C860CB"/>
    <w:rsid w:val="79F301DD"/>
    <w:rsid w:val="79F651E3"/>
    <w:rsid w:val="79FC1788"/>
    <w:rsid w:val="7A3D20AA"/>
    <w:rsid w:val="7A4A0DFD"/>
    <w:rsid w:val="7A552236"/>
    <w:rsid w:val="7A735659"/>
    <w:rsid w:val="7A7E0068"/>
    <w:rsid w:val="7AB20098"/>
    <w:rsid w:val="7AB60141"/>
    <w:rsid w:val="7AC17447"/>
    <w:rsid w:val="7AD70C9B"/>
    <w:rsid w:val="7ADA5B3C"/>
    <w:rsid w:val="7ADE2C3C"/>
    <w:rsid w:val="7AE857D7"/>
    <w:rsid w:val="7AFE6E3A"/>
    <w:rsid w:val="7B1448AF"/>
    <w:rsid w:val="7B39302D"/>
    <w:rsid w:val="7B4531F1"/>
    <w:rsid w:val="7B4D07FD"/>
    <w:rsid w:val="7B4D6255"/>
    <w:rsid w:val="7B6A5BC0"/>
    <w:rsid w:val="7B9F23CB"/>
    <w:rsid w:val="7BA06143"/>
    <w:rsid w:val="7BAB3DF5"/>
    <w:rsid w:val="7BD26364"/>
    <w:rsid w:val="7BDB29F1"/>
    <w:rsid w:val="7BE35CBC"/>
    <w:rsid w:val="7C2F53CB"/>
    <w:rsid w:val="7C3A3603"/>
    <w:rsid w:val="7C461D0D"/>
    <w:rsid w:val="7C485C63"/>
    <w:rsid w:val="7C65440D"/>
    <w:rsid w:val="7C8B73F7"/>
    <w:rsid w:val="7C9E2682"/>
    <w:rsid w:val="7CA834CE"/>
    <w:rsid w:val="7CB9036C"/>
    <w:rsid w:val="7CEA6FFD"/>
    <w:rsid w:val="7CF36E72"/>
    <w:rsid w:val="7D0446AC"/>
    <w:rsid w:val="7D047631"/>
    <w:rsid w:val="7D2D3F3E"/>
    <w:rsid w:val="7D3475DB"/>
    <w:rsid w:val="7D696557"/>
    <w:rsid w:val="7D711B45"/>
    <w:rsid w:val="7D771F95"/>
    <w:rsid w:val="7D942460"/>
    <w:rsid w:val="7D9D746A"/>
    <w:rsid w:val="7DDD5D1F"/>
    <w:rsid w:val="7E0B3754"/>
    <w:rsid w:val="7E235535"/>
    <w:rsid w:val="7E3C4D54"/>
    <w:rsid w:val="7E4126F2"/>
    <w:rsid w:val="7E4B05E8"/>
    <w:rsid w:val="7E563F68"/>
    <w:rsid w:val="7E9E696A"/>
    <w:rsid w:val="7EC40A24"/>
    <w:rsid w:val="7EDC56E4"/>
    <w:rsid w:val="7F01514B"/>
    <w:rsid w:val="7F13383A"/>
    <w:rsid w:val="7F35627A"/>
    <w:rsid w:val="7F5F072D"/>
    <w:rsid w:val="7F711C25"/>
    <w:rsid w:val="7F8C2C66"/>
    <w:rsid w:val="7FDF548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2">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1"/>
    <w:qFormat/>
    <w:uiPriority w:val="0"/>
    <w:pPr>
      <w:shd w:val="clear" w:color="auto" w:fill="000080"/>
    </w:pPr>
  </w:style>
  <w:style w:type="paragraph" w:styleId="18">
    <w:name w:val="annotation text"/>
    <w:basedOn w:val="1"/>
    <w:link w:val="91"/>
    <w:qFormat/>
    <w:uiPriority w:val="0"/>
    <w:pPr>
      <w:jc w:val="left"/>
    </w:pPr>
  </w:style>
  <w:style w:type="paragraph" w:styleId="19">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qFormat/>
    <w:uiPriority w:val="0"/>
    <w:pPr>
      <w:autoSpaceDE w:val="0"/>
      <w:autoSpaceDN w:val="0"/>
      <w:adjustRightInd w:val="0"/>
      <w:jc w:val="center"/>
    </w:pPr>
  </w:style>
  <w:style w:type="paragraph" w:styleId="21">
    <w:name w:val="Body Text"/>
    <w:basedOn w:val="1"/>
    <w:next w:val="22"/>
    <w:link w:val="164"/>
    <w:qFormat/>
    <w:uiPriority w:val="0"/>
    <w:pPr>
      <w:spacing w:after="120"/>
    </w:pPr>
    <w:rPr>
      <w:rFonts w:ascii="仿宋_GB2312"/>
      <w:b/>
    </w:rPr>
  </w:style>
  <w:style w:type="paragraph" w:styleId="22">
    <w:name w:val="Body Text First Indent"/>
    <w:basedOn w:val="21"/>
    <w:next w:val="23"/>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4"/>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3"/>
    <w:qFormat/>
    <w:uiPriority w:val="0"/>
    <w:pPr>
      <w:ind w:left="100" w:leftChars="2500"/>
    </w:pPr>
  </w:style>
  <w:style w:type="paragraph" w:styleId="35">
    <w:name w:val="Body Text Indent 2"/>
    <w:basedOn w:val="1"/>
    <w:link w:val="178"/>
    <w:qFormat/>
    <w:uiPriority w:val="0"/>
    <w:pPr>
      <w:spacing w:line="500" w:lineRule="exact"/>
      <w:ind w:firstLine="511" w:firstLineChars="213"/>
    </w:pPr>
    <w:rPr>
      <w:sz w:val="24"/>
    </w:rPr>
  </w:style>
  <w:style w:type="paragraph" w:styleId="36">
    <w:name w:val="Balloon Text"/>
    <w:basedOn w:val="1"/>
    <w:link w:val="151"/>
    <w:qFormat/>
    <w:uiPriority w:val="0"/>
    <w:rPr>
      <w:sz w:val="18"/>
      <w:szCs w:val="18"/>
    </w:rPr>
  </w:style>
  <w:style w:type="paragraph" w:styleId="37">
    <w:name w:val="footer"/>
    <w:basedOn w:val="1"/>
    <w:link w:val="120"/>
    <w:qFormat/>
    <w:uiPriority w:val="0"/>
    <w:pPr>
      <w:tabs>
        <w:tab w:val="center" w:pos="4153"/>
        <w:tab w:val="right" w:pos="8306"/>
      </w:tabs>
      <w:snapToGrid w:val="0"/>
      <w:jc w:val="left"/>
    </w:pPr>
    <w:rPr>
      <w:sz w:val="18"/>
      <w:szCs w:val="18"/>
    </w:rPr>
  </w:style>
  <w:style w:type="paragraph" w:styleId="38">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4"/>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6"/>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8"/>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6"/>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表格文字"/>
    <w:basedOn w:val="1"/>
    <w:next w:val="21"/>
    <w:qFormat/>
    <w:uiPriority w:val="0"/>
    <w:pPr>
      <w:adjustRightInd w:val="0"/>
      <w:spacing w:line="420" w:lineRule="atLeast"/>
      <w:jc w:val="left"/>
      <w:textAlignment w:val="baseline"/>
    </w:pPr>
    <w:rPr>
      <w:kern w:val="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autoRedefine/>
    <w:qFormat/>
    <w:uiPriority w:val="0"/>
    <w:rPr>
      <w:rFonts w:ascii="Times New Roman" w:hAnsi="Times New Roman" w:eastAsia="宋体" w:cs="Times New Roman"/>
      <w:szCs w:val="24"/>
    </w:rPr>
  </w:style>
  <w:style w:type="character" w:customStyle="1" w:styleId="74">
    <w:name w:val="Char Char24"/>
    <w:autoRedefine/>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19"/>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8"/>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4"/>
    <w:link w:val="20"/>
    <w:autoRedefine/>
    <w:qFormat/>
    <w:uiPriority w:val="0"/>
  </w:style>
  <w:style w:type="character" w:customStyle="1" w:styleId="96">
    <w:name w:val="批注主题 Char"/>
    <w:link w:val="51"/>
    <w:autoRedefine/>
    <w:qFormat/>
    <w:uiPriority w:val="0"/>
    <w:rPr>
      <w:rFonts w:eastAsia="宋体"/>
      <w:b/>
      <w:bCs/>
      <w:kern w:val="2"/>
      <w:sz w:val="21"/>
      <w:szCs w:val="24"/>
      <w:lang w:val="en-US" w:eastAsia="zh-CN" w:bidi="ar-SA"/>
    </w:rPr>
  </w:style>
  <w:style w:type="character" w:customStyle="1" w:styleId="97">
    <w:name w:val="不明显参考11"/>
    <w:autoRedefine/>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autoRedefine/>
    <w:qFormat/>
    <w:uiPriority w:val="0"/>
    <w:rPr>
      <w:rFonts w:ascii="宋体" w:hAnsi="宋体" w:eastAsia="宋体"/>
      <w:bCs/>
      <w:kern w:val="2"/>
      <w:sz w:val="28"/>
      <w:szCs w:val="28"/>
      <w:lang w:val="en-US" w:eastAsia="zh-CN" w:bidi="ar-SA"/>
    </w:rPr>
  </w:style>
  <w:style w:type="paragraph" w:customStyle="1" w:styleId="104">
    <w:name w:val="样式2"/>
    <w:basedOn w:val="5"/>
    <w:link w:val="103"/>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autoRedefine/>
    <w:qFormat/>
    <w:uiPriority w:val="0"/>
    <w:rPr>
      <w:rFonts w:ascii="Cambria" w:hAnsi="Cambria" w:eastAsia="宋体"/>
      <w:b/>
      <w:bCs/>
      <w:kern w:val="2"/>
      <w:sz w:val="32"/>
      <w:szCs w:val="32"/>
      <w:lang w:val="en-US" w:eastAsia="zh-CN" w:bidi="ar-SA"/>
    </w:rPr>
  </w:style>
  <w:style w:type="character" w:customStyle="1" w:styleId="107">
    <w:name w:val="heading 3 Char1"/>
    <w:autoRedefine/>
    <w:qFormat/>
    <w:uiPriority w:val="0"/>
    <w:rPr>
      <w:rFonts w:eastAsia="宋体"/>
      <w:b/>
      <w:bCs/>
      <w:kern w:val="2"/>
      <w:sz w:val="32"/>
      <w:szCs w:val="32"/>
      <w:lang w:val="en-US" w:eastAsia="zh-CN" w:bidi="ar-SA"/>
    </w:rPr>
  </w:style>
  <w:style w:type="character" w:customStyle="1" w:styleId="108">
    <w:name w:val="Char Char15"/>
    <w:autoRedefine/>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autoRedefine/>
    <w:qFormat/>
    <w:uiPriority w:val="0"/>
    <w:rPr>
      <w:rFonts w:eastAsia="宋体"/>
      <w:kern w:val="2"/>
      <w:sz w:val="21"/>
      <w:szCs w:val="24"/>
      <w:lang w:val="en-US" w:eastAsia="zh-CN" w:bidi="ar-SA"/>
    </w:rPr>
  </w:style>
  <w:style w:type="character" w:customStyle="1" w:styleId="111">
    <w:name w:val="标题 Char"/>
    <w:link w:val="50"/>
    <w:qFormat/>
    <w:uiPriority w:val="0"/>
    <w:rPr>
      <w:rFonts w:ascii="Cambria" w:hAnsi="Cambria" w:eastAsia="宋体"/>
      <w:b/>
      <w:bCs/>
      <w:kern w:val="2"/>
      <w:sz w:val="32"/>
      <w:szCs w:val="32"/>
      <w:lang w:val="en-US" w:eastAsia="zh-CN" w:bidi="ar-SA"/>
    </w:rPr>
  </w:style>
  <w:style w:type="character" w:customStyle="1" w:styleId="112">
    <w:name w:val="Char Char22"/>
    <w:autoRedefine/>
    <w:qFormat/>
    <w:uiPriority w:val="0"/>
    <w:rPr>
      <w:rFonts w:ascii="Arial" w:hAnsi="Arial" w:eastAsia="黑体"/>
      <w:b/>
      <w:bCs/>
      <w:kern w:val="44"/>
      <w:sz w:val="30"/>
      <w:szCs w:val="44"/>
      <w:lang w:val="en-US" w:eastAsia="zh-CN" w:bidi="ar-SA"/>
    </w:rPr>
  </w:style>
  <w:style w:type="character" w:customStyle="1" w:styleId="113">
    <w:name w:val="blue1"/>
    <w:basedOn w:val="54"/>
    <w:autoRedefine/>
    <w:qFormat/>
    <w:uiPriority w:val="0"/>
  </w:style>
  <w:style w:type="character" w:customStyle="1" w:styleId="114">
    <w:name w:val="样式 宋体"/>
    <w:autoRedefine/>
    <w:qFormat/>
    <w:uiPriority w:val="0"/>
    <w:rPr>
      <w:rFonts w:ascii="宋体" w:hAnsi="宋体" w:eastAsia="宋体"/>
      <w:sz w:val="24"/>
      <w:szCs w:val="24"/>
    </w:rPr>
  </w:style>
  <w:style w:type="character" w:customStyle="1" w:styleId="115">
    <w:name w:val="dandyren_title1"/>
    <w:autoRedefine/>
    <w:qFormat/>
    <w:uiPriority w:val="0"/>
    <w:rPr>
      <w:b/>
      <w:bCs/>
      <w:color w:val="FF6633"/>
      <w:sz w:val="18"/>
      <w:szCs w:val="18"/>
    </w:rPr>
  </w:style>
  <w:style w:type="character" w:customStyle="1" w:styleId="116">
    <w:name w:val="font21"/>
    <w:basedOn w:val="54"/>
    <w:autoRedefine/>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119">
    <w:name w:val="Footer-Even Char"/>
    <w:autoRedefine/>
    <w:qFormat/>
    <w:uiPriority w:val="0"/>
    <w:rPr>
      <w:sz w:val="18"/>
      <w:szCs w:val="18"/>
    </w:rPr>
  </w:style>
  <w:style w:type="character" w:customStyle="1" w:styleId="120">
    <w:name w:val="页脚 Char"/>
    <w:link w:val="37"/>
    <w:autoRedefine/>
    <w:qFormat/>
    <w:uiPriority w:val="0"/>
    <w:rPr>
      <w:rFonts w:eastAsia="宋体"/>
      <w:kern w:val="2"/>
      <w:sz w:val="18"/>
      <w:szCs w:val="18"/>
      <w:lang w:val="en-US" w:eastAsia="zh-CN" w:bidi="ar-SA"/>
    </w:rPr>
  </w:style>
  <w:style w:type="character" w:customStyle="1" w:styleId="121">
    <w:name w:val="style111"/>
    <w:autoRedefine/>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4"/>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autoRedefine/>
    <w:qFormat/>
    <w:uiPriority w:val="0"/>
    <w:rPr>
      <w:rFonts w:eastAsia="宋体"/>
      <w:kern w:val="2"/>
      <w:sz w:val="21"/>
      <w:szCs w:val="24"/>
      <w:lang w:val="en-US" w:eastAsia="zh-CN" w:bidi="ar-SA"/>
    </w:rPr>
  </w:style>
  <w:style w:type="character" w:customStyle="1" w:styleId="126">
    <w:name w:val="Char Char Char Char Char Char Char Char Char"/>
    <w:autoRedefine/>
    <w:qFormat/>
    <w:uiPriority w:val="0"/>
    <w:rPr>
      <w:rFonts w:ascii="宋体" w:hAnsi="Courier New" w:eastAsia="宋体"/>
      <w:sz w:val="21"/>
      <w:szCs w:val="21"/>
      <w:lang w:val="en-US" w:eastAsia="zh-CN" w:bidi="ar-SA"/>
    </w:rPr>
  </w:style>
  <w:style w:type="character" w:customStyle="1" w:styleId="127">
    <w:name w:val="heading 4 Char2"/>
    <w:autoRedefine/>
    <w:qFormat/>
    <w:uiPriority w:val="0"/>
    <w:rPr>
      <w:rFonts w:ascii="Cambria" w:hAnsi="Cambria"/>
      <w:b/>
      <w:bCs/>
      <w:kern w:val="2"/>
      <w:sz w:val="28"/>
      <w:szCs w:val="28"/>
    </w:rPr>
  </w:style>
  <w:style w:type="character" w:customStyle="1" w:styleId="128">
    <w:name w:val="heading 3 Char"/>
    <w:autoRedefine/>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autoRedefine/>
    <w:qFormat/>
    <w:uiPriority w:val="0"/>
    <w:rPr>
      <w:b/>
      <w:bCs/>
      <w:kern w:val="2"/>
      <w:sz w:val="28"/>
      <w:szCs w:val="28"/>
    </w:rPr>
  </w:style>
  <w:style w:type="character" w:customStyle="1" w:styleId="131">
    <w:name w:val="文档结构图 Char"/>
    <w:link w:val="17"/>
    <w:qFormat/>
    <w:uiPriority w:val="0"/>
    <w:rPr>
      <w:rFonts w:eastAsia="宋体"/>
      <w:kern w:val="2"/>
      <w:sz w:val="21"/>
      <w:szCs w:val="24"/>
      <w:lang w:val="en-US" w:eastAsia="zh-CN" w:bidi="ar-SA"/>
    </w:rPr>
  </w:style>
  <w:style w:type="character" w:customStyle="1" w:styleId="132">
    <w:name w:val="标题 5 Char"/>
    <w:link w:val="7"/>
    <w:autoRedefine/>
    <w:qFormat/>
    <w:uiPriority w:val="0"/>
    <w:rPr>
      <w:rFonts w:eastAsia="宋体"/>
      <w:b/>
      <w:bCs/>
      <w:sz w:val="28"/>
      <w:szCs w:val="28"/>
      <w:lang w:bidi="ar-SA"/>
    </w:rPr>
  </w:style>
  <w:style w:type="character" w:customStyle="1" w:styleId="133">
    <w:name w:val="日期 Char"/>
    <w:link w:val="34"/>
    <w:qFormat/>
    <w:uiPriority w:val="0"/>
    <w:rPr>
      <w:rFonts w:eastAsia="宋体"/>
      <w:kern w:val="2"/>
      <w:sz w:val="21"/>
      <w:szCs w:val="24"/>
      <w:lang w:val="en-US" w:eastAsia="zh-CN" w:bidi="ar-SA"/>
    </w:rPr>
  </w:style>
  <w:style w:type="character" w:customStyle="1" w:styleId="134">
    <w:name w:val="副标题 Char"/>
    <w:link w:val="42"/>
    <w:autoRedefine/>
    <w:qFormat/>
    <w:uiPriority w:val="0"/>
    <w:rPr>
      <w:rFonts w:ascii="Cambria" w:hAnsi="Cambria" w:eastAsia="宋体"/>
      <w:b/>
      <w:bCs/>
      <w:kern w:val="28"/>
      <w:sz w:val="32"/>
      <w:szCs w:val="32"/>
      <w:lang w:val="en-US" w:eastAsia="zh-CN" w:bidi="ar-SA"/>
    </w:rPr>
  </w:style>
  <w:style w:type="character" w:customStyle="1" w:styleId="135">
    <w:name w:val="页眉 Char"/>
    <w:link w:val="38"/>
    <w:autoRedefine/>
    <w:qFormat/>
    <w:uiPriority w:val="0"/>
    <w:rPr>
      <w:rFonts w:eastAsia="宋体"/>
      <w:kern w:val="2"/>
      <w:sz w:val="18"/>
      <w:szCs w:val="18"/>
      <w:lang w:val="en-US" w:eastAsia="zh-CN" w:bidi="ar-SA"/>
    </w:rPr>
  </w:style>
  <w:style w:type="character" w:customStyle="1" w:styleId="136">
    <w:name w:val="style13"/>
    <w:basedOn w:val="54"/>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autoRedefine/>
    <w:qFormat/>
    <w:uiPriority w:val="0"/>
    <w:rPr>
      <w:sz w:val="21"/>
      <w:lang w:val="en-US" w:eastAsia="en-US" w:bidi="ar-SA"/>
    </w:rPr>
  </w:style>
  <w:style w:type="paragraph" w:customStyle="1" w:styleId="139">
    <w:name w:val="Table Text"/>
    <w:basedOn w:val="1"/>
    <w:link w:val="138"/>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autoRedefine/>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4"/>
    <w:autoRedefine/>
    <w:qFormat/>
    <w:uiPriority w:val="0"/>
    <w:rPr>
      <w:rFonts w:eastAsia="宋体"/>
      <w:kern w:val="2"/>
      <w:sz w:val="24"/>
      <w:szCs w:val="24"/>
      <w:lang w:val="en-US" w:eastAsia="zh-CN" w:bidi="ar-SA"/>
    </w:rPr>
  </w:style>
  <w:style w:type="character" w:customStyle="1" w:styleId="145">
    <w:name w:val="不明显强调1"/>
    <w:autoRedefine/>
    <w:qFormat/>
    <w:uiPriority w:val="0"/>
    <w:rPr>
      <w:i/>
      <w:iCs/>
      <w:color w:val="808080"/>
    </w:rPr>
  </w:style>
  <w:style w:type="character" w:customStyle="1" w:styleId="146">
    <w:name w:val="正文文本缩进 3 Char"/>
    <w:link w:val="45"/>
    <w:qFormat/>
    <w:uiPriority w:val="0"/>
    <w:rPr>
      <w:rFonts w:eastAsia="宋体"/>
      <w:kern w:val="2"/>
      <w:sz w:val="24"/>
      <w:szCs w:val="24"/>
      <w:lang w:val="en-US" w:eastAsia="zh-CN" w:bidi="ar-SA"/>
    </w:rPr>
  </w:style>
  <w:style w:type="character" w:customStyle="1" w:styleId="147">
    <w:name w:val="heading 5 Char"/>
    <w:autoRedefine/>
    <w:qFormat/>
    <w:uiPriority w:val="0"/>
    <w:rPr>
      <w:rFonts w:ascii="Arial" w:hAnsi="Arial" w:eastAsia="黑体"/>
      <w:sz w:val="21"/>
      <w:szCs w:val="21"/>
    </w:rPr>
  </w:style>
  <w:style w:type="character" w:customStyle="1" w:styleId="148">
    <w:name w:val="Style3"/>
    <w:autoRedefine/>
    <w:qFormat/>
    <w:uiPriority w:val="0"/>
    <w:rPr>
      <w:rFonts w:ascii="Calibri" w:hAnsi="宋体" w:eastAsia="宋体" w:cs="Times New Roman"/>
      <w:szCs w:val="22"/>
      <w:lang w:eastAsia="zh-CN"/>
    </w:rPr>
  </w:style>
  <w:style w:type="character" w:customStyle="1" w:styleId="149">
    <w:name w:val="标题 4 Char"/>
    <w:link w:val="2"/>
    <w:autoRedefine/>
    <w:qFormat/>
    <w:uiPriority w:val="0"/>
    <w:rPr>
      <w:rFonts w:eastAsia="宋体"/>
      <w:kern w:val="2"/>
      <w:sz w:val="28"/>
      <w:szCs w:val="28"/>
      <w:lang w:val="en-US" w:eastAsia="zh-CN" w:bidi="ar-SA"/>
    </w:rPr>
  </w:style>
  <w:style w:type="character" w:customStyle="1" w:styleId="150">
    <w:name w:val="Char Char241"/>
    <w:autoRedefine/>
    <w:qFormat/>
    <w:uiPriority w:val="0"/>
    <w:rPr>
      <w:rFonts w:eastAsia="宋体"/>
      <w:b/>
      <w:kern w:val="2"/>
      <w:sz w:val="28"/>
      <w:lang w:val="en-US" w:eastAsia="zh-CN" w:bidi="ar-SA"/>
    </w:rPr>
  </w:style>
  <w:style w:type="character" w:customStyle="1" w:styleId="151">
    <w:name w:val="批注框文本 Char"/>
    <w:link w:val="36"/>
    <w:qFormat/>
    <w:uiPriority w:val="0"/>
    <w:rPr>
      <w:rFonts w:eastAsia="宋体"/>
      <w:kern w:val="2"/>
      <w:sz w:val="18"/>
      <w:szCs w:val="18"/>
      <w:lang w:val="en-US" w:eastAsia="zh-CN" w:bidi="ar-SA"/>
    </w:rPr>
  </w:style>
  <w:style w:type="character" w:customStyle="1" w:styleId="152">
    <w:name w:val="标题 3 Char"/>
    <w:link w:val="6"/>
    <w:autoRedefine/>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9"/>
    <w:autoRedefine/>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autoRedefine/>
    <w:qFormat/>
    <w:uiPriority w:val="0"/>
    <w:rPr>
      <w:sz w:val="15"/>
      <w:szCs w:val="15"/>
    </w:rPr>
  </w:style>
  <w:style w:type="character" w:customStyle="1" w:styleId="157">
    <w:name w:val="Char Char271"/>
    <w:autoRedefine/>
    <w:qFormat/>
    <w:uiPriority w:val="0"/>
    <w:rPr>
      <w:rFonts w:eastAsia="宋体"/>
      <w:kern w:val="2"/>
      <w:sz w:val="28"/>
      <w:lang w:val="en-US" w:eastAsia="zh-CN" w:bidi="ar-SA"/>
    </w:rPr>
  </w:style>
  <w:style w:type="character" w:customStyle="1" w:styleId="158">
    <w:name w:val="表格 Char Char"/>
    <w:link w:val="159"/>
    <w:autoRedefine/>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autoRedefine/>
    <w:qFormat/>
    <w:uiPriority w:val="0"/>
    <w:rPr>
      <w:i/>
      <w:iCs/>
      <w:color w:val="808080"/>
    </w:rPr>
  </w:style>
  <w:style w:type="character" w:customStyle="1" w:styleId="163">
    <w:name w:val="标题 9 Char"/>
    <w:link w:val="12"/>
    <w:autoRedefine/>
    <w:qFormat/>
    <w:uiPriority w:val="0"/>
    <w:rPr>
      <w:rFonts w:ascii="Arial" w:hAnsi="Arial" w:eastAsia="黑体"/>
      <w:kern w:val="2"/>
      <w:sz w:val="21"/>
      <w:lang w:val="en-US" w:eastAsia="zh-CN" w:bidi="ar-SA"/>
    </w:rPr>
  </w:style>
  <w:style w:type="character" w:customStyle="1" w:styleId="164">
    <w:name w:val="正文文本 Char"/>
    <w:link w:val="21"/>
    <w:qFormat/>
    <w:uiPriority w:val="0"/>
    <w:rPr>
      <w:rFonts w:ascii="仿宋_GB2312" w:eastAsia="宋体"/>
      <w:b/>
      <w:kern w:val="2"/>
      <w:sz w:val="21"/>
      <w:szCs w:val="24"/>
      <w:lang w:val="en-US" w:eastAsia="zh-CN" w:bidi="ar-SA"/>
    </w:rPr>
  </w:style>
  <w:style w:type="character" w:customStyle="1" w:styleId="165">
    <w:name w:val="明显引用 Char"/>
    <w:link w:val="166"/>
    <w:autoRedefine/>
    <w:qFormat/>
    <w:uiPriority w:val="0"/>
    <w:rPr>
      <w:rFonts w:ascii="Calibri" w:hAnsi="Calibri" w:eastAsia="宋体"/>
      <w:b/>
      <w:bCs/>
      <w:i/>
      <w:iCs/>
      <w:color w:val="4F81BD"/>
      <w:lang w:val="en-US" w:eastAsia="zh-CN" w:bidi="ar-SA"/>
    </w:rPr>
  </w:style>
  <w:style w:type="paragraph" w:styleId="166">
    <w:name w:val="Intense Quote"/>
    <w:basedOn w:val="1"/>
    <w:next w:val="1"/>
    <w:link w:val="165"/>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autoRedefine/>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autoRedefine/>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autoRedefine/>
    <w:qFormat/>
    <w:uiPriority w:val="0"/>
    <w:rPr>
      <w:rFonts w:ascii="Arial" w:hAnsi="Arial" w:eastAsia="黑体"/>
      <w:sz w:val="24"/>
      <w:lang w:val="en-US" w:eastAsia="zh-CN" w:bidi="ar-SA"/>
    </w:rPr>
  </w:style>
  <w:style w:type="character" w:customStyle="1" w:styleId="172">
    <w:name w:val="heading 9 Char1"/>
    <w:autoRedefine/>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autoRedefine/>
    <w:qFormat/>
    <w:uiPriority w:val="0"/>
    <w:rPr>
      <w:rFonts w:ascii="Cambria" w:hAnsi="Cambria" w:eastAsia="宋体"/>
      <w:b/>
      <w:bCs/>
      <w:sz w:val="32"/>
      <w:szCs w:val="32"/>
      <w:lang w:bidi="ar-SA"/>
    </w:rPr>
  </w:style>
  <w:style w:type="character" w:customStyle="1" w:styleId="176">
    <w:name w:val="标题 8 Char"/>
    <w:link w:val="11"/>
    <w:autoRedefine/>
    <w:qFormat/>
    <w:uiPriority w:val="0"/>
    <w:rPr>
      <w:rFonts w:ascii="Arial" w:hAnsi="Arial" w:eastAsia="黑体"/>
      <w:kern w:val="2"/>
      <w:sz w:val="24"/>
      <w:lang w:val="en-US" w:eastAsia="zh-CN" w:bidi="ar-SA"/>
    </w:rPr>
  </w:style>
  <w:style w:type="character" w:customStyle="1" w:styleId="177">
    <w:name w:val="Char Char11"/>
    <w:autoRedefine/>
    <w:qFormat/>
    <w:uiPriority w:val="0"/>
    <w:rPr>
      <w:rFonts w:ascii="Times New Roman" w:hAnsi="Times New Roman" w:eastAsia="宋体" w:cs="Times New Roman"/>
      <w:sz w:val="18"/>
      <w:szCs w:val="18"/>
    </w:rPr>
  </w:style>
  <w:style w:type="character" w:customStyle="1" w:styleId="178">
    <w:name w:val="正文文本缩进 2 Char"/>
    <w:link w:val="35"/>
    <w:autoRedefine/>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autoRedefine/>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autoRedefine/>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autoRedefine/>
    <w:qFormat/>
    <w:uiPriority w:val="0"/>
    <w:rPr>
      <w:rFonts w:ascii="Arial" w:hAnsi="Arial" w:eastAsia="黑体" w:cs="Times New Roman"/>
      <w:sz w:val="21"/>
      <w:szCs w:val="21"/>
    </w:rPr>
  </w:style>
  <w:style w:type="character" w:customStyle="1" w:styleId="186">
    <w:name w:val="Char Char20"/>
    <w:autoRedefine/>
    <w:qFormat/>
    <w:uiPriority w:val="0"/>
    <w:rPr>
      <w:b/>
      <w:bCs/>
      <w:kern w:val="44"/>
      <w:sz w:val="44"/>
      <w:szCs w:val="44"/>
    </w:rPr>
  </w:style>
  <w:style w:type="character" w:customStyle="1" w:styleId="187">
    <w:name w:val="heading 1 Char2"/>
    <w:autoRedefine/>
    <w:qFormat/>
    <w:uiPriority w:val="0"/>
    <w:rPr>
      <w:b/>
      <w:bCs/>
      <w:kern w:val="44"/>
      <w:sz w:val="44"/>
      <w:szCs w:val="44"/>
    </w:rPr>
  </w:style>
  <w:style w:type="character" w:customStyle="1" w:styleId="188">
    <w:name w:val="font11"/>
    <w:autoRedefine/>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autoRedefine/>
    <w:qFormat/>
    <w:uiPriority w:val="0"/>
    <w:rPr>
      <w:rFonts w:ascii="Calibri" w:hAnsi="Calibri" w:eastAsia="宋体"/>
      <w:i/>
      <w:iCs/>
      <w:color w:val="000000"/>
      <w:lang w:val="en-US" w:eastAsia="zh-CN" w:bidi="ar-SA"/>
    </w:rPr>
  </w:style>
  <w:style w:type="paragraph" w:styleId="191">
    <w:name w:val="Quote"/>
    <w:basedOn w:val="1"/>
    <w:next w:val="1"/>
    <w:link w:val="190"/>
    <w:autoRedefine/>
    <w:qFormat/>
    <w:uiPriority w:val="0"/>
    <w:rPr>
      <w:rFonts w:ascii="Calibri" w:hAnsi="Calibri"/>
      <w:i/>
      <w:iCs/>
      <w:color w:val="000000"/>
      <w:kern w:val="0"/>
      <w:sz w:val="20"/>
      <w:szCs w:val="20"/>
    </w:rPr>
  </w:style>
  <w:style w:type="character" w:customStyle="1" w:styleId="192">
    <w:name w:val="纯文本 Char"/>
    <w:link w:val="31"/>
    <w:qFormat/>
    <w:uiPriority w:val="0"/>
    <w:rPr>
      <w:rFonts w:ascii="宋体" w:hAnsi="Courier New" w:eastAsia="宋体"/>
      <w:b/>
      <w:sz w:val="21"/>
      <w:szCs w:val="21"/>
      <w:lang w:val="en-US" w:eastAsia="zh-CN" w:bidi="ar-SA"/>
    </w:rPr>
  </w:style>
  <w:style w:type="character" w:customStyle="1" w:styleId="193">
    <w:name w:val="Char Char19"/>
    <w:autoRedefine/>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2"/>
    <w:qFormat/>
    <w:uiPriority w:val="0"/>
    <w:rPr>
      <w:rFonts w:eastAsia="宋体"/>
      <w:lang w:val="en-US" w:eastAsia="zh-CN" w:bidi="ar-SA"/>
    </w:rPr>
  </w:style>
  <w:style w:type="character" w:customStyle="1" w:styleId="197">
    <w:name w:val="smalltxt1"/>
    <w:autoRedefine/>
    <w:qFormat/>
    <w:uiPriority w:val="0"/>
    <w:rPr>
      <w:rFonts w:hint="default" w:ascii="ˎ̥" w:hAnsi="ˎ̥"/>
      <w:sz w:val="24"/>
      <w:szCs w:val="24"/>
    </w:rPr>
  </w:style>
  <w:style w:type="character" w:customStyle="1" w:styleId="198">
    <w:name w:val="正文文本 2 Char"/>
    <w:basedOn w:val="54"/>
    <w:link w:val="48"/>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autoRedefine/>
    <w:qFormat/>
    <w:uiPriority w:val="0"/>
    <w:pPr>
      <w:spacing w:line="240" w:lineRule="atLeast"/>
      <w:jc w:val="center"/>
    </w:pPr>
    <w:rPr>
      <w:rFonts w:ascii="Arial" w:hAnsi="Arial" w:cs="Arial"/>
      <w:b/>
      <w:bCs/>
    </w:rPr>
  </w:style>
  <w:style w:type="paragraph" w:customStyle="1" w:styleId="202">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autoRedefine/>
    <w:qFormat/>
    <w:uiPriority w:val="0"/>
    <w:rPr>
      <w:rFonts w:ascii="仿宋_GB2312" w:eastAsia="仿宋_GB2312"/>
      <w:b/>
      <w:sz w:val="32"/>
      <w:szCs w:val="32"/>
    </w:rPr>
  </w:style>
  <w:style w:type="paragraph" w:customStyle="1" w:styleId="2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7"/>
    <w:autoRedefine/>
    <w:qFormat/>
    <w:uiPriority w:val="0"/>
    <w:rPr>
      <w:rFonts w:ascii="Tahoma" w:hAnsi="Tahoma"/>
      <w:sz w:val="24"/>
    </w:rPr>
  </w:style>
  <w:style w:type="paragraph" w:customStyle="1" w:styleId="218">
    <w:name w:val="正文 首行缩进:  2 字符 Char"/>
    <w:basedOn w:val="1"/>
    <w:autoRedefine/>
    <w:qFormat/>
    <w:uiPriority w:val="0"/>
    <w:pPr>
      <w:spacing w:line="360" w:lineRule="auto"/>
      <w:ind w:firstLine="480"/>
    </w:pPr>
    <w:rPr>
      <w:rFonts w:cs="宋体"/>
      <w:sz w:val="24"/>
      <w:szCs w:val="20"/>
    </w:rPr>
  </w:style>
  <w:style w:type="paragraph" w:customStyle="1" w:styleId="219">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1"/>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4"/>
    <w:qFormat/>
    <w:uiPriority w:val="0"/>
    <w:rPr>
      <w:rFonts w:hint="eastAsia" w:ascii="宋体" w:hAnsi="宋体" w:eastAsia="宋体" w:cs="宋体"/>
      <w:color w:val="000000"/>
      <w:sz w:val="24"/>
      <w:szCs w:val="24"/>
      <w:u w:val="single"/>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341">
    <w:name w:val="正文文本1"/>
    <w:basedOn w:val="1"/>
    <w:qFormat/>
    <w:uiPriority w:val="0"/>
    <w:pPr>
      <w:spacing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57</Pages>
  <Words>26619</Words>
  <Characters>27875</Characters>
  <Lines>322</Lines>
  <Paragraphs>90</Paragraphs>
  <TotalTime>2</TotalTime>
  <ScaleCrop>false</ScaleCrop>
  <LinksUpToDate>false</LinksUpToDate>
  <CharactersWithSpaces>29606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2025-06-18T03:08:33Z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BC1BA64C697642BF92F420CC9F67FF35</vt:lpwstr>
  </property>
  <property fmtid="{D5CDD505-2E9C-101B-9397-08002B2CF9AE}" pid="4" name="KSOTemplateDocerSaveRecord">
    <vt:lpwstr>eyJoZGlkIjoiNTg3NGFkZWM5NThlZmRiMDI3MjA2Y2MyZGFiOGJhYTAiLCJ1c2VySWQiOiIxNDgxMzEyODcxIn0=</vt:lpwstr>
  </property>
</Properties>
</file>