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B9C6B">
      <w:pPr>
        <w:pStyle w:val="18"/>
        <w:spacing w:line="360" w:lineRule="auto"/>
        <w:rPr>
          <w:rFonts w:ascii="Times New Roman" w:hAnsi="Times New Roman" w:cs="Times New Roman"/>
          <w:sz w:val="20"/>
        </w:rPr>
      </w:pPr>
    </w:p>
    <w:p w14:paraId="7C03F7E4">
      <w:pPr>
        <w:pStyle w:val="18"/>
        <w:spacing w:before="9" w:line="360" w:lineRule="auto"/>
        <w:rPr>
          <w:rFonts w:ascii="Times New Roman" w:hAnsi="Times New Roman" w:cs="Times New Roman"/>
          <w:sz w:val="24"/>
        </w:rPr>
      </w:pPr>
    </w:p>
    <w:p w14:paraId="1C577C94">
      <w:pPr>
        <w:spacing w:before="42" w:line="360" w:lineRule="auto"/>
        <w:ind w:left="-2" w:right="-120" w:firstLine="2"/>
        <w:jc w:val="center"/>
        <w:rPr>
          <w:rFonts w:ascii="Times New Roman" w:hAnsi="Times New Roman" w:cs="Times New Roman"/>
          <w:b/>
          <w:sz w:val="30"/>
          <w:szCs w:val="30"/>
        </w:rPr>
      </w:pPr>
      <w:r>
        <w:rPr>
          <w:rFonts w:hint="eastAsia" w:ascii="Times New Roman" w:hAnsi="Times New Roman" w:cs="Times New Roman"/>
          <w:b/>
          <w:sz w:val="30"/>
          <w:szCs w:val="30"/>
        </w:rPr>
        <w:t>泛半导体产业园二、四期园区安装充电桩采购</w:t>
      </w:r>
    </w:p>
    <w:p w14:paraId="18E7BB22">
      <w:pPr>
        <w:pStyle w:val="18"/>
        <w:spacing w:before="7" w:line="360" w:lineRule="auto"/>
        <w:rPr>
          <w:rFonts w:ascii="Times New Roman" w:hAnsi="Times New Roman" w:cs="Times New Roman"/>
          <w:b/>
          <w:sz w:val="47"/>
        </w:rPr>
      </w:pPr>
    </w:p>
    <w:p w14:paraId="76EAA0DA">
      <w:pPr>
        <w:spacing w:line="360" w:lineRule="auto"/>
        <w:ind w:left="716" w:right="501"/>
        <w:jc w:val="center"/>
        <w:rPr>
          <w:rFonts w:ascii="Times New Roman" w:hAnsi="Times New Roman" w:cs="Times New Roman"/>
          <w:b/>
          <w:sz w:val="36"/>
        </w:rPr>
      </w:pPr>
      <w:r>
        <w:rPr>
          <w:rFonts w:ascii="Times New Roman" w:hAnsi="Times New Roman" w:cs="Times New Roman"/>
          <w:b/>
          <w:sz w:val="36"/>
        </w:rPr>
        <w:t xml:space="preserve">（ </w:t>
      </w:r>
      <w:r>
        <w:rPr>
          <w:rFonts w:hint="eastAsia" w:ascii="Times New Roman" w:hAnsi="Times New Roman" w:cs="Times New Roman"/>
          <w:b/>
          <w:sz w:val="36"/>
        </w:rPr>
        <w:t>国企采购项目</w:t>
      </w:r>
      <w:r>
        <w:rPr>
          <w:rFonts w:ascii="Times New Roman" w:hAnsi="Times New Roman" w:cs="Times New Roman"/>
          <w:b/>
          <w:sz w:val="36"/>
        </w:rPr>
        <w:t>）</w:t>
      </w:r>
    </w:p>
    <w:p w14:paraId="05CD611F">
      <w:pPr>
        <w:pStyle w:val="18"/>
        <w:spacing w:line="360" w:lineRule="auto"/>
        <w:rPr>
          <w:rFonts w:ascii="Times New Roman" w:hAnsi="Times New Roman" w:cs="Times New Roman"/>
          <w:b/>
          <w:sz w:val="36"/>
        </w:rPr>
      </w:pPr>
    </w:p>
    <w:p w14:paraId="36DF3009">
      <w:pPr>
        <w:pStyle w:val="18"/>
        <w:spacing w:before="7" w:line="360" w:lineRule="auto"/>
        <w:rPr>
          <w:rFonts w:ascii="Times New Roman" w:hAnsi="Times New Roman" w:cs="Times New Roman"/>
          <w:b/>
          <w:sz w:val="51"/>
        </w:rPr>
      </w:pPr>
    </w:p>
    <w:p w14:paraId="5115F8CF">
      <w:pPr>
        <w:spacing w:line="360" w:lineRule="auto"/>
        <w:ind w:left="49"/>
        <w:jc w:val="center"/>
        <w:rPr>
          <w:rFonts w:ascii="Times New Roman" w:hAnsi="Times New Roman" w:cs="Times New Roman"/>
          <w:b/>
          <w:sz w:val="84"/>
        </w:rPr>
      </w:pPr>
      <w:r>
        <w:rPr>
          <w:rFonts w:ascii="Times New Roman" w:hAnsi="Times New Roman" w:cs="Times New Roman"/>
          <w:b/>
          <w:spacing w:val="151"/>
          <w:sz w:val="84"/>
        </w:rPr>
        <w:t>招标文件</w:t>
      </w:r>
    </w:p>
    <w:p w14:paraId="3B653EF4">
      <w:pPr>
        <w:pStyle w:val="18"/>
        <w:spacing w:before="3" w:line="360" w:lineRule="auto"/>
        <w:rPr>
          <w:rFonts w:ascii="Times New Roman" w:hAnsi="Times New Roman" w:cs="Times New Roman"/>
          <w:b/>
          <w:sz w:val="18"/>
          <w:szCs w:val="18"/>
        </w:rPr>
      </w:pPr>
    </w:p>
    <w:p w14:paraId="7679CE66">
      <w:pPr>
        <w:pStyle w:val="18"/>
        <w:spacing w:before="3" w:line="360" w:lineRule="auto"/>
        <w:rPr>
          <w:rFonts w:ascii="Times New Roman" w:hAnsi="Times New Roman" w:cs="Times New Roman"/>
          <w:b/>
          <w:sz w:val="18"/>
          <w:szCs w:val="18"/>
        </w:rPr>
      </w:pPr>
    </w:p>
    <w:p w14:paraId="5FE17E68">
      <w:pPr>
        <w:pStyle w:val="18"/>
        <w:spacing w:before="3" w:line="360" w:lineRule="auto"/>
        <w:rPr>
          <w:rFonts w:ascii="Times New Roman" w:hAnsi="Times New Roman" w:cs="Times New Roman"/>
          <w:b/>
          <w:sz w:val="18"/>
          <w:szCs w:val="18"/>
        </w:rPr>
      </w:pPr>
    </w:p>
    <w:p w14:paraId="4B233E38">
      <w:pPr>
        <w:pStyle w:val="18"/>
        <w:spacing w:before="3" w:line="360" w:lineRule="auto"/>
        <w:rPr>
          <w:rFonts w:ascii="Times New Roman" w:hAnsi="Times New Roman" w:cs="Times New Roman"/>
          <w:b/>
          <w:sz w:val="18"/>
          <w:szCs w:val="18"/>
        </w:rPr>
      </w:pPr>
    </w:p>
    <w:p w14:paraId="3E47B1F4">
      <w:pPr>
        <w:pStyle w:val="18"/>
        <w:spacing w:before="3" w:line="360" w:lineRule="auto"/>
        <w:rPr>
          <w:rFonts w:ascii="Times New Roman" w:hAnsi="Times New Roman" w:cs="Times New Roman"/>
          <w:b/>
          <w:sz w:val="18"/>
          <w:szCs w:val="18"/>
        </w:rPr>
      </w:pPr>
    </w:p>
    <w:p w14:paraId="253F5747">
      <w:pPr>
        <w:pStyle w:val="18"/>
        <w:spacing w:before="3" w:line="360" w:lineRule="auto"/>
        <w:rPr>
          <w:rFonts w:ascii="Times New Roman" w:hAnsi="Times New Roman" w:cs="Times New Roman"/>
          <w:b/>
          <w:sz w:val="18"/>
          <w:szCs w:val="18"/>
        </w:rPr>
      </w:pPr>
    </w:p>
    <w:p w14:paraId="38901CA0">
      <w:pPr>
        <w:pStyle w:val="18"/>
        <w:spacing w:before="3" w:line="360" w:lineRule="auto"/>
        <w:rPr>
          <w:rFonts w:ascii="Times New Roman" w:hAnsi="Times New Roman" w:cs="Times New Roman"/>
          <w:b/>
          <w:sz w:val="18"/>
          <w:szCs w:val="18"/>
        </w:rPr>
      </w:pPr>
    </w:p>
    <w:p w14:paraId="0E13285B">
      <w:pPr>
        <w:pStyle w:val="18"/>
        <w:spacing w:before="3" w:line="360" w:lineRule="auto"/>
        <w:rPr>
          <w:rFonts w:ascii="Times New Roman" w:hAnsi="Times New Roman" w:cs="Times New Roman"/>
          <w:b/>
          <w:sz w:val="18"/>
          <w:szCs w:val="18"/>
        </w:rPr>
      </w:pPr>
    </w:p>
    <w:p w14:paraId="7341DF26">
      <w:pPr>
        <w:pStyle w:val="18"/>
        <w:spacing w:before="3" w:line="360" w:lineRule="auto"/>
        <w:rPr>
          <w:rFonts w:ascii="Times New Roman" w:hAnsi="Times New Roman" w:cs="Times New Roman"/>
          <w:b/>
          <w:sz w:val="18"/>
          <w:szCs w:val="18"/>
        </w:rPr>
      </w:pPr>
    </w:p>
    <w:p w14:paraId="68803DEA">
      <w:pPr>
        <w:pStyle w:val="18"/>
        <w:spacing w:before="3" w:line="360" w:lineRule="auto"/>
        <w:rPr>
          <w:rFonts w:ascii="Times New Roman" w:hAnsi="Times New Roman" w:cs="Times New Roman"/>
          <w:b/>
          <w:sz w:val="18"/>
          <w:szCs w:val="18"/>
        </w:rPr>
      </w:pPr>
    </w:p>
    <w:p w14:paraId="37A44CF1">
      <w:pPr>
        <w:spacing w:line="360" w:lineRule="auto"/>
        <w:ind w:left="-4" w:leftChars="-2" w:firstLine="483" w:firstLineChars="151"/>
        <w:rPr>
          <w:rFonts w:ascii="Times New Roman" w:hAnsi="Times New Roman" w:cs="Times New Roman"/>
          <w:sz w:val="32"/>
        </w:rPr>
      </w:pPr>
      <w:r>
        <w:rPr>
          <w:rFonts w:ascii="Times New Roman" w:hAnsi="Times New Roman" w:cs="Times New Roman"/>
          <w:sz w:val="32"/>
        </w:rPr>
        <w:t>项目编号：</w:t>
      </w:r>
      <w:r>
        <w:rPr>
          <w:rFonts w:hint="eastAsia" w:ascii="Times New Roman" w:hAnsi="Times New Roman" w:cs="Times New Roman"/>
          <w:sz w:val="32"/>
        </w:rPr>
        <w:t>XYCG2025009</w:t>
      </w:r>
    </w:p>
    <w:p w14:paraId="6737C627">
      <w:pPr>
        <w:spacing w:line="360" w:lineRule="auto"/>
        <w:ind w:left="-4" w:leftChars="-2" w:firstLine="483" w:firstLineChars="151"/>
        <w:rPr>
          <w:rFonts w:ascii="Times New Roman" w:hAnsi="Times New Roman" w:cs="Times New Roman"/>
          <w:sz w:val="32"/>
        </w:rPr>
      </w:pPr>
      <w:r>
        <w:rPr>
          <w:rFonts w:ascii="Times New Roman" w:hAnsi="Times New Roman" w:cs="Times New Roman"/>
          <w:sz w:val="32"/>
        </w:rPr>
        <w:t>项目名称：</w:t>
      </w:r>
      <w:r>
        <w:rPr>
          <w:rFonts w:hint="eastAsia" w:ascii="Times New Roman" w:hAnsi="Times New Roman" w:cs="Times New Roman"/>
          <w:sz w:val="32"/>
        </w:rPr>
        <w:t>泛半导体产业园二、四期园区安装充电桩采购</w:t>
      </w:r>
    </w:p>
    <w:p w14:paraId="0D44EF9A">
      <w:pPr>
        <w:spacing w:line="360" w:lineRule="auto"/>
        <w:ind w:left="-4" w:leftChars="-2" w:firstLine="483" w:firstLineChars="151"/>
        <w:rPr>
          <w:rFonts w:ascii="Times New Roman" w:hAnsi="Times New Roman" w:cs="Times New Roman"/>
          <w:sz w:val="32"/>
        </w:rPr>
      </w:pPr>
      <w:r>
        <w:rPr>
          <w:rFonts w:ascii="Times New Roman" w:hAnsi="Times New Roman" w:cs="Times New Roman"/>
          <w:sz w:val="32"/>
        </w:rPr>
        <w:t>采购方式：公开招标</w:t>
      </w:r>
    </w:p>
    <w:p w14:paraId="1702781A">
      <w:pPr>
        <w:spacing w:line="360" w:lineRule="auto"/>
        <w:ind w:left="-4" w:leftChars="-2" w:firstLine="483" w:firstLineChars="151"/>
        <w:rPr>
          <w:rFonts w:ascii="Times New Roman" w:hAnsi="Times New Roman" w:cs="Times New Roman"/>
          <w:sz w:val="32"/>
        </w:rPr>
      </w:pPr>
      <w:r>
        <w:rPr>
          <w:rFonts w:ascii="Times New Roman" w:hAnsi="Times New Roman" w:cs="Times New Roman"/>
          <w:sz w:val="32"/>
        </w:rPr>
        <w:t>采 购 人：</w:t>
      </w:r>
      <w:r>
        <w:rPr>
          <w:rFonts w:hint="eastAsia" w:ascii="Times New Roman" w:hAnsi="Times New Roman" w:cs="Times New Roman"/>
          <w:sz w:val="32"/>
        </w:rPr>
        <w:t>海宁市合创开发建设有限公司</w:t>
      </w:r>
    </w:p>
    <w:p w14:paraId="6FF8E0EE">
      <w:pPr>
        <w:spacing w:line="360" w:lineRule="auto"/>
        <w:ind w:left="-4" w:leftChars="-2" w:firstLine="483" w:firstLineChars="151"/>
        <w:rPr>
          <w:rFonts w:ascii="Times New Roman" w:hAnsi="Times New Roman" w:cs="Times New Roman"/>
          <w:sz w:val="32"/>
        </w:rPr>
      </w:pPr>
      <w:r>
        <w:rPr>
          <w:rFonts w:hint="eastAsia" w:ascii="Times New Roman" w:hAnsi="Times New Roman" w:cs="Times New Roman"/>
          <w:sz w:val="32"/>
          <w:lang w:val="en-US"/>
        </w:rPr>
        <w:t xml:space="preserve">                  </w:t>
      </w:r>
      <w:r>
        <w:rPr>
          <w:rFonts w:hint="eastAsia" w:ascii="Times New Roman" w:hAnsi="Times New Roman" w:cs="Times New Roman"/>
          <w:sz w:val="32"/>
        </w:rPr>
        <w:t>海宁经开产业园区开发建设有限公司</w:t>
      </w:r>
    </w:p>
    <w:p w14:paraId="5C9946EE">
      <w:pPr>
        <w:spacing w:line="360" w:lineRule="auto"/>
        <w:ind w:left="-4" w:leftChars="-2" w:firstLine="483" w:firstLineChars="151"/>
        <w:rPr>
          <w:rFonts w:ascii="Times New Roman" w:hAnsi="Times New Roman" w:cs="Times New Roman"/>
          <w:sz w:val="32"/>
        </w:rPr>
      </w:pPr>
      <w:r>
        <w:rPr>
          <w:rFonts w:ascii="Times New Roman" w:hAnsi="Times New Roman" w:cs="Times New Roman"/>
          <w:sz w:val="32"/>
        </w:rPr>
        <w:t>代理机构：</w:t>
      </w:r>
      <w:r>
        <w:rPr>
          <w:rFonts w:hint="eastAsia" w:ascii="Times New Roman" w:hAnsi="Times New Roman" w:cs="Times New Roman"/>
          <w:sz w:val="32"/>
        </w:rPr>
        <w:t>浙江信益工程管理有限公司</w:t>
      </w:r>
    </w:p>
    <w:p w14:paraId="597AC781">
      <w:pPr>
        <w:spacing w:line="360" w:lineRule="auto"/>
        <w:ind w:left="-4" w:leftChars="-2" w:firstLine="483" w:firstLineChars="151"/>
        <w:rPr>
          <w:rFonts w:ascii="Times New Roman" w:hAnsi="Times New Roman" w:cs="Times New Roman"/>
          <w:sz w:val="32"/>
        </w:rPr>
      </w:pPr>
      <w:r>
        <w:rPr>
          <w:rFonts w:ascii="Times New Roman" w:hAnsi="Times New Roman" w:cs="Times New Roman"/>
          <w:sz w:val="32"/>
        </w:rPr>
        <w:t>时 间：二〇二</w:t>
      </w:r>
      <w:r>
        <w:rPr>
          <w:rFonts w:hint="eastAsia" w:ascii="Times New Roman" w:hAnsi="Times New Roman" w:cs="Times New Roman"/>
          <w:sz w:val="32"/>
        </w:rPr>
        <w:t>五</w:t>
      </w:r>
      <w:r>
        <w:rPr>
          <w:rFonts w:ascii="Times New Roman" w:hAnsi="Times New Roman" w:cs="Times New Roman"/>
          <w:sz w:val="32"/>
        </w:rPr>
        <w:t>年</w:t>
      </w:r>
      <w:r>
        <w:rPr>
          <w:rFonts w:hint="eastAsia" w:ascii="Times New Roman" w:hAnsi="Times New Roman" w:cs="Times New Roman"/>
          <w:sz w:val="32"/>
        </w:rPr>
        <w:t>五</w:t>
      </w:r>
      <w:r>
        <w:rPr>
          <w:rFonts w:ascii="Times New Roman" w:hAnsi="Times New Roman" w:cs="Times New Roman"/>
          <w:sz w:val="32"/>
        </w:rPr>
        <w:t>月</w:t>
      </w:r>
    </w:p>
    <w:p w14:paraId="280B0A67">
      <w:pPr>
        <w:spacing w:line="360" w:lineRule="auto"/>
        <w:ind w:left="-4" w:leftChars="-252" w:hanging="550" w:hangingChars="172"/>
        <w:jc w:val="both"/>
        <w:rPr>
          <w:rFonts w:ascii="Times New Roman" w:hAnsi="Times New Roman" w:cs="Times New Roman"/>
          <w:sz w:val="32"/>
        </w:rPr>
        <w:sectPr>
          <w:headerReference r:id="rId3" w:type="default"/>
          <w:type w:val="continuous"/>
          <w:pgSz w:w="11910" w:h="16850"/>
          <w:pgMar w:top="1200" w:right="1350" w:bottom="1100" w:left="960" w:header="720" w:footer="720" w:gutter="600"/>
          <w:cols w:space="720" w:num="1"/>
        </w:sectPr>
      </w:pPr>
    </w:p>
    <w:p w14:paraId="45DB95D8">
      <w:pPr>
        <w:pStyle w:val="18"/>
        <w:spacing w:line="360" w:lineRule="auto"/>
        <w:rPr>
          <w:rFonts w:ascii="Times New Roman" w:hAnsi="Times New Roman" w:cs="Times New Roman"/>
          <w:sz w:val="20"/>
        </w:rPr>
      </w:pPr>
    </w:p>
    <w:p w14:paraId="54C4D895">
      <w:pPr>
        <w:tabs>
          <w:tab w:val="left" w:pos="1305"/>
        </w:tabs>
        <w:spacing w:before="28" w:line="360" w:lineRule="auto"/>
        <w:ind w:right="100"/>
        <w:jc w:val="center"/>
        <w:rPr>
          <w:rFonts w:ascii="Times New Roman" w:hAnsi="Times New Roman" w:eastAsia="楷体" w:cs="Times New Roman"/>
          <w:b/>
          <w:sz w:val="52"/>
        </w:rPr>
      </w:pPr>
      <w:r>
        <w:rPr>
          <w:rFonts w:ascii="Times New Roman" w:hAnsi="Times New Roman" w:eastAsia="楷体" w:cs="Times New Roman"/>
          <w:b/>
          <w:sz w:val="52"/>
        </w:rPr>
        <w:t>目</w:t>
      </w:r>
      <w:r>
        <w:rPr>
          <w:rFonts w:ascii="Times New Roman" w:hAnsi="Times New Roman" w:eastAsia="楷体" w:cs="Times New Roman"/>
          <w:b/>
          <w:sz w:val="52"/>
        </w:rPr>
        <w:tab/>
      </w:r>
      <w:r>
        <w:rPr>
          <w:rFonts w:ascii="Times New Roman" w:hAnsi="Times New Roman" w:eastAsia="楷体" w:cs="Times New Roman"/>
          <w:b/>
          <w:sz w:val="52"/>
        </w:rPr>
        <w:t>录</w:t>
      </w:r>
    </w:p>
    <w:p w14:paraId="6B9DBC03">
      <w:pPr>
        <w:pStyle w:val="33"/>
        <w:tabs>
          <w:tab w:val="left" w:pos="1260"/>
          <w:tab w:val="right" w:leader="dot" w:pos="8750"/>
        </w:tabs>
        <w:rPr>
          <w:rFonts w:ascii="Calibri" w:hAnsi="Calibri" w:eastAsia="宋体"/>
          <w:b w:val="0"/>
          <w:bCs w:val="0"/>
          <w:kern w:val="2"/>
          <w:sz w:val="21"/>
          <w:szCs w:val="22"/>
          <w:lang w:val="en-US"/>
        </w:rPr>
      </w:pPr>
      <w:r>
        <w:rPr>
          <w:rFonts w:ascii="Times New Roman" w:hAnsi="Times New Roman" w:cs="Times New Roman"/>
        </w:rPr>
        <w:fldChar w:fldCharType="begin"/>
      </w:r>
      <w:r>
        <w:rPr>
          <w:rFonts w:ascii="Times New Roman" w:hAnsi="Times New Roman" w:cs="Times New Roman"/>
        </w:rPr>
        <w:instrText xml:space="preserve">TOC \o "1-2" \h \z \u </w:instrText>
      </w:r>
      <w:r>
        <w:rPr>
          <w:rFonts w:ascii="Times New Roman" w:hAnsi="Times New Roman" w:cs="Times New Roman"/>
        </w:rPr>
        <w:fldChar w:fldCharType="separate"/>
      </w:r>
      <w:r>
        <w:fldChar w:fldCharType="begin"/>
      </w:r>
      <w:r>
        <w:instrText xml:space="preserve"> HYPERLINK \l "_Toc108100431" </w:instrText>
      </w:r>
      <w:r>
        <w:fldChar w:fldCharType="separate"/>
      </w:r>
      <w:r>
        <w:rPr>
          <w:rStyle w:val="58"/>
          <w:rFonts w:hint="eastAsia" w:ascii="Times New Roman" w:hAnsi="Times New Roman" w:cs="Times New Roman"/>
          <w:lang w:val="en-US"/>
        </w:rPr>
        <w:t>第一章</w:t>
      </w:r>
      <w:r>
        <w:rPr>
          <w:rFonts w:ascii="Calibri" w:hAnsi="Calibri" w:eastAsia="宋体"/>
          <w:b w:val="0"/>
          <w:bCs w:val="0"/>
          <w:kern w:val="2"/>
          <w:sz w:val="21"/>
          <w:szCs w:val="22"/>
          <w:lang w:val="en-US"/>
        </w:rPr>
        <w:tab/>
      </w:r>
      <w:r>
        <w:rPr>
          <w:rStyle w:val="58"/>
          <w:rFonts w:ascii="Times New Roman" w:hAnsi="Times New Roman" w:cs="Times New Roman"/>
          <w:lang w:val="en-US"/>
        </w:rPr>
        <w:t xml:space="preserve">  </w:t>
      </w:r>
      <w:r>
        <w:rPr>
          <w:rStyle w:val="58"/>
          <w:rFonts w:hint="eastAsia" w:ascii="Times New Roman" w:hAnsi="Times New Roman" w:cs="Times New Roman"/>
          <w:lang w:val="en-US"/>
        </w:rPr>
        <w:t>公开招标采购公告</w:t>
      </w:r>
      <w:r>
        <w:tab/>
      </w:r>
      <w:r>
        <w:fldChar w:fldCharType="begin"/>
      </w:r>
      <w:r>
        <w:instrText xml:space="preserve"> PAGEREF _Toc108100431 \h </w:instrText>
      </w:r>
      <w:r>
        <w:fldChar w:fldCharType="separate"/>
      </w:r>
      <w:r>
        <w:t>3</w:t>
      </w:r>
      <w:r>
        <w:fldChar w:fldCharType="end"/>
      </w:r>
      <w:r>
        <w:fldChar w:fldCharType="end"/>
      </w:r>
    </w:p>
    <w:p w14:paraId="3FA4ED9F">
      <w:pPr>
        <w:pStyle w:val="33"/>
        <w:tabs>
          <w:tab w:val="left" w:pos="1260"/>
          <w:tab w:val="right" w:leader="dot" w:pos="8750"/>
        </w:tabs>
        <w:rPr>
          <w:rFonts w:ascii="Calibri" w:hAnsi="Calibri" w:eastAsia="宋体"/>
          <w:b w:val="0"/>
          <w:bCs w:val="0"/>
          <w:kern w:val="2"/>
          <w:sz w:val="21"/>
          <w:szCs w:val="22"/>
          <w:lang w:val="en-US"/>
        </w:rPr>
      </w:pPr>
      <w:r>
        <w:fldChar w:fldCharType="begin"/>
      </w:r>
      <w:r>
        <w:instrText xml:space="preserve"> HYPERLINK \l "_Toc108100432" </w:instrText>
      </w:r>
      <w:r>
        <w:fldChar w:fldCharType="separate"/>
      </w:r>
      <w:r>
        <w:rPr>
          <w:rStyle w:val="58"/>
          <w:rFonts w:hint="eastAsia" w:ascii="Times New Roman" w:hAnsi="Times New Roman" w:cs="Times New Roman"/>
          <w:lang w:val="en-US"/>
        </w:rPr>
        <w:t>第二章</w:t>
      </w:r>
      <w:r>
        <w:rPr>
          <w:rFonts w:ascii="Calibri" w:hAnsi="Calibri" w:eastAsia="宋体"/>
          <w:b w:val="0"/>
          <w:bCs w:val="0"/>
          <w:kern w:val="2"/>
          <w:sz w:val="21"/>
          <w:szCs w:val="22"/>
          <w:lang w:val="en-US"/>
        </w:rPr>
        <w:tab/>
      </w:r>
      <w:r>
        <w:rPr>
          <w:rStyle w:val="58"/>
          <w:rFonts w:hint="eastAsia" w:ascii="Times New Roman" w:hAnsi="Times New Roman" w:cs="Times New Roman"/>
          <w:lang w:val="en-US"/>
        </w:rPr>
        <w:t>招标需求</w:t>
      </w:r>
      <w:r>
        <w:tab/>
      </w:r>
      <w:r>
        <w:fldChar w:fldCharType="begin"/>
      </w:r>
      <w:r>
        <w:instrText xml:space="preserve"> PAGEREF _Toc108100432 \h </w:instrText>
      </w:r>
      <w:r>
        <w:fldChar w:fldCharType="separate"/>
      </w:r>
      <w:r>
        <w:t>5</w:t>
      </w:r>
      <w:r>
        <w:fldChar w:fldCharType="end"/>
      </w:r>
      <w:r>
        <w:fldChar w:fldCharType="end"/>
      </w:r>
    </w:p>
    <w:p w14:paraId="591F6523">
      <w:pPr>
        <w:pStyle w:val="33"/>
        <w:tabs>
          <w:tab w:val="left" w:pos="1260"/>
          <w:tab w:val="right" w:leader="dot" w:pos="8750"/>
        </w:tabs>
        <w:rPr>
          <w:rFonts w:ascii="Calibri" w:hAnsi="Calibri" w:eastAsia="宋体"/>
          <w:b w:val="0"/>
          <w:bCs w:val="0"/>
          <w:kern w:val="2"/>
          <w:sz w:val="21"/>
          <w:szCs w:val="22"/>
          <w:lang w:val="en-US"/>
        </w:rPr>
      </w:pPr>
      <w:r>
        <w:fldChar w:fldCharType="begin"/>
      </w:r>
      <w:r>
        <w:instrText xml:space="preserve"> HYPERLINK \l "_Toc108100433" </w:instrText>
      </w:r>
      <w:r>
        <w:fldChar w:fldCharType="separate"/>
      </w:r>
      <w:r>
        <w:rPr>
          <w:rStyle w:val="58"/>
          <w:rFonts w:hint="eastAsia" w:ascii="Times New Roman" w:hAnsi="Times New Roman" w:cs="Times New Roman"/>
          <w:lang w:val="en-US"/>
        </w:rPr>
        <w:t>第三章</w:t>
      </w:r>
      <w:r>
        <w:rPr>
          <w:rFonts w:ascii="Calibri" w:hAnsi="Calibri" w:eastAsia="宋体"/>
          <w:b w:val="0"/>
          <w:bCs w:val="0"/>
          <w:kern w:val="2"/>
          <w:sz w:val="21"/>
          <w:szCs w:val="22"/>
          <w:lang w:val="en-US"/>
        </w:rPr>
        <w:tab/>
      </w:r>
      <w:r>
        <w:rPr>
          <w:rStyle w:val="58"/>
          <w:rFonts w:hint="eastAsia" w:ascii="Times New Roman" w:hAnsi="Times New Roman" w:cs="Times New Roman"/>
          <w:lang w:val="en-US"/>
        </w:rPr>
        <w:t>投标人须知</w:t>
      </w:r>
      <w:r>
        <w:tab/>
      </w:r>
      <w:r>
        <w:fldChar w:fldCharType="begin"/>
      </w:r>
      <w:r>
        <w:instrText xml:space="preserve"> PAGEREF _Toc108100433 \h </w:instrText>
      </w:r>
      <w:r>
        <w:fldChar w:fldCharType="separate"/>
      </w:r>
      <w:r>
        <w:t>16</w:t>
      </w:r>
      <w:r>
        <w:fldChar w:fldCharType="end"/>
      </w:r>
      <w:r>
        <w:fldChar w:fldCharType="end"/>
      </w:r>
    </w:p>
    <w:p w14:paraId="4DBBC89D">
      <w:pPr>
        <w:pStyle w:val="33"/>
        <w:tabs>
          <w:tab w:val="right" w:leader="dot" w:pos="8750"/>
        </w:tabs>
        <w:rPr>
          <w:rFonts w:ascii="Calibri" w:hAnsi="Calibri" w:eastAsia="宋体"/>
          <w:b w:val="0"/>
          <w:bCs w:val="0"/>
          <w:kern w:val="2"/>
          <w:sz w:val="21"/>
          <w:szCs w:val="22"/>
          <w:lang w:val="en-US"/>
        </w:rPr>
      </w:pPr>
      <w:r>
        <w:fldChar w:fldCharType="begin"/>
      </w:r>
      <w:r>
        <w:instrText xml:space="preserve"> HYPERLINK \l "_Toc108100434" </w:instrText>
      </w:r>
      <w:r>
        <w:fldChar w:fldCharType="separate"/>
      </w:r>
      <w:r>
        <w:rPr>
          <w:rStyle w:val="58"/>
          <w:rFonts w:hint="eastAsia" w:ascii="Times New Roman" w:hAnsi="Times New Roman" w:cs="Times New Roman"/>
          <w:lang w:val="en-US"/>
        </w:rPr>
        <w:t>第四章</w:t>
      </w:r>
      <w:r>
        <w:rPr>
          <w:rStyle w:val="58"/>
          <w:rFonts w:ascii="Times New Roman" w:hAnsi="Times New Roman" w:cs="Times New Roman"/>
          <w:lang w:val="en-US"/>
        </w:rPr>
        <w:t xml:space="preserve"> </w:t>
      </w:r>
      <w:r>
        <w:rPr>
          <w:rStyle w:val="58"/>
          <w:rFonts w:hint="eastAsia" w:ascii="Times New Roman" w:hAnsi="Times New Roman" w:cs="Times New Roman"/>
          <w:lang w:val="en-US"/>
        </w:rPr>
        <w:t xml:space="preserve">     评标办法及评分标准</w:t>
      </w:r>
      <w:r>
        <w:tab/>
      </w:r>
      <w:r>
        <w:fldChar w:fldCharType="begin"/>
      </w:r>
      <w:r>
        <w:instrText xml:space="preserve"> PAGEREF _Toc108100434 \h </w:instrText>
      </w:r>
      <w:r>
        <w:fldChar w:fldCharType="separate"/>
      </w:r>
      <w:r>
        <w:t>29</w:t>
      </w:r>
      <w:r>
        <w:fldChar w:fldCharType="end"/>
      </w:r>
      <w:r>
        <w:fldChar w:fldCharType="end"/>
      </w:r>
    </w:p>
    <w:p w14:paraId="38C8F1D4">
      <w:pPr>
        <w:pStyle w:val="33"/>
        <w:tabs>
          <w:tab w:val="left" w:pos="1260"/>
          <w:tab w:val="right" w:leader="dot" w:pos="8750"/>
        </w:tabs>
        <w:rPr>
          <w:rFonts w:ascii="Calibri" w:hAnsi="Calibri" w:eastAsia="宋体"/>
          <w:b w:val="0"/>
          <w:bCs w:val="0"/>
          <w:kern w:val="2"/>
          <w:sz w:val="21"/>
          <w:szCs w:val="22"/>
          <w:lang w:val="en-US"/>
        </w:rPr>
      </w:pPr>
      <w:r>
        <w:fldChar w:fldCharType="begin"/>
      </w:r>
      <w:r>
        <w:instrText xml:space="preserve"> HYPERLINK \l "_Toc108100449" </w:instrText>
      </w:r>
      <w:r>
        <w:fldChar w:fldCharType="separate"/>
      </w:r>
      <w:r>
        <w:rPr>
          <w:rStyle w:val="58"/>
          <w:rFonts w:hint="eastAsia" w:ascii="Times New Roman" w:hAnsi="Times New Roman" w:cs="Times New Roman"/>
          <w:lang w:val="en-US"/>
        </w:rPr>
        <w:t>第五章</w:t>
      </w:r>
      <w:r>
        <w:rPr>
          <w:rFonts w:ascii="Calibri" w:hAnsi="Calibri" w:eastAsia="宋体"/>
          <w:b w:val="0"/>
          <w:bCs w:val="0"/>
          <w:kern w:val="2"/>
          <w:sz w:val="21"/>
          <w:szCs w:val="22"/>
          <w:lang w:val="en-US"/>
        </w:rPr>
        <w:tab/>
      </w:r>
      <w:r>
        <w:rPr>
          <w:rStyle w:val="58"/>
          <w:rFonts w:hint="eastAsia" w:ascii="Times New Roman" w:hAnsi="Times New Roman" w:cs="Times New Roman"/>
          <w:lang w:val="en-US"/>
        </w:rPr>
        <w:t>海宁市货物、工程和服务采购合同（格式）</w:t>
      </w:r>
      <w:r>
        <w:tab/>
      </w:r>
      <w:r>
        <w:fldChar w:fldCharType="begin"/>
      </w:r>
      <w:r>
        <w:instrText xml:space="preserve"> PAGEREF _Toc108100449 \h </w:instrText>
      </w:r>
      <w:r>
        <w:fldChar w:fldCharType="separate"/>
      </w:r>
      <w:r>
        <w:t>31</w:t>
      </w:r>
      <w:r>
        <w:fldChar w:fldCharType="end"/>
      </w:r>
      <w:r>
        <w:fldChar w:fldCharType="end"/>
      </w:r>
    </w:p>
    <w:p w14:paraId="2613A555">
      <w:pPr>
        <w:pStyle w:val="33"/>
        <w:tabs>
          <w:tab w:val="left" w:pos="1260"/>
          <w:tab w:val="right" w:leader="dot" w:pos="8750"/>
        </w:tabs>
        <w:rPr>
          <w:rFonts w:ascii="Calibri" w:hAnsi="Calibri" w:eastAsia="宋体"/>
          <w:b w:val="0"/>
          <w:bCs w:val="0"/>
          <w:kern w:val="2"/>
          <w:sz w:val="21"/>
          <w:szCs w:val="22"/>
          <w:lang w:val="en-US"/>
        </w:rPr>
      </w:pPr>
      <w:r>
        <w:fldChar w:fldCharType="begin"/>
      </w:r>
      <w:r>
        <w:instrText xml:space="preserve"> HYPERLINK \l "_Toc108100450" </w:instrText>
      </w:r>
      <w:r>
        <w:fldChar w:fldCharType="separate"/>
      </w:r>
      <w:r>
        <w:rPr>
          <w:rStyle w:val="58"/>
          <w:rFonts w:hint="eastAsia" w:ascii="Times New Roman" w:hAnsi="Times New Roman" w:cs="Times New Roman"/>
          <w:lang w:val="en-US"/>
        </w:rPr>
        <w:t>第六章</w:t>
      </w:r>
      <w:r>
        <w:rPr>
          <w:rFonts w:ascii="Calibri" w:hAnsi="Calibri" w:eastAsia="宋体"/>
          <w:b w:val="0"/>
          <w:bCs w:val="0"/>
          <w:kern w:val="2"/>
          <w:sz w:val="21"/>
          <w:szCs w:val="22"/>
          <w:lang w:val="en-US"/>
        </w:rPr>
        <w:tab/>
      </w:r>
      <w:r>
        <w:rPr>
          <w:rStyle w:val="58"/>
          <w:rFonts w:hint="eastAsia" w:ascii="Times New Roman" w:hAnsi="Times New Roman" w:cs="Times New Roman"/>
          <w:lang w:val="en-US"/>
        </w:rPr>
        <w:t>投标格式及要求</w:t>
      </w:r>
      <w:r>
        <w:tab/>
      </w:r>
      <w:r>
        <w:fldChar w:fldCharType="begin"/>
      </w:r>
      <w:r>
        <w:instrText xml:space="preserve"> PAGEREF _Toc108100450 \h </w:instrText>
      </w:r>
      <w:r>
        <w:fldChar w:fldCharType="separate"/>
      </w:r>
      <w:r>
        <w:t>38</w:t>
      </w:r>
      <w:r>
        <w:fldChar w:fldCharType="end"/>
      </w:r>
      <w:r>
        <w:fldChar w:fldCharType="end"/>
      </w:r>
    </w:p>
    <w:p w14:paraId="02ECAF17">
      <w:pPr>
        <w:pStyle w:val="44"/>
        <w:tabs>
          <w:tab w:val="right" w:leader="dot" w:pos="8750"/>
        </w:tabs>
        <w:rPr>
          <w:rFonts w:ascii="Calibri" w:hAnsi="Calibri" w:eastAsia="宋体"/>
          <w:kern w:val="2"/>
          <w:sz w:val="21"/>
          <w:szCs w:val="22"/>
          <w:lang w:val="en-US"/>
        </w:rPr>
      </w:pPr>
      <w:r>
        <w:fldChar w:fldCharType="begin"/>
      </w:r>
      <w:r>
        <w:instrText xml:space="preserve"> HYPERLINK \l "_Toc108100451" </w:instrText>
      </w:r>
      <w:r>
        <w:fldChar w:fldCharType="separate"/>
      </w:r>
      <w:r>
        <w:rPr>
          <w:rStyle w:val="58"/>
          <w:rFonts w:hint="eastAsia" w:ascii="Times New Roman" w:hAnsi="Times New Roman" w:cs="Times New Roman"/>
        </w:rPr>
        <w:t>附件</w:t>
      </w:r>
      <w:r>
        <w:rPr>
          <w:rStyle w:val="58"/>
          <w:rFonts w:ascii="Times New Roman" w:hAnsi="Times New Roman" w:cs="Times New Roman"/>
        </w:rPr>
        <w:t>1</w:t>
      </w:r>
      <w:r>
        <w:rPr>
          <w:rStyle w:val="58"/>
          <w:rFonts w:hint="eastAsia" w:ascii="Times New Roman" w:hAnsi="Times New Roman" w:cs="Times New Roman"/>
        </w:rPr>
        <w:t>：</w:t>
      </w:r>
      <w:r>
        <w:rPr>
          <w:rStyle w:val="58"/>
          <w:rFonts w:ascii="Times New Roman" w:hAnsi="Times New Roman" w:cs="Times New Roman"/>
        </w:rPr>
        <w:t xml:space="preserve"> </w:t>
      </w:r>
      <w:r>
        <w:rPr>
          <w:rStyle w:val="58"/>
          <w:rFonts w:hint="eastAsia" w:ascii="Times New Roman" w:hAnsi="Times New Roman" w:cs="Times New Roman"/>
        </w:rPr>
        <w:t>资格文件封面格式及目录</w:t>
      </w:r>
      <w:r>
        <w:tab/>
      </w:r>
      <w:r>
        <w:fldChar w:fldCharType="begin"/>
      </w:r>
      <w:r>
        <w:instrText xml:space="preserve"> PAGEREF _Toc108100451 \h </w:instrText>
      </w:r>
      <w:r>
        <w:fldChar w:fldCharType="separate"/>
      </w:r>
      <w:r>
        <w:t>38</w:t>
      </w:r>
      <w:r>
        <w:fldChar w:fldCharType="end"/>
      </w:r>
      <w:r>
        <w:fldChar w:fldCharType="end"/>
      </w:r>
    </w:p>
    <w:p w14:paraId="7C3F6A84">
      <w:pPr>
        <w:pStyle w:val="44"/>
        <w:tabs>
          <w:tab w:val="right" w:leader="dot" w:pos="8750"/>
        </w:tabs>
        <w:rPr>
          <w:rFonts w:ascii="Calibri" w:hAnsi="Calibri" w:eastAsia="宋体"/>
          <w:kern w:val="2"/>
          <w:sz w:val="21"/>
          <w:szCs w:val="22"/>
          <w:lang w:val="en-US"/>
        </w:rPr>
      </w:pPr>
      <w:r>
        <w:fldChar w:fldCharType="begin"/>
      </w:r>
      <w:r>
        <w:instrText xml:space="preserve"> HYPERLINK \l "_Toc108100452" </w:instrText>
      </w:r>
      <w:r>
        <w:fldChar w:fldCharType="separate"/>
      </w:r>
      <w:r>
        <w:rPr>
          <w:rStyle w:val="58"/>
          <w:rFonts w:hint="eastAsia" w:ascii="Times New Roman" w:hAnsi="Times New Roman" w:cs="Times New Roman"/>
          <w:spacing w:val="-21"/>
        </w:rPr>
        <w:t>附件</w:t>
      </w:r>
      <w:r>
        <w:rPr>
          <w:rStyle w:val="58"/>
          <w:rFonts w:ascii="Times New Roman" w:hAnsi="Times New Roman" w:cs="Times New Roman"/>
          <w:spacing w:val="-21"/>
        </w:rPr>
        <w:t xml:space="preserve"> </w:t>
      </w:r>
      <w:r>
        <w:rPr>
          <w:rStyle w:val="58"/>
          <w:rFonts w:ascii="Times New Roman" w:hAnsi="Times New Roman" w:cs="Times New Roman"/>
        </w:rPr>
        <w:t>2</w:t>
      </w:r>
      <w:r>
        <w:rPr>
          <w:rStyle w:val="58"/>
          <w:rFonts w:hint="eastAsia" w:ascii="Times New Roman" w:hAnsi="Times New Roman" w:cs="Times New Roman"/>
          <w:spacing w:val="-2"/>
        </w:rPr>
        <w:t>：</w:t>
      </w:r>
      <w:r>
        <w:rPr>
          <w:rStyle w:val="58"/>
          <w:rFonts w:ascii="Times New Roman" w:hAnsi="Times New Roman" w:cs="Times New Roman"/>
          <w:spacing w:val="-2"/>
        </w:rPr>
        <w:t xml:space="preserve"> </w:t>
      </w:r>
      <w:r>
        <w:rPr>
          <w:rStyle w:val="58"/>
          <w:rFonts w:hint="eastAsia" w:ascii="Times New Roman" w:hAnsi="Times New Roman" w:cs="Times New Roman"/>
          <w:spacing w:val="-2"/>
        </w:rPr>
        <w:t>投标人声明书</w:t>
      </w:r>
      <w:r>
        <w:tab/>
      </w:r>
      <w:r>
        <w:fldChar w:fldCharType="begin"/>
      </w:r>
      <w:r>
        <w:instrText xml:space="preserve"> PAGEREF _Toc108100452 \h </w:instrText>
      </w:r>
      <w:r>
        <w:fldChar w:fldCharType="separate"/>
      </w:r>
      <w:r>
        <w:t>40</w:t>
      </w:r>
      <w:r>
        <w:fldChar w:fldCharType="end"/>
      </w:r>
      <w:r>
        <w:fldChar w:fldCharType="end"/>
      </w:r>
    </w:p>
    <w:p w14:paraId="398E6051">
      <w:pPr>
        <w:pStyle w:val="44"/>
        <w:tabs>
          <w:tab w:val="right" w:leader="dot" w:pos="8750"/>
        </w:tabs>
        <w:rPr>
          <w:rFonts w:ascii="Calibri" w:hAnsi="Calibri" w:eastAsia="宋体"/>
          <w:kern w:val="2"/>
          <w:sz w:val="21"/>
          <w:szCs w:val="22"/>
          <w:lang w:val="en-US"/>
        </w:rPr>
      </w:pPr>
      <w:r>
        <w:fldChar w:fldCharType="begin"/>
      </w:r>
      <w:r>
        <w:instrText xml:space="preserve"> HYPERLINK \l "_Toc108100453" </w:instrText>
      </w:r>
      <w:r>
        <w:fldChar w:fldCharType="separate"/>
      </w:r>
      <w:r>
        <w:rPr>
          <w:rStyle w:val="58"/>
          <w:rFonts w:hint="eastAsia" w:ascii="Times New Roman" w:hAnsi="Times New Roman" w:cs="Times New Roman"/>
        </w:rPr>
        <w:t>附件</w:t>
      </w:r>
      <w:r>
        <w:rPr>
          <w:rStyle w:val="58"/>
          <w:rFonts w:ascii="Times New Roman" w:hAnsi="Times New Roman" w:cs="Times New Roman"/>
        </w:rPr>
        <w:t>3</w:t>
      </w:r>
      <w:r>
        <w:rPr>
          <w:rStyle w:val="58"/>
          <w:rFonts w:hint="eastAsia" w:ascii="Times New Roman" w:hAnsi="Times New Roman" w:cs="Times New Roman"/>
        </w:rPr>
        <w:t>：</w:t>
      </w:r>
      <w:r>
        <w:rPr>
          <w:rStyle w:val="58"/>
          <w:rFonts w:ascii="Times New Roman" w:hAnsi="Times New Roman" w:cs="Times New Roman"/>
        </w:rPr>
        <w:t xml:space="preserve"> </w:t>
      </w:r>
      <w:r>
        <w:rPr>
          <w:rStyle w:val="58"/>
          <w:rFonts w:hint="eastAsia" w:ascii="Times New Roman" w:hAnsi="Times New Roman" w:cs="Times New Roman"/>
        </w:rPr>
        <w:t>法定代表人授权委托书</w:t>
      </w:r>
      <w:r>
        <w:tab/>
      </w:r>
      <w:r>
        <w:fldChar w:fldCharType="begin"/>
      </w:r>
      <w:r>
        <w:instrText xml:space="preserve"> PAGEREF _Toc108100453 \h </w:instrText>
      </w:r>
      <w:r>
        <w:fldChar w:fldCharType="separate"/>
      </w:r>
      <w:r>
        <w:t>41</w:t>
      </w:r>
      <w:r>
        <w:fldChar w:fldCharType="end"/>
      </w:r>
      <w:r>
        <w:fldChar w:fldCharType="end"/>
      </w:r>
    </w:p>
    <w:p w14:paraId="16ECF64A">
      <w:pPr>
        <w:pStyle w:val="44"/>
        <w:tabs>
          <w:tab w:val="right" w:leader="dot" w:pos="8750"/>
        </w:tabs>
        <w:rPr>
          <w:rFonts w:ascii="Calibri" w:hAnsi="Calibri" w:eastAsia="宋体"/>
          <w:kern w:val="2"/>
          <w:sz w:val="21"/>
          <w:szCs w:val="22"/>
          <w:lang w:val="en-US"/>
        </w:rPr>
      </w:pPr>
      <w:r>
        <w:fldChar w:fldCharType="begin"/>
      </w:r>
      <w:r>
        <w:instrText xml:space="preserve"> HYPERLINK \l "_Toc108100454" </w:instrText>
      </w:r>
      <w:r>
        <w:fldChar w:fldCharType="separate"/>
      </w:r>
      <w:r>
        <w:rPr>
          <w:rStyle w:val="58"/>
          <w:rFonts w:hint="eastAsia" w:ascii="Times New Roman" w:hAnsi="Times New Roman" w:cs="Times New Roman"/>
        </w:rPr>
        <w:t>附件</w:t>
      </w:r>
      <w:r>
        <w:rPr>
          <w:rStyle w:val="58"/>
          <w:rFonts w:ascii="Times New Roman" w:hAnsi="Times New Roman" w:cs="Times New Roman"/>
        </w:rPr>
        <w:t>4</w:t>
      </w:r>
      <w:r>
        <w:rPr>
          <w:rStyle w:val="58"/>
          <w:rFonts w:hint="eastAsia" w:ascii="Times New Roman" w:hAnsi="Times New Roman" w:cs="Times New Roman"/>
        </w:rPr>
        <w:t>：</w:t>
      </w:r>
      <w:r>
        <w:rPr>
          <w:rStyle w:val="58"/>
          <w:rFonts w:ascii="Times New Roman" w:hAnsi="Times New Roman" w:cs="Times New Roman"/>
        </w:rPr>
        <w:t xml:space="preserve"> </w:t>
      </w:r>
      <w:r>
        <w:rPr>
          <w:rStyle w:val="58"/>
          <w:rFonts w:hint="eastAsia" w:ascii="Times New Roman" w:hAnsi="Times New Roman" w:cs="Times New Roman"/>
        </w:rPr>
        <w:t>技术商务文件封面格式及目录</w:t>
      </w:r>
      <w:r>
        <w:tab/>
      </w:r>
      <w:r>
        <w:fldChar w:fldCharType="begin"/>
      </w:r>
      <w:r>
        <w:instrText xml:space="preserve"> PAGEREF _Toc108100454 \h </w:instrText>
      </w:r>
      <w:r>
        <w:fldChar w:fldCharType="separate"/>
      </w:r>
      <w:r>
        <w:t>42</w:t>
      </w:r>
      <w:r>
        <w:fldChar w:fldCharType="end"/>
      </w:r>
      <w:r>
        <w:fldChar w:fldCharType="end"/>
      </w:r>
    </w:p>
    <w:p w14:paraId="4AF2BE55">
      <w:pPr>
        <w:pStyle w:val="44"/>
        <w:tabs>
          <w:tab w:val="right" w:leader="dot" w:pos="8750"/>
        </w:tabs>
        <w:rPr>
          <w:rFonts w:ascii="Calibri" w:hAnsi="Calibri" w:eastAsia="宋体"/>
          <w:kern w:val="2"/>
          <w:sz w:val="21"/>
          <w:szCs w:val="22"/>
          <w:lang w:val="en-US"/>
        </w:rPr>
      </w:pPr>
      <w:r>
        <w:fldChar w:fldCharType="begin"/>
      </w:r>
      <w:r>
        <w:instrText xml:space="preserve"> HYPERLINK \l "_Toc108100455" </w:instrText>
      </w:r>
      <w:r>
        <w:fldChar w:fldCharType="separate"/>
      </w:r>
      <w:r>
        <w:rPr>
          <w:rStyle w:val="58"/>
          <w:rFonts w:hint="eastAsia" w:ascii="Times New Roman" w:hAnsi="Times New Roman" w:cs="Times New Roman"/>
          <w:spacing w:val="-21"/>
        </w:rPr>
        <w:t>附件</w:t>
      </w:r>
      <w:r>
        <w:rPr>
          <w:rStyle w:val="58"/>
          <w:rFonts w:ascii="Times New Roman" w:hAnsi="Times New Roman" w:cs="Times New Roman"/>
          <w:spacing w:val="-21"/>
        </w:rPr>
        <w:t xml:space="preserve"> </w:t>
      </w:r>
      <w:r>
        <w:rPr>
          <w:rStyle w:val="58"/>
          <w:rFonts w:ascii="Times New Roman" w:hAnsi="Times New Roman" w:cs="Times New Roman"/>
        </w:rPr>
        <w:t>5</w:t>
      </w:r>
      <w:r>
        <w:rPr>
          <w:rStyle w:val="58"/>
          <w:rFonts w:hint="eastAsia" w:ascii="Times New Roman" w:hAnsi="Times New Roman" w:cs="Times New Roman"/>
          <w:spacing w:val="-1"/>
        </w:rPr>
        <w:t>：</w:t>
      </w:r>
      <w:r>
        <w:rPr>
          <w:rStyle w:val="58"/>
          <w:rFonts w:ascii="Times New Roman" w:hAnsi="Times New Roman" w:cs="Times New Roman"/>
          <w:spacing w:val="-1"/>
        </w:rPr>
        <w:t xml:space="preserve"> </w:t>
      </w:r>
      <w:r>
        <w:rPr>
          <w:rStyle w:val="58"/>
          <w:rFonts w:hint="eastAsia" w:ascii="Times New Roman" w:hAnsi="Times New Roman" w:cs="Times New Roman"/>
          <w:spacing w:val="-1"/>
        </w:rPr>
        <w:t>投标人基本情况表</w:t>
      </w:r>
      <w:r>
        <w:tab/>
      </w:r>
      <w:r>
        <w:fldChar w:fldCharType="begin"/>
      </w:r>
      <w:r>
        <w:instrText xml:space="preserve"> PAGEREF _Toc108100455 \h </w:instrText>
      </w:r>
      <w:r>
        <w:fldChar w:fldCharType="separate"/>
      </w:r>
      <w:r>
        <w:t>44</w:t>
      </w:r>
      <w:r>
        <w:fldChar w:fldCharType="end"/>
      </w:r>
      <w:r>
        <w:fldChar w:fldCharType="end"/>
      </w:r>
    </w:p>
    <w:p w14:paraId="54BBF5C5">
      <w:pPr>
        <w:pStyle w:val="44"/>
        <w:tabs>
          <w:tab w:val="right" w:leader="dot" w:pos="8750"/>
        </w:tabs>
        <w:rPr>
          <w:rFonts w:ascii="Calibri" w:hAnsi="Calibri" w:eastAsia="宋体"/>
          <w:kern w:val="2"/>
          <w:sz w:val="21"/>
          <w:szCs w:val="22"/>
          <w:lang w:val="en-US"/>
        </w:rPr>
      </w:pPr>
      <w:r>
        <w:fldChar w:fldCharType="begin"/>
      </w:r>
      <w:r>
        <w:instrText xml:space="preserve"> HYPERLINK \l "_Toc108100456" </w:instrText>
      </w:r>
      <w:r>
        <w:fldChar w:fldCharType="separate"/>
      </w:r>
      <w:r>
        <w:rPr>
          <w:rStyle w:val="58"/>
          <w:rFonts w:hint="eastAsia" w:ascii="Times New Roman" w:hAnsi="Times New Roman" w:cs="Times New Roman"/>
          <w:spacing w:val="-21"/>
        </w:rPr>
        <w:t>附件</w:t>
      </w:r>
      <w:r>
        <w:rPr>
          <w:rStyle w:val="58"/>
          <w:rFonts w:ascii="Times New Roman" w:hAnsi="Times New Roman" w:cs="Times New Roman"/>
          <w:spacing w:val="-21"/>
        </w:rPr>
        <w:t xml:space="preserve"> </w:t>
      </w:r>
      <w:r>
        <w:rPr>
          <w:rStyle w:val="58"/>
          <w:rFonts w:ascii="Times New Roman" w:hAnsi="Times New Roman" w:cs="Times New Roman"/>
        </w:rPr>
        <w:t>6</w:t>
      </w:r>
      <w:r>
        <w:rPr>
          <w:rStyle w:val="58"/>
          <w:rFonts w:hint="eastAsia" w:ascii="Times New Roman" w:hAnsi="Times New Roman" w:cs="Times New Roman"/>
          <w:spacing w:val="-1"/>
        </w:rPr>
        <w:t>：</w:t>
      </w:r>
      <w:r>
        <w:rPr>
          <w:rStyle w:val="58"/>
          <w:rFonts w:ascii="Times New Roman" w:hAnsi="Times New Roman" w:cs="Times New Roman"/>
          <w:spacing w:val="-1"/>
        </w:rPr>
        <w:t xml:space="preserve"> </w:t>
      </w:r>
      <w:r>
        <w:rPr>
          <w:rStyle w:val="58"/>
          <w:rFonts w:hint="eastAsia" w:ascii="Times New Roman" w:hAnsi="Times New Roman" w:cs="Times New Roman"/>
          <w:spacing w:val="-1"/>
        </w:rPr>
        <w:t>技术响应表</w:t>
      </w:r>
      <w:r>
        <w:tab/>
      </w:r>
      <w:r>
        <w:fldChar w:fldCharType="begin"/>
      </w:r>
      <w:r>
        <w:instrText xml:space="preserve"> PAGEREF _Toc108100456 \h </w:instrText>
      </w:r>
      <w:r>
        <w:fldChar w:fldCharType="separate"/>
      </w:r>
      <w:r>
        <w:t>45</w:t>
      </w:r>
      <w:r>
        <w:fldChar w:fldCharType="end"/>
      </w:r>
      <w:r>
        <w:fldChar w:fldCharType="end"/>
      </w:r>
    </w:p>
    <w:p w14:paraId="2F541539">
      <w:pPr>
        <w:pStyle w:val="44"/>
        <w:tabs>
          <w:tab w:val="right" w:leader="dot" w:pos="8750"/>
        </w:tabs>
        <w:rPr>
          <w:rFonts w:ascii="Calibri" w:hAnsi="Calibri" w:eastAsia="宋体"/>
          <w:kern w:val="2"/>
          <w:sz w:val="21"/>
          <w:szCs w:val="22"/>
          <w:lang w:val="en-US"/>
        </w:rPr>
      </w:pPr>
      <w:r>
        <w:fldChar w:fldCharType="begin"/>
      </w:r>
      <w:r>
        <w:instrText xml:space="preserve"> HYPERLINK \l "_Toc108100457" </w:instrText>
      </w:r>
      <w:r>
        <w:fldChar w:fldCharType="separate"/>
      </w:r>
      <w:r>
        <w:rPr>
          <w:rStyle w:val="58"/>
          <w:rFonts w:hint="eastAsia" w:ascii="Times New Roman" w:hAnsi="Times New Roman" w:cs="Times New Roman"/>
          <w:spacing w:val="-21"/>
        </w:rPr>
        <w:t>附件</w:t>
      </w:r>
      <w:r>
        <w:rPr>
          <w:rStyle w:val="58"/>
          <w:rFonts w:ascii="Times New Roman" w:hAnsi="Times New Roman" w:cs="Times New Roman"/>
          <w:spacing w:val="-21"/>
        </w:rPr>
        <w:t xml:space="preserve"> </w:t>
      </w:r>
      <w:r>
        <w:rPr>
          <w:rStyle w:val="58"/>
          <w:rFonts w:ascii="Times New Roman" w:hAnsi="Times New Roman" w:cs="Times New Roman"/>
        </w:rPr>
        <w:t>7</w:t>
      </w:r>
      <w:r>
        <w:rPr>
          <w:rStyle w:val="58"/>
          <w:rFonts w:hint="eastAsia" w:ascii="Times New Roman" w:hAnsi="Times New Roman" w:cs="Times New Roman"/>
          <w:spacing w:val="-1"/>
        </w:rPr>
        <w:t>：</w:t>
      </w:r>
      <w:r>
        <w:rPr>
          <w:rStyle w:val="58"/>
          <w:rFonts w:ascii="Times New Roman" w:hAnsi="Times New Roman" w:cs="Times New Roman"/>
          <w:spacing w:val="-1"/>
        </w:rPr>
        <w:t xml:space="preserve"> </w:t>
      </w:r>
      <w:r>
        <w:rPr>
          <w:rStyle w:val="58"/>
          <w:rFonts w:hint="eastAsia" w:ascii="Times New Roman" w:hAnsi="Times New Roman" w:cs="Times New Roman"/>
          <w:spacing w:val="-1"/>
        </w:rPr>
        <w:t>商务响应表</w:t>
      </w:r>
      <w:r>
        <w:tab/>
      </w:r>
      <w:r>
        <w:fldChar w:fldCharType="begin"/>
      </w:r>
      <w:r>
        <w:instrText xml:space="preserve"> PAGEREF _Toc108100457 \h </w:instrText>
      </w:r>
      <w:r>
        <w:fldChar w:fldCharType="separate"/>
      </w:r>
      <w:r>
        <w:t>46</w:t>
      </w:r>
      <w:r>
        <w:fldChar w:fldCharType="end"/>
      </w:r>
      <w:r>
        <w:fldChar w:fldCharType="end"/>
      </w:r>
    </w:p>
    <w:p w14:paraId="087F9E6C">
      <w:pPr>
        <w:pStyle w:val="44"/>
        <w:tabs>
          <w:tab w:val="right" w:leader="dot" w:pos="8750"/>
        </w:tabs>
        <w:rPr>
          <w:rFonts w:ascii="Calibri" w:hAnsi="Calibri" w:eastAsia="宋体"/>
          <w:kern w:val="2"/>
          <w:sz w:val="21"/>
          <w:szCs w:val="22"/>
          <w:lang w:val="en-US"/>
        </w:rPr>
      </w:pPr>
      <w:r>
        <w:fldChar w:fldCharType="begin"/>
      </w:r>
      <w:r>
        <w:instrText xml:space="preserve"> HYPERLINK \l "_Toc108100458" </w:instrText>
      </w:r>
      <w:r>
        <w:fldChar w:fldCharType="separate"/>
      </w:r>
      <w:r>
        <w:rPr>
          <w:rStyle w:val="58"/>
          <w:rFonts w:hint="eastAsia" w:ascii="Times New Roman" w:hAnsi="Times New Roman" w:cs="Times New Roman"/>
          <w:spacing w:val="-21"/>
        </w:rPr>
        <w:t xml:space="preserve">附件 </w:t>
      </w:r>
      <w:r>
        <w:rPr>
          <w:rStyle w:val="58"/>
          <w:rFonts w:ascii="Times New Roman" w:hAnsi="Times New Roman" w:cs="Times New Roman"/>
          <w:spacing w:val="-21"/>
        </w:rPr>
        <w:t>8</w:t>
      </w:r>
      <w:r>
        <w:rPr>
          <w:rStyle w:val="58"/>
          <w:rFonts w:hint="eastAsia" w:ascii="Times New Roman" w:hAnsi="Times New Roman" w:cs="Times New Roman"/>
          <w:spacing w:val="-1"/>
        </w:rPr>
        <w:t>：</w:t>
      </w:r>
      <w:r>
        <w:rPr>
          <w:rStyle w:val="58"/>
          <w:rFonts w:ascii="Times New Roman" w:hAnsi="Times New Roman" w:cs="Times New Roman"/>
          <w:spacing w:val="-1"/>
        </w:rPr>
        <w:t xml:space="preserve"> </w:t>
      </w:r>
      <w:r>
        <w:rPr>
          <w:rStyle w:val="58"/>
          <w:rFonts w:hint="eastAsia" w:ascii="Times New Roman" w:hAnsi="Times New Roman" w:cs="Times New Roman"/>
          <w:spacing w:val="-1"/>
        </w:rPr>
        <w:t>技术力量配备表</w:t>
      </w:r>
      <w:r>
        <w:tab/>
      </w:r>
      <w:r>
        <w:fldChar w:fldCharType="begin"/>
      </w:r>
      <w:r>
        <w:instrText xml:space="preserve"> PAGEREF _Toc108100458 \h </w:instrText>
      </w:r>
      <w:r>
        <w:fldChar w:fldCharType="separate"/>
      </w:r>
      <w:r>
        <w:t>47</w:t>
      </w:r>
      <w:r>
        <w:fldChar w:fldCharType="end"/>
      </w:r>
      <w:r>
        <w:fldChar w:fldCharType="end"/>
      </w:r>
    </w:p>
    <w:p w14:paraId="67649F4E">
      <w:pPr>
        <w:pStyle w:val="44"/>
        <w:tabs>
          <w:tab w:val="right" w:leader="dot" w:pos="8750"/>
        </w:tabs>
        <w:rPr>
          <w:rFonts w:ascii="Calibri" w:hAnsi="Calibri" w:eastAsia="宋体"/>
          <w:kern w:val="2"/>
          <w:sz w:val="21"/>
          <w:szCs w:val="22"/>
          <w:lang w:val="en-US"/>
        </w:rPr>
      </w:pPr>
      <w:r>
        <w:fldChar w:fldCharType="begin"/>
      </w:r>
      <w:r>
        <w:instrText xml:space="preserve"> HYPERLINK \l "_Toc108100459" </w:instrText>
      </w:r>
      <w:r>
        <w:fldChar w:fldCharType="separate"/>
      </w:r>
      <w:r>
        <w:rPr>
          <w:rStyle w:val="58"/>
          <w:rFonts w:hint="eastAsia" w:ascii="Times New Roman" w:hAnsi="Times New Roman" w:cs="Times New Roman"/>
          <w:spacing w:val="-21"/>
        </w:rPr>
        <w:t xml:space="preserve">附件 </w:t>
      </w:r>
      <w:r>
        <w:rPr>
          <w:rStyle w:val="58"/>
          <w:rFonts w:ascii="Times New Roman" w:hAnsi="Times New Roman" w:cs="Times New Roman"/>
          <w:spacing w:val="-21"/>
        </w:rPr>
        <w:t>9</w:t>
      </w:r>
      <w:r>
        <w:rPr>
          <w:rStyle w:val="58"/>
          <w:rFonts w:hint="eastAsia" w:ascii="Times New Roman" w:hAnsi="Times New Roman" w:cs="Times New Roman"/>
          <w:spacing w:val="-21"/>
        </w:rPr>
        <w:t>：</w:t>
      </w:r>
      <w:r>
        <w:rPr>
          <w:rStyle w:val="58"/>
          <w:rFonts w:ascii="Times New Roman" w:hAnsi="Times New Roman" w:cs="Times New Roman"/>
          <w:spacing w:val="-21"/>
        </w:rPr>
        <w:t xml:space="preserve"> </w:t>
      </w:r>
      <w:r>
        <w:rPr>
          <w:rStyle w:val="58"/>
          <w:rFonts w:hint="eastAsia" w:ascii="Times New Roman" w:hAnsi="Times New Roman" w:cs="Times New Roman"/>
          <w:spacing w:val="-21"/>
        </w:rPr>
        <w:t>投入本项目的主要机械设备配备表</w:t>
      </w:r>
      <w:r>
        <w:tab/>
      </w:r>
      <w:r>
        <w:fldChar w:fldCharType="begin"/>
      </w:r>
      <w:r>
        <w:instrText xml:space="preserve"> PAGEREF _Toc108100459 \h </w:instrText>
      </w:r>
      <w:r>
        <w:fldChar w:fldCharType="separate"/>
      </w:r>
      <w:r>
        <w:t>48</w:t>
      </w:r>
      <w:r>
        <w:fldChar w:fldCharType="end"/>
      </w:r>
      <w:r>
        <w:fldChar w:fldCharType="end"/>
      </w:r>
    </w:p>
    <w:p w14:paraId="122A69DE">
      <w:pPr>
        <w:pStyle w:val="44"/>
        <w:tabs>
          <w:tab w:val="right" w:leader="dot" w:pos="8750"/>
        </w:tabs>
        <w:rPr>
          <w:rFonts w:ascii="Calibri" w:hAnsi="Calibri" w:eastAsia="宋体"/>
          <w:kern w:val="2"/>
          <w:sz w:val="21"/>
          <w:szCs w:val="22"/>
          <w:lang w:val="en-US"/>
        </w:rPr>
      </w:pPr>
      <w:r>
        <w:fldChar w:fldCharType="begin"/>
      </w:r>
      <w:r>
        <w:instrText xml:space="preserve"> HYPERLINK \l "_Toc108100460" </w:instrText>
      </w:r>
      <w:r>
        <w:fldChar w:fldCharType="separate"/>
      </w:r>
      <w:r>
        <w:rPr>
          <w:rStyle w:val="58"/>
          <w:rFonts w:hint="eastAsia" w:ascii="Times New Roman" w:hAnsi="Times New Roman" w:cs="Times New Roman"/>
          <w:spacing w:val="-21"/>
        </w:rPr>
        <w:t>附件</w:t>
      </w:r>
      <w:r>
        <w:rPr>
          <w:rStyle w:val="58"/>
          <w:rFonts w:ascii="Times New Roman" w:hAnsi="Times New Roman" w:cs="Times New Roman"/>
          <w:spacing w:val="-21"/>
        </w:rPr>
        <w:t xml:space="preserve"> </w:t>
      </w:r>
      <w:r>
        <w:rPr>
          <w:rStyle w:val="58"/>
          <w:rFonts w:ascii="Times New Roman" w:hAnsi="Times New Roman" w:cs="Times New Roman"/>
        </w:rPr>
        <w:t>10</w:t>
      </w:r>
      <w:r>
        <w:rPr>
          <w:rStyle w:val="58"/>
          <w:rFonts w:hint="eastAsia" w:ascii="Times New Roman" w:hAnsi="Times New Roman" w:cs="Times New Roman"/>
        </w:rPr>
        <w:t>：</w:t>
      </w:r>
      <w:r>
        <w:rPr>
          <w:rStyle w:val="58"/>
          <w:rFonts w:ascii="Times New Roman" w:hAnsi="Times New Roman" w:cs="Times New Roman"/>
        </w:rPr>
        <w:t xml:space="preserve"> </w:t>
      </w:r>
      <w:r>
        <w:rPr>
          <w:rStyle w:val="58"/>
          <w:rFonts w:hint="eastAsia" w:ascii="Times New Roman" w:hAnsi="Times New Roman" w:cs="Times New Roman"/>
        </w:rPr>
        <w:t>服务承诺</w:t>
      </w:r>
      <w:r>
        <w:tab/>
      </w:r>
      <w:r>
        <w:fldChar w:fldCharType="begin"/>
      </w:r>
      <w:r>
        <w:instrText xml:space="preserve"> PAGEREF _Toc108100460 \h </w:instrText>
      </w:r>
      <w:r>
        <w:fldChar w:fldCharType="separate"/>
      </w:r>
      <w:r>
        <w:t>49</w:t>
      </w:r>
      <w:r>
        <w:fldChar w:fldCharType="end"/>
      </w:r>
      <w:r>
        <w:fldChar w:fldCharType="end"/>
      </w:r>
    </w:p>
    <w:p w14:paraId="25A0FA24">
      <w:pPr>
        <w:pStyle w:val="44"/>
        <w:tabs>
          <w:tab w:val="right" w:leader="dot" w:pos="8750"/>
        </w:tabs>
        <w:rPr>
          <w:rFonts w:ascii="Calibri" w:hAnsi="Calibri" w:eastAsia="宋体"/>
          <w:kern w:val="2"/>
          <w:sz w:val="21"/>
          <w:szCs w:val="22"/>
          <w:lang w:val="en-US"/>
        </w:rPr>
      </w:pPr>
      <w:r>
        <w:fldChar w:fldCharType="begin"/>
      </w:r>
      <w:r>
        <w:instrText xml:space="preserve"> HYPERLINK \l "_Toc108100461" </w:instrText>
      </w:r>
      <w:r>
        <w:fldChar w:fldCharType="separate"/>
      </w:r>
      <w:r>
        <w:rPr>
          <w:rStyle w:val="58"/>
          <w:rFonts w:hint="eastAsia" w:ascii="Times New Roman" w:hAnsi="Times New Roman" w:cs="Times New Roman"/>
        </w:rPr>
        <w:t>附件</w:t>
      </w:r>
      <w:r>
        <w:rPr>
          <w:rStyle w:val="58"/>
          <w:rFonts w:ascii="Times New Roman" w:hAnsi="Times New Roman" w:cs="Times New Roman"/>
        </w:rPr>
        <w:t>11</w:t>
      </w:r>
      <w:r>
        <w:rPr>
          <w:rStyle w:val="58"/>
          <w:rFonts w:hint="eastAsia" w:ascii="Times New Roman" w:hAnsi="Times New Roman" w:cs="Times New Roman"/>
        </w:rPr>
        <w:t>：</w:t>
      </w:r>
      <w:r>
        <w:rPr>
          <w:rStyle w:val="58"/>
          <w:rFonts w:ascii="Times New Roman" w:hAnsi="Times New Roman" w:cs="Times New Roman"/>
        </w:rPr>
        <w:t xml:space="preserve"> </w:t>
      </w:r>
      <w:r>
        <w:rPr>
          <w:rStyle w:val="58"/>
          <w:rFonts w:hint="eastAsia" w:ascii="Times New Roman" w:hAnsi="Times New Roman" w:cs="Times New Roman"/>
        </w:rPr>
        <w:t>报价文件封面格式及目录</w:t>
      </w:r>
      <w:r>
        <w:tab/>
      </w:r>
      <w:r>
        <w:fldChar w:fldCharType="begin"/>
      </w:r>
      <w:r>
        <w:instrText xml:space="preserve"> PAGEREF _Toc108100461 \h </w:instrText>
      </w:r>
      <w:r>
        <w:fldChar w:fldCharType="separate"/>
      </w:r>
      <w:r>
        <w:t>50</w:t>
      </w:r>
      <w:r>
        <w:fldChar w:fldCharType="end"/>
      </w:r>
      <w:r>
        <w:fldChar w:fldCharType="end"/>
      </w:r>
    </w:p>
    <w:p w14:paraId="1598AE80">
      <w:pPr>
        <w:pStyle w:val="44"/>
        <w:tabs>
          <w:tab w:val="right" w:leader="dot" w:pos="8750"/>
        </w:tabs>
        <w:rPr>
          <w:rFonts w:ascii="Calibri" w:hAnsi="Calibri" w:eastAsia="宋体"/>
          <w:kern w:val="2"/>
          <w:sz w:val="21"/>
          <w:szCs w:val="22"/>
          <w:lang w:val="en-US"/>
        </w:rPr>
      </w:pPr>
      <w:r>
        <w:fldChar w:fldCharType="begin"/>
      </w:r>
      <w:r>
        <w:instrText xml:space="preserve"> HYPERLINK \l "_Toc108100462" </w:instrText>
      </w:r>
      <w:r>
        <w:fldChar w:fldCharType="separate"/>
      </w:r>
      <w:r>
        <w:rPr>
          <w:rStyle w:val="58"/>
          <w:rFonts w:hint="eastAsia" w:ascii="Times New Roman" w:hAnsi="Times New Roman" w:cs="Times New Roman"/>
        </w:rPr>
        <w:t>附件</w:t>
      </w:r>
      <w:r>
        <w:rPr>
          <w:rStyle w:val="58"/>
          <w:rFonts w:ascii="Times New Roman" w:hAnsi="Times New Roman" w:cs="Times New Roman"/>
        </w:rPr>
        <w:t>12</w:t>
      </w:r>
      <w:r>
        <w:rPr>
          <w:rStyle w:val="58"/>
          <w:rFonts w:hint="eastAsia" w:ascii="Times New Roman" w:hAnsi="Times New Roman" w:cs="Times New Roman"/>
        </w:rPr>
        <w:t>：</w:t>
      </w:r>
      <w:r>
        <w:rPr>
          <w:rStyle w:val="58"/>
          <w:rFonts w:ascii="Times New Roman" w:hAnsi="Times New Roman" w:cs="Times New Roman"/>
        </w:rPr>
        <w:t xml:space="preserve"> </w:t>
      </w:r>
      <w:r>
        <w:rPr>
          <w:rStyle w:val="58"/>
          <w:rFonts w:hint="eastAsia" w:ascii="Times New Roman" w:hAnsi="Times New Roman" w:cs="Times New Roman"/>
        </w:rPr>
        <w:t>报价一览表</w:t>
      </w:r>
      <w:r>
        <w:tab/>
      </w:r>
      <w:r>
        <w:fldChar w:fldCharType="begin"/>
      </w:r>
      <w:r>
        <w:instrText xml:space="preserve"> PAGEREF _Toc108100462 \h </w:instrText>
      </w:r>
      <w:r>
        <w:fldChar w:fldCharType="separate"/>
      </w:r>
      <w:r>
        <w:t>52</w:t>
      </w:r>
      <w:r>
        <w:fldChar w:fldCharType="end"/>
      </w:r>
      <w:r>
        <w:fldChar w:fldCharType="end"/>
      </w:r>
    </w:p>
    <w:p w14:paraId="3BA6F14A">
      <w:pPr>
        <w:pStyle w:val="44"/>
        <w:tabs>
          <w:tab w:val="right" w:leader="dot" w:pos="8750"/>
        </w:tabs>
        <w:rPr>
          <w:rFonts w:ascii="Calibri" w:hAnsi="Calibri" w:eastAsia="宋体"/>
          <w:kern w:val="2"/>
          <w:sz w:val="21"/>
          <w:szCs w:val="22"/>
          <w:lang w:val="en-US"/>
        </w:rPr>
      </w:pPr>
      <w:r>
        <w:fldChar w:fldCharType="begin"/>
      </w:r>
      <w:r>
        <w:instrText xml:space="preserve"> HYPERLINK \l "_Toc108100463" </w:instrText>
      </w:r>
      <w:r>
        <w:fldChar w:fldCharType="separate"/>
      </w:r>
      <w:r>
        <w:rPr>
          <w:rStyle w:val="58"/>
          <w:rFonts w:hint="eastAsia" w:ascii="Times New Roman" w:hAnsi="Times New Roman" w:cs="Times New Roman"/>
          <w:spacing w:val="-21"/>
        </w:rPr>
        <w:t>附件</w:t>
      </w:r>
      <w:r>
        <w:rPr>
          <w:rStyle w:val="58"/>
          <w:rFonts w:ascii="Times New Roman" w:hAnsi="Times New Roman" w:cs="Times New Roman"/>
          <w:spacing w:val="-21"/>
        </w:rPr>
        <w:t xml:space="preserve"> </w:t>
      </w:r>
      <w:r>
        <w:rPr>
          <w:rStyle w:val="58"/>
          <w:rFonts w:ascii="Times New Roman" w:hAnsi="Times New Roman" w:cs="Times New Roman"/>
        </w:rPr>
        <w:t>13</w:t>
      </w:r>
      <w:r>
        <w:rPr>
          <w:rStyle w:val="58"/>
          <w:rFonts w:hint="eastAsia" w:ascii="Times New Roman" w:hAnsi="Times New Roman" w:cs="Times New Roman"/>
          <w:spacing w:val="-1"/>
        </w:rPr>
        <w:t>：</w:t>
      </w:r>
      <w:r>
        <w:rPr>
          <w:rStyle w:val="58"/>
          <w:rFonts w:ascii="Times New Roman" w:hAnsi="Times New Roman" w:cs="Times New Roman"/>
          <w:spacing w:val="-1"/>
        </w:rPr>
        <w:t xml:space="preserve"> </w:t>
      </w:r>
      <w:r>
        <w:rPr>
          <w:rStyle w:val="58"/>
          <w:rFonts w:hint="eastAsia" w:ascii="Times New Roman" w:hAnsi="Times New Roman" w:cs="Times New Roman"/>
          <w:spacing w:val="-1"/>
        </w:rPr>
        <w:t>报价明细表</w:t>
      </w:r>
      <w:r>
        <w:tab/>
      </w:r>
      <w:r>
        <w:fldChar w:fldCharType="begin"/>
      </w:r>
      <w:r>
        <w:instrText xml:space="preserve"> PAGEREF _Toc108100463 \h </w:instrText>
      </w:r>
      <w:r>
        <w:fldChar w:fldCharType="separate"/>
      </w:r>
      <w:r>
        <w:t>53</w:t>
      </w:r>
      <w:r>
        <w:fldChar w:fldCharType="end"/>
      </w:r>
      <w:r>
        <w:fldChar w:fldCharType="end"/>
      </w:r>
    </w:p>
    <w:p w14:paraId="68D8C5CA">
      <w:pPr>
        <w:pStyle w:val="44"/>
        <w:tabs>
          <w:tab w:val="right" w:leader="dot" w:pos="8750"/>
        </w:tabs>
        <w:rPr>
          <w:rFonts w:ascii="Calibri" w:hAnsi="Calibri" w:eastAsia="宋体"/>
          <w:kern w:val="2"/>
          <w:sz w:val="21"/>
          <w:szCs w:val="22"/>
          <w:lang w:val="en-US"/>
        </w:rPr>
      </w:pPr>
      <w:r>
        <w:fldChar w:fldCharType="begin"/>
      </w:r>
      <w:r>
        <w:instrText xml:space="preserve"> HYPERLINK \l "_Toc108100464" </w:instrText>
      </w:r>
      <w:r>
        <w:fldChar w:fldCharType="separate"/>
      </w:r>
      <w:r>
        <w:rPr>
          <w:rStyle w:val="58"/>
          <w:rFonts w:hint="eastAsia" w:ascii="Times New Roman" w:hAnsi="Times New Roman" w:cs="Times New Roman"/>
        </w:rPr>
        <w:t>附件</w:t>
      </w:r>
      <w:r>
        <w:rPr>
          <w:rStyle w:val="58"/>
          <w:rFonts w:ascii="Times New Roman" w:hAnsi="Times New Roman" w:cs="Times New Roman"/>
        </w:rPr>
        <w:t>14</w:t>
      </w:r>
      <w:r>
        <w:rPr>
          <w:rStyle w:val="58"/>
          <w:rFonts w:hint="eastAsia" w:ascii="Times New Roman" w:hAnsi="Times New Roman" w:cs="Times New Roman"/>
        </w:rPr>
        <w:t>：</w:t>
      </w:r>
      <w:r>
        <w:rPr>
          <w:rStyle w:val="58"/>
          <w:rFonts w:ascii="Times New Roman" w:hAnsi="Times New Roman" w:cs="Times New Roman"/>
        </w:rPr>
        <w:t xml:space="preserve"> </w:t>
      </w:r>
      <w:r>
        <w:rPr>
          <w:rStyle w:val="58"/>
          <w:rFonts w:hint="eastAsia" w:ascii="Times New Roman" w:hAnsi="Times New Roman" w:cs="Times New Roman"/>
        </w:rPr>
        <w:t>非政府采购活动现场确认声明书</w:t>
      </w:r>
      <w:r>
        <w:tab/>
      </w:r>
      <w:r>
        <w:fldChar w:fldCharType="begin"/>
      </w:r>
      <w:r>
        <w:instrText xml:space="preserve"> PAGEREF _Toc108100464 \h </w:instrText>
      </w:r>
      <w:r>
        <w:fldChar w:fldCharType="separate"/>
      </w:r>
      <w:r>
        <w:t>58</w:t>
      </w:r>
      <w:r>
        <w:fldChar w:fldCharType="end"/>
      </w:r>
      <w:r>
        <w:fldChar w:fldCharType="end"/>
      </w:r>
    </w:p>
    <w:p w14:paraId="15F85519">
      <w:pPr>
        <w:tabs>
          <w:tab w:val="right" w:leader="dot" w:pos="8160"/>
        </w:tabs>
        <w:spacing w:line="360" w:lineRule="auto"/>
        <w:rPr>
          <w:rFonts w:ascii="Times New Roman" w:hAnsi="Times New Roman" w:cs="Times New Roman"/>
        </w:rPr>
      </w:pPr>
      <w:r>
        <w:rPr>
          <w:rFonts w:ascii="Times New Roman" w:hAnsi="Times New Roman" w:cs="Times New Roman"/>
        </w:rPr>
        <w:fldChar w:fldCharType="end"/>
      </w:r>
    </w:p>
    <w:p w14:paraId="0E917C16">
      <w:pPr>
        <w:pStyle w:val="18"/>
        <w:spacing w:before="2" w:line="360" w:lineRule="auto"/>
        <w:rPr>
          <w:rFonts w:ascii="Times New Roman" w:hAnsi="Times New Roman" w:cs="Times New Roman"/>
          <w:sz w:val="29"/>
        </w:rPr>
      </w:pPr>
    </w:p>
    <w:p w14:paraId="576B2166">
      <w:pPr>
        <w:pStyle w:val="18"/>
        <w:spacing w:before="2" w:line="360" w:lineRule="auto"/>
        <w:rPr>
          <w:rFonts w:ascii="Times New Roman" w:hAnsi="Times New Roman" w:cs="Times New Roman"/>
          <w:sz w:val="29"/>
        </w:rPr>
      </w:pPr>
    </w:p>
    <w:p w14:paraId="5F842011">
      <w:pPr>
        <w:pStyle w:val="18"/>
        <w:spacing w:before="2" w:line="360" w:lineRule="auto"/>
        <w:rPr>
          <w:rFonts w:ascii="Times New Roman" w:hAnsi="Times New Roman" w:cs="Times New Roman"/>
          <w:sz w:val="29"/>
        </w:rPr>
      </w:pPr>
    </w:p>
    <w:p w14:paraId="2743458D">
      <w:pPr>
        <w:pStyle w:val="18"/>
        <w:spacing w:before="2" w:line="360" w:lineRule="auto"/>
        <w:rPr>
          <w:rFonts w:ascii="Times New Roman" w:hAnsi="Times New Roman" w:cs="Times New Roman"/>
          <w:sz w:val="29"/>
        </w:rPr>
      </w:pPr>
    </w:p>
    <w:p w14:paraId="1802EB39">
      <w:pPr>
        <w:pStyle w:val="18"/>
        <w:spacing w:before="2" w:line="360" w:lineRule="auto"/>
        <w:rPr>
          <w:rFonts w:ascii="Times New Roman" w:hAnsi="Times New Roman" w:cs="Times New Roman"/>
          <w:sz w:val="29"/>
        </w:rPr>
      </w:pPr>
    </w:p>
    <w:p w14:paraId="04628D59">
      <w:pPr>
        <w:pStyle w:val="18"/>
        <w:spacing w:before="2" w:line="360" w:lineRule="auto"/>
        <w:rPr>
          <w:rFonts w:ascii="Times New Roman" w:hAnsi="Times New Roman" w:cs="Times New Roman"/>
          <w:sz w:val="29"/>
        </w:rPr>
      </w:pPr>
    </w:p>
    <w:p w14:paraId="4A92BF2C">
      <w:pPr>
        <w:pStyle w:val="18"/>
        <w:spacing w:before="2" w:line="360" w:lineRule="auto"/>
        <w:rPr>
          <w:rFonts w:ascii="Times New Roman" w:hAnsi="Times New Roman" w:cs="Times New Roman"/>
          <w:sz w:val="29"/>
        </w:rPr>
      </w:pPr>
    </w:p>
    <w:p w14:paraId="631DFF14">
      <w:pPr>
        <w:pStyle w:val="18"/>
        <w:spacing w:before="2" w:line="360" w:lineRule="auto"/>
        <w:rPr>
          <w:rFonts w:ascii="Times New Roman" w:hAnsi="Times New Roman" w:cs="Times New Roman"/>
          <w:sz w:val="29"/>
        </w:rPr>
      </w:pPr>
    </w:p>
    <w:p w14:paraId="5B0A2450">
      <w:pPr>
        <w:pStyle w:val="18"/>
        <w:spacing w:before="2" w:line="360" w:lineRule="auto"/>
        <w:rPr>
          <w:rFonts w:ascii="Times New Roman" w:hAnsi="Times New Roman" w:cs="Times New Roman"/>
          <w:sz w:val="29"/>
        </w:rPr>
      </w:pPr>
    </w:p>
    <w:p w14:paraId="0FB2C184">
      <w:pPr>
        <w:pStyle w:val="18"/>
        <w:spacing w:before="2" w:line="360" w:lineRule="auto"/>
        <w:rPr>
          <w:rFonts w:ascii="Times New Roman" w:hAnsi="Times New Roman" w:cs="Times New Roman"/>
          <w:sz w:val="29"/>
        </w:rPr>
      </w:pPr>
    </w:p>
    <w:p w14:paraId="06148687">
      <w:pPr>
        <w:keepLines/>
        <w:spacing w:before="240" w:after="240" w:line="500" w:lineRule="exact"/>
        <w:ind w:firstLine="562" w:firstLineChars="200"/>
        <w:jc w:val="center"/>
        <w:outlineLvl w:val="0"/>
        <w:rPr>
          <w:rFonts w:ascii="Times New Roman" w:hAnsi="Times New Roman" w:cs="Times New Roman"/>
          <w:b/>
          <w:kern w:val="2"/>
          <w:sz w:val="28"/>
          <w:szCs w:val="20"/>
          <w:lang w:val="en-US"/>
        </w:rPr>
      </w:pPr>
      <w:bookmarkStart w:id="0" w:name="_Toc108100431"/>
      <w:r>
        <w:rPr>
          <w:rFonts w:ascii="Times New Roman" w:hAnsi="Times New Roman" w:cs="Times New Roman"/>
          <w:b/>
          <w:kern w:val="2"/>
          <w:sz w:val="28"/>
          <w:szCs w:val="20"/>
          <w:lang w:val="en-US"/>
        </w:rPr>
        <w:t>第一章</w:t>
      </w:r>
      <w:r>
        <w:rPr>
          <w:rFonts w:ascii="Times New Roman" w:hAnsi="Times New Roman" w:cs="Times New Roman"/>
          <w:b/>
          <w:kern w:val="2"/>
          <w:sz w:val="28"/>
          <w:szCs w:val="20"/>
          <w:lang w:val="en-US"/>
        </w:rPr>
        <w:tab/>
      </w:r>
      <w:r>
        <w:rPr>
          <w:rFonts w:ascii="Times New Roman" w:hAnsi="Times New Roman" w:cs="Times New Roman"/>
          <w:b/>
          <w:kern w:val="2"/>
          <w:sz w:val="28"/>
          <w:szCs w:val="20"/>
          <w:lang w:val="en-US"/>
        </w:rPr>
        <w:t xml:space="preserve">  公开招标采购公告</w:t>
      </w:r>
      <w:bookmarkEnd w:id="0"/>
    </w:p>
    <w:p w14:paraId="1CBF38F8">
      <w:pPr>
        <w:pStyle w:val="18"/>
        <w:spacing w:before="12" w:line="360" w:lineRule="auto"/>
        <w:rPr>
          <w:rFonts w:ascii="Times New Roman" w:hAnsi="Times New Roman" w:cs="Times New Roman"/>
          <w:b/>
          <w:sz w:val="26"/>
        </w:rPr>
      </w:pPr>
    </w:p>
    <w:p w14:paraId="2A53BA09">
      <w:pPr>
        <w:pStyle w:val="18"/>
        <w:spacing w:line="360" w:lineRule="auto"/>
        <w:ind w:firstLine="400" w:firstLineChars="200"/>
        <w:jc w:val="both"/>
        <w:rPr>
          <w:rFonts w:ascii="Times New Roman" w:hAnsi="Times New Roman" w:cs="Times New Roman"/>
          <w:sz w:val="29"/>
        </w:rPr>
      </w:pPr>
      <w:r>
        <w:rPr>
          <w:rFonts w:ascii="Times New Roman" w:hAnsi="Times New Roman" w:cs="Times New Roman"/>
          <w:spacing w:val="-5"/>
        </w:rPr>
        <w:t>参照《中华人民共和国政府采购法》、《中华人民共和国政府采购法实施条例》和《政府采购货物</w:t>
      </w:r>
      <w:r>
        <w:rPr>
          <w:rFonts w:ascii="Times New Roman" w:hAnsi="Times New Roman" w:cs="Times New Roman"/>
          <w:spacing w:val="-6"/>
        </w:rPr>
        <w:t>和服务招标投标管理办法》等规定，</w:t>
      </w:r>
      <w:r>
        <w:rPr>
          <w:rFonts w:hint="eastAsia" w:ascii="Times New Roman" w:hAnsi="Times New Roman" w:cs="Times New Roman"/>
          <w:spacing w:val="-6"/>
        </w:rPr>
        <w:t>浙江信益工程管理有限公司</w:t>
      </w:r>
      <w:r>
        <w:rPr>
          <w:rFonts w:ascii="Times New Roman" w:hAnsi="Times New Roman" w:cs="Times New Roman"/>
          <w:spacing w:val="-6"/>
        </w:rPr>
        <w:t>受</w:t>
      </w:r>
      <w:r>
        <w:rPr>
          <w:rFonts w:hint="eastAsia" w:ascii="Times New Roman" w:hAnsi="Times New Roman" w:cs="Times New Roman"/>
          <w:spacing w:val="-6"/>
        </w:rPr>
        <w:t>海宁市合创开发建设有限公司</w:t>
      </w:r>
      <w:r>
        <w:rPr>
          <w:rFonts w:ascii="Times New Roman" w:hAnsi="Times New Roman" w:cs="Times New Roman"/>
          <w:spacing w:val="-6"/>
        </w:rPr>
        <w:t>委托，现就</w:t>
      </w:r>
      <w:r>
        <w:rPr>
          <w:rFonts w:hint="eastAsia" w:ascii="Times New Roman" w:hAnsi="Times New Roman" w:cs="Times New Roman"/>
          <w:spacing w:val="-6"/>
        </w:rPr>
        <w:t>泛半导体产业园二、四期园区安装充电桩采购</w:t>
      </w:r>
      <w:r>
        <w:rPr>
          <w:rFonts w:ascii="Times New Roman" w:hAnsi="Times New Roman" w:cs="Times New Roman"/>
          <w:spacing w:val="-4"/>
        </w:rPr>
        <w:t>进行公开招标采购，欢迎国内</w:t>
      </w:r>
      <w:r>
        <w:rPr>
          <w:rFonts w:ascii="Times New Roman" w:hAnsi="Times New Roman" w:cs="Times New Roman"/>
          <w:spacing w:val="-3"/>
        </w:rPr>
        <w:t>合格供应商前来投标，现将有关事项公告如下：</w:t>
      </w:r>
    </w:p>
    <w:p w14:paraId="41611963">
      <w:pPr>
        <w:spacing w:line="360" w:lineRule="auto"/>
        <w:ind w:firstLine="422" w:firstLineChars="200"/>
        <w:rPr>
          <w:rFonts w:ascii="Times New Roman" w:hAnsi="Times New Roman" w:cs="Times New Roman"/>
          <w:b/>
          <w:sz w:val="21"/>
        </w:rPr>
      </w:pPr>
      <w:r>
        <w:rPr>
          <w:rFonts w:ascii="Times New Roman" w:hAnsi="Times New Roman" w:cs="Times New Roman"/>
          <w:b/>
          <w:sz w:val="21"/>
        </w:rPr>
        <w:t>一、项目编号：</w:t>
      </w:r>
      <w:r>
        <w:rPr>
          <w:rFonts w:hint="eastAsia" w:ascii="Times New Roman" w:hAnsi="Times New Roman" w:cs="Times New Roman"/>
          <w:b/>
          <w:sz w:val="21"/>
        </w:rPr>
        <w:t>XYCG2025009</w:t>
      </w:r>
    </w:p>
    <w:p w14:paraId="5EDA551A">
      <w:pPr>
        <w:spacing w:line="360" w:lineRule="auto"/>
        <w:ind w:firstLine="422" w:firstLineChars="200"/>
        <w:rPr>
          <w:rFonts w:ascii="Times New Roman" w:hAnsi="Times New Roman" w:cs="Times New Roman"/>
          <w:b/>
          <w:sz w:val="21"/>
        </w:rPr>
      </w:pPr>
      <w:r>
        <w:rPr>
          <w:rFonts w:ascii="Times New Roman" w:hAnsi="Times New Roman" w:cs="Times New Roman"/>
          <w:b/>
          <w:sz w:val="21"/>
        </w:rPr>
        <w:t>二、采购组织类型：委托代理（</w:t>
      </w:r>
      <w:r>
        <w:rPr>
          <w:rFonts w:hint="eastAsia" w:ascii="Times New Roman" w:hAnsi="Times New Roman" w:cs="Times New Roman"/>
          <w:b/>
          <w:sz w:val="21"/>
        </w:rPr>
        <w:t>国企采购项目</w:t>
      </w:r>
      <w:r>
        <w:rPr>
          <w:rFonts w:ascii="Times New Roman" w:hAnsi="Times New Roman" w:cs="Times New Roman"/>
          <w:b/>
          <w:sz w:val="21"/>
        </w:rPr>
        <w:t xml:space="preserve">） </w:t>
      </w:r>
    </w:p>
    <w:p w14:paraId="462AB43A">
      <w:pPr>
        <w:spacing w:line="360" w:lineRule="auto"/>
        <w:ind w:firstLine="422" w:firstLineChars="200"/>
        <w:rPr>
          <w:rFonts w:ascii="Times New Roman" w:hAnsi="Times New Roman" w:cs="Times New Roman"/>
          <w:b/>
          <w:sz w:val="21"/>
        </w:rPr>
      </w:pPr>
      <w:r>
        <w:rPr>
          <w:rFonts w:ascii="Times New Roman" w:hAnsi="Times New Roman" w:cs="Times New Roman"/>
          <w:b/>
          <w:sz w:val="21"/>
        </w:rPr>
        <w:t>三、采购方式：公开招标</w:t>
      </w:r>
    </w:p>
    <w:p w14:paraId="6EF7CB83">
      <w:pPr>
        <w:spacing w:line="360" w:lineRule="auto"/>
        <w:ind w:firstLine="422" w:firstLineChars="200"/>
        <w:rPr>
          <w:rFonts w:ascii="Times New Roman" w:hAnsi="Times New Roman" w:cs="Times New Roman"/>
          <w:b/>
          <w:sz w:val="21"/>
        </w:rPr>
      </w:pPr>
      <w:r>
        <w:rPr>
          <w:rFonts w:ascii="Times New Roman" w:hAnsi="Times New Roman" w:cs="Times New Roman"/>
          <w:b/>
          <w:sz w:val="21"/>
        </w:rPr>
        <w:t xml:space="preserve">四、招标项目: </w:t>
      </w:r>
      <w:r>
        <w:rPr>
          <w:rFonts w:hint="eastAsia" w:ascii="Times New Roman" w:hAnsi="Times New Roman" w:cs="Times New Roman"/>
          <w:b/>
          <w:sz w:val="21"/>
        </w:rPr>
        <w:t>泛半导体产业园二、四期园区安装充电桩采购</w:t>
      </w:r>
    </w:p>
    <w:p w14:paraId="6BC969A6">
      <w:pPr>
        <w:spacing w:line="360" w:lineRule="auto"/>
        <w:ind w:firstLine="422" w:firstLineChars="200"/>
        <w:rPr>
          <w:rFonts w:ascii="Times New Roman" w:hAnsi="Times New Roman" w:cs="Times New Roman"/>
          <w:b/>
          <w:sz w:val="21"/>
        </w:rPr>
      </w:pPr>
      <w:r>
        <w:rPr>
          <w:rFonts w:ascii="Times New Roman" w:hAnsi="Times New Roman" w:cs="Times New Roman"/>
          <w:b/>
          <w:sz w:val="21"/>
        </w:rPr>
        <w:t>五、招标采购内容及预算：</w:t>
      </w:r>
    </w:p>
    <w:tbl>
      <w:tblPr>
        <w:tblStyle w:val="50"/>
        <w:tblW w:w="8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120"/>
        <w:gridCol w:w="480"/>
        <w:gridCol w:w="1080"/>
        <w:gridCol w:w="1200"/>
        <w:gridCol w:w="1920"/>
      </w:tblGrid>
      <w:tr w14:paraId="125A3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28" w:type="dxa"/>
            <w:vAlign w:val="center"/>
          </w:tcPr>
          <w:p w14:paraId="73AA06C1">
            <w:pPr>
              <w:pStyle w:val="62"/>
              <w:jc w:val="center"/>
              <w:rPr>
                <w:rFonts w:ascii="Times New Roman" w:hAnsi="Times New Roman" w:cs="Times New Roman"/>
                <w:sz w:val="21"/>
              </w:rPr>
            </w:pPr>
            <w:r>
              <w:rPr>
                <w:rFonts w:ascii="Times New Roman" w:hAnsi="Times New Roman" w:cs="Times New Roman"/>
                <w:sz w:val="21"/>
              </w:rPr>
              <w:t>序号</w:t>
            </w:r>
          </w:p>
        </w:tc>
        <w:tc>
          <w:tcPr>
            <w:tcW w:w="3120" w:type="dxa"/>
            <w:vAlign w:val="center"/>
          </w:tcPr>
          <w:p w14:paraId="5EB65872">
            <w:pPr>
              <w:pStyle w:val="62"/>
              <w:jc w:val="center"/>
              <w:rPr>
                <w:rFonts w:ascii="Times New Roman" w:hAnsi="Times New Roman" w:cs="Times New Roman"/>
                <w:sz w:val="21"/>
              </w:rPr>
            </w:pPr>
            <w:r>
              <w:rPr>
                <w:rFonts w:ascii="Times New Roman" w:hAnsi="Times New Roman" w:cs="Times New Roman"/>
                <w:sz w:val="21"/>
              </w:rPr>
              <w:t>采购内容</w:t>
            </w:r>
          </w:p>
        </w:tc>
        <w:tc>
          <w:tcPr>
            <w:tcW w:w="480" w:type="dxa"/>
            <w:vAlign w:val="center"/>
          </w:tcPr>
          <w:p w14:paraId="6C871815">
            <w:pPr>
              <w:pStyle w:val="62"/>
              <w:jc w:val="center"/>
              <w:rPr>
                <w:rFonts w:ascii="Times New Roman" w:hAnsi="Times New Roman" w:cs="Times New Roman"/>
                <w:sz w:val="21"/>
              </w:rPr>
            </w:pPr>
            <w:r>
              <w:rPr>
                <w:rFonts w:ascii="Times New Roman" w:hAnsi="Times New Roman" w:cs="Times New Roman"/>
                <w:sz w:val="21"/>
              </w:rPr>
              <w:t>单位</w:t>
            </w:r>
          </w:p>
        </w:tc>
        <w:tc>
          <w:tcPr>
            <w:tcW w:w="1080" w:type="dxa"/>
            <w:vAlign w:val="center"/>
          </w:tcPr>
          <w:p w14:paraId="5DE56A83">
            <w:pPr>
              <w:pStyle w:val="62"/>
              <w:jc w:val="center"/>
              <w:rPr>
                <w:rFonts w:ascii="Times New Roman" w:hAnsi="Times New Roman" w:cs="Times New Roman"/>
                <w:sz w:val="21"/>
              </w:rPr>
            </w:pPr>
            <w:r>
              <w:rPr>
                <w:rFonts w:ascii="Times New Roman" w:hAnsi="Times New Roman" w:cs="Times New Roman"/>
                <w:sz w:val="21"/>
              </w:rPr>
              <w:t>数量</w:t>
            </w:r>
          </w:p>
        </w:tc>
        <w:tc>
          <w:tcPr>
            <w:tcW w:w="1200" w:type="dxa"/>
            <w:vAlign w:val="center"/>
          </w:tcPr>
          <w:p w14:paraId="51327A24">
            <w:pPr>
              <w:pStyle w:val="62"/>
              <w:jc w:val="center"/>
              <w:rPr>
                <w:rFonts w:ascii="Times New Roman" w:hAnsi="Times New Roman" w:cs="Times New Roman"/>
                <w:sz w:val="21"/>
              </w:rPr>
            </w:pPr>
            <w:r>
              <w:rPr>
                <w:rFonts w:ascii="Times New Roman" w:hAnsi="Times New Roman" w:cs="Times New Roman"/>
                <w:sz w:val="21"/>
              </w:rPr>
              <w:t>预算金额(元)</w:t>
            </w:r>
          </w:p>
        </w:tc>
        <w:tc>
          <w:tcPr>
            <w:tcW w:w="1920" w:type="dxa"/>
            <w:vAlign w:val="center"/>
          </w:tcPr>
          <w:p w14:paraId="79CB4A12">
            <w:pPr>
              <w:pStyle w:val="62"/>
              <w:jc w:val="center"/>
              <w:rPr>
                <w:rFonts w:ascii="Times New Roman" w:hAnsi="Times New Roman" w:cs="Times New Roman"/>
                <w:sz w:val="21"/>
              </w:rPr>
            </w:pPr>
            <w:r>
              <w:rPr>
                <w:rFonts w:ascii="Times New Roman" w:hAnsi="Times New Roman" w:cs="Times New Roman"/>
                <w:sz w:val="21"/>
              </w:rPr>
              <w:t>采购人</w:t>
            </w:r>
          </w:p>
        </w:tc>
      </w:tr>
      <w:tr w14:paraId="37E73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28" w:type="dxa"/>
            <w:vAlign w:val="center"/>
          </w:tcPr>
          <w:p w14:paraId="505F3B18">
            <w:pPr>
              <w:pStyle w:val="62"/>
              <w:jc w:val="center"/>
              <w:rPr>
                <w:rFonts w:ascii="Times New Roman" w:hAnsi="Times New Roman" w:cs="Times New Roman"/>
                <w:sz w:val="21"/>
              </w:rPr>
            </w:pPr>
            <w:r>
              <w:rPr>
                <w:rFonts w:ascii="Times New Roman" w:hAnsi="Times New Roman" w:cs="Times New Roman"/>
                <w:sz w:val="21"/>
              </w:rPr>
              <w:t>1</w:t>
            </w:r>
          </w:p>
        </w:tc>
        <w:tc>
          <w:tcPr>
            <w:tcW w:w="3120" w:type="dxa"/>
            <w:vAlign w:val="center"/>
          </w:tcPr>
          <w:p w14:paraId="5DAC4020">
            <w:pPr>
              <w:pStyle w:val="62"/>
              <w:jc w:val="center"/>
              <w:rPr>
                <w:rFonts w:ascii="Times New Roman" w:hAnsi="Times New Roman" w:cs="Times New Roman"/>
                <w:sz w:val="21"/>
              </w:rPr>
            </w:pPr>
            <w:r>
              <w:rPr>
                <w:rFonts w:hint="eastAsia" w:ascii="Times New Roman" w:hAnsi="Times New Roman" w:cs="Times New Roman"/>
                <w:sz w:val="21"/>
              </w:rPr>
              <w:t>泛半导体产业园二期园区安装充电桩采购</w:t>
            </w:r>
          </w:p>
        </w:tc>
        <w:tc>
          <w:tcPr>
            <w:tcW w:w="480" w:type="dxa"/>
            <w:vAlign w:val="center"/>
          </w:tcPr>
          <w:p w14:paraId="2ABA3AAD">
            <w:pPr>
              <w:pStyle w:val="62"/>
              <w:jc w:val="center"/>
              <w:rPr>
                <w:rFonts w:ascii="Times New Roman" w:hAnsi="Times New Roman" w:cs="Times New Roman"/>
                <w:sz w:val="21"/>
              </w:rPr>
            </w:pPr>
            <w:r>
              <w:rPr>
                <w:rFonts w:ascii="Times New Roman" w:hAnsi="Times New Roman" w:cs="Times New Roman"/>
                <w:sz w:val="21"/>
              </w:rPr>
              <w:t>项</w:t>
            </w:r>
          </w:p>
        </w:tc>
        <w:tc>
          <w:tcPr>
            <w:tcW w:w="1080" w:type="dxa"/>
            <w:vAlign w:val="center"/>
          </w:tcPr>
          <w:p w14:paraId="7571341E">
            <w:pPr>
              <w:pStyle w:val="62"/>
              <w:jc w:val="center"/>
              <w:rPr>
                <w:rFonts w:ascii="Times New Roman" w:hAnsi="Times New Roman" w:cs="Times New Roman"/>
                <w:sz w:val="21"/>
              </w:rPr>
            </w:pPr>
            <w:r>
              <w:rPr>
                <w:rFonts w:ascii="Times New Roman" w:hAnsi="Times New Roman" w:cs="Times New Roman"/>
                <w:sz w:val="21"/>
              </w:rPr>
              <w:t>1</w:t>
            </w:r>
          </w:p>
        </w:tc>
        <w:tc>
          <w:tcPr>
            <w:tcW w:w="1200" w:type="dxa"/>
            <w:vAlign w:val="center"/>
          </w:tcPr>
          <w:p w14:paraId="36BA7A48">
            <w:pPr>
              <w:pStyle w:val="62"/>
              <w:jc w:val="center"/>
              <w:rPr>
                <w:rFonts w:hint="default" w:ascii="Times New Roman" w:hAnsi="Times New Roman" w:eastAsia="宋体" w:cs="Times New Roman"/>
                <w:sz w:val="21"/>
                <w:highlight w:val="yellow"/>
                <w:lang w:val="en-US" w:eastAsia="zh-CN"/>
              </w:rPr>
            </w:pPr>
            <w:r>
              <w:rPr>
                <w:rFonts w:hint="eastAsia" w:ascii="Times New Roman" w:hAnsi="Times New Roman" w:cs="Times New Roman"/>
                <w:sz w:val="21"/>
                <w:highlight w:val="yellow"/>
                <w:lang w:val="en-US" w:eastAsia="zh-CN"/>
              </w:rPr>
              <w:t>113661</w:t>
            </w:r>
          </w:p>
        </w:tc>
        <w:tc>
          <w:tcPr>
            <w:tcW w:w="1920" w:type="dxa"/>
            <w:vAlign w:val="center"/>
          </w:tcPr>
          <w:p w14:paraId="75ED5520">
            <w:pPr>
              <w:pStyle w:val="62"/>
              <w:jc w:val="center"/>
              <w:rPr>
                <w:rFonts w:ascii="Times New Roman" w:hAnsi="Times New Roman" w:cs="Times New Roman"/>
                <w:sz w:val="21"/>
              </w:rPr>
            </w:pPr>
            <w:r>
              <w:rPr>
                <w:rFonts w:hint="eastAsia" w:ascii="Times New Roman" w:hAnsi="Times New Roman" w:cs="Times New Roman"/>
                <w:sz w:val="21"/>
              </w:rPr>
              <w:t>海宁经开产业园区开发建设有限公司</w:t>
            </w:r>
          </w:p>
        </w:tc>
      </w:tr>
      <w:tr w14:paraId="13911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28" w:type="dxa"/>
            <w:vAlign w:val="center"/>
          </w:tcPr>
          <w:p w14:paraId="3815DC09">
            <w:pPr>
              <w:pStyle w:val="62"/>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3120" w:type="dxa"/>
            <w:vAlign w:val="center"/>
          </w:tcPr>
          <w:p w14:paraId="06E133F5">
            <w:pPr>
              <w:pStyle w:val="62"/>
              <w:jc w:val="center"/>
              <w:rPr>
                <w:rFonts w:ascii="Times New Roman" w:hAnsi="Times New Roman" w:cs="Times New Roman"/>
                <w:sz w:val="21"/>
              </w:rPr>
            </w:pPr>
            <w:r>
              <w:rPr>
                <w:rFonts w:hint="eastAsia" w:ascii="Times New Roman" w:hAnsi="Times New Roman" w:cs="Times New Roman"/>
                <w:sz w:val="21"/>
              </w:rPr>
              <w:t>泛半导体产业园四期园区安装充电桩采购</w:t>
            </w:r>
          </w:p>
        </w:tc>
        <w:tc>
          <w:tcPr>
            <w:tcW w:w="480" w:type="dxa"/>
            <w:shd w:val="clear" w:color="auto" w:fill="auto"/>
            <w:vAlign w:val="center"/>
          </w:tcPr>
          <w:p w14:paraId="42EF2366">
            <w:pPr>
              <w:pStyle w:val="62"/>
              <w:jc w:val="center"/>
              <w:rPr>
                <w:rFonts w:ascii="Times New Roman" w:hAnsi="Times New Roman" w:cs="Times New Roman"/>
                <w:sz w:val="21"/>
              </w:rPr>
            </w:pPr>
            <w:r>
              <w:rPr>
                <w:rFonts w:ascii="Times New Roman" w:hAnsi="Times New Roman" w:cs="Times New Roman"/>
                <w:sz w:val="21"/>
              </w:rPr>
              <w:t>项</w:t>
            </w:r>
          </w:p>
        </w:tc>
        <w:tc>
          <w:tcPr>
            <w:tcW w:w="1080" w:type="dxa"/>
            <w:shd w:val="clear" w:color="auto" w:fill="auto"/>
            <w:vAlign w:val="center"/>
          </w:tcPr>
          <w:p w14:paraId="4F25E14B">
            <w:pPr>
              <w:pStyle w:val="62"/>
              <w:jc w:val="center"/>
              <w:rPr>
                <w:rFonts w:ascii="Times New Roman" w:hAnsi="Times New Roman" w:cs="Times New Roman"/>
                <w:sz w:val="21"/>
              </w:rPr>
            </w:pPr>
            <w:r>
              <w:rPr>
                <w:rFonts w:ascii="Times New Roman" w:hAnsi="Times New Roman" w:cs="Times New Roman"/>
                <w:sz w:val="21"/>
              </w:rPr>
              <w:t>1</w:t>
            </w:r>
          </w:p>
        </w:tc>
        <w:tc>
          <w:tcPr>
            <w:tcW w:w="1200" w:type="dxa"/>
            <w:vAlign w:val="center"/>
          </w:tcPr>
          <w:p w14:paraId="4F6C2F3A">
            <w:pPr>
              <w:pStyle w:val="62"/>
              <w:jc w:val="center"/>
              <w:rPr>
                <w:rFonts w:hint="default" w:ascii="Times New Roman" w:hAnsi="Times New Roman" w:eastAsia="宋体" w:cs="Times New Roman"/>
                <w:sz w:val="21"/>
                <w:highlight w:val="yellow"/>
                <w:lang w:val="en-US" w:eastAsia="zh-CN"/>
              </w:rPr>
            </w:pPr>
            <w:r>
              <w:rPr>
                <w:rFonts w:hint="eastAsia" w:ascii="Times New Roman" w:hAnsi="Times New Roman" w:cs="Times New Roman"/>
                <w:sz w:val="21"/>
                <w:highlight w:val="yellow"/>
                <w:lang w:val="en-US" w:eastAsia="zh-CN"/>
              </w:rPr>
              <w:t>173191</w:t>
            </w:r>
          </w:p>
        </w:tc>
        <w:tc>
          <w:tcPr>
            <w:tcW w:w="1920" w:type="dxa"/>
            <w:vAlign w:val="center"/>
          </w:tcPr>
          <w:p w14:paraId="37681D11">
            <w:pPr>
              <w:pStyle w:val="62"/>
              <w:jc w:val="center"/>
              <w:rPr>
                <w:rFonts w:ascii="Times New Roman" w:hAnsi="Times New Roman" w:cs="Times New Roman"/>
                <w:sz w:val="21"/>
              </w:rPr>
            </w:pPr>
            <w:r>
              <w:rPr>
                <w:rFonts w:hint="eastAsia" w:ascii="Times New Roman" w:hAnsi="Times New Roman" w:cs="Times New Roman"/>
                <w:sz w:val="21"/>
              </w:rPr>
              <w:t>海宁市合创开发建设有限公司</w:t>
            </w:r>
          </w:p>
        </w:tc>
      </w:tr>
    </w:tbl>
    <w:p w14:paraId="4549F761">
      <w:pPr>
        <w:pStyle w:val="18"/>
        <w:spacing w:line="360" w:lineRule="auto"/>
        <w:ind w:firstLine="420" w:firstLineChars="200"/>
        <w:rPr>
          <w:rFonts w:ascii="Times New Roman" w:hAnsi="Times New Roman" w:cs="Times New Roman"/>
        </w:rPr>
      </w:pPr>
      <w:r>
        <w:rPr>
          <w:rFonts w:ascii="Times New Roman" w:hAnsi="Times New Roman" w:cs="Times New Roman"/>
        </w:rPr>
        <w:t>共一个标项。</w:t>
      </w:r>
    </w:p>
    <w:p w14:paraId="593D0785">
      <w:pPr>
        <w:pStyle w:val="5"/>
        <w:spacing w:line="360" w:lineRule="auto"/>
        <w:ind w:left="0" w:firstLine="422" w:firstLineChars="200"/>
        <w:rPr>
          <w:rFonts w:ascii="Times New Roman" w:hAnsi="Times New Roman" w:cs="Times New Roman"/>
        </w:rPr>
      </w:pPr>
      <w:r>
        <w:rPr>
          <w:rFonts w:ascii="Times New Roman" w:hAnsi="Times New Roman" w:cs="Times New Roman"/>
        </w:rPr>
        <w:t>六、合格投标人的资格要求</w:t>
      </w:r>
    </w:p>
    <w:p w14:paraId="1660E8FD">
      <w:pPr>
        <w:pStyle w:val="18"/>
        <w:spacing w:line="360" w:lineRule="auto"/>
        <w:ind w:firstLine="420" w:firstLineChars="200"/>
        <w:jc w:val="both"/>
        <w:rPr>
          <w:rFonts w:ascii="Times New Roman" w:hAnsi="Times New Roman" w:cs="Times New Roman"/>
        </w:rPr>
      </w:pPr>
      <w:r>
        <w:rPr>
          <w:rFonts w:ascii="Times New Roman" w:hAnsi="Times New Roman" w:cs="Times New Roman"/>
        </w:rPr>
        <w:t>（一</w:t>
      </w:r>
      <w:r>
        <w:rPr>
          <w:rFonts w:ascii="Times New Roman" w:hAnsi="Times New Roman" w:cs="Times New Roman"/>
          <w:spacing w:val="-3"/>
        </w:rPr>
        <w:t>）符合政府采购法第二十二条</w:t>
      </w:r>
      <w:r>
        <w:rPr>
          <w:rFonts w:ascii="Times New Roman" w:hAnsi="Times New Roman" w:cs="Times New Roman"/>
        </w:rPr>
        <w:t>（1</w:t>
      </w:r>
      <w:r>
        <w:rPr>
          <w:rFonts w:ascii="Times New Roman" w:hAnsi="Times New Roman" w:cs="Times New Roman"/>
          <w:spacing w:val="-3"/>
        </w:rPr>
        <w:t xml:space="preserve"> 具有独立承担民事责任的能力</w:t>
      </w:r>
      <w:r>
        <w:rPr>
          <w:rFonts w:ascii="Times New Roman" w:hAnsi="Times New Roman" w:cs="Times New Roman"/>
        </w:rPr>
        <w:t>；2</w:t>
      </w:r>
      <w:r>
        <w:rPr>
          <w:rFonts w:ascii="Times New Roman" w:hAnsi="Times New Roman" w:cs="Times New Roman"/>
          <w:spacing w:val="-3"/>
        </w:rPr>
        <w:t xml:space="preserve"> 具有良好的商业信誉和健全的财务会计制度</w:t>
      </w:r>
      <w:r>
        <w:rPr>
          <w:rFonts w:ascii="Times New Roman" w:hAnsi="Times New Roman" w:cs="Times New Roman"/>
        </w:rPr>
        <w:t>；3</w:t>
      </w:r>
      <w:r>
        <w:rPr>
          <w:rFonts w:ascii="Times New Roman" w:hAnsi="Times New Roman" w:cs="Times New Roman"/>
          <w:spacing w:val="-3"/>
        </w:rPr>
        <w:t xml:space="preserve"> 具有履行合同所必需的设备和专业技术能力</w:t>
      </w:r>
      <w:r>
        <w:rPr>
          <w:rFonts w:ascii="Times New Roman" w:hAnsi="Times New Roman" w:cs="Times New Roman"/>
        </w:rPr>
        <w:t>；4</w:t>
      </w:r>
      <w:r>
        <w:rPr>
          <w:rFonts w:ascii="Times New Roman" w:hAnsi="Times New Roman" w:cs="Times New Roman"/>
          <w:spacing w:val="-3"/>
        </w:rPr>
        <w:t xml:space="preserve"> 有依法缴纳税收和社会保障资金的良好记录</w:t>
      </w:r>
      <w:r>
        <w:rPr>
          <w:rFonts w:ascii="Times New Roman" w:hAnsi="Times New Roman" w:cs="Times New Roman"/>
        </w:rPr>
        <w:t>；5</w:t>
      </w:r>
      <w:r>
        <w:rPr>
          <w:rFonts w:ascii="Times New Roman" w:hAnsi="Times New Roman" w:cs="Times New Roman"/>
          <w:spacing w:val="-3"/>
        </w:rPr>
        <w:t xml:space="preserve"> 参加政府采购活动前三年，在经营活动中没有重大违法记录</w:t>
      </w:r>
      <w:r>
        <w:rPr>
          <w:rFonts w:ascii="Times New Roman" w:hAnsi="Times New Roman" w:cs="Times New Roman"/>
        </w:rPr>
        <w:t>；6</w:t>
      </w:r>
      <w:r>
        <w:rPr>
          <w:rFonts w:ascii="Times New Roman" w:hAnsi="Times New Roman" w:cs="Times New Roman"/>
          <w:spacing w:val="-3"/>
        </w:rPr>
        <w:t xml:space="preserve"> 法律、行政法规规定的其他条件。）之供应商资格规定；</w:t>
      </w:r>
    </w:p>
    <w:p w14:paraId="4604CA05">
      <w:pPr>
        <w:pStyle w:val="18"/>
        <w:spacing w:line="360" w:lineRule="auto"/>
        <w:ind w:firstLine="420" w:firstLineChars="200"/>
        <w:rPr>
          <w:rFonts w:ascii="Times New Roman" w:hAnsi="Times New Roman" w:cs="Times New Roman"/>
        </w:rPr>
      </w:pPr>
      <w:r>
        <w:rPr>
          <w:rFonts w:ascii="Times New Roman" w:hAnsi="Times New Roman" w:cs="Times New Roman"/>
        </w:rPr>
        <w:t>（二）未被“信用中国”（</w:t>
      </w:r>
      <w:r>
        <w:fldChar w:fldCharType="begin"/>
      </w:r>
      <w:r>
        <w:instrText xml:space="preserve"> HYPERLINK "http://www.creditchina.gov.cn/" </w:instrText>
      </w:r>
      <w:r>
        <w:fldChar w:fldCharType="separate"/>
      </w:r>
      <w:r>
        <w:rPr>
          <w:rFonts w:ascii="Times New Roman" w:hAnsi="Times New Roman" w:cs="Times New Roman"/>
        </w:rPr>
        <w:t>www.creditchina.gov.cn</w:t>
      </w:r>
      <w:r>
        <w:rPr>
          <w:rFonts w:ascii="Times New Roman" w:hAnsi="Times New Roman" w:cs="Times New Roman"/>
        </w:rPr>
        <w:fldChar w:fldCharType="end"/>
      </w:r>
      <w:r>
        <w:rPr>
          <w:rFonts w:ascii="Times New Roman" w:hAnsi="Times New Roman" w:cs="Times New Roman"/>
        </w:rPr>
        <w:t>）、中国政府采购网（</w:t>
      </w:r>
      <w:r>
        <w:fldChar w:fldCharType="begin"/>
      </w:r>
      <w:r>
        <w:instrText xml:space="preserve"> HYPERLINK "http://www.ccgp.gov.cn/" </w:instrText>
      </w:r>
      <w:r>
        <w:fldChar w:fldCharType="separate"/>
      </w:r>
      <w:r>
        <w:rPr>
          <w:rFonts w:ascii="Times New Roman" w:hAnsi="Times New Roman" w:cs="Times New Roman"/>
        </w:rPr>
        <w:t>www.ccgp.gov.cn</w:t>
      </w:r>
      <w:r>
        <w:rPr>
          <w:rFonts w:ascii="Times New Roman" w:hAnsi="Times New Roman" w:cs="Times New Roman"/>
        </w:rPr>
        <w:fldChar w:fldCharType="end"/>
      </w:r>
      <w:r>
        <w:rPr>
          <w:rFonts w:ascii="Times New Roman" w:hAnsi="Times New Roman" w:cs="Times New Roman"/>
        </w:rPr>
        <w:t>）列入失信被执行人、重大税收违法案件当事人名单、政府采购严重违法失信行为记录名单。</w:t>
      </w:r>
    </w:p>
    <w:p w14:paraId="5E548932">
      <w:pPr>
        <w:pStyle w:val="18"/>
        <w:spacing w:line="360" w:lineRule="auto"/>
        <w:ind w:firstLine="42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rPr>
        <w:t>三</w:t>
      </w:r>
      <w:r>
        <w:rPr>
          <w:rFonts w:ascii="Times New Roman" w:hAnsi="Times New Roman" w:cs="Times New Roman"/>
        </w:rPr>
        <w:t>）</w:t>
      </w:r>
      <w:r>
        <w:rPr>
          <w:rFonts w:ascii="Times New Roman" w:hAnsi="Times New Roman" w:cs="Times New Roman"/>
          <w:spacing w:val="-6"/>
        </w:rPr>
        <w:t>本项目</w:t>
      </w:r>
      <w:r>
        <w:rPr>
          <w:rFonts w:hint="eastAsia" w:ascii="Times New Roman" w:hAnsi="Times New Roman" w:cs="Times New Roman"/>
          <w:spacing w:val="-6"/>
        </w:rPr>
        <w:t>不</w:t>
      </w:r>
      <w:r>
        <w:rPr>
          <w:rFonts w:ascii="Times New Roman" w:hAnsi="Times New Roman" w:cs="Times New Roman"/>
          <w:spacing w:val="-6"/>
        </w:rPr>
        <w:t>允许联合体投标。</w:t>
      </w:r>
    </w:p>
    <w:p w14:paraId="639C4E38">
      <w:pPr>
        <w:spacing w:line="312" w:lineRule="auto"/>
        <w:ind w:firstLine="442" w:firstLineChars="200"/>
        <w:rPr>
          <w:rFonts w:cs="Arial"/>
          <w:szCs w:val="21"/>
        </w:rPr>
      </w:pPr>
      <w:r>
        <w:rPr>
          <w:rFonts w:hint="eastAsia" w:cs="Arial"/>
          <w:b/>
          <w:szCs w:val="21"/>
        </w:rPr>
        <w:t>七、公告期限：</w:t>
      </w:r>
      <w:r>
        <w:rPr>
          <w:rFonts w:hint="eastAsia" w:cs="Arial"/>
          <w:szCs w:val="21"/>
        </w:rPr>
        <w:t>自公告发布之日起5个工作日</w:t>
      </w:r>
    </w:p>
    <w:p w14:paraId="15586D9F">
      <w:pPr>
        <w:pStyle w:val="220"/>
        <w:spacing w:after="0" w:afterLines="0" w:line="400" w:lineRule="exact"/>
        <w:ind w:firstLine="482"/>
        <w:rPr>
          <w:b/>
          <w:bCs/>
          <w:kern w:val="2"/>
          <w:sz w:val="21"/>
          <w:szCs w:val="21"/>
        </w:rPr>
      </w:pPr>
      <w:r>
        <w:rPr>
          <w:rFonts w:hint="eastAsia" w:cs="Arial"/>
          <w:b/>
          <w:szCs w:val="21"/>
        </w:rPr>
        <w:t>八、</w:t>
      </w:r>
      <w:r>
        <w:rPr>
          <w:rFonts w:hint="eastAsia"/>
          <w:b/>
          <w:bCs/>
          <w:kern w:val="2"/>
          <w:sz w:val="21"/>
          <w:szCs w:val="21"/>
        </w:rPr>
        <w:t>国企采购供应商注册及招标文件的获取：</w:t>
      </w:r>
    </w:p>
    <w:p w14:paraId="2A1FA0B7">
      <w:pPr>
        <w:pStyle w:val="220"/>
        <w:spacing w:after="120" w:line="400" w:lineRule="exact"/>
        <w:ind w:firstLine="420"/>
        <w:rPr>
          <w:kern w:val="2"/>
          <w:sz w:val="21"/>
          <w:szCs w:val="21"/>
        </w:rPr>
      </w:pPr>
      <w:r>
        <w:rPr>
          <w:rFonts w:hint="eastAsia"/>
          <w:kern w:val="2"/>
          <w:sz w:val="21"/>
          <w:szCs w:val="21"/>
        </w:rPr>
        <w:t>1.国企采购供应商注册网址</w:t>
      </w:r>
    </w:p>
    <w:p w14:paraId="454B43BD">
      <w:pPr>
        <w:pStyle w:val="220"/>
        <w:spacing w:after="120" w:line="400" w:lineRule="exact"/>
        <w:ind w:firstLine="422"/>
        <w:rPr>
          <w:b/>
          <w:bCs/>
          <w:kern w:val="2"/>
          <w:sz w:val="21"/>
          <w:szCs w:val="21"/>
        </w:rPr>
      </w:pPr>
      <w:r>
        <w:rPr>
          <w:rFonts w:hint="eastAsia"/>
          <w:b/>
          <w:bCs/>
          <w:kern w:val="2"/>
          <w:sz w:val="21"/>
          <w:szCs w:val="21"/>
        </w:rPr>
        <w:t>未在乐采云注册的供应商，请在乐采云注册成为正式供应商（乐采云注册网址：www.lecaiyun.com）。</w:t>
      </w:r>
    </w:p>
    <w:p w14:paraId="17B424D1">
      <w:pPr>
        <w:pStyle w:val="220"/>
        <w:spacing w:after="120" w:line="400" w:lineRule="exact"/>
        <w:ind w:firstLine="420"/>
        <w:rPr>
          <w:kern w:val="2"/>
          <w:sz w:val="21"/>
          <w:szCs w:val="21"/>
        </w:rPr>
      </w:pPr>
      <w:r>
        <w:rPr>
          <w:rFonts w:hint="eastAsia"/>
          <w:kern w:val="2"/>
          <w:sz w:val="21"/>
          <w:szCs w:val="21"/>
        </w:rPr>
        <w:t xml:space="preserve">2.招标文件的获取 </w:t>
      </w:r>
    </w:p>
    <w:p w14:paraId="2454E8BB">
      <w:pPr>
        <w:pStyle w:val="220"/>
        <w:spacing w:after="120" w:line="400" w:lineRule="exact"/>
        <w:ind w:firstLine="420"/>
        <w:rPr>
          <w:kern w:val="2"/>
          <w:sz w:val="21"/>
          <w:szCs w:val="21"/>
        </w:rPr>
      </w:pPr>
      <w:r>
        <w:rPr>
          <w:rFonts w:hint="eastAsia"/>
          <w:kern w:val="2"/>
          <w:sz w:val="21"/>
          <w:szCs w:val="21"/>
        </w:rPr>
        <w:t xml:space="preserve">2.1 招标文件的获取时间：公告发布之日起至投标截止时间止； </w:t>
      </w:r>
    </w:p>
    <w:p w14:paraId="24F0254F">
      <w:pPr>
        <w:pStyle w:val="220"/>
        <w:spacing w:after="120" w:line="400" w:lineRule="exact"/>
        <w:ind w:firstLine="420"/>
        <w:rPr>
          <w:kern w:val="2"/>
          <w:sz w:val="21"/>
          <w:szCs w:val="21"/>
        </w:rPr>
      </w:pPr>
      <w:r>
        <w:rPr>
          <w:rFonts w:hint="eastAsia"/>
          <w:kern w:val="2"/>
          <w:sz w:val="21"/>
          <w:szCs w:val="21"/>
        </w:rPr>
        <w:t xml:space="preserve">2.2 招标文件的获取方式：采购公告发布后，在乐采云平台已完成注册的供应商登陆系统，申请获取采购文件，待审核通过后，可下载采购文件。如果“已申请”标签页显示状态为“审核通过”即为成功。 </w:t>
      </w:r>
    </w:p>
    <w:p w14:paraId="25682968">
      <w:pPr>
        <w:pStyle w:val="220"/>
        <w:spacing w:after="120" w:line="400" w:lineRule="exact"/>
        <w:ind w:firstLine="420"/>
        <w:rPr>
          <w:kern w:val="2"/>
          <w:sz w:val="21"/>
          <w:szCs w:val="21"/>
        </w:rPr>
      </w:pPr>
      <w:r>
        <w:rPr>
          <w:rFonts w:hint="eastAsia"/>
          <w:kern w:val="2"/>
          <w:sz w:val="21"/>
          <w:szCs w:val="21"/>
        </w:rPr>
        <w:t xml:space="preserve">路径：用户中心——项目采购——获取采购文件管理。 </w:t>
      </w:r>
    </w:p>
    <w:p w14:paraId="6F236C01">
      <w:pPr>
        <w:pStyle w:val="220"/>
        <w:spacing w:after="120" w:line="400" w:lineRule="exact"/>
        <w:ind w:firstLine="420"/>
        <w:rPr>
          <w:b/>
          <w:bCs/>
          <w:kern w:val="2"/>
          <w:sz w:val="21"/>
          <w:szCs w:val="21"/>
        </w:rPr>
      </w:pPr>
      <w:r>
        <w:rPr>
          <w:rFonts w:hint="eastAsia"/>
          <w:kern w:val="2"/>
          <w:sz w:val="21"/>
          <w:szCs w:val="21"/>
        </w:rPr>
        <w:t>获取招标文件网址：乐采云www.lecaiyun.com。</w:t>
      </w:r>
    </w:p>
    <w:p w14:paraId="49BCDDE2">
      <w:pPr>
        <w:pStyle w:val="220"/>
        <w:spacing w:after="120" w:line="400" w:lineRule="exact"/>
        <w:ind w:firstLine="422"/>
        <w:rPr>
          <w:b/>
          <w:kern w:val="2"/>
          <w:sz w:val="21"/>
          <w:szCs w:val="21"/>
        </w:rPr>
      </w:pPr>
      <w:r>
        <w:rPr>
          <w:rFonts w:hint="eastAsia"/>
          <w:b/>
          <w:kern w:val="2"/>
          <w:sz w:val="21"/>
          <w:szCs w:val="21"/>
        </w:rPr>
        <w:t>九、网上报名时应填写的信息：</w:t>
      </w:r>
    </w:p>
    <w:p w14:paraId="238A2114">
      <w:pPr>
        <w:pStyle w:val="220"/>
        <w:tabs>
          <w:tab w:val="right" w:pos="9639"/>
        </w:tabs>
        <w:spacing w:after="120" w:line="400" w:lineRule="exact"/>
        <w:ind w:firstLine="420"/>
        <w:rPr>
          <w:kern w:val="2"/>
          <w:sz w:val="21"/>
          <w:szCs w:val="21"/>
        </w:rPr>
      </w:pPr>
      <w:r>
        <w:rPr>
          <w:rFonts w:hint="eastAsia"/>
          <w:kern w:val="2"/>
          <w:sz w:val="21"/>
          <w:szCs w:val="21"/>
        </w:rPr>
        <w:t>请根据提示认真填写，因填写失误而造成不能投标的，由供应商自行负责。</w:t>
      </w:r>
    </w:p>
    <w:p w14:paraId="08D5D8F3">
      <w:pPr>
        <w:pStyle w:val="220"/>
        <w:tabs>
          <w:tab w:val="right" w:pos="9639"/>
        </w:tabs>
        <w:spacing w:after="120" w:line="400" w:lineRule="exact"/>
        <w:ind w:firstLine="422"/>
        <w:rPr>
          <w:b/>
          <w:kern w:val="2"/>
          <w:sz w:val="21"/>
          <w:szCs w:val="21"/>
        </w:rPr>
      </w:pPr>
      <w:r>
        <w:rPr>
          <w:rFonts w:hint="eastAsia"/>
          <w:b/>
          <w:kern w:val="2"/>
          <w:sz w:val="21"/>
          <w:szCs w:val="21"/>
        </w:rPr>
        <w:t>十、投标保证金：</w:t>
      </w:r>
      <w:r>
        <w:rPr>
          <w:rFonts w:hint="eastAsia"/>
          <w:kern w:val="2"/>
          <w:sz w:val="21"/>
          <w:szCs w:val="21"/>
        </w:rPr>
        <w:t>无</w:t>
      </w:r>
    </w:p>
    <w:p w14:paraId="48179B29">
      <w:pPr>
        <w:spacing w:line="400" w:lineRule="exact"/>
        <w:ind w:firstLine="442" w:firstLineChars="200"/>
        <w:rPr>
          <w:rFonts w:cs="Arial"/>
          <w:b/>
          <w:szCs w:val="21"/>
        </w:rPr>
      </w:pPr>
      <w:r>
        <w:rPr>
          <w:rFonts w:hint="eastAsia"/>
          <w:b/>
          <w:szCs w:val="21"/>
        </w:rPr>
        <w:t>十一、</w:t>
      </w:r>
      <w:r>
        <w:rPr>
          <w:rFonts w:hint="eastAsia" w:cs="Arial"/>
          <w:b/>
          <w:szCs w:val="21"/>
        </w:rPr>
        <w:t>提交投标文件截止时间、开标时间和地点</w:t>
      </w:r>
    </w:p>
    <w:p w14:paraId="030B02AC">
      <w:pPr>
        <w:pStyle w:val="220"/>
        <w:tabs>
          <w:tab w:val="right" w:pos="9639"/>
        </w:tabs>
        <w:spacing w:after="120" w:line="400" w:lineRule="exact"/>
        <w:ind w:firstLine="420"/>
        <w:rPr>
          <w:kern w:val="2"/>
          <w:sz w:val="21"/>
          <w:szCs w:val="21"/>
        </w:rPr>
      </w:pPr>
      <w:r>
        <w:rPr>
          <w:rFonts w:hint="eastAsia"/>
          <w:kern w:val="2"/>
          <w:sz w:val="21"/>
          <w:szCs w:val="21"/>
        </w:rPr>
        <w:t>提交投标文件截止时间：</w:t>
      </w:r>
      <w:r>
        <w:rPr>
          <w:rFonts w:hint="eastAsia"/>
          <w:b/>
          <w:bCs/>
          <w:kern w:val="2"/>
          <w:sz w:val="21"/>
          <w:szCs w:val="21"/>
          <w:lang w:eastAsia="zh-CN"/>
        </w:rPr>
        <w:t>2025年7月3日</w:t>
      </w:r>
      <w:r>
        <w:rPr>
          <w:rFonts w:hint="eastAsia"/>
          <w:b/>
          <w:bCs/>
          <w:kern w:val="2"/>
          <w:sz w:val="21"/>
          <w:szCs w:val="21"/>
          <w:lang w:val="en-US"/>
        </w:rPr>
        <w:t>14</w:t>
      </w:r>
      <w:r>
        <w:rPr>
          <w:rFonts w:hint="eastAsia"/>
          <w:b/>
          <w:bCs/>
          <w:kern w:val="2"/>
          <w:sz w:val="21"/>
          <w:szCs w:val="21"/>
        </w:rPr>
        <w:t>时</w:t>
      </w:r>
      <w:r>
        <w:rPr>
          <w:rFonts w:hint="eastAsia"/>
          <w:b/>
          <w:bCs/>
          <w:kern w:val="2"/>
          <w:sz w:val="21"/>
          <w:szCs w:val="21"/>
          <w:lang w:val="en-US" w:eastAsia="zh-CN"/>
        </w:rPr>
        <w:t>30</w:t>
      </w:r>
      <w:r>
        <w:rPr>
          <w:rFonts w:hint="eastAsia"/>
          <w:b/>
          <w:bCs/>
          <w:kern w:val="2"/>
          <w:sz w:val="21"/>
          <w:szCs w:val="21"/>
        </w:rPr>
        <w:t>分</w:t>
      </w:r>
      <w:r>
        <w:rPr>
          <w:rFonts w:hint="eastAsia"/>
          <w:kern w:val="2"/>
          <w:sz w:val="21"/>
          <w:szCs w:val="21"/>
        </w:rPr>
        <w:t>（北京时间）</w:t>
      </w:r>
    </w:p>
    <w:p w14:paraId="1C00FDD7">
      <w:pPr>
        <w:pStyle w:val="220"/>
        <w:tabs>
          <w:tab w:val="right" w:pos="9639"/>
        </w:tabs>
        <w:spacing w:after="120" w:line="400" w:lineRule="exact"/>
        <w:ind w:firstLine="420"/>
        <w:rPr>
          <w:kern w:val="2"/>
          <w:sz w:val="21"/>
          <w:szCs w:val="21"/>
        </w:rPr>
      </w:pPr>
      <w:r>
        <w:rPr>
          <w:rFonts w:hint="eastAsia"/>
          <w:kern w:val="2"/>
          <w:sz w:val="21"/>
          <w:szCs w:val="21"/>
        </w:rPr>
        <w:t>投标地点（网址）：乐采云平台（www.lecaiyun.com）</w:t>
      </w:r>
    </w:p>
    <w:p w14:paraId="6772ADCB">
      <w:pPr>
        <w:pStyle w:val="220"/>
        <w:tabs>
          <w:tab w:val="right" w:pos="9639"/>
        </w:tabs>
        <w:spacing w:after="120" w:line="400" w:lineRule="exact"/>
        <w:ind w:firstLine="420"/>
        <w:rPr>
          <w:kern w:val="2"/>
          <w:sz w:val="21"/>
          <w:szCs w:val="21"/>
        </w:rPr>
      </w:pPr>
      <w:r>
        <w:rPr>
          <w:rFonts w:hint="eastAsia"/>
          <w:kern w:val="2"/>
          <w:sz w:val="21"/>
          <w:szCs w:val="21"/>
        </w:rPr>
        <w:t>在线投标开标时间：</w:t>
      </w:r>
      <w:r>
        <w:rPr>
          <w:rFonts w:hint="eastAsia"/>
          <w:b/>
          <w:bCs/>
          <w:kern w:val="2"/>
          <w:sz w:val="21"/>
          <w:szCs w:val="21"/>
          <w:lang w:eastAsia="zh-CN"/>
        </w:rPr>
        <w:t>2025年7月3日</w:t>
      </w:r>
      <w:r>
        <w:rPr>
          <w:rFonts w:hint="eastAsia"/>
          <w:b/>
          <w:bCs/>
          <w:kern w:val="2"/>
          <w:sz w:val="21"/>
          <w:szCs w:val="21"/>
          <w:lang w:val="en-US"/>
        </w:rPr>
        <w:t>14</w:t>
      </w:r>
      <w:r>
        <w:rPr>
          <w:rFonts w:hint="eastAsia"/>
          <w:b/>
          <w:bCs/>
          <w:kern w:val="2"/>
          <w:sz w:val="21"/>
          <w:szCs w:val="21"/>
        </w:rPr>
        <w:t>时</w:t>
      </w:r>
      <w:r>
        <w:rPr>
          <w:rFonts w:hint="eastAsia"/>
          <w:b/>
          <w:bCs/>
          <w:kern w:val="2"/>
          <w:sz w:val="21"/>
          <w:szCs w:val="21"/>
          <w:lang w:val="en-US" w:eastAsia="zh-CN"/>
        </w:rPr>
        <w:t>30</w:t>
      </w:r>
      <w:r>
        <w:rPr>
          <w:rFonts w:hint="eastAsia"/>
          <w:b/>
          <w:bCs/>
          <w:kern w:val="2"/>
          <w:sz w:val="21"/>
          <w:szCs w:val="21"/>
        </w:rPr>
        <w:t>分</w:t>
      </w:r>
      <w:r>
        <w:rPr>
          <w:rFonts w:hint="eastAsia"/>
          <w:kern w:val="2"/>
          <w:sz w:val="21"/>
          <w:szCs w:val="21"/>
        </w:rPr>
        <w:t>（北京时间）</w:t>
      </w:r>
    </w:p>
    <w:p w14:paraId="0B9B1774">
      <w:pPr>
        <w:pStyle w:val="220"/>
        <w:tabs>
          <w:tab w:val="right" w:pos="9639"/>
        </w:tabs>
        <w:spacing w:after="120" w:line="400" w:lineRule="exact"/>
        <w:ind w:firstLine="420"/>
        <w:rPr>
          <w:kern w:val="2"/>
          <w:sz w:val="21"/>
          <w:szCs w:val="21"/>
        </w:rPr>
      </w:pPr>
      <w:r>
        <w:rPr>
          <w:rFonts w:hint="eastAsia"/>
          <w:kern w:val="2"/>
          <w:sz w:val="21"/>
          <w:szCs w:val="21"/>
        </w:rPr>
        <w:t>开标地点（网址）：乐采云平台（www.lecaiyun.com），海宁市文苑南路138号浙江江南要素交易中心。</w:t>
      </w:r>
    </w:p>
    <w:p w14:paraId="50A91BA5">
      <w:pPr>
        <w:pStyle w:val="220"/>
        <w:spacing w:after="120" w:line="400" w:lineRule="exact"/>
        <w:ind w:firstLine="422"/>
        <w:rPr>
          <w:b/>
          <w:kern w:val="2"/>
          <w:sz w:val="21"/>
          <w:szCs w:val="21"/>
        </w:rPr>
      </w:pPr>
      <w:r>
        <w:rPr>
          <w:rFonts w:hint="eastAsia"/>
          <w:b/>
          <w:kern w:val="2"/>
          <w:sz w:val="21"/>
          <w:szCs w:val="21"/>
        </w:rPr>
        <w:t>十二、其他补充事宜</w:t>
      </w:r>
    </w:p>
    <w:p w14:paraId="5BABD8D9">
      <w:pPr>
        <w:spacing w:line="400" w:lineRule="exact"/>
        <w:ind w:firstLine="420" w:firstLineChars="200"/>
        <w:rPr>
          <w:sz w:val="21"/>
          <w:szCs w:val="21"/>
        </w:rPr>
      </w:pPr>
      <w:r>
        <w:rPr>
          <w:rFonts w:hint="eastAsia"/>
          <w:sz w:val="21"/>
          <w:szCs w:val="21"/>
        </w:rPr>
        <w:t>1.投标文件制作注意事项</w:t>
      </w:r>
    </w:p>
    <w:p w14:paraId="18645150">
      <w:pPr>
        <w:spacing w:line="400" w:lineRule="exact"/>
        <w:ind w:firstLine="420" w:firstLineChars="200"/>
        <w:rPr>
          <w:sz w:val="21"/>
          <w:szCs w:val="21"/>
        </w:rPr>
      </w:pPr>
      <w:r>
        <w:rPr>
          <w:rFonts w:hint="eastAsia"/>
          <w:sz w:val="21"/>
          <w:szCs w:val="21"/>
        </w:rPr>
        <w:t>1.1投标人将政采云电子交易客户端下载、安装完成后，可通过账号密码或CA登录客户端进行投标文件制作。</w:t>
      </w:r>
    </w:p>
    <w:p w14:paraId="08D4E9A3">
      <w:pPr>
        <w:spacing w:line="400" w:lineRule="exact"/>
        <w:ind w:firstLine="422" w:firstLineChars="200"/>
        <w:rPr>
          <w:sz w:val="21"/>
          <w:szCs w:val="21"/>
        </w:rPr>
      </w:pPr>
      <w:r>
        <w:rPr>
          <w:rFonts w:hint="eastAsia"/>
          <w:b/>
          <w:bCs/>
          <w:sz w:val="21"/>
          <w:szCs w:val="21"/>
        </w:rPr>
        <w:t>注：</w:t>
      </w:r>
      <w:r>
        <w:rPr>
          <w:rFonts w:hint="eastAsia"/>
          <w:b/>
          <w:bCs/>
          <w:sz w:val="21"/>
          <w:szCs w:val="21"/>
          <w:highlight w:val="yellow"/>
        </w:rPr>
        <w:t>投标人先要申领CA，拿到CA后需要在政采云平台进行绑定，CA相关操作可参考“申领CA证书”</w:t>
      </w:r>
      <w:r>
        <w:rPr>
          <w:rFonts w:hint="eastAsia"/>
          <w:b/>
          <w:bCs/>
          <w:sz w:val="21"/>
          <w:szCs w:val="21"/>
        </w:rPr>
        <w:t>（https://lecaiyun.com/helpcenter/document/#/document/detail?siteCode=lecaiyun&amp;manualId=6045&amp;topicId=12851）和“绑定CA证书”（https://lecaiyun.com/helpcenter/document/#/document/detail?siteCode=lecaiyun&amp;manualId=6045&amp;topicId=4085）。</w:t>
      </w:r>
    </w:p>
    <w:p w14:paraId="76D9F262">
      <w:pPr>
        <w:spacing w:line="400" w:lineRule="exact"/>
        <w:ind w:firstLine="420" w:firstLineChars="200"/>
        <w:rPr>
          <w:sz w:val="21"/>
          <w:szCs w:val="21"/>
        </w:rPr>
      </w:pPr>
      <w:r>
        <w:rPr>
          <w:rFonts w:hint="eastAsia"/>
          <w:sz w:val="21"/>
          <w:szCs w:val="21"/>
        </w:rPr>
        <w:t>2.投标文件提交注意事项</w:t>
      </w:r>
    </w:p>
    <w:p w14:paraId="1A2603C0">
      <w:pPr>
        <w:spacing w:line="400" w:lineRule="exact"/>
        <w:ind w:firstLine="420" w:firstLineChars="200"/>
        <w:rPr>
          <w:sz w:val="21"/>
          <w:szCs w:val="21"/>
        </w:rPr>
      </w:pPr>
      <w:r>
        <w:rPr>
          <w:rFonts w:hint="eastAsia"/>
          <w:sz w:val="21"/>
          <w:szCs w:val="21"/>
        </w:rPr>
        <w:t>2.1投标人进行电子投标应安装客户端软件，并按照招标文件和电子交易平台的要求编制并加密投标文件。投标人未按规定加密的投标文件，分散采购机构应当拒收。</w:t>
      </w:r>
    </w:p>
    <w:p w14:paraId="53BAC111">
      <w:pPr>
        <w:spacing w:line="400" w:lineRule="exact"/>
        <w:ind w:firstLine="420" w:firstLineChars="200"/>
        <w:rPr>
          <w:sz w:val="21"/>
          <w:szCs w:val="21"/>
        </w:rPr>
      </w:pPr>
      <w:r>
        <w:rPr>
          <w:rFonts w:hint="eastAsia"/>
          <w:sz w:val="21"/>
          <w:szCs w:val="21"/>
        </w:rPr>
        <w:t>2.2投标人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2D6E57CD">
      <w:pPr>
        <w:spacing w:line="400" w:lineRule="exact"/>
        <w:ind w:firstLine="420" w:firstLineChars="200"/>
        <w:rPr>
          <w:sz w:val="21"/>
          <w:szCs w:val="21"/>
        </w:rPr>
      </w:pPr>
      <w:r>
        <w:rPr>
          <w:rFonts w:hint="eastAsia"/>
          <w:sz w:val="21"/>
          <w:szCs w:val="21"/>
        </w:rPr>
        <w:t>2.3为确保采购项目顺利实施，避免因解密失败导致投标无效，投标人在电子交易平台传输提交投标文件后，将政采云平台上最后生成的具备电子签章的备份电子投标文件1份下载至U盘等介质，可以在投标截止时间前密封送达或邮寄至海宁市文苑南路138号浙江江南要素交易中心底楼大厅，联系人：黄女士，电话：</w:t>
      </w:r>
      <w:r>
        <w:rPr>
          <w:rFonts w:hint="eastAsia" w:cs="Arial"/>
          <w:sz w:val="21"/>
          <w:szCs w:val="21"/>
        </w:rPr>
        <w:t>0573-87318570</w:t>
      </w:r>
      <w:r>
        <w:rPr>
          <w:rFonts w:hint="eastAsia"/>
          <w:sz w:val="21"/>
          <w:szCs w:val="21"/>
        </w:rPr>
        <w:t>，以签收时间为准。快递寄出同时，投标人的授权代表须以邮件方式将快递单号、项目名称、公司名称、被授权代表姓名及联系方式等内容（邮件格式为：项目编号+快递单号+公司名称+被授权代表姓名及联系方式）发送至分散采购机构联系人邮箱（</w:t>
      </w:r>
      <w:r>
        <w:rPr>
          <w:rStyle w:val="58"/>
          <w:rFonts w:hint="eastAsia" w:cs="Arial"/>
          <w:color w:val="auto"/>
          <w:sz w:val="21"/>
          <w:szCs w:val="21"/>
          <w:lang w:val="en-US"/>
        </w:rPr>
        <w:t>xiaolvzi</w:t>
      </w:r>
      <w:r>
        <w:rPr>
          <w:rFonts w:hint="eastAsia"/>
          <w:sz w:val="21"/>
          <w:szCs w:val="21"/>
        </w:rPr>
        <w:t>@</w:t>
      </w:r>
      <w:r>
        <w:rPr>
          <w:rFonts w:hint="eastAsia"/>
          <w:sz w:val="21"/>
          <w:szCs w:val="21"/>
          <w:lang w:val="en-US"/>
        </w:rPr>
        <w:t>vip.</w:t>
      </w:r>
      <w:r>
        <w:rPr>
          <w:rFonts w:hint="eastAsia"/>
          <w:sz w:val="21"/>
          <w:szCs w:val="21"/>
        </w:rPr>
        <w:t>qq.com），以便分散采购机构查收快递。如投标人选择快递费到付，分散采购机构将拒签。</w:t>
      </w:r>
    </w:p>
    <w:p w14:paraId="2697D58A">
      <w:pPr>
        <w:spacing w:line="400" w:lineRule="exact"/>
        <w:ind w:firstLine="420" w:firstLineChars="200"/>
        <w:rPr>
          <w:sz w:val="21"/>
          <w:szCs w:val="21"/>
        </w:rPr>
      </w:pPr>
      <w:r>
        <w:rPr>
          <w:rFonts w:hint="eastAsia"/>
          <w:sz w:val="21"/>
          <w:szCs w:val="21"/>
        </w:rPr>
        <w:t>2.4备份电子投标文件制作为</w:t>
      </w:r>
      <w:r>
        <w:rPr>
          <w:rFonts w:hint="eastAsia"/>
          <w:b/>
          <w:bCs/>
          <w:sz w:val="21"/>
          <w:szCs w:val="21"/>
        </w:rPr>
        <w:t>非强制性</w:t>
      </w:r>
      <w:r>
        <w:rPr>
          <w:rFonts w:hint="eastAsia"/>
          <w:sz w:val="21"/>
          <w:szCs w:val="21"/>
        </w:rPr>
        <w:t>，但如遇因投标人电子投标文件解密失败等情况造成投标无效，后果由投标人自负。</w:t>
      </w:r>
    </w:p>
    <w:p w14:paraId="5349FA88">
      <w:pPr>
        <w:pStyle w:val="220"/>
        <w:spacing w:after="120" w:line="400" w:lineRule="exact"/>
        <w:ind w:firstLine="420"/>
        <w:rPr>
          <w:b/>
          <w:kern w:val="2"/>
          <w:sz w:val="21"/>
          <w:szCs w:val="21"/>
        </w:rPr>
      </w:pPr>
      <w:r>
        <w:rPr>
          <w:rFonts w:hint="eastAsia"/>
          <w:kern w:val="2"/>
          <w:sz w:val="21"/>
          <w:szCs w:val="21"/>
        </w:rPr>
        <w:t>3.本项目投标人无需到开标现场，但须准时在线参加，直至评审结束。开标时间起30分钟内投标人可登录“乐采云”平台，在“项目采购-开标评标”模块对投标文件进行在线解密。若在规定时间内投标文件无法解密或解密失败且备份文件读取失败（含未提交），则投标无效。</w:t>
      </w:r>
    </w:p>
    <w:p w14:paraId="014CF4A7">
      <w:pPr>
        <w:pStyle w:val="220"/>
        <w:spacing w:after="120" w:line="400" w:lineRule="exact"/>
        <w:ind w:firstLine="422"/>
        <w:rPr>
          <w:b/>
          <w:bCs/>
          <w:kern w:val="2"/>
          <w:sz w:val="21"/>
          <w:szCs w:val="21"/>
        </w:rPr>
      </w:pPr>
      <w:r>
        <w:rPr>
          <w:rFonts w:hint="eastAsia"/>
          <w:b/>
          <w:bCs/>
          <w:kern w:val="2"/>
          <w:sz w:val="21"/>
          <w:szCs w:val="21"/>
        </w:rPr>
        <w:t>4.若对项目采购电子交易系统操作有疑问，可登录乐采云平台（www.lecaiyun.com），点击右侧咨询小采，获取采小蜜智能服务管家帮助，或拨打政采云服务热线（95763）获取热线服务帮助，或自行加入乐采云qq群（659975799）咨询。</w:t>
      </w:r>
    </w:p>
    <w:p w14:paraId="48D922F6">
      <w:pPr>
        <w:pStyle w:val="220"/>
        <w:spacing w:after="120" w:line="400" w:lineRule="exact"/>
        <w:ind w:firstLine="420"/>
        <w:rPr>
          <w:b/>
          <w:bCs/>
          <w:kern w:val="2"/>
          <w:sz w:val="21"/>
          <w:szCs w:val="21"/>
        </w:rPr>
      </w:pPr>
      <w:r>
        <w:rPr>
          <w:rFonts w:cs="Arial"/>
          <w:kern w:val="2"/>
          <w:sz w:val="21"/>
          <w:szCs w:val="21"/>
        </w:rPr>
        <w:t>CA问题联系电话（人工）</w:t>
      </w:r>
      <w:r>
        <w:rPr>
          <w:rFonts w:hint="eastAsia" w:cs="Arial"/>
          <w:kern w:val="2"/>
          <w:sz w:val="21"/>
          <w:szCs w:val="21"/>
        </w:rPr>
        <w:t>：详见“联系CA公司”（https://lecaiyun.com/helpcenter/document/#/document/detail?siteCode=lecaiyun&amp;manualId=6045&amp;topicId=2405）</w:t>
      </w:r>
      <w:r>
        <w:rPr>
          <w:rFonts w:cs="Arial"/>
          <w:kern w:val="2"/>
          <w:sz w:val="21"/>
          <w:szCs w:val="21"/>
        </w:rPr>
        <w:t>。</w:t>
      </w:r>
    </w:p>
    <w:p w14:paraId="1D5F52A0">
      <w:pPr>
        <w:pStyle w:val="220"/>
        <w:spacing w:after="120" w:line="400" w:lineRule="exact"/>
        <w:ind w:firstLine="422"/>
        <w:rPr>
          <w:b/>
          <w:kern w:val="2"/>
          <w:sz w:val="21"/>
          <w:szCs w:val="21"/>
        </w:rPr>
      </w:pPr>
      <w:r>
        <w:rPr>
          <w:rFonts w:hint="eastAsia"/>
          <w:b/>
          <w:kern w:val="2"/>
          <w:sz w:val="21"/>
          <w:szCs w:val="21"/>
        </w:rPr>
        <w:t>十三、招标公告发布于：</w:t>
      </w:r>
    </w:p>
    <w:p w14:paraId="40A6EF49">
      <w:pPr>
        <w:pStyle w:val="18"/>
        <w:spacing w:line="360" w:lineRule="auto"/>
        <w:ind w:firstLine="420" w:firstLineChars="200"/>
        <w:rPr>
          <w:rFonts w:ascii="Times New Roman" w:hAnsi="Times New Roman" w:cs="Times New Roman"/>
        </w:rPr>
      </w:pPr>
      <w:r>
        <w:rPr>
          <w:rFonts w:hint="eastAsia"/>
          <w:kern w:val="2"/>
        </w:rPr>
        <w:t>浙江政府采购网（http://zfcg.czt.zj.gov.cn/）、浙江江南要素交易中心网站[嘉兴市公共资源交易网（海宁）]（https://jxszwsjb.jiaxing.gov.cn/col/col1229743950/index.html）。</w:t>
      </w:r>
    </w:p>
    <w:p w14:paraId="4D672108">
      <w:pPr>
        <w:pStyle w:val="5"/>
        <w:spacing w:line="360" w:lineRule="auto"/>
        <w:ind w:left="0" w:firstLine="422" w:firstLineChars="200"/>
        <w:rPr>
          <w:rFonts w:ascii="Times New Roman" w:hAnsi="Times New Roman" w:cs="Times New Roman"/>
        </w:rPr>
      </w:pPr>
      <w:r>
        <w:rPr>
          <w:rFonts w:ascii="Times New Roman" w:hAnsi="Times New Roman" w:cs="Times New Roman"/>
        </w:rPr>
        <w:t>十</w:t>
      </w:r>
      <w:r>
        <w:rPr>
          <w:rFonts w:hint="eastAsia" w:ascii="Times New Roman" w:hAnsi="Times New Roman" w:cs="Times New Roman"/>
          <w:lang w:val="en-US"/>
        </w:rPr>
        <w:t>四</w:t>
      </w:r>
      <w:r>
        <w:rPr>
          <w:rFonts w:ascii="Times New Roman" w:hAnsi="Times New Roman" w:cs="Times New Roman"/>
        </w:rPr>
        <w:t>、业务咨询：</w:t>
      </w:r>
    </w:p>
    <w:p w14:paraId="05AF9A07">
      <w:pPr>
        <w:pStyle w:val="61"/>
        <w:tabs>
          <w:tab w:val="left" w:pos="892"/>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1.采购人名称：</w:t>
      </w:r>
      <w:r>
        <w:rPr>
          <w:rFonts w:hint="eastAsia" w:ascii="Times New Roman" w:hAnsi="Times New Roman" w:cs="Times New Roman"/>
          <w:spacing w:val="-3"/>
          <w:sz w:val="21"/>
        </w:rPr>
        <w:t>海宁市合创开发建设有限公司、</w:t>
      </w:r>
      <w:r>
        <w:rPr>
          <w:rFonts w:hint="eastAsia" w:ascii="Times New Roman" w:hAnsi="Times New Roman" w:cs="Times New Roman"/>
          <w:sz w:val="21"/>
        </w:rPr>
        <w:t>海宁经开产业园区开发建设有限公司</w:t>
      </w:r>
    </w:p>
    <w:p w14:paraId="1FBA725A">
      <w:pPr>
        <w:pStyle w:val="61"/>
        <w:tabs>
          <w:tab w:val="left" w:pos="892"/>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采购人联系人：</w:t>
      </w:r>
      <w:r>
        <w:rPr>
          <w:rFonts w:hint="eastAsia" w:ascii="Times New Roman" w:hAnsi="Times New Roman" w:cs="Times New Roman"/>
          <w:spacing w:val="-3"/>
          <w:sz w:val="21"/>
        </w:rPr>
        <w:t>马先生</w:t>
      </w:r>
      <w:r>
        <w:rPr>
          <w:rFonts w:ascii="Times New Roman" w:hAnsi="Times New Roman" w:cs="Times New Roman"/>
          <w:spacing w:val="-3"/>
          <w:sz w:val="21"/>
        </w:rPr>
        <w:t xml:space="preserve"> ； </w:t>
      </w:r>
    </w:p>
    <w:p w14:paraId="5A60EE94">
      <w:pPr>
        <w:pStyle w:val="61"/>
        <w:tabs>
          <w:tab w:val="left" w:pos="892"/>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联系电话：0573-87262007</w:t>
      </w:r>
      <w:r>
        <w:rPr>
          <w:rFonts w:hint="eastAsia" w:ascii="Times New Roman" w:hAnsi="Times New Roman" w:cs="Times New Roman"/>
          <w:spacing w:val="-3"/>
          <w:sz w:val="21"/>
        </w:rPr>
        <w:t xml:space="preserve"> </w:t>
      </w:r>
      <w:r>
        <w:rPr>
          <w:rFonts w:ascii="Times New Roman" w:hAnsi="Times New Roman" w:cs="Times New Roman"/>
          <w:spacing w:val="-3"/>
          <w:sz w:val="21"/>
        </w:rPr>
        <w:t>；</w:t>
      </w:r>
    </w:p>
    <w:p w14:paraId="17316AAF">
      <w:pPr>
        <w:pStyle w:val="61"/>
        <w:tabs>
          <w:tab w:val="left" w:pos="892"/>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机构地址：海宁市海昌街道隆兴路118号；</w:t>
      </w:r>
    </w:p>
    <w:p w14:paraId="0A2C4B1B">
      <w:pPr>
        <w:pStyle w:val="61"/>
        <w:tabs>
          <w:tab w:val="left" w:pos="892"/>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2.采购代理机构：</w:t>
      </w:r>
      <w:r>
        <w:rPr>
          <w:rFonts w:hint="eastAsia" w:ascii="Times New Roman" w:hAnsi="Times New Roman" w:cs="Times New Roman"/>
          <w:spacing w:val="-3"/>
          <w:sz w:val="21"/>
        </w:rPr>
        <w:t>浙江信益工程管理有限公司</w:t>
      </w:r>
    </w:p>
    <w:p w14:paraId="6718A1B1">
      <w:pPr>
        <w:pStyle w:val="61"/>
        <w:tabs>
          <w:tab w:val="left" w:pos="892"/>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采购代理机构联系人：</w:t>
      </w:r>
      <w:r>
        <w:rPr>
          <w:rFonts w:hint="eastAsia" w:ascii="Times New Roman" w:hAnsi="Times New Roman" w:cs="Times New Roman"/>
          <w:spacing w:val="-3"/>
          <w:sz w:val="21"/>
          <w:lang w:val="en-US"/>
        </w:rPr>
        <w:t>朱先生</w:t>
      </w:r>
      <w:r>
        <w:rPr>
          <w:rFonts w:ascii="Times New Roman" w:hAnsi="Times New Roman" w:cs="Times New Roman"/>
          <w:spacing w:val="-3"/>
          <w:sz w:val="21"/>
        </w:rPr>
        <w:t>；</w:t>
      </w:r>
    </w:p>
    <w:p w14:paraId="1531F70E">
      <w:pPr>
        <w:pStyle w:val="61"/>
        <w:tabs>
          <w:tab w:val="left" w:pos="892"/>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联系电话：0573-87</w:t>
      </w:r>
      <w:r>
        <w:rPr>
          <w:rFonts w:hint="eastAsia" w:ascii="Times New Roman" w:hAnsi="Times New Roman" w:cs="Times New Roman"/>
          <w:spacing w:val="-3"/>
          <w:sz w:val="21"/>
          <w:lang w:val="en-US"/>
        </w:rPr>
        <w:t>318570</w:t>
      </w:r>
      <w:r>
        <w:rPr>
          <w:rFonts w:ascii="Times New Roman" w:hAnsi="Times New Roman" w:cs="Times New Roman"/>
          <w:spacing w:val="-3"/>
          <w:sz w:val="21"/>
        </w:rPr>
        <w:t>；</w:t>
      </w:r>
    </w:p>
    <w:p w14:paraId="6C1ADAC4">
      <w:pPr>
        <w:pStyle w:val="61"/>
        <w:tabs>
          <w:tab w:val="left" w:pos="892"/>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邮编：314400；</w:t>
      </w:r>
    </w:p>
    <w:p w14:paraId="1B8DB8A0">
      <w:pPr>
        <w:pStyle w:val="61"/>
        <w:tabs>
          <w:tab w:val="left" w:pos="892"/>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机构地址：海宁市</w:t>
      </w:r>
      <w:r>
        <w:rPr>
          <w:rFonts w:hint="eastAsia" w:ascii="Times New Roman" w:hAnsi="Times New Roman" w:cs="Times New Roman"/>
          <w:spacing w:val="-3"/>
          <w:sz w:val="21"/>
          <w:lang w:val="en-US"/>
        </w:rPr>
        <w:t>吉恩仕大厦5</w:t>
      </w:r>
      <w:r>
        <w:rPr>
          <w:rFonts w:ascii="Times New Roman" w:hAnsi="Times New Roman" w:cs="Times New Roman"/>
          <w:spacing w:val="-3"/>
          <w:sz w:val="21"/>
        </w:rPr>
        <w:t>楼；</w:t>
      </w:r>
    </w:p>
    <w:p w14:paraId="4AF2A051">
      <w:pPr>
        <w:pStyle w:val="61"/>
        <w:tabs>
          <w:tab w:val="left" w:pos="892"/>
        </w:tabs>
        <w:spacing w:before="0" w:line="360" w:lineRule="auto"/>
        <w:ind w:left="414" w:firstLine="0"/>
        <w:rPr>
          <w:rFonts w:ascii="Times New Roman" w:hAnsi="Times New Roman" w:cs="Times New Roman"/>
          <w:spacing w:val="-3"/>
          <w:sz w:val="21"/>
        </w:rPr>
      </w:pPr>
    </w:p>
    <w:p w14:paraId="7C0D5307">
      <w:pPr>
        <w:pStyle w:val="18"/>
        <w:spacing w:line="360" w:lineRule="auto"/>
        <w:ind w:firstLine="200"/>
        <w:jc w:val="right"/>
        <w:rPr>
          <w:rFonts w:ascii="Times New Roman" w:hAnsi="Times New Roman" w:cs="Times New Roman"/>
        </w:rPr>
      </w:pPr>
      <w:r>
        <w:rPr>
          <w:rFonts w:hint="eastAsia" w:ascii="Times New Roman" w:hAnsi="Times New Roman" w:cs="Times New Roman"/>
        </w:rPr>
        <w:t>2025</w:t>
      </w:r>
      <w:r>
        <w:rPr>
          <w:rFonts w:ascii="Times New Roman" w:hAnsi="Times New Roman" w:eastAsia="Times New Roman" w:cs="Times New Roman"/>
        </w:rPr>
        <w:t xml:space="preserve"> </w:t>
      </w:r>
      <w:r>
        <w:rPr>
          <w:rFonts w:ascii="Times New Roman" w:hAnsi="Times New Roman" w:cs="Times New Roman"/>
        </w:rPr>
        <w:t>年</w:t>
      </w:r>
      <w:r>
        <w:rPr>
          <w:rFonts w:hint="eastAsia" w:ascii="Times New Roman" w:hAnsi="Times New Roman" w:cs="Times New Roman"/>
          <w:lang w:val="en-US" w:eastAsia="zh-CN"/>
        </w:rPr>
        <w:t>6</w:t>
      </w:r>
      <w:r>
        <w:rPr>
          <w:rFonts w:ascii="Times New Roman" w:hAnsi="Times New Roman" w:cs="Times New Roman"/>
        </w:rPr>
        <w:t>月</w:t>
      </w:r>
      <w:r>
        <w:rPr>
          <w:rFonts w:hint="eastAsia" w:ascii="Times New Roman" w:hAnsi="Times New Roman" w:cs="Times New Roman"/>
          <w:lang w:val="en-US" w:eastAsia="zh-CN"/>
        </w:rPr>
        <w:t>23</w:t>
      </w:r>
      <w:bookmarkStart w:id="95" w:name="_GoBack"/>
      <w:bookmarkEnd w:id="95"/>
      <w:r>
        <w:rPr>
          <w:rFonts w:ascii="Times New Roman" w:hAnsi="Times New Roman" w:cs="Times New Roman"/>
        </w:rPr>
        <w:t>日</w:t>
      </w:r>
    </w:p>
    <w:p w14:paraId="67A4EE0A">
      <w:pPr>
        <w:pStyle w:val="18"/>
        <w:spacing w:line="360" w:lineRule="auto"/>
        <w:ind w:firstLine="200"/>
        <w:jc w:val="right"/>
        <w:rPr>
          <w:rFonts w:ascii="Times New Roman" w:hAnsi="Times New Roman" w:cs="Times New Roman"/>
        </w:rPr>
      </w:pPr>
    </w:p>
    <w:p w14:paraId="67057A2A">
      <w:pPr>
        <w:keepLines/>
        <w:numPr>
          <w:ilvl w:val="0"/>
          <w:numId w:val="13"/>
        </w:numPr>
        <w:spacing w:before="240" w:after="240" w:line="500" w:lineRule="exact"/>
        <w:ind w:firstLine="562" w:firstLineChars="200"/>
        <w:jc w:val="center"/>
        <w:outlineLvl w:val="0"/>
        <w:rPr>
          <w:rFonts w:ascii="Times New Roman" w:hAnsi="Times New Roman" w:cs="Times New Roman"/>
          <w:b/>
          <w:kern w:val="2"/>
          <w:sz w:val="28"/>
          <w:szCs w:val="20"/>
          <w:lang w:val="en-US"/>
        </w:rPr>
      </w:pPr>
      <w:bookmarkStart w:id="1" w:name="_Toc108100432"/>
      <w:r>
        <w:rPr>
          <w:rFonts w:ascii="Times New Roman" w:hAnsi="Times New Roman" w:cs="Times New Roman"/>
          <w:b/>
          <w:kern w:val="2"/>
          <w:sz w:val="28"/>
          <w:szCs w:val="20"/>
          <w:lang w:val="en-US"/>
        </w:rPr>
        <w:t>招标需求</w:t>
      </w:r>
      <w:bookmarkEnd w:id="1"/>
    </w:p>
    <w:p w14:paraId="1C58DECF">
      <w:pPr>
        <w:keepLines/>
        <w:spacing w:before="240" w:after="240" w:line="500" w:lineRule="exact"/>
        <w:jc w:val="both"/>
        <w:outlineLvl w:val="0"/>
        <w:rPr>
          <w:rFonts w:ascii="Times New Roman" w:hAnsi="Times New Roman" w:cs="Times New Roman"/>
          <w:b/>
          <w:kern w:val="2"/>
          <w:sz w:val="28"/>
          <w:szCs w:val="28"/>
          <w:lang w:val="en-US"/>
        </w:rPr>
      </w:pPr>
      <w:r>
        <w:rPr>
          <w:rFonts w:hint="eastAsia" w:ascii="Times New Roman" w:hAnsi="Times New Roman" w:cs="Times New Roman"/>
          <w:b/>
          <w:sz w:val="28"/>
          <w:szCs w:val="28"/>
          <w:lang w:val="en-US"/>
        </w:rPr>
        <w:t>一、</w:t>
      </w:r>
      <w:r>
        <w:rPr>
          <w:rFonts w:hint="eastAsia" w:ascii="Times New Roman" w:hAnsi="Times New Roman" w:cs="Times New Roman"/>
          <w:b/>
          <w:sz w:val="28"/>
          <w:szCs w:val="28"/>
        </w:rPr>
        <w:t>泛半导体产业园二</w:t>
      </w:r>
      <w:r>
        <w:rPr>
          <w:rFonts w:hint="eastAsia" w:ascii="Times New Roman" w:hAnsi="Times New Roman" w:cs="Times New Roman"/>
          <w:b/>
          <w:sz w:val="28"/>
          <w:szCs w:val="28"/>
          <w:lang w:val="en-US"/>
        </w:rPr>
        <w:t>期</w:t>
      </w:r>
      <w:r>
        <w:rPr>
          <w:rFonts w:hint="eastAsia" w:ascii="Times New Roman" w:hAnsi="Times New Roman" w:cs="Times New Roman"/>
          <w:b/>
          <w:sz w:val="28"/>
          <w:szCs w:val="28"/>
        </w:rPr>
        <w:t>园区安装充电桩采购</w:t>
      </w:r>
      <w:r>
        <w:rPr>
          <w:rFonts w:hint="eastAsia" w:ascii="Times New Roman" w:hAnsi="Times New Roman" w:cs="Times New Roman"/>
          <w:b/>
          <w:sz w:val="28"/>
          <w:szCs w:val="28"/>
          <w:lang w:val="en-US"/>
        </w:rPr>
        <w:t>需求</w:t>
      </w:r>
    </w:p>
    <w:p w14:paraId="40A25203">
      <w:pPr>
        <w:pStyle w:val="61"/>
        <w:tabs>
          <w:tab w:val="left" w:pos="892"/>
        </w:tabs>
        <w:spacing w:before="0" w:line="360" w:lineRule="auto"/>
        <w:ind w:left="8" w:leftChars="-188" w:hanging="422" w:hangingChars="200"/>
        <w:rPr>
          <w:rFonts w:ascii="Times New Roman" w:hAnsi="Times New Roman" w:cs="Times New Roman"/>
          <w:spacing w:val="-3"/>
          <w:sz w:val="21"/>
        </w:rPr>
      </w:pPr>
      <w:r>
        <w:rPr>
          <w:rFonts w:hint="eastAsia" w:ascii="Times New Roman" w:hAnsi="Times New Roman" w:cs="Times New Roman"/>
          <w:b/>
          <w:bCs/>
          <w:sz w:val="21"/>
          <w:szCs w:val="21"/>
          <w:lang w:val="en-US" w:bidi="zh-CN"/>
        </w:rPr>
        <w:t xml:space="preserve">        （一）</w:t>
      </w:r>
      <w:r>
        <w:rPr>
          <w:rFonts w:ascii="Times New Roman" w:hAnsi="Times New Roman" w:cs="Times New Roman"/>
          <w:spacing w:val="-3"/>
          <w:sz w:val="21"/>
        </w:rPr>
        <w:t>项目配置要求</w:t>
      </w:r>
    </w:p>
    <w:tbl>
      <w:tblPr>
        <w:tblStyle w:val="50"/>
        <w:tblW w:w="8503" w:type="dxa"/>
        <w:tblInd w:w="93" w:type="dxa"/>
        <w:shd w:val="clear" w:color="auto" w:fill="auto"/>
        <w:tblLayout w:type="fixed"/>
        <w:tblCellMar>
          <w:top w:w="0" w:type="dxa"/>
          <w:left w:w="108" w:type="dxa"/>
          <w:bottom w:w="0" w:type="dxa"/>
          <w:right w:w="108" w:type="dxa"/>
        </w:tblCellMar>
      </w:tblPr>
      <w:tblGrid>
        <w:gridCol w:w="738"/>
        <w:gridCol w:w="1062"/>
        <w:gridCol w:w="1460"/>
        <w:gridCol w:w="2919"/>
        <w:gridCol w:w="1080"/>
        <w:gridCol w:w="1244"/>
      </w:tblGrid>
      <w:tr w14:paraId="56C4EFA3">
        <w:tblPrEx>
          <w:tblCellMar>
            <w:top w:w="0" w:type="dxa"/>
            <w:left w:w="108" w:type="dxa"/>
            <w:bottom w:w="0" w:type="dxa"/>
            <w:right w:w="108" w:type="dxa"/>
          </w:tblCellMar>
        </w:tblPrEx>
        <w:trPr>
          <w:trHeight w:val="48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4253">
            <w:pPr>
              <w:widowControl/>
              <w:jc w:val="center"/>
              <w:textAlignment w:val="center"/>
              <w:rPr>
                <w:color w:val="000000"/>
                <w:sz w:val="20"/>
                <w:szCs w:val="20"/>
              </w:rPr>
            </w:pPr>
            <w:r>
              <w:rPr>
                <w:rFonts w:hint="eastAsia"/>
                <w:color w:val="000000"/>
                <w:sz w:val="20"/>
                <w:szCs w:val="20"/>
                <w:lang w:val="en-US" w:bidi="ar"/>
              </w:rPr>
              <w:t>序号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4950">
            <w:pPr>
              <w:jc w:val="cente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6625">
            <w:pPr>
              <w:widowControl/>
              <w:jc w:val="center"/>
              <w:textAlignment w:val="center"/>
              <w:rPr>
                <w:color w:val="000000"/>
                <w:sz w:val="20"/>
                <w:szCs w:val="20"/>
              </w:rPr>
            </w:pPr>
            <w:r>
              <w:rPr>
                <w:rFonts w:hint="eastAsia"/>
                <w:color w:val="000000"/>
                <w:sz w:val="20"/>
                <w:szCs w:val="20"/>
                <w:lang w:val="en-US" w:bidi="ar"/>
              </w:rPr>
              <w:t>型号</w:t>
            </w:r>
          </w:p>
        </w:tc>
        <w:tc>
          <w:tcPr>
            <w:tcW w:w="2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AC2E">
            <w:pPr>
              <w:widowControl/>
              <w:jc w:val="center"/>
              <w:textAlignment w:val="center"/>
              <w:rPr>
                <w:color w:val="000000"/>
                <w:sz w:val="20"/>
                <w:szCs w:val="20"/>
              </w:rPr>
            </w:pPr>
            <w:r>
              <w:rPr>
                <w:rFonts w:hint="eastAsia"/>
                <w:color w:val="000000"/>
                <w:sz w:val="20"/>
                <w:szCs w:val="20"/>
                <w:lang w:val="en-US" w:bidi="ar"/>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6264">
            <w:pPr>
              <w:widowControl/>
              <w:jc w:val="center"/>
              <w:textAlignment w:val="center"/>
              <w:rPr>
                <w:color w:val="000000"/>
                <w:sz w:val="20"/>
                <w:szCs w:val="20"/>
              </w:rPr>
            </w:pPr>
            <w:r>
              <w:rPr>
                <w:rFonts w:hint="eastAsia"/>
                <w:color w:val="000000"/>
                <w:sz w:val="20"/>
                <w:szCs w:val="20"/>
                <w:lang w:val="en-US" w:bidi="ar"/>
              </w:rPr>
              <w:t>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2804">
            <w:pPr>
              <w:widowControl/>
              <w:jc w:val="center"/>
              <w:textAlignment w:val="center"/>
              <w:rPr>
                <w:color w:val="000000"/>
                <w:sz w:val="20"/>
                <w:szCs w:val="20"/>
              </w:rPr>
            </w:pPr>
            <w:r>
              <w:rPr>
                <w:rFonts w:hint="eastAsia"/>
                <w:color w:val="000000"/>
                <w:sz w:val="20"/>
                <w:szCs w:val="20"/>
                <w:lang w:val="en-US" w:bidi="ar"/>
              </w:rPr>
              <w:t>数量</w:t>
            </w:r>
          </w:p>
        </w:tc>
      </w:tr>
      <w:tr w14:paraId="77B2F187">
        <w:tblPrEx>
          <w:tblCellMar>
            <w:top w:w="0" w:type="dxa"/>
            <w:left w:w="108" w:type="dxa"/>
            <w:bottom w:w="0" w:type="dxa"/>
            <w:right w:w="108" w:type="dxa"/>
          </w:tblCellMar>
        </w:tblPrEx>
        <w:trPr>
          <w:trHeight w:val="940" w:hRule="atLeast"/>
        </w:trPr>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CEFC">
            <w:pPr>
              <w:widowControl/>
              <w:jc w:val="center"/>
              <w:textAlignment w:val="center"/>
              <w:rPr>
                <w:color w:val="000000"/>
                <w:sz w:val="20"/>
                <w:szCs w:val="20"/>
              </w:rPr>
            </w:pPr>
            <w:r>
              <w:rPr>
                <w:color w:val="000000"/>
                <w:sz w:val="20"/>
                <w:szCs w:val="20"/>
                <w:lang w:val="en-US" w:bidi="ar"/>
              </w:rPr>
              <w:t>1</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65BD">
            <w:pPr>
              <w:widowControl/>
              <w:jc w:val="center"/>
              <w:textAlignment w:val="center"/>
              <w:rPr>
                <w:color w:val="000000"/>
                <w:sz w:val="20"/>
                <w:szCs w:val="20"/>
              </w:rPr>
            </w:pPr>
            <w:r>
              <w:rPr>
                <w:rFonts w:hint="eastAsia"/>
                <w:color w:val="000000"/>
                <w:sz w:val="20"/>
                <w:szCs w:val="20"/>
                <w:lang w:val="en-US" w:bidi="ar"/>
              </w:rPr>
              <w:t>二期宿舍旁车位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F501">
            <w:pPr>
              <w:widowControl/>
              <w:textAlignment w:val="center"/>
              <w:rPr>
                <w:color w:val="000000"/>
                <w:sz w:val="20"/>
                <w:szCs w:val="20"/>
              </w:rPr>
            </w:pPr>
            <w:r>
              <w:rPr>
                <w:rFonts w:hint="eastAsia"/>
                <w:color w:val="000000"/>
                <w:sz w:val="20"/>
                <w:szCs w:val="20"/>
                <w:lang w:val="en-US" w:bidi="ar"/>
              </w:rPr>
              <w:t>80kW直流充电桩</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FD81">
            <w:pPr>
              <w:widowControl/>
              <w:textAlignment w:val="center"/>
              <w:rPr>
                <w:color w:val="000000"/>
                <w:sz w:val="20"/>
                <w:szCs w:val="20"/>
              </w:rPr>
            </w:pPr>
            <w:r>
              <w:rPr>
                <w:rFonts w:hint="eastAsia"/>
                <w:color w:val="000000"/>
                <w:sz w:val="20"/>
                <w:szCs w:val="20"/>
                <w:lang w:val="en-US" w:bidi="ar"/>
              </w:rPr>
              <w:t>4m;125A;50-1000V;恒300-1000V;落地式;双枪接触器版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F0D3">
            <w:pPr>
              <w:widowControl/>
              <w:jc w:val="center"/>
              <w:textAlignment w:val="center"/>
              <w:rPr>
                <w:color w:val="000000"/>
                <w:sz w:val="20"/>
                <w:szCs w:val="20"/>
              </w:rPr>
            </w:pPr>
            <w:r>
              <w:rPr>
                <w:rFonts w:hint="eastAsia"/>
                <w:color w:val="000000"/>
                <w:sz w:val="20"/>
                <w:szCs w:val="20"/>
                <w:lang w:val="en-US" w:bidi="ar"/>
              </w:rPr>
              <w:t>台</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BD36">
            <w:pPr>
              <w:widowControl/>
              <w:jc w:val="center"/>
              <w:textAlignment w:val="center"/>
              <w:rPr>
                <w:color w:val="000000"/>
                <w:sz w:val="20"/>
                <w:szCs w:val="20"/>
              </w:rPr>
            </w:pPr>
            <w:r>
              <w:rPr>
                <w:rFonts w:hint="eastAsia"/>
                <w:color w:val="000000"/>
                <w:sz w:val="20"/>
                <w:szCs w:val="20"/>
                <w:lang w:val="en-US" w:bidi="ar"/>
              </w:rPr>
              <w:t>1</w:t>
            </w:r>
          </w:p>
        </w:tc>
      </w:tr>
      <w:tr w14:paraId="2086D245">
        <w:tblPrEx>
          <w:shd w:val="clear" w:color="auto" w:fill="auto"/>
          <w:tblCellMar>
            <w:top w:w="0" w:type="dxa"/>
            <w:left w:w="108" w:type="dxa"/>
            <w:bottom w:w="0" w:type="dxa"/>
            <w:right w:w="108" w:type="dxa"/>
          </w:tblCellMar>
        </w:tblPrEx>
        <w:trPr>
          <w:trHeight w:val="80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CA42">
            <w:pPr>
              <w:jc w:val="center"/>
              <w:rPr>
                <w:color w:val="000000"/>
                <w:sz w:val="20"/>
                <w:szCs w:val="20"/>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FBFB">
            <w:pPr>
              <w:jc w:val="cente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9ADF">
            <w:pPr>
              <w:widowControl/>
              <w:jc w:val="center"/>
              <w:textAlignment w:val="center"/>
              <w:rPr>
                <w:color w:val="000000"/>
                <w:sz w:val="20"/>
                <w:szCs w:val="20"/>
              </w:rPr>
            </w:pPr>
            <w:r>
              <w:rPr>
                <w:rFonts w:hint="eastAsia"/>
                <w:color w:val="000000"/>
                <w:sz w:val="20"/>
                <w:szCs w:val="20"/>
                <w:lang w:val="en-US" w:bidi="ar"/>
              </w:rPr>
              <w:t>7KW交流单桩</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CA35">
            <w:pPr>
              <w:widowControl/>
              <w:textAlignment w:val="center"/>
              <w:rPr>
                <w:color w:val="000000"/>
                <w:sz w:val="20"/>
                <w:szCs w:val="20"/>
              </w:rPr>
            </w:pPr>
            <w:r>
              <w:rPr>
                <w:rFonts w:hint="eastAsia"/>
                <w:color w:val="000000"/>
                <w:sz w:val="20"/>
                <w:szCs w:val="20"/>
                <w:lang w:val="en-US" w:bidi="ar"/>
              </w:rPr>
              <w:t>单相交流;7kW;扫码;单枪;5m;落地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6469">
            <w:pPr>
              <w:widowControl/>
              <w:jc w:val="center"/>
              <w:textAlignment w:val="center"/>
              <w:rPr>
                <w:color w:val="000000"/>
                <w:sz w:val="20"/>
                <w:szCs w:val="20"/>
              </w:rPr>
            </w:pPr>
            <w:r>
              <w:rPr>
                <w:rFonts w:hint="eastAsia"/>
                <w:color w:val="000000"/>
                <w:sz w:val="20"/>
                <w:szCs w:val="20"/>
                <w:lang w:val="en-US" w:bidi="ar"/>
              </w:rPr>
              <w:t>台</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B217">
            <w:pPr>
              <w:widowControl/>
              <w:jc w:val="center"/>
              <w:textAlignment w:val="center"/>
              <w:rPr>
                <w:color w:val="000000"/>
                <w:sz w:val="20"/>
                <w:szCs w:val="20"/>
              </w:rPr>
            </w:pPr>
            <w:r>
              <w:rPr>
                <w:rFonts w:hint="eastAsia"/>
                <w:color w:val="000000"/>
                <w:sz w:val="20"/>
                <w:szCs w:val="20"/>
                <w:lang w:val="en-US" w:bidi="ar"/>
              </w:rPr>
              <w:t>6</w:t>
            </w:r>
          </w:p>
        </w:tc>
      </w:tr>
      <w:tr w14:paraId="5C332A36">
        <w:tblPrEx>
          <w:shd w:val="clear" w:color="auto" w:fill="auto"/>
          <w:tblCellMar>
            <w:top w:w="0" w:type="dxa"/>
            <w:left w:w="108" w:type="dxa"/>
            <w:bottom w:w="0" w:type="dxa"/>
            <w:right w:w="108" w:type="dxa"/>
          </w:tblCellMar>
        </w:tblPrEx>
        <w:trPr>
          <w:trHeight w:val="36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C66D">
            <w:pPr>
              <w:jc w:val="center"/>
              <w:rPr>
                <w:color w:val="000000"/>
                <w:sz w:val="20"/>
                <w:szCs w:val="20"/>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01AE">
            <w:pPr>
              <w:jc w:val="center"/>
              <w:rPr>
                <w:color w:val="000000"/>
                <w:sz w:val="20"/>
                <w:szCs w:val="20"/>
              </w:rPr>
            </w:pP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EA73">
            <w:pPr>
              <w:widowControl/>
              <w:jc w:val="center"/>
              <w:textAlignment w:val="center"/>
              <w:rPr>
                <w:color w:val="000000"/>
                <w:sz w:val="20"/>
                <w:szCs w:val="20"/>
              </w:rPr>
            </w:pPr>
            <w:r>
              <w:rPr>
                <w:rFonts w:hint="eastAsia"/>
                <w:color w:val="000000"/>
                <w:sz w:val="20"/>
                <w:szCs w:val="20"/>
                <w:lang w:val="en-US" w:bidi="ar"/>
              </w:rPr>
              <w:t>电缆</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D096">
            <w:pPr>
              <w:widowControl/>
              <w:textAlignment w:val="center"/>
              <w:rPr>
                <w:color w:val="000000"/>
                <w:sz w:val="20"/>
                <w:szCs w:val="20"/>
              </w:rPr>
            </w:pPr>
            <w:r>
              <w:rPr>
                <w:rFonts w:hint="eastAsia"/>
                <w:color w:val="000000"/>
                <w:sz w:val="20"/>
                <w:szCs w:val="20"/>
                <w:lang w:val="en-US" w:bidi="ar"/>
              </w:rPr>
              <w:t>低压电缆YJV-0.6/1\ 3×95+2×50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0942">
            <w:pPr>
              <w:widowControl/>
              <w:jc w:val="center"/>
              <w:textAlignment w:val="center"/>
              <w:rPr>
                <w:color w:val="000000"/>
                <w:sz w:val="20"/>
                <w:szCs w:val="20"/>
              </w:rPr>
            </w:pPr>
            <w:r>
              <w:rPr>
                <w:rFonts w:hint="eastAsia"/>
                <w:color w:val="000000"/>
                <w:sz w:val="20"/>
                <w:szCs w:val="20"/>
                <w:lang w:val="en-US" w:bidi="ar"/>
              </w:rPr>
              <w:t>米</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4314">
            <w:pPr>
              <w:widowControl/>
              <w:jc w:val="center"/>
              <w:textAlignment w:val="center"/>
              <w:rPr>
                <w:color w:val="000000"/>
                <w:sz w:val="20"/>
                <w:szCs w:val="20"/>
              </w:rPr>
            </w:pPr>
            <w:r>
              <w:rPr>
                <w:rFonts w:hint="eastAsia"/>
                <w:color w:val="000000"/>
                <w:sz w:val="20"/>
                <w:szCs w:val="20"/>
                <w:lang w:val="en-US" w:bidi="ar"/>
              </w:rPr>
              <w:t>90</w:t>
            </w:r>
          </w:p>
        </w:tc>
      </w:tr>
      <w:tr w14:paraId="3C1983E1">
        <w:tblPrEx>
          <w:shd w:val="clear" w:color="auto" w:fill="auto"/>
          <w:tblCellMar>
            <w:top w:w="0" w:type="dxa"/>
            <w:left w:w="108" w:type="dxa"/>
            <w:bottom w:w="0" w:type="dxa"/>
            <w:right w:w="108" w:type="dxa"/>
          </w:tblCellMar>
        </w:tblPrEx>
        <w:trPr>
          <w:trHeight w:val="36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24E3">
            <w:pPr>
              <w:jc w:val="center"/>
              <w:rPr>
                <w:color w:val="000000"/>
                <w:sz w:val="20"/>
                <w:szCs w:val="20"/>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DDC4">
            <w:pPr>
              <w:jc w:val="center"/>
              <w:rPr>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06BF">
            <w:pPr>
              <w:jc w:val="center"/>
              <w:rPr>
                <w:color w:val="000000"/>
                <w:sz w:val="20"/>
                <w:szCs w:val="20"/>
              </w:rPr>
            </w:pP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111D">
            <w:pPr>
              <w:widowControl/>
              <w:textAlignment w:val="center"/>
              <w:rPr>
                <w:color w:val="000000"/>
                <w:sz w:val="20"/>
                <w:szCs w:val="20"/>
              </w:rPr>
            </w:pPr>
            <w:r>
              <w:rPr>
                <w:rFonts w:hint="eastAsia"/>
                <w:color w:val="000000"/>
                <w:sz w:val="20"/>
                <w:szCs w:val="20"/>
                <w:lang w:val="en-US" w:bidi="ar"/>
              </w:rPr>
              <w:t xml:space="preserve">低压电缆;YJV-0.6/1;4×70+1×35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4C51">
            <w:pPr>
              <w:widowControl/>
              <w:jc w:val="center"/>
              <w:textAlignment w:val="center"/>
              <w:rPr>
                <w:color w:val="000000"/>
                <w:sz w:val="20"/>
                <w:szCs w:val="20"/>
              </w:rPr>
            </w:pPr>
            <w:r>
              <w:rPr>
                <w:rFonts w:hint="eastAsia"/>
                <w:color w:val="000000"/>
                <w:sz w:val="20"/>
                <w:szCs w:val="20"/>
                <w:lang w:val="en-US" w:bidi="ar"/>
              </w:rPr>
              <w:t>米</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998F">
            <w:pPr>
              <w:widowControl/>
              <w:jc w:val="center"/>
              <w:textAlignment w:val="center"/>
              <w:rPr>
                <w:color w:val="000000"/>
                <w:sz w:val="20"/>
                <w:szCs w:val="20"/>
              </w:rPr>
            </w:pPr>
            <w:r>
              <w:rPr>
                <w:rFonts w:hint="eastAsia"/>
                <w:color w:val="000000"/>
                <w:sz w:val="20"/>
                <w:szCs w:val="20"/>
                <w:lang w:val="en-US" w:bidi="ar"/>
              </w:rPr>
              <w:t>7</w:t>
            </w:r>
          </w:p>
        </w:tc>
      </w:tr>
      <w:tr w14:paraId="6E05A13F">
        <w:tblPrEx>
          <w:shd w:val="clear" w:color="auto" w:fill="auto"/>
          <w:tblCellMar>
            <w:top w:w="0" w:type="dxa"/>
            <w:left w:w="108" w:type="dxa"/>
            <w:bottom w:w="0" w:type="dxa"/>
            <w:right w:w="108" w:type="dxa"/>
          </w:tblCellMar>
        </w:tblPrEx>
        <w:trPr>
          <w:trHeight w:val="36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59A2">
            <w:pPr>
              <w:jc w:val="center"/>
              <w:rPr>
                <w:color w:val="000000"/>
                <w:sz w:val="20"/>
                <w:szCs w:val="20"/>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0547">
            <w:pPr>
              <w:jc w:val="center"/>
              <w:rPr>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2FF2">
            <w:pPr>
              <w:jc w:val="center"/>
              <w:rPr>
                <w:color w:val="000000"/>
                <w:sz w:val="20"/>
                <w:szCs w:val="20"/>
              </w:rPr>
            </w:pP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4040">
            <w:pPr>
              <w:widowControl/>
              <w:textAlignment w:val="center"/>
              <w:rPr>
                <w:color w:val="000000"/>
                <w:sz w:val="20"/>
                <w:szCs w:val="20"/>
              </w:rPr>
            </w:pPr>
            <w:r>
              <w:rPr>
                <w:rFonts w:hint="eastAsia"/>
                <w:color w:val="000000"/>
                <w:sz w:val="20"/>
                <w:szCs w:val="20"/>
                <w:lang w:val="en-US" w:bidi="ar"/>
              </w:rPr>
              <w:t xml:space="preserve">低压电缆\YJV-0.6/1\3×6\\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877F">
            <w:pPr>
              <w:widowControl/>
              <w:jc w:val="center"/>
              <w:textAlignment w:val="center"/>
              <w:rPr>
                <w:color w:val="000000"/>
                <w:sz w:val="20"/>
                <w:szCs w:val="20"/>
              </w:rPr>
            </w:pPr>
            <w:r>
              <w:rPr>
                <w:rFonts w:hint="eastAsia"/>
                <w:color w:val="000000"/>
                <w:sz w:val="20"/>
                <w:szCs w:val="20"/>
                <w:lang w:val="en-US" w:bidi="ar"/>
              </w:rPr>
              <w:t>米</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38FA">
            <w:pPr>
              <w:widowControl/>
              <w:jc w:val="center"/>
              <w:textAlignment w:val="center"/>
              <w:rPr>
                <w:color w:val="000000"/>
                <w:sz w:val="20"/>
                <w:szCs w:val="20"/>
              </w:rPr>
            </w:pPr>
            <w:r>
              <w:rPr>
                <w:rFonts w:hint="eastAsia"/>
                <w:color w:val="000000"/>
                <w:sz w:val="20"/>
                <w:szCs w:val="20"/>
                <w:lang w:val="en-US" w:bidi="ar"/>
              </w:rPr>
              <w:t>118</w:t>
            </w:r>
          </w:p>
        </w:tc>
      </w:tr>
      <w:tr w14:paraId="6E027F0B">
        <w:tblPrEx>
          <w:tblCellMar>
            <w:top w:w="0" w:type="dxa"/>
            <w:left w:w="108" w:type="dxa"/>
            <w:bottom w:w="0" w:type="dxa"/>
            <w:right w:w="108" w:type="dxa"/>
          </w:tblCellMar>
        </w:tblPrEx>
        <w:trPr>
          <w:trHeight w:val="460" w:hRule="atLeast"/>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4266">
            <w:pPr>
              <w:jc w:val="center"/>
              <w:rPr>
                <w:color w:val="000000"/>
                <w:sz w:val="20"/>
                <w:szCs w:val="20"/>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44D7">
            <w:pPr>
              <w:jc w:val="center"/>
              <w:rPr>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3F57">
            <w:pPr>
              <w:widowControl/>
              <w:jc w:val="center"/>
              <w:textAlignment w:val="center"/>
              <w:rPr>
                <w:color w:val="000000"/>
                <w:sz w:val="20"/>
                <w:szCs w:val="20"/>
              </w:rPr>
            </w:pPr>
            <w:r>
              <w:rPr>
                <w:rFonts w:hint="eastAsia"/>
                <w:color w:val="000000"/>
                <w:sz w:val="20"/>
                <w:szCs w:val="20"/>
                <w:lang w:val="en-US" w:bidi="ar"/>
              </w:rPr>
              <w:t>低压施工</w:t>
            </w:r>
          </w:p>
        </w:tc>
        <w:tc>
          <w:tcPr>
            <w:tcW w:w="2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7229">
            <w:pPr>
              <w:widowControl/>
              <w:jc w:val="center"/>
              <w:textAlignment w:val="center"/>
              <w:rPr>
                <w:color w:val="000000"/>
                <w:sz w:val="20"/>
                <w:szCs w:val="20"/>
              </w:rPr>
            </w:pPr>
            <w:r>
              <w:rPr>
                <w:rFonts w:hint="eastAsia"/>
                <w:color w:val="000000"/>
                <w:sz w:val="20"/>
                <w:szCs w:val="20"/>
                <w:lang w:val="en-US" w:bidi="ar"/>
              </w:rPr>
              <w:t>详见低压施工（宿舍）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8CD8">
            <w:pPr>
              <w:widowControl/>
              <w:jc w:val="center"/>
              <w:textAlignment w:val="center"/>
              <w:rPr>
                <w:color w:val="000000"/>
                <w:sz w:val="20"/>
                <w:szCs w:val="20"/>
              </w:rPr>
            </w:pPr>
            <w:r>
              <w:rPr>
                <w:rFonts w:hint="eastAsia"/>
                <w:color w:val="000000"/>
                <w:sz w:val="20"/>
                <w:szCs w:val="20"/>
                <w:lang w:val="en-US"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BC69">
            <w:pPr>
              <w:widowControl/>
              <w:jc w:val="center"/>
              <w:textAlignment w:val="center"/>
              <w:rPr>
                <w:color w:val="000000"/>
                <w:sz w:val="20"/>
                <w:szCs w:val="20"/>
              </w:rPr>
            </w:pPr>
            <w:r>
              <w:rPr>
                <w:rFonts w:hint="eastAsia"/>
                <w:color w:val="000000"/>
                <w:sz w:val="20"/>
                <w:szCs w:val="20"/>
                <w:lang w:val="en-US" w:bidi="ar"/>
              </w:rPr>
              <w:t>1</w:t>
            </w:r>
          </w:p>
        </w:tc>
      </w:tr>
    </w:tbl>
    <w:p w14:paraId="27A36B8C">
      <w:pPr>
        <w:pStyle w:val="61"/>
        <w:tabs>
          <w:tab w:val="left" w:pos="892"/>
        </w:tabs>
        <w:spacing w:before="0" w:line="360" w:lineRule="auto"/>
        <w:ind w:left="7" w:leftChars="3" w:firstLine="0"/>
        <w:rPr>
          <w:rFonts w:ascii="Times New Roman" w:hAnsi="Times New Roman" w:cs="Times New Roman"/>
          <w:spacing w:val="-3"/>
          <w:sz w:val="21"/>
          <w:lang w:val="en-US"/>
        </w:rPr>
      </w:pPr>
      <w:r>
        <w:rPr>
          <w:rFonts w:hint="eastAsia" w:ascii="Times New Roman" w:hAnsi="Times New Roman" w:cs="Times New Roman"/>
          <w:spacing w:val="-3"/>
          <w:sz w:val="21"/>
        </w:rPr>
        <w:t>（</w:t>
      </w:r>
      <w:r>
        <w:rPr>
          <w:rFonts w:hint="eastAsia" w:ascii="Times New Roman" w:hAnsi="Times New Roman" w:cs="Times New Roman"/>
          <w:spacing w:val="-3"/>
          <w:sz w:val="21"/>
          <w:lang w:val="en-US"/>
        </w:rPr>
        <w:t>二</w:t>
      </w:r>
      <w:r>
        <w:rPr>
          <w:rFonts w:hint="eastAsia" w:ascii="Times New Roman" w:hAnsi="Times New Roman" w:cs="Times New Roman"/>
          <w:spacing w:val="-3"/>
          <w:sz w:val="21"/>
        </w:rPr>
        <w:t>）</w:t>
      </w:r>
      <w:r>
        <w:rPr>
          <w:rFonts w:hint="eastAsia"/>
          <w:color w:val="000000"/>
          <w:sz w:val="20"/>
          <w:szCs w:val="20"/>
          <w:lang w:val="en-US" w:bidi="ar"/>
        </w:rPr>
        <w:t>低压施工（宿舍）</w:t>
      </w:r>
      <w:r>
        <w:rPr>
          <w:rFonts w:hint="eastAsia" w:ascii="Times New Roman" w:hAnsi="Times New Roman" w:cs="Times New Roman"/>
          <w:spacing w:val="-3"/>
          <w:sz w:val="21"/>
          <w:lang w:val="en-US"/>
        </w:rPr>
        <w:t>具体明细</w:t>
      </w:r>
    </w:p>
    <w:tbl>
      <w:tblPr>
        <w:tblStyle w:val="50"/>
        <w:tblW w:w="8522" w:type="dxa"/>
        <w:tblInd w:w="93" w:type="dxa"/>
        <w:tblLayout w:type="fixed"/>
        <w:tblCellMar>
          <w:top w:w="0" w:type="dxa"/>
          <w:left w:w="108" w:type="dxa"/>
          <w:bottom w:w="0" w:type="dxa"/>
          <w:right w:w="108" w:type="dxa"/>
        </w:tblCellMar>
      </w:tblPr>
      <w:tblGrid>
        <w:gridCol w:w="571"/>
        <w:gridCol w:w="5651"/>
        <w:gridCol w:w="1025"/>
        <w:gridCol w:w="1275"/>
      </w:tblGrid>
      <w:tr w14:paraId="289DD040">
        <w:trPr>
          <w:trHeight w:val="4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BA0">
            <w:pPr>
              <w:widowControl/>
              <w:jc w:val="center"/>
              <w:textAlignment w:val="center"/>
              <w:rPr>
                <w:b/>
                <w:bCs/>
                <w:color w:val="000000"/>
                <w:sz w:val="20"/>
                <w:szCs w:val="20"/>
              </w:rPr>
            </w:pPr>
            <w:r>
              <w:rPr>
                <w:rFonts w:hint="eastAsia"/>
                <w:b/>
                <w:bCs/>
                <w:color w:val="000000"/>
                <w:sz w:val="20"/>
                <w:szCs w:val="20"/>
                <w:lang w:val="en-US" w:bidi="ar"/>
              </w:rPr>
              <w:t>序号</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5B99">
            <w:pPr>
              <w:widowControl/>
              <w:jc w:val="center"/>
              <w:textAlignment w:val="center"/>
              <w:rPr>
                <w:b/>
                <w:bCs/>
                <w:color w:val="000000"/>
                <w:sz w:val="20"/>
                <w:szCs w:val="20"/>
              </w:rPr>
            </w:pPr>
            <w:r>
              <w:rPr>
                <w:rFonts w:hint="eastAsia"/>
                <w:b/>
                <w:bCs/>
                <w:color w:val="000000"/>
                <w:sz w:val="20"/>
                <w:szCs w:val="20"/>
                <w:lang w:val="en-US" w:bidi="ar"/>
              </w:rPr>
              <w:t>项目名称</w:t>
            </w:r>
            <w:r>
              <w:rPr>
                <w:rFonts w:hint="eastAsia"/>
                <w:b/>
                <w:bCs/>
                <w:color w:val="000000"/>
                <w:sz w:val="20"/>
                <w:szCs w:val="20"/>
                <w:lang w:val="en-US" w:bidi="ar"/>
              </w:rPr>
              <w:br w:type="textWrapping"/>
            </w:r>
            <w:r>
              <w:rPr>
                <w:rFonts w:hint="eastAsia"/>
                <w:b/>
                <w:bCs/>
                <w:color w:val="000000"/>
                <w:sz w:val="20"/>
                <w:szCs w:val="20"/>
                <w:lang w:val="en-US" w:bidi="ar"/>
              </w:rPr>
              <w:t>项目特征</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803E">
            <w:pPr>
              <w:widowControl/>
              <w:jc w:val="center"/>
              <w:textAlignment w:val="center"/>
              <w:rPr>
                <w:b/>
                <w:bCs/>
                <w:color w:val="000000"/>
                <w:sz w:val="20"/>
                <w:szCs w:val="20"/>
              </w:rPr>
            </w:pPr>
            <w:r>
              <w:rPr>
                <w:rFonts w:hint="eastAsia"/>
                <w:b/>
                <w:bCs/>
                <w:color w:val="000000"/>
                <w:sz w:val="20"/>
                <w:szCs w:val="20"/>
                <w:lang w:val="en-US" w:bidi="ar"/>
              </w:rPr>
              <w:t>计量</w:t>
            </w:r>
            <w:r>
              <w:rPr>
                <w:rFonts w:hint="eastAsia"/>
                <w:b/>
                <w:bCs/>
                <w:color w:val="000000"/>
                <w:sz w:val="20"/>
                <w:szCs w:val="20"/>
                <w:lang w:val="en-US" w:bidi="ar"/>
              </w:rPr>
              <w:br w:type="textWrapping"/>
            </w:r>
            <w:r>
              <w:rPr>
                <w:rFonts w:hint="eastAsia"/>
                <w:b/>
                <w:bCs/>
                <w:color w:val="000000"/>
                <w:sz w:val="20"/>
                <w:szCs w:val="20"/>
                <w:lang w:val="en-US"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63A0">
            <w:pPr>
              <w:widowControl/>
              <w:jc w:val="center"/>
              <w:textAlignment w:val="center"/>
              <w:rPr>
                <w:b/>
                <w:bCs/>
                <w:color w:val="000000"/>
                <w:sz w:val="20"/>
                <w:szCs w:val="20"/>
              </w:rPr>
            </w:pPr>
            <w:r>
              <w:rPr>
                <w:rFonts w:hint="eastAsia"/>
                <w:b/>
                <w:bCs/>
                <w:color w:val="000000"/>
                <w:sz w:val="20"/>
                <w:szCs w:val="20"/>
                <w:lang w:val="en-US" w:bidi="ar"/>
              </w:rPr>
              <w:t>工程量</w:t>
            </w:r>
          </w:p>
        </w:tc>
      </w:tr>
      <w:tr w14:paraId="5ED555CE">
        <w:tblPrEx>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5E34">
            <w:pPr>
              <w:widowControl/>
              <w:textAlignment w:val="center"/>
              <w:rPr>
                <w:b/>
                <w:bCs/>
                <w:color w:val="000000"/>
                <w:sz w:val="20"/>
                <w:szCs w:val="20"/>
              </w:rPr>
            </w:pPr>
            <w:r>
              <w:rPr>
                <w:rFonts w:hint="eastAsia"/>
                <w:b/>
                <w:bCs/>
                <w:color w:val="000000"/>
                <w:sz w:val="20"/>
                <w:szCs w:val="20"/>
                <w:lang w:val="en-US" w:bidi="ar"/>
              </w:rPr>
              <w:t>（一）低压工程</w:t>
            </w:r>
          </w:p>
        </w:tc>
      </w:tr>
      <w:tr w14:paraId="06FA467D">
        <w:tblPrEx>
          <w:tblCellMar>
            <w:top w:w="0" w:type="dxa"/>
            <w:left w:w="108" w:type="dxa"/>
            <w:bottom w:w="0" w:type="dxa"/>
            <w:right w:w="108" w:type="dxa"/>
          </w:tblCellMar>
        </w:tblPrEx>
        <w:trPr>
          <w:trHeight w:val="54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6521C">
            <w:pPr>
              <w:widowControl/>
              <w:textAlignment w:val="center"/>
              <w:rPr>
                <w:b/>
                <w:bCs/>
                <w:color w:val="000000"/>
                <w:sz w:val="20"/>
                <w:szCs w:val="20"/>
              </w:rPr>
            </w:pPr>
            <w:r>
              <w:rPr>
                <w:rFonts w:hint="eastAsia"/>
                <w:b/>
                <w:bCs/>
                <w:color w:val="000000"/>
                <w:sz w:val="20"/>
                <w:szCs w:val="20"/>
                <w:lang w:val="en-US" w:bidi="ar"/>
              </w:rPr>
              <w:t>一、低压电源点改造</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0B49">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7C9D">
            <w:pPr>
              <w:rPr>
                <w:color w:val="000000"/>
                <w:sz w:val="20"/>
                <w:szCs w:val="20"/>
              </w:rPr>
            </w:pPr>
          </w:p>
        </w:tc>
      </w:tr>
      <w:tr w14:paraId="0926E9A2">
        <w:tblPrEx>
          <w:tblCellMar>
            <w:top w:w="0" w:type="dxa"/>
            <w:left w:w="108" w:type="dxa"/>
            <w:bottom w:w="0" w:type="dxa"/>
            <w:right w:w="108" w:type="dxa"/>
          </w:tblCellMar>
        </w:tblPrEx>
        <w:trPr>
          <w:trHeight w:val="3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83CB">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1A99">
            <w:pPr>
              <w:widowControl/>
              <w:textAlignment w:val="center"/>
              <w:rPr>
                <w:color w:val="000000"/>
                <w:sz w:val="20"/>
                <w:szCs w:val="20"/>
              </w:rPr>
            </w:pPr>
            <w:r>
              <w:rPr>
                <w:rFonts w:hint="eastAsia"/>
                <w:color w:val="000000"/>
                <w:sz w:val="20"/>
                <w:szCs w:val="20"/>
                <w:lang w:val="en-US" w:bidi="ar"/>
              </w:rPr>
              <w:t>增加计量装置（中 250A）</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0D44">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53AE">
            <w:pPr>
              <w:widowControl/>
              <w:jc w:val="center"/>
              <w:textAlignment w:val="center"/>
              <w:rPr>
                <w:color w:val="000000"/>
                <w:sz w:val="20"/>
                <w:szCs w:val="20"/>
              </w:rPr>
            </w:pPr>
            <w:r>
              <w:rPr>
                <w:rFonts w:hint="eastAsia"/>
                <w:color w:val="000000"/>
                <w:sz w:val="20"/>
                <w:szCs w:val="20"/>
                <w:lang w:val="en-US" w:bidi="ar"/>
              </w:rPr>
              <w:t>1</w:t>
            </w:r>
          </w:p>
        </w:tc>
      </w:tr>
      <w:tr w14:paraId="35785805">
        <w:tblPrEx>
          <w:tblCellMar>
            <w:top w:w="0" w:type="dxa"/>
            <w:left w:w="108" w:type="dxa"/>
            <w:bottom w:w="0" w:type="dxa"/>
            <w:right w:w="108" w:type="dxa"/>
          </w:tblCellMar>
        </w:tblPrEx>
        <w:trPr>
          <w:trHeight w:val="3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B76F">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789E">
            <w:pPr>
              <w:widowControl/>
              <w:textAlignment w:val="center"/>
              <w:rPr>
                <w:color w:val="000000"/>
                <w:sz w:val="20"/>
                <w:szCs w:val="20"/>
              </w:rPr>
            </w:pPr>
            <w:r>
              <w:rPr>
                <w:rFonts w:hint="eastAsia"/>
                <w:color w:val="000000"/>
                <w:sz w:val="20"/>
                <w:szCs w:val="20"/>
                <w:lang w:val="en-US" w:bidi="ar"/>
              </w:rPr>
              <w:t>增加出线开关  250A3P</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9F5E">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FD50">
            <w:pPr>
              <w:widowControl/>
              <w:jc w:val="center"/>
              <w:textAlignment w:val="center"/>
              <w:rPr>
                <w:color w:val="000000"/>
                <w:sz w:val="20"/>
                <w:szCs w:val="20"/>
              </w:rPr>
            </w:pPr>
            <w:r>
              <w:rPr>
                <w:rFonts w:hint="eastAsia"/>
                <w:color w:val="000000"/>
                <w:sz w:val="20"/>
                <w:szCs w:val="20"/>
                <w:lang w:val="en-US" w:bidi="ar"/>
              </w:rPr>
              <w:t>1</w:t>
            </w:r>
          </w:p>
        </w:tc>
      </w:tr>
      <w:tr w14:paraId="38649999">
        <w:tblPrEx>
          <w:tblCellMar>
            <w:top w:w="0" w:type="dxa"/>
            <w:left w:w="108" w:type="dxa"/>
            <w:bottom w:w="0" w:type="dxa"/>
            <w:right w:w="108" w:type="dxa"/>
          </w:tblCellMar>
        </w:tblPrEx>
        <w:trPr>
          <w:trHeight w:val="3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6CC3">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3</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9BA7">
            <w:pPr>
              <w:widowControl/>
              <w:textAlignment w:val="center"/>
              <w:rPr>
                <w:color w:val="000000"/>
                <w:sz w:val="20"/>
                <w:szCs w:val="20"/>
              </w:rPr>
            </w:pPr>
            <w:r>
              <w:rPr>
                <w:rFonts w:hint="eastAsia"/>
                <w:color w:val="000000"/>
                <w:sz w:val="20"/>
                <w:szCs w:val="20"/>
                <w:lang w:val="en-US" w:bidi="ar"/>
              </w:rPr>
              <w:t>增加出线开关  200A3P</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9B91">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CC2A">
            <w:pPr>
              <w:widowControl/>
              <w:jc w:val="center"/>
              <w:textAlignment w:val="center"/>
              <w:rPr>
                <w:color w:val="000000"/>
                <w:sz w:val="20"/>
                <w:szCs w:val="20"/>
              </w:rPr>
            </w:pPr>
            <w:r>
              <w:rPr>
                <w:rFonts w:hint="eastAsia"/>
                <w:color w:val="000000"/>
                <w:sz w:val="20"/>
                <w:szCs w:val="20"/>
                <w:lang w:val="en-US" w:bidi="ar"/>
              </w:rPr>
              <w:t>1</w:t>
            </w:r>
          </w:p>
        </w:tc>
      </w:tr>
      <w:tr w14:paraId="5FE93DC2">
        <w:tblPrEx>
          <w:tblCellMar>
            <w:top w:w="0" w:type="dxa"/>
            <w:left w:w="108" w:type="dxa"/>
            <w:bottom w:w="0" w:type="dxa"/>
            <w:right w:w="108" w:type="dxa"/>
          </w:tblCellMar>
        </w:tblPrEx>
        <w:trPr>
          <w:trHeight w:val="3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2E8A">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4</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4ECB">
            <w:pPr>
              <w:widowControl/>
              <w:textAlignment w:val="center"/>
              <w:rPr>
                <w:color w:val="000000"/>
                <w:sz w:val="20"/>
                <w:szCs w:val="20"/>
              </w:rPr>
            </w:pPr>
            <w:r>
              <w:rPr>
                <w:rFonts w:hint="eastAsia"/>
                <w:color w:val="000000"/>
                <w:sz w:val="20"/>
                <w:szCs w:val="20"/>
                <w:lang w:val="en-US" w:bidi="ar"/>
              </w:rPr>
              <w:t>增加出线开关  40A2P</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FADA">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9A30">
            <w:pPr>
              <w:widowControl/>
              <w:jc w:val="center"/>
              <w:textAlignment w:val="center"/>
              <w:rPr>
                <w:color w:val="000000"/>
                <w:sz w:val="20"/>
                <w:szCs w:val="20"/>
              </w:rPr>
            </w:pPr>
            <w:r>
              <w:rPr>
                <w:rFonts w:hint="eastAsia"/>
                <w:color w:val="000000"/>
                <w:sz w:val="20"/>
                <w:szCs w:val="20"/>
                <w:lang w:val="en-US" w:bidi="ar"/>
              </w:rPr>
              <w:t>6</w:t>
            </w:r>
          </w:p>
        </w:tc>
      </w:tr>
      <w:tr w14:paraId="0D0C1EAB">
        <w:tblPrEx>
          <w:tblCellMar>
            <w:top w:w="0" w:type="dxa"/>
            <w:left w:w="108" w:type="dxa"/>
            <w:bottom w:w="0" w:type="dxa"/>
            <w:right w:w="108" w:type="dxa"/>
          </w:tblCellMar>
        </w:tblPrEx>
        <w:trPr>
          <w:trHeight w:val="3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535B">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5</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A0F2">
            <w:pPr>
              <w:widowControl/>
              <w:textAlignment w:val="center"/>
              <w:rPr>
                <w:color w:val="000000"/>
                <w:sz w:val="20"/>
                <w:szCs w:val="20"/>
              </w:rPr>
            </w:pPr>
            <w:r>
              <w:rPr>
                <w:rFonts w:hint="eastAsia"/>
                <w:color w:val="000000"/>
                <w:sz w:val="20"/>
                <w:szCs w:val="20"/>
                <w:lang w:val="en-US" w:bidi="ar"/>
              </w:rPr>
              <w:t>配电箱（尺寸1200*600）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DAAC">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2423">
            <w:pPr>
              <w:widowControl/>
              <w:jc w:val="center"/>
              <w:textAlignment w:val="center"/>
              <w:rPr>
                <w:color w:val="000000"/>
                <w:sz w:val="20"/>
                <w:szCs w:val="20"/>
              </w:rPr>
            </w:pPr>
            <w:r>
              <w:rPr>
                <w:rFonts w:hint="eastAsia"/>
                <w:color w:val="000000"/>
                <w:sz w:val="20"/>
                <w:szCs w:val="20"/>
                <w:lang w:val="en-US" w:bidi="ar"/>
              </w:rPr>
              <w:t>1</w:t>
            </w:r>
          </w:p>
        </w:tc>
      </w:tr>
      <w:tr w14:paraId="3B9A8793">
        <w:tblPrEx>
          <w:tblCellMar>
            <w:top w:w="0" w:type="dxa"/>
            <w:left w:w="108" w:type="dxa"/>
            <w:bottom w:w="0" w:type="dxa"/>
            <w:right w:w="108" w:type="dxa"/>
          </w:tblCellMar>
        </w:tblPrEx>
        <w:trPr>
          <w:trHeight w:val="3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8ED7">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6</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5EE3">
            <w:pPr>
              <w:widowControl/>
              <w:textAlignment w:val="center"/>
              <w:rPr>
                <w:color w:val="000000"/>
                <w:sz w:val="20"/>
                <w:szCs w:val="20"/>
              </w:rPr>
            </w:pPr>
            <w:r>
              <w:rPr>
                <w:rFonts w:hint="eastAsia"/>
                <w:color w:val="000000"/>
                <w:sz w:val="20"/>
                <w:szCs w:val="20"/>
                <w:lang w:val="en-US" w:bidi="ar"/>
              </w:rPr>
              <w:t>配电箱基础制作及安装（含接地极）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BE60">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8D10">
            <w:pPr>
              <w:widowControl/>
              <w:jc w:val="center"/>
              <w:textAlignment w:val="center"/>
              <w:rPr>
                <w:color w:val="000000"/>
                <w:sz w:val="20"/>
                <w:szCs w:val="20"/>
              </w:rPr>
            </w:pPr>
            <w:r>
              <w:rPr>
                <w:rFonts w:hint="eastAsia"/>
                <w:color w:val="000000"/>
                <w:sz w:val="20"/>
                <w:szCs w:val="20"/>
                <w:lang w:val="en-US" w:bidi="ar"/>
              </w:rPr>
              <w:t>1</w:t>
            </w:r>
          </w:p>
        </w:tc>
      </w:tr>
      <w:tr w14:paraId="14EC87F2">
        <w:tblPrEx>
          <w:tblCellMar>
            <w:top w:w="0" w:type="dxa"/>
            <w:left w:w="108" w:type="dxa"/>
            <w:bottom w:w="0" w:type="dxa"/>
            <w:right w:w="108" w:type="dxa"/>
          </w:tblCellMar>
        </w:tblPrEx>
        <w:trPr>
          <w:trHeight w:val="78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923F5">
            <w:pPr>
              <w:widowControl/>
              <w:textAlignment w:val="center"/>
              <w:rPr>
                <w:b/>
                <w:bCs/>
                <w:color w:val="000000"/>
                <w:sz w:val="20"/>
                <w:szCs w:val="20"/>
              </w:rPr>
            </w:pPr>
            <w:r>
              <w:rPr>
                <w:rFonts w:hint="eastAsia"/>
                <w:b/>
                <w:bCs/>
                <w:color w:val="000000"/>
                <w:sz w:val="20"/>
                <w:szCs w:val="20"/>
                <w:lang w:val="en-US" w:bidi="ar"/>
              </w:rPr>
              <w:t>二、管沟开挖及恢复</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38E6">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0C34">
            <w:pPr>
              <w:rPr>
                <w:color w:val="000000"/>
                <w:sz w:val="20"/>
                <w:szCs w:val="20"/>
              </w:rPr>
            </w:pPr>
          </w:p>
        </w:tc>
      </w:tr>
      <w:tr w14:paraId="1F7216A4">
        <w:tblPrEx>
          <w:tblCellMar>
            <w:top w:w="0" w:type="dxa"/>
            <w:left w:w="108" w:type="dxa"/>
            <w:bottom w:w="0" w:type="dxa"/>
            <w:right w:w="108" w:type="dxa"/>
          </w:tblCellMar>
        </w:tblPrEx>
        <w:trPr>
          <w:trHeight w:val="4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E053">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2C86">
            <w:pPr>
              <w:widowControl/>
              <w:textAlignment w:val="center"/>
              <w:rPr>
                <w:color w:val="000000"/>
                <w:sz w:val="20"/>
                <w:szCs w:val="20"/>
              </w:rPr>
            </w:pPr>
            <w:r>
              <w:rPr>
                <w:rFonts w:hint="eastAsia"/>
                <w:color w:val="000000"/>
                <w:sz w:val="20"/>
                <w:szCs w:val="20"/>
                <w:lang w:val="en-US" w:bidi="ar"/>
              </w:rPr>
              <w:t>绿化带，断面300*700mm，沟槽土质普通土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5A66">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D4C5">
            <w:pPr>
              <w:widowControl/>
              <w:jc w:val="center"/>
              <w:textAlignment w:val="center"/>
              <w:rPr>
                <w:color w:val="000000"/>
                <w:sz w:val="20"/>
                <w:szCs w:val="20"/>
              </w:rPr>
            </w:pPr>
            <w:r>
              <w:rPr>
                <w:rFonts w:hint="eastAsia"/>
                <w:color w:val="000000"/>
                <w:sz w:val="20"/>
                <w:szCs w:val="20"/>
                <w:lang w:val="en-US" w:bidi="ar"/>
              </w:rPr>
              <w:t>87</w:t>
            </w:r>
          </w:p>
        </w:tc>
      </w:tr>
      <w:tr w14:paraId="74902727">
        <w:trPr>
          <w:trHeight w:val="4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FD5C">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7A9A">
            <w:pPr>
              <w:widowControl/>
              <w:textAlignment w:val="center"/>
              <w:rPr>
                <w:color w:val="000000"/>
                <w:sz w:val="20"/>
                <w:szCs w:val="20"/>
              </w:rPr>
            </w:pPr>
            <w:r>
              <w:rPr>
                <w:rFonts w:hint="eastAsia"/>
                <w:color w:val="000000"/>
                <w:sz w:val="20"/>
                <w:szCs w:val="20"/>
                <w:lang w:val="en-US" w:bidi="ar"/>
              </w:rPr>
              <w:t xml:space="preserve"> 大理石面层，断面300*700mm，沟槽土质普通土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04F0">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01EE">
            <w:pPr>
              <w:widowControl/>
              <w:jc w:val="center"/>
              <w:textAlignment w:val="center"/>
              <w:rPr>
                <w:color w:val="000000"/>
                <w:sz w:val="20"/>
                <w:szCs w:val="20"/>
              </w:rPr>
            </w:pPr>
            <w:r>
              <w:rPr>
                <w:rFonts w:hint="eastAsia"/>
                <w:color w:val="000000"/>
                <w:sz w:val="20"/>
                <w:szCs w:val="20"/>
                <w:lang w:val="en-US" w:bidi="ar"/>
              </w:rPr>
              <w:t>3</w:t>
            </w:r>
          </w:p>
        </w:tc>
      </w:tr>
      <w:tr w14:paraId="29DC339A">
        <w:tblPrEx>
          <w:tblCellMar>
            <w:top w:w="0" w:type="dxa"/>
            <w:left w:w="108" w:type="dxa"/>
            <w:bottom w:w="0" w:type="dxa"/>
            <w:right w:w="108" w:type="dxa"/>
          </w:tblCellMar>
        </w:tblPrEx>
        <w:trPr>
          <w:trHeight w:val="4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9977">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3</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B4D3">
            <w:pPr>
              <w:widowControl/>
              <w:textAlignment w:val="center"/>
              <w:rPr>
                <w:color w:val="000000"/>
                <w:sz w:val="20"/>
                <w:szCs w:val="20"/>
              </w:rPr>
            </w:pPr>
            <w:r>
              <w:rPr>
                <w:rFonts w:hint="eastAsia"/>
                <w:color w:val="000000"/>
                <w:sz w:val="20"/>
                <w:szCs w:val="20"/>
                <w:lang w:val="en-US" w:bidi="ar"/>
              </w:rPr>
              <w:t>沥青面层8+20+10cm，断面300*700mm，沟槽土质普通土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8424">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D73C">
            <w:pPr>
              <w:widowControl/>
              <w:jc w:val="center"/>
              <w:textAlignment w:val="center"/>
              <w:rPr>
                <w:color w:val="000000"/>
                <w:sz w:val="20"/>
                <w:szCs w:val="20"/>
              </w:rPr>
            </w:pPr>
            <w:r>
              <w:rPr>
                <w:rFonts w:hint="eastAsia"/>
                <w:color w:val="000000"/>
                <w:sz w:val="20"/>
                <w:szCs w:val="20"/>
                <w:lang w:val="en-US" w:bidi="ar"/>
              </w:rPr>
              <w:t>6</w:t>
            </w:r>
          </w:p>
        </w:tc>
      </w:tr>
      <w:tr w14:paraId="78B1E6EA">
        <w:tblPrEx>
          <w:tblCellMar>
            <w:top w:w="0" w:type="dxa"/>
            <w:left w:w="108" w:type="dxa"/>
            <w:bottom w:w="0" w:type="dxa"/>
            <w:right w:w="108" w:type="dxa"/>
          </w:tblCellMar>
        </w:tblPrEx>
        <w:trPr>
          <w:trHeight w:val="60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5508B">
            <w:pPr>
              <w:widowControl/>
              <w:textAlignment w:val="center"/>
              <w:rPr>
                <w:b/>
                <w:bCs/>
                <w:color w:val="000000"/>
                <w:sz w:val="20"/>
                <w:szCs w:val="20"/>
              </w:rPr>
            </w:pPr>
            <w:r>
              <w:rPr>
                <w:rFonts w:hint="eastAsia"/>
                <w:b/>
                <w:bCs/>
                <w:color w:val="000000"/>
                <w:sz w:val="20"/>
                <w:szCs w:val="20"/>
                <w:lang w:val="en-US" w:bidi="ar"/>
              </w:rPr>
              <w:t>三、塑料电缆保护管敷设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26AF">
            <w:pPr>
              <w:jc w:val="cente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6DD5">
            <w:pPr>
              <w:rPr>
                <w:color w:val="000000"/>
                <w:sz w:val="20"/>
                <w:szCs w:val="20"/>
              </w:rPr>
            </w:pPr>
          </w:p>
        </w:tc>
      </w:tr>
      <w:tr w14:paraId="2D874F9E">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56DF">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E6DE">
            <w:pPr>
              <w:widowControl/>
              <w:textAlignment w:val="center"/>
              <w:rPr>
                <w:color w:val="000000"/>
                <w:sz w:val="20"/>
                <w:szCs w:val="20"/>
              </w:rPr>
            </w:pPr>
            <w:r>
              <w:rPr>
                <w:rFonts w:hint="eastAsia"/>
                <w:color w:val="000000"/>
                <w:sz w:val="20"/>
                <w:szCs w:val="20"/>
                <w:lang w:val="en-US" w:bidi="ar"/>
              </w:rPr>
              <w:t>碳素波纹管或硬塑料管敷设：DN40，埋地敷设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815D">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4DDB">
            <w:pPr>
              <w:widowControl/>
              <w:jc w:val="center"/>
              <w:textAlignment w:val="center"/>
              <w:rPr>
                <w:color w:val="000000"/>
                <w:sz w:val="20"/>
                <w:szCs w:val="20"/>
              </w:rPr>
            </w:pPr>
            <w:r>
              <w:rPr>
                <w:rFonts w:hint="eastAsia"/>
                <w:color w:val="000000"/>
                <w:sz w:val="20"/>
                <w:szCs w:val="20"/>
                <w:lang w:val="en-US" w:bidi="ar"/>
              </w:rPr>
              <w:t>98</w:t>
            </w:r>
          </w:p>
        </w:tc>
      </w:tr>
      <w:tr w14:paraId="360E559E">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2D63">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CEF1">
            <w:pPr>
              <w:widowControl/>
              <w:textAlignment w:val="center"/>
              <w:rPr>
                <w:color w:val="000000"/>
                <w:sz w:val="20"/>
                <w:szCs w:val="20"/>
              </w:rPr>
            </w:pPr>
            <w:r>
              <w:rPr>
                <w:rFonts w:hint="eastAsia"/>
                <w:color w:val="000000"/>
                <w:sz w:val="20"/>
                <w:szCs w:val="20"/>
                <w:lang w:val="en-US" w:bidi="ar"/>
              </w:rPr>
              <w:t>碳素波纹管或硬塑料管敷设：DN100，埋地敷设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0B2C">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16CD">
            <w:pPr>
              <w:widowControl/>
              <w:jc w:val="center"/>
              <w:textAlignment w:val="center"/>
              <w:rPr>
                <w:color w:val="000000"/>
                <w:sz w:val="20"/>
                <w:szCs w:val="20"/>
              </w:rPr>
            </w:pPr>
            <w:r>
              <w:rPr>
                <w:rFonts w:hint="eastAsia"/>
                <w:color w:val="000000"/>
                <w:sz w:val="20"/>
                <w:szCs w:val="20"/>
                <w:lang w:val="en-US" w:bidi="ar"/>
              </w:rPr>
              <w:t>75</w:t>
            </w:r>
          </w:p>
        </w:tc>
      </w:tr>
      <w:tr w14:paraId="47674B03">
        <w:tblPrEx>
          <w:tblCellMar>
            <w:top w:w="0" w:type="dxa"/>
            <w:left w:w="108" w:type="dxa"/>
            <w:bottom w:w="0" w:type="dxa"/>
            <w:right w:w="108" w:type="dxa"/>
          </w:tblCellMar>
        </w:tblPrEx>
        <w:trPr>
          <w:trHeight w:val="58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C9651">
            <w:pPr>
              <w:widowControl/>
              <w:textAlignment w:val="center"/>
              <w:rPr>
                <w:b/>
                <w:bCs/>
                <w:color w:val="000000"/>
                <w:sz w:val="20"/>
                <w:szCs w:val="20"/>
              </w:rPr>
            </w:pPr>
            <w:r>
              <w:rPr>
                <w:rFonts w:hint="eastAsia"/>
                <w:b/>
                <w:bCs/>
                <w:color w:val="000000"/>
                <w:sz w:val="20"/>
                <w:szCs w:val="20"/>
                <w:lang w:val="en-US" w:bidi="ar"/>
              </w:rPr>
              <w:t>四、钢管电缆保护管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2013">
            <w:pPr>
              <w:jc w:val="center"/>
              <w:rPr>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6067">
            <w:pPr>
              <w:rPr>
                <w:color w:val="000000"/>
                <w:sz w:val="20"/>
                <w:szCs w:val="20"/>
              </w:rPr>
            </w:pPr>
          </w:p>
        </w:tc>
      </w:tr>
      <w:tr w14:paraId="1350DFA9">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3BBA">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6AA6">
            <w:pPr>
              <w:widowControl/>
              <w:textAlignment w:val="center"/>
              <w:rPr>
                <w:color w:val="000000"/>
                <w:sz w:val="20"/>
                <w:szCs w:val="20"/>
              </w:rPr>
            </w:pPr>
            <w:r>
              <w:rPr>
                <w:rFonts w:hint="eastAsia"/>
                <w:color w:val="000000"/>
                <w:sz w:val="20"/>
                <w:szCs w:val="20"/>
                <w:lang w:val="en-US" w:bidi="ar"/>
              </w:rPr>
              <w:t>钢管保护管敷设：DN100，埋地敷设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8C0E">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33F8">
            <w:pPr>
              <w:widowControl/>
              <w:jc w:val="center"/>
              <w:textAlignment w:val="center"/>
              <w:rPr>
                <w:color w:val="000000"/>
                <w:sz w:val="20"/>
                <w:szCs w:val="20"/>
              </w:rPr>
            </w:pPr>
            <w:r>
              <w:rPr>
                <w:rFonts w:hint="eastAsia"/>
                <w:color w:val="000000"/>
                <w:sz w:val="20"/>
                <w:szCs w:val="20"/>
                <w:lang w:val="en-US" w:bidi="ar"/>
              </w:rPr>
              <w:t>12</w:t>
            </w:r>
          </w:p>
        </w:tc>
      </w:tr>
      <w:tr w14:paraId="582D6494">
        <w:tblPrEx>
          <w:tblCellMar>
            <w:top w:w="0" w:type="dxa"/>
            <w:left w:w="108" w:type="dxa"/>
            <w:bottom w:w="0" w:type="dxa"/>
            <w:right w:w="108" w:type="dxa"/>
          </w:tblCellMar>
        </w:tblPrEx>
        <w:trPr>
          <w:trHeight w:val="78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951B3">
            <w:pPr>
              <w:widowControl/>
              <w:textAlignment w:val="center"/>
              <w:rPr>
                <w:b/>
                <w:bCs/>
                <w:color w:val="000000"/>
                <w:sz w:val="20"/>
                <w:szCs w:val="20"/>
              </w:rPr>
            </w:pPr>
            <w:r>
              <w:rPr>
                <w:rFonts w:hint="eastAsia"/>
                <w:b/>
                <w:bCs/>
                <w:color w:val="000000"/>
                <w:sz w:val="20"/>
                <w:szCs w:val="20"/>
                <w:lang w:val="en-US" w:bidi="ar"/>
              </w:rPr>
              <w:t>五、铜芯电缆敷设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729A">
            <w:pPr>
              <w:jc w:val="cente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9D51">
            <w:pPr>
              <w:rPr>
                <w:color w:val="000000"/>
                <w:sz w:val="20"/>
                <w:szCs w:val="20"/>
              </w:rPr>
            </w:pPr>
          </w:p>
        </w:tc>
      </w:tr>
      <w:tr w14:paraId="5E2DF9C5">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1170">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3F0C">
            <w:pPr>
              <w:widowControl/>
              <w:textAlignment w:val="center"/>
              <w:rPr>
                <w:color w:val="000000"/>
                <w:sz w:val="20"/>
                <w:szCs w:val="20"/>
              </w:rPr>
            </w:pPr>
            <w:r>
              <w:rPr>
                <w:rFonts w:hint="eastAsia"/>
                <w:color w:val="000000"/>
                <w:sz w:val="20"/>
                <w:szCs w:val="20"/>
                <w:lang w:val="en-US" w:bidi="ar"/>
              </w:rPr>
              <w:t>铜芯电缆敷设：70mm2以内，五芯，穿管埋地敷设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82A2">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ADB7">
            <w:pPr>
              <w:widowControl/>
              <w:jc w:val="center"/>
              <w:textAlignment w:val="center"/>
              <w:rPr>
                <w:color w:val="000000"/>
                <w:sz w:val="20"/>
                <w:szCs w:val="20"/>
              </w:rPr>
            </w:pPr>
            <w:r>
              <w:rPr>
                <w:rFonts w:hint="eastAsia"/>
                <w:color w:val="000000"/>
                <w:sz w:val="20"/>
                <w:szCs w:val="20"/>
                <w:lang w:val="en-US" w:bidi="ar"/>
              </w:rPr>
              <w:t>7</w:t>
            </w:r>
          </w:p>
        </w:tc>
      </w:tr>
      <w:tr w14:paraId="7245C6CC">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FDF5">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7F7C">
            <w:pPr>
              <w:widowControl/>
              <w:textAlignment w:val="center"/>
              <w:rPr>
                <w:color w:val="000000"/>
                <w:sz w:val="20"/>
                <w:szCs w:val="20"/>
              </w:rPr>
            </w:pPr>
            <w:r>
              <w:rPr>
                <w:rFonts w:hint="eastAsia"/>
                <w:color w:val="000000"/>
                <w:sz w:val="20"/>
                <w:szCs w:val="20"/>
                <w:lang w:val="en-US" w:bidi="ar"/>
              </w:rPr>
              <w:t>铜芯电缆敷设：95mm2以内，五芯，穿管埋地敷设</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B954">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F706">
            <w:pPr>
              <w:widowControl/>
              <w:jc w:val="center"/>
              <w:textAlignment w:val="center"/>
              <w:rPr>
                <w:color w:val="000000"/>
                <w:sz w:val="20"/>
                <w:szCs w:val="20"/>
              </w:rPr>
            </w:pPr>
            <w:r>
              <w:rPr>
                <w:rFonts w:hint="eastAsia"/>
                <w:color w:val="000000"/>
                <w:sz w:val="20"/>
                <w:szCs w:val="20"/>
                <w:lang w:val="en-US" w:bidi="ar"/>
              </w:rPr>
              <w:t>90</w:t>
            </w:r>
          </w:p>
        </w:tc>
      </w:tr>
      <w:tr w14:paraId="1E008633">
        <w:tblPrEx>
          <w:tblCellMar>
            <w:top w:w="0" w:type="dxa"/>
            <w:left w:w="108" w:type="dxa"/>
            <w:bottom w:w="0" w:type="dxa"/>
            <w:right w:w="108" w:type="dxa"/>
          </w:tblCellMar>
        </w:tblPrEx>
        <w:trPr>
          <w:trHeight w:val="86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7EFCA">
            <w:pPr>
              <w:widowControl/>
              <w:textAlignment w:val="center"/>
              <w:rPr>
                <w:b/>
                <w:bCs/>
                <w:color w:val="000000"/>
                <w:sz w:val="20"/>
                <w:szCs w:val="20"/>
              </w:rPr>
            </w:pPr>
            <w:r>
              <w:rPr>
                <w:rFonts w:hint="eastAsia"/>
                <w:b/>
                <w:bCs/>
                <w:color w:val="000000"/>
                <w:sz w:val="20"/>
                <w:szCs w:val="20"/>
                <w:lang w:val="en-US" w:bidi="ar"/>
              </w:rPr>
              <w:t>六、热缩电缆终端头安装</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29A4">
            <w:pPr>
              <w:jc w:val="center"/>
              <w:rPr>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4B91">
            <w:pPr>
              <w:rPr>
                <w:color w:val="000000"/>
                <w:sz w:val="20"/>
                <w:szCs w:val="20"/>
              </w:rPr>
            </w:pPr>
          </w:p>
        </w:tc>
      </w:tr>
      <w:tr w14:paraId="74BAB68A">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B6B2">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70CB">
            <w:pPr>
              <w:widowControl/>
              <w:textAlignment w:val="center"/>
              <w:rPr>
                <w:color w:val="000000"/>
                <w:sz w:val="20"/>
                <w:szCs w:val="20"/>
              </w:rPr>
            </w:pPr>
            <w:r>
              <w:rPr>
                <w:rFonts w:hint="eastAsia"/>
                <w:color w:val="000000"/>
                <w:sz w:val="20"/>
                <w:szCs w:val="20"/>
                <w:lang w:val="en-US" w:bidi="ar"/>
              </w:rPr>
              <w:t>热缩终端头制作：铜芯，70mm2内，五芯，含线鼻子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7CB3">
            <w:pPr>
              <w:widowControl/>
              <w:jc w:val="center"/>
              <w:textAlignment w:val="center"/>
              <w:rPr>
                <w:color w:val="000000"/>
                <w:sz w:val="20"/>
                <w:szCs w:val="20"/>
              </w:rPr>
            </w:pPr>
            <w:r>
              <w:rPr>
                <w:rFonts w:hint="eastAsia"/>
                <w:color w:val="000000"/>
                <w:sz w:val="20"/>
                <w:szCs w:val="20"/>
                <w:lang w:val="en-US"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CBF3">
            <w:pPr>
              <w:widowControl/>
              <w:jc w:val="center"/>
              <w:textAlignment w:val="center"/>
              <w:rPr>
                <w:color w:val="000000"/>
                <w:sz w:val="20"/>
                <w:szCs w:val="20"/>
              </w:rPr>
            </w:pPr>
            <w:r>
              <w:rPr>
                <w:rFonts w:hint="eastAsia"/>
                <w:color w:val="000000"/>
                <w:sz w:val="20"/>
                <w:szCs w:val="20"/>
                <w:lang w:val="en-US" w:bidi="ar"/>
              </w:rPr>
              <w:t>2</w:t>
            </w:r>
          </w:p>
        </w:tc>
      </w:tr>
      <w:tr w14:paraId="399DAC61">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7F7D">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611D">
            <w:pPr>
              <w:widowControl/>
              <w:textAlignment w:val="center"/>
              <w:rPr>
                <w:color w:val="000000"/>
                <w:sz w:val="20"/>
                <w:szCs w:val="20"/>
              </w:rPr>
            </w:pPr>
            <w:r>
              <w:rPr>
                <w:rFonts w:hint="eastAsia"/>
                <w:color w:val="000000"/>
                <w:sz w:val="20"/>
                <w:szCs w:val="20"/>
                <w:lang w:val="en-US" w:bidi="ar"/>
              </w:rPr>
              <w:t>热缩终端头制作：铜芯，95mm2内，五芯，含线鼻子</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94AB">
            <w:pPr>
              <w:widowControl/>
              <w:jc w:val="center"/>
              <w:textAlignment w:val="center"/>
              <w:rPr>
                <w:color w:val="000000"/>
                <w:sz w:val="20"/>
                <w:szCs w:val="20"/>
              </w:rPr>
            </w:pPr>
            <w:r>
              <w:rPr>
                <w:rFonts w:hint="eastAsia"/>
                <w:color w:val="000000"/>
                <w:sz w:val="20"/>
                <w:szCs w:val="20"/>
                <w:lang w:val="en-US"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C6DE">
            <w:pPr>
              <w:widowControl/>
              <w:jc w:val="center"/>
              <w:textAlignment w:val="center"/>
              <w:rPr>
                <w:color w:val="000000"/>
                <w:sz w:val="20"/>
                <w:szCs w:val="20"/>
              </w:rPr>
            </w:pPr>
            <w:r>
              <w:rPr>
                <w:rFonts w:hint="eastAsia"/>
                <w:color w:val="000000"/>
                <w:sz w:val="20"/>
                <w:szCs w:val="20"/>
                <w:lang w:val="en-US" w:bidi="ar"/>
              </w:rPr>
              <w:t>2</w:t>
            </w:r>
          </w:p>
        </w:tc>
      </w:tr>
      <w:tr w14:paraId="6CAA1C33">
        <w:tblPrEx>
          <w:tblCellMar>
            <w:top w:w="0" w:type="dxa"/>
            <w:left w:w="108" w:type="dxa"/>
            <w:bottom w:w="0" w:type="dxa"/>
            <w:right w:w="108" w:type="dxa"/>
          </w:tblCellMar>
        </w:tblPrEx>
        <w:trPr>
          <w:trHeight w:val="50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0CDD7">
            <w:pPr>
              <w:widowControl/>
              <w:textAlignment w:val="center"/>
              <w:rPr>
                <w:b/>
                <w:bCs/>
                <w:color w:val="000000"/>
                <w:sz w:val="20"/>
                <w:szCs w:val="20"/>
              </w:rPr>
            </w:pPr>
            <w:r>
              <w:rPr>
                <w:rFonts w:hint="eastAsia"/>
                <w:b/>
                <w:bCs/>
                <w:color w:val="000000"/>
                <w:sz w:val="20"/>
                <w:szCs w:val="20"/>
                <w:lang w:val="en-US" w:bidi="ar"/>
              </w:rPr>
              <w:t>七、穿线井</w:t>
            </w:r>
            <w:r>
              <w:rPr>
                <w:rFonts w:hint="eastAsia"/>
                <w:color w:val="000000"/>
                <w:sz w:val="20"/>
                <w:szCs w:val="20"/>
                <w:lang w:val="en-US"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0C67">
            <w:pPr>
              <w:jc w:val="center"/>
              <w:rPr>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5EC1">
            <w:pPr>
              <w:rPr>
                <w:color w:val="000000"/>
                <w:sz w:val="20"/>
                <w:szCs w:val="20"/>
              </w:rPr>
            </w:pPr>
          </w:p>
        </w:tc>
      </w:tr>
      <w:tr w14:paraId="2E1CED5D">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180A">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E5C9">
            <w:pPr>
              <w:widowControl/>
              <w:textAlignment w:val="center"/>
              <w:rPr>
                <w:color w:val="000000"/>
                <w:sz w:val="20"/>
                <w:szCs w:val="20"/>
              </w:rPr>
            </w:pPr>
            <w:r>
              <w:rPr>
                <w:rFonts w:hint="eastAsia"/>
                <w:color w:val="000000"/>
                <w:sz w:val="20"/>
                <w:szCs w:val="20"/>
                <w:lang w:val="en-US" w:bidi="ar"/>
              </w:rPr>
              <w:t>砖砌电缆井：600*600*1000mm，浇筑井盖，普通土</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5BDB">
            <w:pPr>
              <w:widowControl/>
              <w:jc w:val="center"/>
              <w:textAlignment w:val="center"/>
              <w:rPr>
                <w:color w:val="000000"/>
                <w:sz w:val="20"/>
                <w:szCs w:val="20"/>
              </w:rPr>
            </w:pPr>
            <w:r>
              <w:rPr>
                <w:rFonts w:hint="eastAsia"/>
                <w:color w:val="000000"/>
                <w:sz w:val="20"/>
                <w:szCs w:val="20"/>
                <w:lang w:val="en-US" w:bidi="ar"/>
              </w:rPr>
              <w:t>座</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63E8">
            <w:pPr>
              <w:widowControl/>
              <w:jc w:val="center"/>
              <w:textAlignment w:val="center"/>
              <w:rPr>
                <w:color w:val="000000"/>
                <w:sz w:val="20"/>
                <w:szCs w:val="20"/>
              </w:rPr>
            </w:pPr>
            <w:r>
              <w:rPr>
                <w:rFonts w:hint="eastAsia"/>
                <w:color w:val="000000"/>
                <w:sz w:val="20"/>
                <w:szCs w:val="20"/>
                <w:lang w:val="en-US" w:bidi="ar"/>
              </w:rPr>
              <w:t>2</w:t>
            </w:r>
          </w:p>
        </w:tc>
      </w:tr>
      <w:tr w14:paraId="61F68F6B">
        <w:tblPrEx>
          <w:tblCellMar>
            <w:top w:w="0" w:type="dxa"/>
            <w:left w:w="108" w:type="dxa"/>
            <w:bottom w:w="0" w:type="dxa"/>
            <w:right w:w="108" w:type="dxa"/>
          </w:tblCellMar>
        </w:tblPrEx>
        <w:trPr>
          <w:trHeight w:val="54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A15B5">
            <w:pPr>
              <w:widowControl/>
              <w:textAlignment w:val="center"/>
              <w:rPr>
                <w:b/>
                <w:bCs/>
                <w:color w:val="000000"/>
                <w:sz w:val="20"/>
                <w:szCs w:val="20"/>
              </w:rPr>
            </w:pPr>
            <w:r>
              <w:rPr>
                <w:rFonts w:hint="eastAsia"/>
                <w:b/>
                <w:bCs/>
                <w:color w:val="000000"/>
                <w:sz w:val="20"/>
                <w:szCs w:val="20"/>
                <w:lang w:val="en-US" w:bidi="ar"/>
              </w:rPr>
              <w:t>八、铜芯终端电缆敷设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BA51">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A360">
            <w:pPr>
              <w:jc w:val="center"/>
              <w:rPr>
                <w:color w:val="000000"/>
                <w:sz w:val="20"/>
                <w:szCs w:val="20"/>
              </w:rPr>
            </w:pPr>
          </w:p>
        </w:tc>
      </w:tr>
      <w:tr w14:paraId="6388D64A">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A5C4">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43D7">
            <w:pPr>
              <w:widowControl/>
              <w:textAlignment w:val="center"/>
              <w:rPr>
                <w:color w:val="000000"/>
                <w:sz w:val="20"/>
                <w:szCs w:val="20"/>
              </w:rPr>
            </w:pPr>
            <w:r>
              <w:rPr>
                <w:rFonts w:hint="eastAsia"/>
                <w:color w:val="000000"/>
                <w:sz w:val="20"/>
                <w:szCs w:val="20"/>
                <w:lang w:val="en-US" w:bidi="ar"/>
              </w:rPr>
              <w:t>铜芯电缆敷设：交流单桩，穿管埋地 YJV-3*6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1AF4">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49C4">
            <w:pPr>
              <w:widowControl/>
              <w:jc w:val="center"/>
              <w:textAlignment w:val="center"/>
              <w:rPr>
                <w:color w:val="000000"/>
                <w:sz w:val="20"/>
                <w:szCs w:val="20"/>
              </w:rPr>
            </w:pPr>
            <w:r>
              <w:rPr>
                <w:rFonts w:hint="eastAsia"/>
                <w:color w:val="000000"/>
                <w:sz w:val="20"/>
                <w:szCs w:val="20"/>
                <w:lang w:val="en-US" w:bidi="ar"/>
              </w:rPr>
              <w:t>118</w:t>
            </w:r>
          </w:p>
        </w:tc>
      </w:tr>
      <w:tr w14:paraId="25D177BB">
        <w:tblPrEx>
          <w:tblCellMar>
            <w:top w:w="0" w:type="dxa"/>
            <w:left w:w="108" w:type="dxa"/>
            <w:bottom w:w="0" w:type="dxa"/>
            <w:right w:w="108" w:type="dxa"/>
          </w:tblCellMar>
        </w:tblPrEx>
        <w:trPr>
          <w:trHeight w:val="114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27217">
            <w:pPr>
              <w:widowControl/>
              <w:textAlignment w:val="center"/>
              <w:rPr>
                <w:b/>
                <w:bCs/>
                <w:color w:val="000000"/>
                <w:sz w:val="20"/>
                <w:szCs w:val="20"/>
              </w:rPr>
            </w:pPr>
            <w:r>
              <w:rPr>
                <w:rFonts w:hint="eastAsia"/>
                <w:b/>
                <w:bCs/>
                <w:color w:val="000000"/>
                <w:sz w:val="20"/>
                <w:szCs w:val="20"/>
                <w:lang w:val="en-US" w:bidi="ar"/>
              </w:rPr>
              <w:t>九、交流单桩基础制作、本体安装及接线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81E">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12B2">
            <w:pPr>
              <w:rPr>
                <w:color w:val="000000"/>
                <w:sz w:val="20"/>
                <w:szCs w:val="20"/>
              </w:rPr>
            </w:pPr>
          </w:p>
        </w:tc>
      </w:tr>
      <w:tr w14:paraId="426F3B52">
        <w:tblPrEx>
          <w:tblCellMar>
            <w:top w:w="0" w:type="dxa"/>
            <w:left w:w="108" w:type="dxa"/>
            <w:bottom w:w="0" w:type="dxa"/>
            <w:right w:w="108" w:type="dxa"/>
          </w:tblCellMar>
        </w:tblPrEx>
        <w:trPr>
          <w:trHeight w:val="4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4DD6">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3A4C">
            <w:pPr>
              <w:widowControl/>
              <w:textAlignment w:val="center"/>
              <w:rPr>
                <w:color w:val="000000"/>
                <w:sz w:val="20"/>
                <w:szCs w:val="20"/>
              </w:rPr>
            </w:pPr>
            <w:r>
              <w:rPr>
                <w:rFonts w:hint="eastAsia"/>
                <w:color w:val="000000"/>
                <w:sz w:val="20"/>
                <w:szCs w:val="20"/>
                <w:lang w:val="en-US" w:bidi="ar"/>
              </w:rPr>
              <w:t>单桩基础制作、设备安装及两端接线：7KW交流充电桩</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EB98">
            <w:pPr>
              <w:widowControl/>
              <w:jc w:val="center"/>
              <w:textAlignment w:val="center"/>
              <w:rPr>
                <w:color w:val="000000"/>
                <w:sz w:val="20"/>
                <w:szCs w:val="20"/>
              </w:rPr>
            </w:pPr>
            <w:r>
              <w:rPr>
                <w:rFonts w:hint="eastAsia"/>
                <w:color w:val="000000"/>
                <w:sz w:val="20"/>
                <w:szCs w:val="20"/>
                <w:lang w:val="en-US"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B3E9">
            <w:pPr>
              <w:widowControl/>
              <w:jc w:val="center"/>
              <w:textAlignment w:val="center"/>
              <w:rPr>
                <w:color w:val="000000"/>
                <w:sz w:val="20"/>
                <w:szCs w:val="20"/>
              </w:rPr>
            </w:pPr>
            <w:r>
              <w:rPr>
                <w:rFonts w:hint="eastAsia"/>
                <w:color w:val="000000"/>
                <w:sz w:val="20"/>
                <w:szCs w:val="20"/>
                <w:lang w:val="en-US" w:bidi="ar"/>
              </w:rPr>
              <w:t>6</w:t>
            </w:r>
          </w:p>
        </w:tc>
      </w:tr>
      <w:tr w14:paraId="40AD8DE6">
        <w:tblPrEx>
          <w:tblCellMar>
            <w:top w:w="0" w:type="dxa"/>
            <w:left w:w="108" w:type="dxa"/>
            <w:bottom w:w="0" w:type="dxa"/>
            <w:right w:w="108" w:type="dxa"/>
          </w:tblCellMar>
        </w:tblPrEx>
        <w:trPr>
          <w:trHeight w:val="102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570AC">
            <w:pPr>
              <w:widowControl/>
              <w:textAlignment w:val="center"/>
              <w:rPr>
                <w:b/>
                <w:bCs/>
                <w:color w:val="000000"/>
                <w:sz w:val="20"/>
                <w:szCs w:val="20"/>
              </w:rPr>
            </w:pPr>
            <w:r>
              <w:rPr>
                <w:rFonts w:hint="eastAsia"/>
                <w:b/>
                <w:bCs/>
                <w:color w:val="000000"/>
                <w:sz w:val="20"/>
                <w:szCs w:val="20"/>
                <w:lang w:val="en-US" w:bidi="ar"/>
              </w:rPr>
              <w:t>十、直流单桩基础制作、本体安装</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8290">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03E9">
            <w:pPr>
              <w:rPr>
                <w:color w:val="000000"/>
                <w:sz w:val="20"/>
                <w:szCs w:val="20"/>
              </w:rPr>
            </w:pPr>
          </w:p>
        </w:tc>
      </w:tr>
      <w:tr w14:paraId="1780B0C4">
        <w:tblPrEx>
          <w:tblCellMar>
            <w:top w:w="0" w:type="dxa"/>
            <w:left w:w="108" w:type="dxa"/>
            <w:bottom w:w="0" w:type="dxa"/>
            <w:right w:w="108" w:type="dxa"/>
          </w:tblCellMar>
        </w:tblPrEx>
        <w:trPr>
          <w:trHeight w:val="39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8ACC">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3E6E">
            <w:pPr>
              <w:widowControl/>
              <w:textAlignment w:val="center"/>
              <w:rPr>
                <w:color w:val="000000"/>
                <w:sz w:val="20"/>
                <w:szCs w:val="20"/>
              </w:rPr>
            </w:pPr>
            <w:r>
              <w:rPr>
                <w:rFonts w:hint="eastAsia"/>
                <w:color w:val="000000"/>
                <w:sz w:val="20"/>
                <w:szCs w:val="20"/>
                <w:lang w:val="en-US" w:bidi="ar"/>
              </w:rPr>
              <w:t>直流充电单桩基础制作、设备安装：80KW直流充电桩</w:t>
            </w:r>
            <w:r>
              <w:rPr>
                <w:rFonts w:hint="eastAsia"/>
                <w:color w:val="000000"/>
                <w:sz w:val="20"/>
                <w:szCs w:val="20"/>
                <w:lang w:val="en-US" w:bidi="ar"/>
              </w:rPr>
              <w:br w:type="textWrapping"/>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7E83">
            <w:pPr>
              <w:widowControl/>
              <w:jc w:val="center"/>
              <w:textAlignment w:val="center"/>
              <w:rPr>
                <w:color w:val="000000"/>
                <w:sz w:val="20"/>
                <w:szCs w:val="20"/>
              </w:rPr>
            </w:pPr>
            <w:r>
              <w:rPr>
                <w:rFonts w:hint="eastAsia"/>
                <w:color w:val="000000"/>
                <w:sz w:val="20"/>
                <w:szCs w:val="20"/>
                <w:lang w:val="en-US" w:bidi="ar"/>
              </w:rPr>
              <w:t>座</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3138">
            <w:pPr>
              <w:widowControl/>
              <w:jc w:val="center"/>
              <w:textAlignment w:val="center"/>
              <w:rPr>
                <w:color w:val="000000"/>
                <w:sz w:val="20"/>
                <w:szCs w:val="20"/>
              </w:rPr>
            </w:pPr>
            <w:r>
              <w:rPr>
                <w:rFonts w:hint="eastAsia"/>
                <w:color w:val="000000"/>
                <w:sz w:val="20"/>
                <w:szCs w:val="20"/>
                <w:lang w:val="en-US" w:bidi="ar"/>
              </w:rPr>
              <w:t>1</w:t>
            </w:r>
          </w:p>
        </w:tc>
      </w:tr>
      <w:tr w14:paraId="0D430307">
        <w:tblPrEx>
          <w:tblCellMar>
            <w:top w:w="0" w:type="dxa"/>
            <w:left w:w="108" w:type="dxa"/>
            <w:bottom w:w="0" w:type="dxa"/>
            <w:right w:w="108" w:type="dxa"/>
          </w:tblCellMar>
        </w:tblPrEx>
        <w:trPr>
          <w:trHeight w:val="48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23361">
            <w:pPr>
              <w:widowControl/>
              <w:textAlignment w:val="center"/>
              <w:rPr>
                <w:b/>
                <w:bCs/>
                <w:color w:val="000000"/>
                <w:sz w:val="20"/>
                <w:szCs w:val="20"/>
              </w:rPr>
            </w:pPr>
            <w:r>
              <w:rPr>
                <w:rFonts w:hint="eastAsia"/>
                <w:b/>
                <w:bCs/>
                <w:color w:val="000000"/>
                <w:sz w:val="20"/>
                <w:szCs w:val="20"/>
                <w:lang w:val="en-US" w:bidi="ar"/>
              </w:rPr>
              <w:t>十一、墙体开孔</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8F1E">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BBD5">
            <w:pPr>
              <w:rPr>
                <w:color w:val="000000"/>
                <w:sz w:val="20"/>
                <w:szCs w:val="20"/>
              </w:rPr>
            </w:pPr>
          </w:p>
        </w:tc>
      </w:tr>
      <w:tr w14:paraId="3FC018FC">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AA3E">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B23D">
            <w:pPr>
              <w:widowControl/>
              <w:textAlignment w:val="center"/>
              <w:rPr>
                <w:color w:val="000000"/>
                <w:sz w:val="20"/>
                <w:szCs w:val="20"/>
              </w:rPr>
            </w:pPr>
            <w:r>
              <w:rPr>
                <w:rFonts w:hint="eastAsia"/>
                <w:color w:val="000000"/>
                <w:sz w:val="20"/>
                <w:szCs w:val="20"/>
                <w:lang w:val="en-US" w:bidi="ar"/>
              </w:rPr>
              <w:t>墙体开孔：100内圆孔，普通24砖墙</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7E11">
            <w:pPr>
              <w:widowControl/>
              <w:jc w:val="center"/>
              <w:textAlignment w:val="center"/>
              <w:rPr>
                <w:color w:val="000000"/>
                <w:sz w:val="20"/>
                <w:szCs w:val="20"/>
              </w:rPr>
            </w:pPr>
            <w:r>
              <w:rPr>
                <w:rFonts w:hint="eastAsia"/>
                <w:color w:val="000000"/>
                <w:sz w:val="20"/>
                <w:szCs w:val="20"/>
                <w:lang w:val="en-US"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BD8B">
            <w:pPr>
              <w:widowControl/>
              <w:jc w:val="center"/>
              <w:textAlignment w:val="center"/>
              <w:rPr>
                <w:color w:val="000000"/>
                <w:sz w:val="20"/>
                <w:szCs w:val="20"/>
              </w:rPr>
            </w:pPr>
            <w:r>
              <w:rPr>
                <w:rFonts w:hint="eastAsia"/>
                <w:color w:val="000000"/>
                <w:sz w:val="20"/>
                <w:szCs w:val="20"/>
                <w:lang w:val="en-US" w:bidi="ar"/>
              </w:rPr>
              <w:t>1</w:t>
            </w:r>
          </w:p>
        </w:tc>
      </w:tr>
      <w:tr w14:paraId="1516894C">
        <w:tblPrEx>
          <w:tblCellMar>
            <w:top w:w="0" w:type="dxa"/>
            <w:left w:w="108" w:type="dxa"/>
            <w:bottom w:w="0" w:type="dxa"/>
            <w:right w:w="108" w:type="dxa"/>
          </w:tblCellMar>
        </w:tblPrEx>
        <w:trPr>
          <w:trHeight w:val="46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D66C0">
            <w:pPr>
              <w:widowControl/>
              <w:textAlignment w:val="center"/>
              <w:rPr>
                <w:b/>
                <w:bCs/>
                <w:color w:val="000000"/>
                <w:sz w:val="20"/>
                <w:szCs w:val="20"/>
              </w:rPr>
            </w:pPr>
            <w:r>
              <w:rPr>
                <w:rFonts w:hint="eastAsia"/>
                <w:b/>
                <w:bCs/>
                <w:color w:val="000000"/>
                <w:sz w:val="20"/>
                <w:szCs w:val="20"/>
                <w:lang w:val="en-US" w:bidi="ar"/>
              </w:rPr>
              <w:t>十二、设备材料运输和二次转运</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47E0">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BBD5">
            <w:pPr>
              <w:rPr>
                <w:color w:val="000000"/>
                <w:sz w:val="20"/>
                <w:szCs w:val="20"/>
              </w:rPr>
            </w:pPr>
          </w:p>
        </w:tc>
      </w:tr>
      <w:tr w14:paraId="4C8E7F13">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DB1A">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B027">
            <w:pPr>
              <w:widowControl/>
              <w:textAlignment w:val="center"/>
              <w:rPr>
                <w:color w:val="000000"/>
                <w:sz w:val="20"/>
                <w:szCs w:val="20"/>
              </w:rPr>
            </w:pPr>
            <w:r>
              <w:rPr>
                <w:rFonts w:hint="eastAsia"/>
                <w:color w:val="000000"/>
                <w:sz w:val="20"/>
                <w:szCs w:val="20"/>
                <w:lang w:val="en-US" w:bidi="ar"/>
              </w:rPr>
              <w:t>设备、材料二次运输费(库房到现场）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7971">
            <w:pPr>
              <w:widowControl/>
              <w:jc w:val="center"/>
              <w:textAlignment w:val="center"/>
              <w:rPr>
                <w:color w:val="000000"/>
                <w:sz w:val="20"/>
                <w:szCs w:val="20"/>
              </w:rPr>
            </w:pPr>
            <w:r>
              <w:rPr>
                <w:rFonts w:hint="eastAsia"/>
                <w:color w:val="000000"/>
                <w:sz w:val="20"/>
                <w:szCs w:val="20"/>
                <w:lang w:val="en-US" w:bidi="ar"/>
              </w:rPr>
              <w:t>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8132">
            <w:pPr>
              <w:widowControl/>
              <w:jc w:val="center"/>
              <w:textAlignment w:val="center"/>
              <w:rPr>
                <w:color w:val="000000"/>
                <w:sz w:val="20"/>
                <w:szCs w:val="20"/>
              </w:rPr>
            </w:pPr>
            <w:r>
              <w:rPr>
                <w:rFonts w:hint="eastAsia"/>
                <w:color w:val="000000"/>
                <w:sz w:val="20"/>
                <w:szCs w:val="20"/>
                <w:lang w:val="en-US" w:bidi="ar"/>
              </w:rPr>
              <w:t>2</w:t>
            </w:r>
          </w:p>
        </w:tc>
      </w:tr>
      <w:tr w14:paraId="33C3567B">
        <w:tblPrEx>
          <w:tblCellMar>
            <w:top w:w="0" w:type="dxa"/>
            <w:left w:w="108" w:type="dxa"/>
            <w:bottom w:w="0" w:type="dxa"/>
            <w:right w:w="108" w:type="dxa"/>
          </w:tblCellMar>
        </w:tblPrEx>
        <w:trPr>
          <w:trHeight w:val="30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7469">
            <w:pPr>
              <w:widowControl/>
              <w:textAlignment w:val="center"/>
              <w:rPr>
                <w:b/>
                <w:bCs/>
                <w:color w:val="000000"/>
                <w:sz w:val="20"/>
                <w:szCs w:val="20"/>
              </w:rPr>
            </w:pPr>
            <w:r>
              <w:rPr>
                <w:rFonts w:hint="eastAsia"/>
                <w:b/>
                <w:bCs/>
                <w:color w:val="000000"/>
                <w:sz w:val="20"/>
                <w:szCs w:val="20"/>
                <w:lang w:val="en-US" w:bidi="ar"/>
              </w:rPr>
              <w:t>十三、车位喷涂划线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F4F4">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2DCE">
            <w:pPr>
              <w:jc w:val="center"/>
              <w:rPr>
                <w:color w:val="000000"/>
                <w:sz w:val="20"/>
                <w:szCs w:val="20"/>
              </w:rPr>
            </w:pPr>
          </w:p>
        </w:tc>
      </w:tr>
      <w:tr w14:paraId="32264198">
        <w:tblPrEx>
          <w:tblCellMar>
            <w:top w:w="0" w:type="dxa"/>
            <w:left w:w="108" w:type="dxa"/>
            <w:bottom w:w="0" w:type="dxa"/>
            <w:right w:w="108" w:type="dxa"/>
          </w:tblCellMar>
        </w:tblPrEx>
        <w:trPr>
          <w:trHeight w:val="3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140A">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8368">
            <w:pPr>
              <w:widowControl/>
              <w:textAlignment w:val="center"/>
              <w:rPr>
                <w:color w:val="000000"/>
                <w:sz w:val="20"/>
                <w:szCs w:val="20"/>
              </w:rPr>
            </w:pPr>
            <w:r>
              <w:rPr>
                <w:rFonts w:hint="eastAsia"/>
                <w:color w:val="000000"/>
                <w:sz w:val="20"/>
                <w:szCs w:val="20"/>
                <w:lang w:val="en-US" w:bidi="ar"/>
              </w:rPr>
              <w:t>充电车位喷字（绿底白字）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7843">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A931">
            <w:pPr>
              <w:widowControl/>
              <w:jc w:val="center"/>
              <w:textAlignment w:val="center"/>
              <w:rPr>
                <w:color w:val="000000"/>
                <w:sz w:val="20"/>
                <w:szCs w:val="20"/>
              </w:rPr>
            </w:pPr>
            <w:r>
              <w:rPr>
                <w:rFonts w:hint="eastAsia"/>
                <w:color w:val="000000"/>
                <w:sz w:val="20"/>
                <w:szCs w:val="20"/>
                <w:lang w:val="en-US" w:bidi="ar"/>
              </w:rPr>
              <w:t>8</w:t>
            </w:r>
          </w:p>
        </w:tc>
      </w:tr>
      <w:tr w14:paraId="4D4997F7">
        <w:tblPrEx>
          <w:tblCellMar>
            <w:top w:w="0" w:type="dxa"/>
            <w:left w:w="108" w:type="dxa"/>
            <w:bottom w:w="0" w:type="dxa"/>
            <w:right w:w="108" w:type="dxa"/>
          </w:tblCellMar>
        </w:tblPrEx>
        <w:trPr>
          <w:trHeight w:val="360" w:hRule="atLeast"/>
        </w:trPr>
        <w:tc>
          <w:tcPr>
            <w:tcW w:w="72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589A4">
            <w:pPr>
              <w:widowControl/>
              <w:textAlignment w:val="center"/>
              <w:rPr>
                <w:b/>
                <w:bCs/>
                <w:color w:val="000000"/>
                <w:sz w:val="20"/>
                <w:szCs w:val="20"/>
              </w:rPr>
            </w:pPr>
            <w:r>
              <w:rPr>
                <w:rFonts w:hint="eastAsia"/>
                <w:b/>
                <w:bCs/>
                <w:color w:val="000000"/>
                <w:sz w:val="20"/>
                <w:szCs w:val="20"/>
                <w:lang w:val="en-US" w:bidi="ar"/>
              </w:rPr>
              <w:t>十四、余方弃置</w:t>
            </w:r>
            <w:r>
              <w:rPr>
                <w:rFonts w:hint="eastAsia"/>
                <w:color w:val="000000"/>
                <w:sz w:val="20"/>
                <w:szCs w:val="20"/>
                <w:lang w:val="en-US" w:bidi="ar"/>
              </w:rPr>
              <w:t>（专用车运输到专业倒场）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1950">
            <w:pPr>
              <w:rPr>
                <w:color w:val="000000"/>
                <w:sz w:val="20"/>
                <w:szCs w:val="20"/>
              </w:rPr>
            </w:pPr>
          </w:p>
        </w:tc>
      </w:tr>
      <w:tr w14:paraId="6A2A8003">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E5ED">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A0EF">
            <w:pPr>
              <w:widowControl/>
              <w:textAlignment w:val="center"/>
              <w:rPr>
                <w:color w:val="000000"/>
                <w:sz w:val="20"/>
                <w:szCs w:val="20"/>
              </w:rPr>
            </w:pPr>
            <w:r>
              <w:rPr>
                <w:rFonts w:hint="eastAsia"/>
                <w:color w:val="000000"/>
                <w:sz w:val="20"/>
                <w:szCs w:val="20"/>
                <w:lang w:val="en-US" w:bidi="ar"/>
              </w:rPr>
              <w:t>余方弃置：市区，人工装土，运距＞10KM</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A322">
            <w:pPr>
              <w:widowControl/>
              <w:jc w:val="center"/>
              <w:textAlignment w:val="center"/>
              <w:rPr>
                <w:color w:val="000000"/>
                <w:sz w:val="20"/>
                <w:szCs w:val="20"/>
              </w:rPr>
            </w:pPr>
            <w:r>
              <w:rPr>
                <w:rFonts w:hint="eastAsia"/>
                <w:color w:val="000000"/>
                <w:sz w:val="20"/>
                <w:szCs w:val="20"/>
                <w:lang w:val="en-US" w:bidi="ar"/>
              </w:rPr>
              <w:t>m3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AA5A">
            <w:pPr>
              <w:widowControl/>
              <w:jc w:val="center"/>
              <w:textAlignment w:val="center"/>
              <w:rPr>
                <w:color w:val="000000"/>
                <w:sz w:val="20"/>
                <w:szCs w:val="20"/>
              </w:rPr>
            </w:pPr>
            <w:r>
              <w:rPr>
                <w:rFonts w:hint="eastAsia"/>
                <w:color w:val="000000"/>
                <w:sz w:val="20"/>
                <w:szCs w:val="20"/>
                <w:lang w:val="en-US" w:bidi="ar"/>
              </w:rPr>
              <w:t>9</w:t>
            </w:r>
          </w:p>
        </w:tc>
      </w:tr>
      <w:tr w14:paraId="58E71A00">
        <w:tblPrEx>
          <w:tblCellMar>
            <w:top w:w="0" w:type="dxa"/>
            <w:left w:w="108" w:type="dxa"/>
            <w:bottom w:w="0" w:type="dxa"/>
            <w:right w:w="108" w:type="dxa"/>
          </w:tblCellMar>
        </w:tblPrEx>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9708">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335B">
            <w:pPr>
              <w:widowControl/>
              <w:textAlignment w:val="center"/>
              <w:rPr>
                <w:color w:val="000000"/>
                <w:sz w:val="20"/>
                <w:szCs w:val="20"/>
              </w:rPr>
            </w:pPr>
            <w:r>
              <w:rPr>
                <w:rFonts w:hint="eastAsia"/>
                <w:color w:val="000000"/>
                <w:sz w:val="20"/>
                <w:szCs w:val="20"/>
                <w:lang w:val="en-US" w:bidi="ar"/>
              </w:rPr>
              <w:t>余方弃置：市区，人工装石渣，运距＞10KM</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598B">
            <w:pPr>
              <w:widowControl/>
              <w:jc w:val="center"/>
              <w:textAlignment w:val="center"/>
              <w:rPr>
                <w:color w:val="000000"/>
                <w:sz w:val="20"/>
                <w:szCs w:val="20"/>
              </w:rPr>
            </w:pPr>
            <w:r>
              <w:rPr>
                <w:rFonts w:hint="eastAsia"/>
                <w:color w:val="000000"/>
                <w:sz w:val="20"/>
                <w:szCs w:val="20"/>
                <w:lang w:val="en-US" w:bidi="ar"/>
              </w:rPr>
              <w:t>m3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89D1">
            <w:pPr>
              <w:widowControl/>
              <w:jc w:val="center"/>
              <w:textAlignment w:val="center"/>
              <w:rPr>
                <w:color w:val="000000"/>
                <w:sz w:val="20"/>
                <w:szCs w:val="20"/>
              </w:rPr>
            </w:pPr>
            <w:r>
              <w:rPr>
                <w:rFonts w:hint="eastAsia"/>
                <w:color w:val="000000"/>
                <w:sz w:val="20"/>
                <w:szCs w:val="20"/>
                <w:lang w:val="en-US" w:bidi="ar"/>
              </w:rPr>
              <w:t>2</w:t>
            </w:r>
          </w:p>
        </w:tc>
      </w:tr>
      <w:tr w14:paraId="7747326E">
        <w:tblPrEx>
          <w:tblCellMar>
            <w:top w:w="0" w:type="dxa"/>
            <w:left w:w="108" w:type="dxa"/>
            <w:bottom w:w="0" w:type="dxa"/>
            <w:right w:w="108" w:type="dxa"/>
          </w:tblCellMar>
        </w:tblPrEx>
        <w:trPr>
          <w:trHeight w:val="48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4ADF">
            <w:pPr>
              <w:widowControl/>
              <w:textAlignment w:val="center"/>
              <w:rPr>
                <w:b/>
                <w:bCs/>
                <w:color w:val="000000"/>
                <w:sz w:val="20"/>
                <w:szCs w:val="20"/>
              </w:rPr>
            </w:pPr>
            <w:r>
              <w:rPr>
                <w:rFonts w:hint="eastAsia"/>
                <w:b/>
                <w:bCs/>
                <w:color w:val="000000"/>
                <w:sz w:val="20"/>
                <w:szCs w:val="20"/>
                <w:lang w:val="en-US" w:bidi="ar"/>
              </w:rPr>
              <w:t>（二）VI工程</w:t>
            </w:r>
          </w:p>
        </w:tc>
      </w:tr>
      <w:tr w14:paraId="042763FC">
        <w:trPr>
          <w:trHeight w:val="27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2965">
            <w:pPr>
              <w:widowControl/>
              <w:textAlignment w:val="center"/>
              <w:rPr>
                <w:b/>
                <w:bCs/>
                <w:color w:val="000000"/>
                <w:sz w:val="20"/>
                <w:szCs w:val="20"/>
              </w:rPr>
            </w:pPr>
            <w:r>
              <w:rPr>
                <w:rFonts w:hint="eastAsia"/>
                <w:b/>
                <w:bCs/>
                <w:color w:val="000000"/>
                <w:sz w:val="20"/>
                <w:szCs w:val="20"/>
                <w:lang w:val="en-US" w:bidi="ar"/>
              </w:rPr>
              <w:t>一、标识牌基础及安装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5D5E">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1C46">
            <w:pPr>
              <w:rPr>
                <w:color w:val="000000"/>
                <w:sz w:val="20"/>
                <w:szCs w:val="20"/>
              </w:rPr>
            </w:pPr>
          </w:p>
        </w:tc>
      </w:tr>
      <w:tr w14:paraId="218A586D">
        <w:tblPrEx>
          <w:tblCellMar>
            <w:top w:w="0" w:type="dxa"/>
            <w:left w:w="108" w:type="dxa"/>
            <w:bottom w:w="0" w:type="dxa"/>
            <w:right w:w="108" w:type="dxa"/>
          </w:tblCellMar>
        </w:tblPrEx>
        <w:trPr>
          <w:trHeight w:val="6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90DD">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6E9">
            <w:pPr>
              <w:widowControl/>
              <w:textAlignment w:val="center"/>
              <w:rPr>
                <w:color w:val="000000"/>
                <w:sz w:val="20"/>
                <w:szCs w:val="20"/>
              </w:rPr>
            </w:pPr>
            <w:r>
              <w:rPr>
                <w:rFonts w:hint="eastAsia"/>
                <w:color w:val="000000"/>
                <w:sz w:val="20"/>
                <w:szCs w:val="20"/>
                <w:lang w:val="en-US" w:bidi="ar"/>
              </w:rPr>
              <w:t>广告牌采购：安全牌   操作牌</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F914">
            <w:pPr>
              <w:widowControl/>
              <w:jc w:val="center"/>
              <w:textAlignment w:val="center"/>
              <w:rPr>
                <w:color w:val="000000"/>
                <w:sz w:val="20"/>
                <w:szCs w:val="20"/>
              </w:rPr>
            </w:pPr>
            <w:r>
              <w:rPr>
                <w:rFonts w:hint="eastAsia"/>
                <w:color w:val="000000"/>
                <w:sz w:val="20"/>
                <w:szCs w:val="20"/>
                <w:lang w:val="en-US"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3AE8">
            <w:pPr>
              <w:widowControl/>
              <w:jc w:val="center"/>
              <w:textAlignment w:val="center"/>
              <w:rPr>
                <w:color w:val="000000"/>
                <w:sz w:val="20"/>
                <w:szCs w:val="20"/>
              </w:rPr>
            </w:pPr>
            <w:r>
              <w:rPr>
                <w:rFonts w:hint="eastAsia"/>
                <w:color w:val="000000"/>
                <w:sz w:val="20"/>
                <w:szCs w:val="20"/>
                <w:lang w:val="en-US" w:bidi="ar"/>
              </w:rPr>
              <w:t>2</w:t>
            </w:r>
          </w:p>
        </w:tc>
      </w:tr>
      <w:tr w14:paraId="043A37DA">
        <w:tblPrEx>
          <w:tblCellMar>
            <w:top w:w="0" w:type="dxa"/>
            <w:left w:w="108" w:type="dxa"/>
            <w:bottom w:w="0" w:type="dxa"/>
            <w:right w:w="108" w:type="dxa"/>
          </w:tblCellMar>
        </w:tblPrEx>
        <w:trPr>
          <w:trHeight w:val="40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C341">
            <w:pPr>
              <w:widowControl/>
              <w:textAlignment w:val="center"/>
              <w:rPr>
                <w:b/>
                <w:bCs/>
                <w:color w:val="000000"/>
                <w:sz w:val="20"/>
                <w:szCs w:val="20"/>
              </w:rPr>
            </w:pPr>
            <w:r>
              <w:rPr>
                <w:rFonts w:hint="eastAsia"/>
                <w:b/>
                <w:bCs/>
                <w:color w:val="000000"/>
                <w:sz w:val="20"/>
                <w:szCs w:val="20"/>
                <w:lang w:val="en-US" w:bidi="ar"/>
              </w:rPr>
              <w:t>（三）消防工程</w:t>
            </w:r>
          </w:p>
        </w:tc>
      </w:tr>
      <w:tr w14:paraId="1E3908C1">
        <w:tblPrEx>
          <w:tblCellMar>
            <w:top w:w="0" w:type="dxa"/>
            <w:left w:w="108" w:type="dxa"/>
            <w:bottom w:w="0" w:type="dxa"/>
            <w:right w:w="108" w:type="dxa"/>
          </w:tblCellMar>
        </w:tblPrEx>
        <w:trPr>
          <w:trHeight w:val="270" w:hRule="atLeast"/>
        </w:trPr>
        <w:tc>
          <w:tcPr>
            <w:tcW w:w="62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60EC">
            <w:pPr>
              <w:widowControl/>
              <w:textAlignment w:val="center"/>
              <w:rPr>
                <w:b/>
                <w:bCs/>
                <w:color w:val="000000"/>
                <w:sz w:val="20"/>
                <w:szCs w:val="20"/>
              </w:rPr>
            </w:pPr>
            <w:r>
              <w:rPr>
                <w:rFonts w:hint="eastAsia"/>
                <w:b/>
                <w:bCs/>
                <w:color w:val="000000"/>
                <w:sz w:val="20"/>
                <w:szCs w:val="20"/>
                <w:lang w:val="en-US" w:bidi="ar"/>
              </w:rPr>
              <w:t>一、消防设施安装</w:t>
            </w:r>
            <w:r>
              <w:rPr>
                <w:rFonts w:hint="eastAsia"/>
                <w:color w:val="000000"/>
                <w:sz w:val="20"/>
                <w:szCs w:val="20"/>
                <w:lang w:val="en-US" w:bidi="ar"/>
              </w:rPr>
              <w:t>(灭火器、灭火器箱、安装）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681A">
            <w:pPr>
              <w:jc w:val="center"/>
              <w:rPr>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59B7">
            <w:pPr>
              <w:jc w:val="center"/>
              <w:rPr>
                <w:color w:val="000000"/>
                <w:sz w:val="20"/>
                <w:szCs w:val="20"/>
              </w:rPr>
            </w:pPr>
          </w:p>
        </w:tc>
      </w:tr>
      <w:tr w14:paraId="5536CD49">
        <w:trPr>
          <w:trHeight w:val="27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14EE">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5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6EBC">
            <w:pPr>
              <w:widowControl/>
              <w:textAlignment w:val="center"/>
              <w:rPr>
                <w:color w:val="000000"/>
                <w:sz w:val="20"/>
                <w:szCs w:val="20"/>
              </w:rPr>
            </w:pPr>
            <w:r>
              <w:rPr>
                <w:rFonts w:hint="eastAsia"/>
                <w:color w:val="000000"/>
                <w:sz w:val="20"/>
                <w:szCs w:val="20"/>
                <w:lang w:val="en-US" w:bidi="ar"/>
              </w:rPr>
              <w:t>灭火器：手提式干粉（磷酸铵盐）灭火器（MF/ABC5）</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0576">
            <w:pPr>
              <w:widowControl/>
              <w:jc w:val="center"/>
              <w:textAlignment w:val="center"/>
              <w:rPr>
                <w:color w:val="000000"/>
                <w:sz w:val="20"/>
                <w:szCs w:val="20"/>
              </w:rPr>
            </w:pPr>
            <w:r>
              <w:rPr>
                <w:rFonts w:hint="eastAsia"/>
                <w:color w:val="000000"/>
                <w:sz w:val="20"/>
                <w:szCs w:val="20"/>
                <w:lang w:val="en-US" w:bidi="ar"/>
              </w:rPr>
              <w:t>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2855">
            <w:pPr>
              <w:widowControl/>
              <w:jc w:val="center"/>
              <w:textAlignment w:val="center"/>
              <w:rPr>
                <w:color w:val="000000"/>
                <w:sz w:val="20"/>
                <w:szCs w:val="20"/>
              </w:rPr>
            </w:pPr>
            <w:r>
              <w:rPr>
                <w:rFonts w:hint="eastAsia"/>
                <w:color w:val="000000"/>
                <w:sz w:val="20"/>
                <w:szCs w:val="20"/>
                <w:lang w:val="en-US" w:bidi="ar"/>
              </w:rPr>
              <w:t>2</w:t>
            </w:r>
          </w:p>
        </w:tc>
      </w:tr>
    </w:tbl>
    <w:p w14:paraId="064DD386">
      <w:pPr>
        <w:tabs>
          <w:tab w:val="left" w:pos="1166"/>
        </w:tabs>
        <w:spacing w:line="360" w:lineRule="auto"/>
        <w:jc w:val="both"/>
        <w:rPr>
          <w:rFonts w:ascii="Times New Roman" w:hAnsi="Times New Roman" w:cs="Times New Roman"/>
          <w:spacing w:val="-3"/>
          <w:sz w:val="21"/>
          <w:lang w:val="en-US"/>
        </w:rPr>
      </w:pPr>
    </w:p>
    <w:p w14:paraId="0797BD0C">
      <w:pPr>
        <w:tabs>
          <w:tab w:val="left" w:pos="1166"/>
        </w:tabs>
        <w:spacing w:line="360" w:lineRule="auto"/>
        <w:ind w:firstLine="442" w:firstLineChars="200"/>
        <w:jc w:val="both"/>
        <w:rPr>
          <w:rFonts w:ascii="Times New Roman" w:hAnsi="Times New Roman" w:cs="Times New Roman"/>
          <w:b/>
        </w:rPr>
      </w:pPr>
    </w:p>
    <w:p w14:paraId="102C1340">
      <w:pPr>
        <w:numPr>
          <w:ilvl w:val="0"/>
          <w:numId w:val="14"/>
        </w:numPr>
        <w:tabs>
          <w:tab w:val="left" w:pos="1166"/>
        </w:tabs>
        <w:spacing w:line="360" w:lineRule="auto"/>
        <w:jc w:val="both"/>
        <w:rPr>
          <w:rFonts w:ascii="Times New Roman" w:hAnsi="Times New Roman" w:cs="Times New Roman"/>
          <w:b/>
          <w:sz w:val="28"/>
          <w:szCs w:val="28"/>
          <w:lang w:val="en-US"/>
        </w:rPr>
      </w:pPr>
      <w:r>
        <w:rPr>
          <w:rFonts w:hint="eastAsia" w:ascii="Times New Roman" w:hAnsi="Times New Roman" w:cs="Times New Roman"/>
          <w:b/>
          <w:sz w:val="28"/>
          <w:szCs w:val="28"/>
        </w:rPr>
        <w:t>泛半导体产业园</w:t>
      </w:r>
      <w:r>
        <w:rPr>
          <w:rFonts w:hint="eastAsia" w:ascii="Times New Roman" w:hAnsi="Times New Roman" w:cs="Times New Roman"/>
          <w:b/>
          <w:sz w:val="28"/>
          <w:szCs w:val="28"/>
          <w:lang w:val="en-US"/>
        </w:rPr>
        <w:t>四期</w:t>
      </w:r>
      <w:r>
        <w:rPr>
          <w:rFonts w:hint="eastAsia" w:ascii="Times New Roman" w:hAnsi="Times New Roman" w:cs="Times New Roman"/>
          <w:b/>
          <w:sz w:val="28"/>
          <w:szCs w:val="28"/>
        </w:rPr>
        <w:t>园区安装充电桩采购</w:t>
      </w:r>
      <w:r>
        <w:rPr>
          <w:rFonts w:hint="eastAsia" w:ascii="Times New Roman" w:hAnsi="Times New Roman" w:cs="Times New Roman"/>
          <w:b/>
          <w:sz w:val="28"/>
          <w:szCs w:val="28"/>
          <w:lang w:val="en-US"/>
        </w:rPr>
        <w:t>需求</w:t>
      </w:r>
    </w:p>
    <w:p w14:paraId="02C51D49">
      <w:pPr>
        <w:numPr>
          <w:ilvl w:val="0"/>
          <w:numId w:val="15"/>
        </w:numPr>
        <w:tabs>
          <w:tab w:val="left" w:pos="1166"/>
        </w:tabs>
        <w:spacing w:line="360" w:lineRule="auto"/>
        <w:jc w:val="both"/>
        <w:rPr>
          <w:rFonts w:ascii="Times New Roman" w:hAnsi="Times New Roman" w:cs="Times New Roman"/>
          <w:spacing w:val="-3"/>
          <w:sz w:val="21"/>
        </w:rPr>
      </w:pPr>
      <w:r>
        <w:rPr>
          <w:rFonts w:ascii="Times New Roman" w:hAnsi="Times New Roman" w:cs="Times New Roman"/>
          <w:spacing w:val="-3"/>
          <w:sz w:val="21"/>
        </w:rPr>
        <w:t>项目配置要求</w:t>
      </w:r>
    </w:p>
    <w:tbl>
      <w:tblPr>
        <w:tblStyle w:val="50"/>
        <w:tblW w:w="9266" w:type="dxa"/>
        <w:tblInd w:w="93" w:type="dxa"/>
        <w:shd w:val="clear" w:color="auto" w:fill="auto"/>
        <w:tblLayout w:type="fixed"/>
        <w:tblCellMar>
          <w:top w:w="0" w:type="dxa"/>
          <w:left w:w="108" w:type="dxa"/>
          <w:bottom w:w="0" w:type="dxa"/>
          <w:right w:w="108" w:type="dxa"/>
        </w:tblCellMar>
      </w:tblPr>
      <w:tblGrid>
        <w:gridCol w:w="820"/>
        <w:gridCol w:w="1527"/>
        <w:gridCol w:w="1418"/>
        <w:gridCol w:w="3177"/>
        <w:gridCol w:w="1080"/>
        <w:gridCol w:w="1244"/>
      </w:tblGrid>
      <w:tr w14:paraId="2CDE6527">
        <w:tblPrEx>
          <w:tblCellMar>
            <w:top w:w="0" w:type="dxa"/>
            <w:left w:w="108" w:type="dxa"/>
            <w:bottom w:w="0" w:type="dxa"/>
            <w:right w:w="108" w:type="dxa"/>
          </w:tblCellMar>
        </w:tblPrEx>
        <w:trPr>
          <w:trHeight w:val="4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92FA">
            <w:pPr>
              <w:widowControl/>
              <w:jc w:val="center"/>
              <w:textAlignment w:val="center"/>
              <w:rPr>
                <w:color w:val="000000"/>
                <w:sz w:val="20"/>
                <w:szCs w:val="20"/>
              </w:rPr>
            </w:pPr>
            <w:r>
              <w:rPr>
                <w:rFonts w:hint="eastAsia"/>
                <w:color w:val="000000"/>
                <w:sz w:val="20"/>
                <w:szCs w:val="20"/>
                <w:lang w:val="en-US" w:bidi="ar"/>
              </w:rPr>
              <w:t>序号</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9AD1">
            <w:pPr>
              <w:widowControl/>
              <w:jc w:val="center"/>
              <w:textAlignment w:val="center"/>
              <w:rPr>
                <w:color w:val="000000"/>
                <w:sz w:val="20"/>
                <w:szCs w:val="20"/>
              </w:rPr>
            </w:pPr>
            <w:r>
              <w:rPr>
                <w:rFonts w:hint="eastAsia"/>
                <w:color w:val="000000"/>
                <w:sz w:val="20"/>
                <w:szCs w:val="20"/>
                <w:lang w:val="en-US" w:bidi="ar"/>
              </w:rPr>
              <w:t>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7B83">
            <w:pPr>
              <w:widowControl/>
              <w:jc w:val="center"/>
              <w:textAlignment w:val="center"/>
              <w:rPr>
                <w:color w:val="000000"/>
                <w:sz w:val="20"/>
                <w:szCs w:val="20"/>
              </w:rPr>
            </w:pPr>
            <w:r>
              <w:rPr>
                <w:rFonts w:hint="eastAsia"/>
                <w:color w:val="000000"/>
                <w:sz w:val="20"/>
                <w:szCs w:val="20"/>
                <w:lang w:val="en-US" w:bidi="ar"/>
              </w:rPr>
              <w:t>型号</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BDC8">
            <w:pPr>
              <w:widowControl/>
              <w:jc w:val="center"/>
              <w:textAlignment w:val="center"/>
              <w:rPr>
                <w:color w:val="000000"/>
                <w:sz w:val="20"/>
                <w:szCs w:val="20"/>
              </w:rPr>
            </w:pPr>
            <w:r>
              <w:rPr>
                <w:rFonts w:hint="eastAsia"/>
                <w:color w:val="000000"/>
                <w:sz w:val="20"/>
                <w:szCs w:val="20"/>
                <w:lang w:val="en-US" w:bidi="ar"/>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AB39">
            <w:pPr>
              <w:widowControl/>
              <w:jc w:val="center"/>
              <w:textAlignment w:val="center"/>
              <w:rPr>
                <w:color w:val="000000"/>
                <w:sz w:val="20"/>
                <w:szCs w:val="20"/>
              </w:rPr>
            </w:pPr>
            <w:r>
              <w:rPr>
                <w:rFonts w:hint="eastAsia"/>
                <w:color w:val="000000"/>
                <w:sz w:val="20"/>
                <w:szCs w:val="20"/>
                <w:lang w:val="en-US" w:bidi="ar"/>
              </w:rPr>
              <w:t>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003C">
            <w:pPr>
              <w:widowControl/>
              <w:jc w:val="center"/>
              <w:textAlignment w:val="center"/>
              <w:rPr>
                <w:color w:val="000000"/>
                <w:sz w:val="20"/>
                <w:szCs w:val="20"/>
              </w:rPr>
            </w:pPr>
            <w:r>
              <w:rPr>
                <w:rFonts w:hint="eastAsia"/>
                <w:color w:val="000000"/>
                <w:sz w:val="20"/>
                <w:szCs w:val="20"/>
                <w:lang w:val="en-US" w:bidi="ar"/>
              </w:rPr>
              <w:t>数量</w:t>
            </w:r>
          </w:p>
        </w:tc>
      </w:tr>
      <w:tr w14:paraId="623FA95E">
        <w:tblPrEx>
          <w:tblCellMar>
            <w:top w:w="0" w:type="dxa"/>
            <w:left w:w="108" w:type="dxa"/>
            <w:bottom w:w="0" w:type="dxa"/>
            <w:right w:w="108" w:type="dxa"/>
          </w:tblCellMar>
        </w:tblPrEx>
        <w:trPr>
          <w:trHeight w:val="940"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8E96">
            <w:pPr>
              <w:widowControl/>
              <w:jc w:val="center"/>
              <w:textAlignment w:val="center"/>
              <w:rPr>
                <w:color w:val="000000"/>
                <w:sz w:val="20"/>
                <w:szCs w:val="20"/>
              </w:rPr>
            </w:pPr>
            <w:r>
              <w:rPr>
                <w:color w:val="000000"/>
                <w:sz w:val="20"/>
                <w:szCs w:val="20"/>
                <w:lang w:val="en-US" w:bidi="ar"/>
              </w:rPr>
              <w:t>1</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9646">
            <w:pPr>
              <w:widowControl/>
              <w:jc w:val="center"/>
              <w:textAlignment w:val="center"/>
              <w:rPr>
                <w:color w:val="000000"/>
                <w:sz w:val="20"/>
                <w:szCs w:val="20"/>
              </w:rPr>
            </w:pPr>
            <w:r>
              <w:rPr>
                <w:rFonts w:hint="eastAsia"/>
                <w:color w:val="000000"/>
                <w:sz w:val="20"/>
                <w:szCs w:val="20"/>
                <w:lang w:val="en-US" w:bidi="ar"/>
              </w:rPr>
              <w:t>四期北侧新增</w:t>
            </w: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1443908C">
            <w:pPr>
              <w:widowControl/>
              <w:textAlignment w:val="center"/>
              <w:rPr>
                <w:color w:val="000000"/>
                <w:sz w:val="20"/>
                <w:szCs w:val="20"/>
              </w:rPr>
            </w:pPr>
            <w:r>
              <w:rPr>
                <w:rFonts w:hint="eastAsia"/>
                <w:color w:val="000000"/>
                <w:sz w:val="20"/>
                <w:szCs w:val="20"/>
                <w:lang w:val="en-US" w:bidi="ar"/>
              </w:rPr>
              <w:t>80kW直流充电桩</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AED">
            <w:pPr>
              <w:widowControl/>
              <w:textAlignment w:val="center"/>
              <w:rPr>
                <w:color w:val="000000"/>
                <w:sz w:val="20"/>
                <w:szCs w:val="20"/>
              </w:rPr>
            </w:pPr>
            <w:r>
              <w:rPr>
                <w:rFonts w:hint="eastAsia"/>
                <w:color w:val="000000"/>
                <w:sz w:val="20"/>
                <w:szCs w:val="20"/>
                <w:lang w:val="en-US" w:bidi="ar"/>
              </w:rPr>
              <w:t>80kW;4m;125A;50-1000V;恒300-1000V;落地式;双枪接触器版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005E">
            <w:pPr>
              <w:widowControl/>
              <w:jc w:val="center"/>
              <w:textAlignment w:val="center"/>
              <w:rPr>
                <w:color w:val="000000"/>
                <w:sz w:val="20"/>
                <w:szCs w:val="20"/>
              </w:rPr>
            </w:pPr>
            <w:r>
              <w:rPr>
                <w:rFonts w:hint="eastAsia"/>
                <w:color w:val="000000"/>
                <w:sz w:val="20"/>
                <w:szCs w:val="20"/>
                <w:lang w:val="en-US" w:bidi="ar"/>
              </w:rPr>
              <w:t>台</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9638">
            <w:pPr>
              <w:widowControl/>
              <w:jc w:val="center"/>
              <w:textAlignment w:val="center"/>
              <w:rPr>
                <w:color w:val="000000"/>
                <w:sz w:val="20"/>
                <w:szCs w:val="20"/>
              </w:rPr>
            </w:pPr>
            <w:r>
              <w:rPr>
                <w:rFonts w:hint="eastAsia"/>
                <w:color w:val="000000"/>
                <w:sz w:val="20"/>
                <w:szCs w:val="20"/>
                <w:lang w:val="en-US" w:bidi="ar"/>
              </w:rPr>
              <w:t>1</w:t>
            </w:r>
          </w:p>
        </w:tc>
      </w:tr>
      <w:tr w14:paraId="5D8D1ADC">
        <w:tblPrEx>
          <w:tblCellMar>
            <w:top w:w="0" w:type="dxa"/>
            <w:left w:w="108" w:type="dxa"/>
            <w:bottom w:w="0" w:type="dxa"/>
            <w:right w:w="108" w:type="dxa"/>
          </w:tblCellMar>
        </w:tblPrEx>
        <w:trPr>
          <w:trHeight w:val="80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4AAA">
            <w:pPr>
              <w:jc w:val="center"/>
              <w:rPr>
                <w:color w:val="000000"/>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D2C1">
            <w:pPr>
              <w:jc w:val="center"/>
              <w:rPr>
                <w:color w:val="000000"/>
                <w:sz w:val="20"/>
                <w:szCs w:val="20"/>
              </w:rPr>
            </w:pP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14:paraId="4D057ABD">
            <w:pPr>
              <w:widowControl/>
              <w:jc w:val="center"/>
              <w:textAlignment w:val="center"/>
              <w:rPr>
                <w:color w:val="000000"/>
                <w:sz w:val="20"/>
                <w:szCs w:val="20"/>
              </w:rPr>
            </w:pPr>
            <w:r>
              <w:rPr>
                <w:rFonts w:hint="eastAsia"/>
                <w:color w:val="000000"/>
                <w:sz w:val="20"/>
                <w:szCs w:val="20"/>
                <w:lang w:val="en-US" w:bidi="ar"/>
              </w:rPr>
              <w:t>7KW交流单桩</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767">
            <w:pPr>
              <w:widowControl/>
              <w:textAlignment w:val="center"/>
              <w:rPr>
                <w:color w:val="000000"/>
                <w:sz w:val="20"/>
                <w:szCs w:val="20"/>
              </w:rPr>
            </w:pPr>
            <w:r>
              <w:rPr>
                <w:rFonts w:hint="eastAsia"/>
                <w:color w:val="000000"/>
                <w:sz w:val="20"/>
                <w:szCs w:val="20"/>
                <w:lang w:val="en-US" w:bidi="ar"/>
              </w:rPr>
              <w:t>7kW;扫码;单枪;5m;落地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D527">
            <w:pPr>
              <w:widowControl/>
              <w:jc w:val="center"/>
              <w:textAlignment w:val="center"/>
              <w:rPr>
                <w:color w:val="000000"/>
                <w:sz w:val="20"/>
                <w:szCs w:val="20"/>
              </w:rPr>
            </w:pPr>
            <w:r>
              <w:rPr>
                <w:rFonts w:hint="eastAsia"/>
                <w:color w:val="000000"/>
                <w:sz w:val="20"/>
                <w:szCs w:val="20"/>
                <w:lang w:val="en-US" w:bidi="ar"/>
              </w:rPr>
              <w:t>台</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B447">
            <w:pPr>
              <w:widowControl/>
              <w:jc w:val="center"/>
              <w:textAlignment w:val="center"/>
              <w:rPr>
                <w:color w:val="000000"/>
                <w:sz w:val="20"/>
                <w:szCs w:val="20"/>
              </w:rPr>
            </w:pPr>
            <w:r>
              <w:rPr>
                <w:rFonts w:hint="eastAsia"/>
                <w:color w:val="000000"/>
                <w:sz w:val="20"/>
                <w:szCs w:val="20"/>
                <w:lang w:val="en-US" w:bidi="ar"/>
              </w:rPr>
              <w:t>8</w:t>
            </w:r>
          </w:p>
        </w:tc>
      </w:tr>
      <w:tr w14:paraId="29CABEBA">
        <w:tblPrEx>
          <w:tblCellMar>
            <w:top w:w="0" w:type="dxa"/>
            <w:left w:w="108" w:type="dxa"/>
            <w:bottom w:w="0" w:type="dxa"/>
            <w:right w:w="108" w:type="dxa"/>
          </w:tblCellMar>
        </w:tblPrEx>
        <w:trPr>
          <w:trHeight w:val="36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9FCB">
            <w:pPr>
              <w:jc w:val="center"/>
              <w:rPr>
                <w:color w:val="000000"/>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C409">
            <w:pPr>
              <w:jc w:val="center"/>
              <w:rPr>
                <w:color w:val="000000"/>
                <w:sz w:val="20"/>
                <w:szCs w:val="20"/>
              </w:rPr>
            </w:pPr>
          </w:p>
        </w:tc>
        <w:tc>
          <w:tcPr>
            <w:tcW w:w="1418" w:type="dxa"/>
            <w:vMerge w:val="restart"/>
            <w:tcBorders>
              <w:top w:val="single" w:color="000000" w:sz="4" w:space="0"/>
              <w:left w:val="nil"/>
              <w:bottom w:val="nil"/>
              <w:right w:val="single" w:color="000000" w:sz="4" w:space="0"/>
            </w:tcBorders>
            <w:shd w:val="clear" w:color="auto" w:fill="auto"/>
            <w:noWrap/>
            <w:vAlign w:val="center"/>
          </w:tcPr>
          <w:p w14:paraId="2D1A6BE0">
            <w:pPr>
              <w:widowControl/>
              <w:jc w:val="center"/>
              <w:textAlignment w:val="center"/>
              <w:rPr>
                <w:color w:val="000000"/>
                <w:sz w:val="20"/>
                <w:szCs w:val="20"/>
              </w:rPr>
            </w:pPr>
            <w:r>
              <w:rPr>
                <w:rFonts w:hint="eastAsia"/>
                <w:color w:val="000000"/>
                <w:sz w:val="20"/>
                <w:szCs w:val="20"/>
                <w:lang w:val="en-US" w:bidi="ar"/>
              </w:rPr>
              <w:t>电缆</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029D">
            <w:pPr>
              <w:widowControl/>
              <w:textAlignment w:val="center"/>
              <w:rPr>
                <w:color w:val="000000"/>
                <w:sz w:val="20"/>
                <w:szCs w:val="20"/>
              </w:rPr>
            </w:pPr>
            <w:r>
              <w:rPr>
                <w:rFonts w:hint="eastAsia"/>
                <w:color w:val="000000"/>
                <w:sz w:val="20"/>
                <w:szCs w:val="20"/>
                <w:lang w:val="en-US" w:bidi="ar"/>
              </w:rPr>
              <w:t>低压电缆YJV-0.6/1\ 3×95+2×50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B64">
            <w:pPr>
              <w:widowControl/>
              <w:jc w:val="center"/>
              <w:textAlignment w:val="center"/>
              <w:rPr>
                <w:color w:val="000000"/>
                <w:sz w:val="20"/>
                <w:szCs w:val="20"/>
              </w:rPr>
            </w:pPr>
            <w:r>
              <w:rPr>
                <w:rFonts w:hint="eastAsia"/>
                <w:color w:val="000000"/>
                <w:sz w:val="20"/>
                <w:szCs w:val="20"/>
                <w:lang w:val="en-US" w:bidi="ar"/>
              </w:rPr>
              <w:t>米</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B588">
            <w:pPr>
              <w:widowControl/>
              <w:jc w:val="center"/>
              <w:textAlignment w:val="center"/>
              <w:rPr>
                <w:color w:val="000000"/>
                <w:sz w:val="20"/>
                <w:szCs w:val="20"/>
              </w:rPr>
            </w:pPr>
            <w:r>
              <w:rPr>
                <w:rFonts w:hint="eastAsia"/>
                <w:color w:val="000000"/>
                <w:sz w:val="20"/>
                <w:szCs w:val="20"/>
                <w:lang w:val="en-US" w:bidi="ar"/>
              </w:rPr>
              <w:t>230</w:t>
            </w:r>
          </w:p>
        </w:tc>
      </w:tr>
      <w:tr w14:paraId="2482F07C">
        <w:tblPrEx>
          <w:tblCellMar>
            <w:top w:w="0" w:type="dxa"/>
            <w:left w:w="108" w:type="dxa"/>
            <w:bottom w:w="0" w:type="dxa"/>
            <w:right w:w="108" w:type="dxa"/>
          </w:tblCellMar>
        </w:tblPrEx>
        <w:trPr>
          <w:trHeight w:val="36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C4C6">
            <w:pPr>
              <w:jc w:val="center"/>
              <w:rPr>
                <w:color w:val="000000"/>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2792">
            <w:pPr>
              <w:jc w:val="center"/>
              <w:rPr>
                <w:color w:val="000000"/>
                <w:sz w:val="20"/>
                <w:szCs w:val="20"/>
              </w:rPr>
            </w:pPr>
          </w:p>
        </w:tc>
        <w:tc>
          <w:tcPr>
            <w:tcW w:w="1418" w:type="dxa"/>
            <w:vMerge w:val="continue"/>
            <w:tcBorders>
              <w:top w:val="single" w:color="000000" w:sz="4" w:space="0"/>
              <w:left w:val="nil"/>
              <w:bottom w:val="nil"/>
              <w:right w:val="single" w:color="000000" w:sz="4" w:space="0"/>
            </w:tcBorders>
            <w:shd w:val="clear" w:color="auto" w:fill="auto"/>
            <w:noWrap/>
            <w:vAlign w:val="center"/>
          </w:tcPr>
          <w:p w14:paraId="47538DC5">
            <w:pPr>
              <w:jc w:val="center"/>
              <w:rPr>
                <w:color w:val="000000"/>
                <w:sz w:val="20"/>
                <w:szCs w:val="20"/>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EBC8">
            <w:pPr>
              <w:widowControl/>
              <w:textAlignment w:val="center"/>
              <w:rPr>
                <w:color w:val="000000"/>
                <w:sz w:val="20"/>
                <w:szCs w:val="20"/>
              </w:rPr>
            </w:pPr>
            <w:r>
              <w:rPr>
                <w:rFonts w:hint="eastAsia"/>
                <w:color w:val="000000"/>
                <w:sz w:val="20"/>
                <w:szCs w:val="20"/>
                <w:lang w:val="en-US" w:bidi="ar"/>
              </w:rPr>
              <w:t xml:space="preserve">低压电缆;YJLV-0.6/1;4×70+1×35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B2B8">
            <w:pPr>
              <w:widowControl/>
              <w:jc w:val="center"/>
              <w:textAlignment w:val="center"/>
              <w:rPr>
                <w:color w:val="000000"/>
                <w:sz w:val="20"/>
                <w:szCs w:val="20"/>
              </w:rPr>
            </w:pPr>
            <w:r>
              <w:rPr>
                <w:rFonts w:hint="eastAsia"/>
                <w:color w:val="000000"/>
                <w:sz w:val="20"/>
                <w:szCs w:val="20"/>
                <w:lang w:val="en-US" w:bidi="ar"/>
              </w:rPr>
              <w:t>米</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4193">
            <w:pPr>
              <w:widowControl/>
              <w:jc w:val="center"/>
              <w:textAlignment w:val="center"/>
              <w:rPr>
                <w:color w:val="000000"/>
                <w:sz w:val="20"/>
                <w:szCs w:val="20"/>
              </w:rPr>
            </w:pPr>
            <w:r>
              <w:rPr>
                <w:rFonts w:hint="eastAsia"/>
                <w:color w:val="000000"/>
                <w:sz w:val="20"/>
                <w:szCs w:val="20"/>
                <w:lang w:val="en-US" w:bidi="ar"/>
              </w:rPr>
              <w:t>7</w:t>
            </w:r>
          </w:p>
        </w:tc>
      </w:tr>
      <w:tr w14:paraId="2064A79D">
        <w:tblPrEx>
          <w:tblCellMar>
            <w:top w:w="0" w:type="dxa"/>
            <w:left w:w="108" w:type="dxa"/>
            <w:bottom w:w="0" w:type="dxa"/>
            <w:right w:w="108" w:type="dxa"/>
          </w:tblCellMar>
        </w:tblPrEx>
        <w:trPr>
          <w:trHeight w:val="36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DF32">
            <w:pPr>
              <w:jc w:val="center"/>
              <w:rPr>
                <w:color w:val="000000"/>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F2DF">
            <w:pPr>
              <w:jc w:val="center"/>
              <w:rPr>
                <w:color w:val="000000"/>
                <w:sz w:val="20"/>
                <w:szCs w:val="20"/>
              </w:rPr>
            </w:pPr>
          </w:p>
        </w:tc>
        <w:tc>
          <w:tcPr>
            <w:tcW w:w="1418" w:type="dxa"/>
            <w:vMerge w:val="continue"/>
            <w:tcBorders>
              <w:top w:val="single" w:color="000000" w:sz="4" w:space="0"/>
              <w:left w:val="nil"/>
              <w:bottom w:val="nil"/>
              <w:right w:val="single" w:color="000000" w:sz="4" w:space="0"/>
            </w:tcBorders>
            <w:shd w:val="clear" w:color="auto" w:fill="auto"/>
            <w:noWrap/>
            <w:vAlign w:val="center"/>
          </w:tcPr>
          <w:p w14:paraId="5432B8A2">
            <w:pPr>
              <w:jc w:val="center"/>
              <w:rPr>
                <w:color w:val="000000"/>
                <w:sz w:val="20"/>
                <w:szCs w:val="20"/>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B1CF">
            <w:pPr>
              <w:widowControl/>
              <w:textAlignment w:val="center"/>
              <w:rPr>
                <w:color w:val="000000"/>
                <w:sz w:val="20"/>
                <w:szCs w:val="20"/>
              </w:rPr>
            </w:pPr>
            <w:r>
              <w:rPr>
                <w:rFonts w:hint="eastAsia"/>
                <w:color w:val="000000"/>
                <w:sz w:val="20"/>
                <w:szCs w:val="20"/>
                <w:lang w:val="en-US" w:bidi="ar"/>
              </w:rPr>
              <w:t xml:space="preserve">低压电缆\YJV-0.6/1\3×6\\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622A">
            <w:pPr>
              <w:widowControl/>
              <w:jc w:val="center"/>
              <w:textAlignment w:val="center"/>
              <w:rPr>
                <w:color w:val="000000"/>
                <w:sz w:val="20"/>
                <w:szCs w:val="20"/>
              </w:rPr>
            </w:pPr>
            <w:r>
              <w:rPr>
                <w:rFonts w:hint="eastAsia"/>
                <w:color w:val="000000"/>
                <w:sz w:val="20"/>
                <w:szCs w:val="20"/>
                <w:lang w:val="en-US" w:bidi="ar"/>
              </w:rPr>
              <w:t>米</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69CD">
            <w:pPr>
              <w:widowControl/>
              <w:jc w:val="center"/>
              <w:textAlignment w:val="center"/>
              <w:rPr>
                <w:color w:val="000000"/>
                <w:sz w:val="20"/>
                <w:szCs w:val="20"/>
              </w:rPr>
            </w:pPr>
            <w:r>
              <w:rPr>
                <w:rFonts w:hint="eastAsia"/>
                <w:color w:val="000000"/>
                <w:sz w:val="20"/>
                <w:szCs w:val="20"/>
                <w:lang w:val="en-US" w:bidi="ar"/>
              </w:rPr>
              <w:t>155</w:t>
            </w:r>
          </w:p>
        </w:tc>
      </w:tr>
      <w:tr w14:paraId="00E708B0">
        <w:tblPrEx>
          <w:tblCellMar>
            <w:top w:w="0" w:type="dxa"/>
            <w:left w:w="108" w:type="dxa"/>
            <w:bottom w:w="0" w:type="dxa"/>
            <w:right w:w="108" w:type="dxa"/>
          </w:tblCellMar>
        </w:tblPrEx>
        <w:trPr>
          <w:trHeight w:val="46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9EF4">
            <w:pPr>
              <w:jc w:val="center"/>
              <w:rPr>
                <w:color w:val="000000"/>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B0B6">
            <w:pPr>
              <w:jc w:val="center"/>
              <w:rPr>
                <w:color w:val="000000"/>
                <w:sz w:val="20"/>
                <w:szCs w:val="20"/>
              </w:rPr>
            </w:pP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14:paraId="1933F62B">
            <w:pPr>
              <w:widowControl/>
              <w:jc w:val="center"/>
              <w:textAlignment w:val="center"/>
              <w:rPr>
                <w:color w:val="000000"/>
                <w:sz w:val="20"/>
                <w:szCs w:val="20"/>
              </w:rPr>
            </w:pPr>
            <w:r>
              <w:rPr>
                <w:rFonts w:hint="eastAsia"/>
                <w:color w:val="000000"/>
                <w:sz w:val="20"/>
                <w:szCs w:val="20"/>
                <w:lang w:val="en-US" w:bidi="ar"/>
              </w:rPr>
              <w:t>低压施工</w:t>
            </w:r>
          </w:p>
        </w:tc>
        <w:tc>
          <w:tcPr>
            <w:tcW w:w="3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D444">
            <w:pPr>
              <w:widowControl/>
              <w:jc w:val="center"/>
              <w:textAlignment w:val="center"/>
              <w:rPr>
                <w:color w:val="000000"/>
                <w:sz w:val="20"/>
                <w:szCs w:val="20"/>
              </w:rPr>
            </w:pPr>
            <w:r>
              <w:rPr>
                <w:rFonts w:hint="eastAsia"/>
                <w:color w:val="000000"/>
                <w:sz w:val="20"/>
                <w:szCs w:val="20"/>
                <w:lang w:val="en-US" w:bidi="ar"/>
              </w:rPr>
              <w:t>详见低压施工（北侧新增）</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4DB4">
            <w:pPr>
              <w:widowControl/>
              <w:jc w:val="center"/>
              <w:textAlignment w:val="center"/>
              <w:rPr>
                <w:color w:val="000000"/>
                <w:sz w:val="20"/>
                <w:szCs w:val="20"/>
              </w:rPr>
            </w:pPr>
            <w:r>
              <w:rPr>
                <w:rFonts w:hint="eastAsia"/>
                <w:color w:val="000000"/>
                <w:sz w:val="20"/>
                <w:szCs w:val="20"/>
                <w:lang w:val="en-US" w:bidi="ar"/>
              </w:rPr>
              <w:t>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B86E">
            <w:pPr>
              <w:widowControl/>
              <w:jc w:val="center"/>
              <w:textAlignment w:val="center"/>
              <w:rPr>
                <w:color w:val="000000"/>
                <w:sz w:val="20"/>
                <w:szCs w:val="20"/>
              </w:rPr>
            </w:pPr>
            <w:r>
              <w:rPr>
                <w:rFonts w:hint="eastAsia"/>
                <w:color w:val="000000"/>
                <w:sz w:val="20"/>
                <w:szCs w:val="20"/>
                <w:lang w:val="en-US" w:bidi="ar"/>
              </w:rPr>
              <w:t>1</w:t>
            </w:r>
          </w:p>
        </w:tc>
      </w:tr>
    </w:tbl>
    <w:p w14:paraId="761EB335">
      <w:pPr>
        <w:numPr>
          <w:ilvl w:val="0"/>
          <w:numId w:val="15"/>
        </w:numPr>
        <w:tabs>
          <w:tab w:val="left" w:pos="1166"/>
        </w:tabs>
        <w:spacing w:line="360" w:lineRule="auto"/>
        <w:jc w:val="both"/>
        <w:rPr>
          <w:rFonts w:ascii="Times New Roman" w:hAnsi="Times New Roman" w:cs="Times New Roman"/>
          <w:spacing w:val="-3"/>
          <w:sz w:val="21"/>
          <w:lang w:val="en-US"/>
        </w:rPr>
      </w:pPr>
      <w:r>
        <w:rPr>
          <w:rFonts w:hint="eastAsia"/>
          <w:color w:val="000000"/>
          <w:sz w:val="20"/>
          <w:szCs w:val="20"/>
          <w:lang w:val="en-US" w:bidi="ar"/>
        </w:rPr>
        <w:t>低压施工（北侧新增）</w:t>
      </w:r>
      <w:r>
        <w:rPr>
          <w:rFonts w:hint="eastAsia" w:ascii="Times New Roman" w:hAnsi="Times New Roman" w:cs="Times New Roman"/>
          <w:spacing w:val="-3"/>
          <w:sz w:val="21"/>
          <w:lang w:val="en-US"/>
        </w:rPr>
        <w:t>具体明细</w:t>
      </w:r>
    </w:p>
    <w:tbl>
      <w:tblPr>
        <w:tblStyle w:val="50"/>
        <w:tblW w:w="9284" w:type="dxa"/>
        <w:tblInd w:w="93" w:type="dxa"/>
        <w:tblLayout w:type="fixed"/>
        <w:tblCellMar>
          <w:top w:w="0" w:type="dxa"/>
          <w:left w:w="108" w:type="dxa"/>
          <w:bottom w:w="0" w:type="dxa"/>
          <w:right w:w="108" w:type="dxa"/>
        </w:tblCellMar>
      </w:tblPr>
      <w:tblGrid>
        <w:gridCol w:w="659"/>
        <w:gridCol w:w="6275"/>
        <w:gridCol w:w="1075"/>
        <w:gridCol w:w="1275"/>
      </w:tblGrid>
      <w:tr w14:paraId="5CC32A94">
        <w:tblPrEx>
          <w:tblCellMar>
            <w:top w:w="0" w:type="dxa"/>
            <w:left w:w="108" w:type="dxa"/>
            <w:bottom w:w="0" w:type="dxa"/>
            <w:right w:w="108" w:type="dxa"/>
          </w:tblCellMar>
        </w:tblPrEx>
        <w:trPr>
          <w:trHeight w:val="4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5682">
            <w:pPr>
              <w:widowControl/>
              <w:jc w:val="center"/>
              <w:textAlignment w:val="center"/>
              <w:rPr>
                <w:b/>
                <w:bCs/>
                <w:color w:val="000000"/>
                <w:sz w:val="20"/>
                <w:szCs w:val="20"/>
              </w:rPr>
            </w:pPr>
            <w:r>
              <w:rPr>
                <w:rFonts w:hint="eastAsia"/>
                <w:b/>
                <w:bCs/>
                <w:color w:val="000000"/>
                <w:sz w:val="20"/>
                <w:szCs w:val="20"/>
                <w:lang w:val="en-US" w:bidi="ar"/>
              </w:rPr>
              <w:t>序号</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C0C6">
            <w:pPr>
              <w:widowControl/>
              <w:jc w:val="center"/>
              <w:textAlignment w:val="center"/>
              <w:rPr>
                <w:b/>
                <w:bCs/>
                <w:color w:val="000000"/>
                <w:sz w:val="20"/>
                <w:szCs w:val="20"/>
              </w:rPr>
            </w:pPr>
            <w:r>
              <w:rPr>
                <w:rFonts w:hint="eastAsia"/>
                <w:b/>
                <w:bCs/>
                <w:color w:val="000000"/>
                <w:sz w:val="20"/>
                <w:szCs w:val="20"/>
                <w:lang w:val="en-US" w:bidi="ar"/>
              </w:rPr>
              <w:t>项目名称</w:t>
            </w:r>
            <w:r>
              <w:rPr>
                <w:rFonts w:hint="eastAsia"/>
                <w:b/>
                <w:bCs/>
                <w:color w:val="000000"/>
                <w:sz w:val="20"/>
                <w:szCs w:val="20"/>
                <w:lang w:val="en-US" w:bidi="ar"/>
              </w:rPr>
              <w:br w:type="textWrapping"/>
            </w:r>
            <w:r>
              <w:rPr>
                <w:rFonts w:hint="eastAsia"/>
                <w:b/>
                <w:bCs/>
                <w:color w:val="000000"/>
                <w:sz w:val="20"/>
                <w:szCs w:val="20"/>
                <w:lang w:val="en-US" w:bidi="ar"/>
              </w:rPr>
              <w:t>项目特征</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C7CE">
            <w:pPr>
              <w:widowControl/>
              <w:jc w:val="center"/>
              <w:textAlignment w:val="center"/>
              <w:rPr>
                <w:b/>
                <w:bCs/>
                <w:color w:val="000000"/>
                <w:sz w:val="20"/>
                <w:szCs w:val="20"/>
              </w:rPr>
            </w:pPr>
            <w:r>
              <w:rPr>
                <w:rFonts w:hint="eastAsia"/>
                <w:b/>
                <w:bCs/>
                <w:color w:val="000000"/>
                <w:sz w:val="20"/>
                <w:szCs w:val="20"/>
                <w:lang w:val="en-US" w:bidi="ar"/>
              </w:rPr>
              <w:t>计量</w:t>
            </w:r>
            <w:r>
              <w:rPr>
                <w:rFonts w:hint="eastAsia"/>
                <w:b/>
                <w:bCs/>
                <w:color w:val="000000"/>
                <w:sz w:val="20"/>
                <w:szCs w:val="20"/>
                <w:lang w:val="en-US" w:bidi="ar"/>
              </w:rPr>
              <w:br w:type="textWrapping"/>
            </w:r>
            <w:r>
              <w:rPr>
                <w:rFonts w:hint="eastAsia"/>
                <w:b/>
                <w:bCs/>
                <w:color w:val="000000"/>
                <w:sz w:val="20"/>
                <w:szCs w:val="20"/>
                <w:lang w:val="en-US"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1867">
            <w:pPr>
              <w:widowControl/>
              <w:jc w:val="center"/>
              <w:textAlignment w:val="center"/>
              <w:rPr>
                <w:b/>
                <w:bCs/>
                <w:color w:val="000000"/>
                <w:sz w:val="20"/>
                <w:szCs w:val="20"/>
              </w:rPr>
            </w:pPr>
            <w:r>
              <w:rPr>
                <w:rFonts w:hint="eastAsia"/>
                <w:b/>
                <w:bCs/>
                <w:color w:val="000000"/>
                <w:sz w:val="20"/>
                <w:szCs w:val="20"/>
                <w:lang w:val="en-US" w:bidi="ar"/>
              </w:rPr>
              <w:t>工程量</w:t>
            </w:r>
          </w:p>
        </w:tc>
      </w:tr>
      <w:tr w14:paraId="2357FE09">
        <w:tblPrEx>
          <w:tblCellMar>
            <w:top w:w="0" w:type="dxa"/>
            <w:left w:w="108" w:type="dxa"/>
            <w:bottom w:w="0" w:type="dxa"/>
            <w:right w:w="108" w:type="dxa"/>
          </w:tblCellMar>
        </w:tblPrEx>
        <w:trPr>
          <w:trHeight w:val="270" w:hRule="atLeast"/>
        </w:trPr>
        <w:tc>
          <w:tcPr>
            <w:tcW w:w="92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5CBD">
            <w:pPr>
              <w:widowControl/>
              <w:textAlignment w:val="center"/>
              <w:rPr>
                <w:b/>
                <w:bCs/>
                <w:color w:val="000000"/>
                <w:sz w:val="20"/>
                <w:szCs w:val="20"/>
              </w:rPr>
            </w:pPr>
            <w:r>
              <w:rPr>
                <w:rFonts w:hint="eastAsia"/>
                <w:b/>
                <w:bCs/>
                <w:color w:val="000000"/>
                <w:sz w:val="20"/>
                <w:szCs w:val="20"/>
                <w:lang w:val="en-US" w:bidi="ar"/>
              </w:rPr>
              <w:t>（一）低压工程</w:t>
            </w:r>
          </w:p>
        </w:tc>
      </w:tr>
      <w:tr w14:paraId="6D39D5FF">
        <w:tblPrEx>
          <w:tblCellMar>
            <w:top w:w="0" w:type="dxa"/>
            <w:left w:w="108" w:type="dxa"/>
            <w:bottom w:w="0" w:type="dxa"/>
            <w:right w:w="108" w:type="dxa"/>
          </w:tblCellMar>
        </w:tblPrEx>
        <w:trPr>
          <w:trHeight w:val="54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7FE0D">
            <w:pPr>
              <w:widowControl/>
              <w:textAlignment w:val="center"/>
              <w:rPr>
                <w:b/>
                <w:bCs/>
                <w:color w:val="000000"/>
                <w:sz w:val="20"/>
                <w:szCs w:val="20"/>
              </w:rPr>
            </w:pPr>
            <w:r>
              <w:rPr>
                <w:rFonts w:hint="eastAsia"/>
                <w:b/>
                <w:bCs/>
                <w:color w:val="000000"/>
                <w:sz w:val="20"/>
                <w:szCs w:val="20"/>
                <w:lang w:val="en-US" w:bidi="ar"/>
              </w:rPr>
              <w:t>一、低压电源点改造</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507F">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8A10">
            <w:pPr>
              <w:rPr>
                <w:color w:val="000000"/>
                <w:sz w:val="20"/>
                <w:szCs w:val="20"/>
              </w:rPr>
            </w:pPr>
          </w:p>
        </w:tc>
      </w:tr>
      <w:tr w14:paraId="0F8BC230">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8F99">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2D69">
            <w:pPr>
              <w:widowControl/>
              <w:textAlignment w:val="center"/>
              <w:rPr>
                <w:color w:val="000000"/>
                <w:sz w:val="20"/>
                <w:szCs w:val="20"/>
              </w:rPr>
            </w:pPr>
            <w:r>
              <w:rPr>
                <w:rFonts w:hint="eastAsia"/>
                <w:color w:val="000000"/>
                <w:sz w:val="20"/>
                <w:szCs w:val="20"/>
                <w:lang w:val="en-US" w:bidi="ar"/>
              </w:rPr>
              <w:t>增加计量装置（中 250A）</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76EE">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1D38">
            <w:pPr>
              <w:widowControl/>
              <w:jc w:val="center"/>
              <w:textAlignment w:val="center"/>
              <w:rPr>
                <w:color w:val="000000"/>
                <w:sz w:val="20"/>
                <w:szCs w:val="20"/>
              </w:rPr>
            </w:pPr>
            <w:r>
              <w:rPr>
                <w:rFonts w:hint="eastAsia"/>
                <w:color w:val="000000"/>
                <w:sz w:val="20"/>
                <w:szCs w:val="20"/>
                <w:lang w:val="en-US" w:bidi="ar"/>
              </w:rPr>
              <w:t>1</w:t>
            </w:r>
          </w:p>
        </w:tc>
      </w:tr>
      <w:tr w14:paraId="13665F30">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7CE0">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7A43">
            <w:pPr>
              <w:widowControl/>
              <w:textAlignment w:val="center"/>
              <w:rPr>
                <w:color w:val="000000"/>
                <w:sz w:val="20"/>
                <w:szCs w:val="20"/>
              </w:rPr>
            </w:pPr>
            <w:r>
              <w:rPr>
                <w:rFonts w:hint="eastAsia"/>
                <w:color w:val="000000"/>
                <w:sz w:val="20"/>
                <w:szCs w:val="20"/>
                <w:lang w:val="en-US" w:bidi="ar"/>
              </w:rPr>
              <w:t>增加出线开关  250A3P</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B800">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8369">
            <w:pPr>
              <w:widowControl/>
              <w:jc w:val="center"/>
              <w:textAlignment w:val="center"/>
              <w:rPr>
                <w:color w:val="000000"/>
                <w:sz w:val="20"/>
                <w:szCs w:val="20"/>
              </w:rPr>
            </w:pPr>
            <w:r>
              <w:rPr>
                <w:rFonts w:hint="eastAsia"/>
                <w:color w:val="000000"/>
                <w:sz w:val="20"/>
                <w:szCs w:val="20"/>
                <w:lang w:val="en-US" w:bidi="ar"/>
              </w:rPr>
              <w:t>1</w:t>
            </w:r>
          </w:p>
        </w:tc>
      </w:tr>
      <w:tr w14:paraId="1468B5A4">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568A">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3</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CF4E">
            <w:pPr>
              <w:widowControl/>
              <w:textAlignment w:val="center"/>
              <w:rPr>
                <w:color w:val="000000"/>
                <w:sz w:val="20"/>
                <w:szCs w:val="20"/>
              </w:rPr>
            </w:pPr>
            <w:r>
              <w:rPr>
                <w:rFonts w:hint="eastAsia"/>
                <w:color w:val="000000"/>
                <w:sz w:val="20"/>
                <w:szCs w:val="20"/>
                <w:lang w:val="en-US" w:bidi="ar"/>
              </w:rPr>
              <w:t>增加出线开关  200A3P</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9773">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DC68">
            <w:pPr>
              <w:widowControl/>
              <w:jc w:val="center"/>
              <w:textAlignment w:val="center"/>
              <w:rPr>
                <w:color w:val="000000"/>
                <w:sz w:val="20"/>
                <w:szCs w:val="20"/>
              </w:rPr>
            </w:pPr>
            <w:r>
              <w:rPr>
                <w:rFonts w:hint="eastAsia"/>
                <w:color w:val="000000"/>
                <w:sz w:val="20"/>
                <w:szCs w:val="20"/>
                <w:lang w:val="en-US" w:bidi="ar"/>
              </w:rPr>
              <w:t>1</w:t>
            </w:r>
          </w:p>
        </w:tc>
      </w:tr>
      <w:tr w14:paraId="7F381B21">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05DC">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4</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1408">
            <w:pPr>
              <w:widowControl/>
              <w:textAlignment w:val="center"/>
              <w:rPr>
                <w:color w:val="000000"/>
                <w:sz w:val="20"/>
                <w:szCs w:val="20"/>
              </w:rPr>
            </w:pPr>
            <w:r>
              <w:rPr>
                <w:rFonts w:hint="eastAsia"/>
                <w:color w:val="000000"/>
                <w:sz w:val="20"/>
                <w:szCs w:val="20"/>
                <w:lang w:val="en-US" w:bidi="ar"/>
              </w:rPr>
              <w:t>增加出线开关  40A2P</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E500">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2150">
            <w:pPr>
              <w:widowControl/>
              <w:jc w:val="center"/>
              <w:textAlignment w:val="center"/>
              <w:rPr>
                <w:color w:val="000000"/>
                <w:sz w:val="20"/>
                <w:szCs w:val="20"/>
              </w:rPr>
            </w:pPr>
            <w:r>
              <w:rPr>
                <w:rFonts w:hint="eastAsia"/>
                <w:color w:val="000000"/>
                <w:sz w:val="20"/>
                <w:szCs w:val="20"/>
                <w:lang w:val="en-US" w:bidi="ar"/>
              </w:rPr>
              <w:t>8</w:t>
            </w:r>
          </w:p>
        </w:tc>
      </w:tr>
      <w:tr w14:paraId="71677693">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0885">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5</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656D">
            <w:pPr>
              <w:widowControl/>
              <w:textAlignment w:val="center"/>
              <w:rPr>
                <w:color w:val="000000"/>
                <w:sz w:val="20"/>
                <w:szCs w:val="20"/>
              </w:rPr>
            </w:pPr>
            <w:r>
              <w:rPr>
                <w:rFonts w:hint="eastAsia"/>
                <w:color w:val="000000"/>
                <w:sz w:val="20"/>
                <w:szCs w:val="20"/>
                <w:lang w:val="en-US" w:bidi="ar"/>
              </w:rPr>
              <w:t>配电箱（尺寸1200*600）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9A04">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40E3">
            <w:pPr>
              <w:widowControl/>
              <w:jc w:val="center"/>
              <w:textAlignment w:val="center"/>
              <w:rPr>
                <w:color w:val="000000"/>
                <w:sz w:val="20"/>
                <w:szCs w:val="20"/>
              </w:rPr>
            </w:pPr>
            <w:r>
              <w:rPr>
                <w:rFonts w:hint="eastAsia"/>
                <w:color w:val="000000"/>
                <w:sz w:val="20"/>
                <w:szCs w:val="20"/>
                <w:lang w:val="en-US" w:bidi="ar"/>
              </w:rPr>
              <w:t>1</w:t>
            </w:r>
          </w:p>
        </w:tc>
      </w:tr>
      <w:tr w14:paraId="2CB3C653">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B9CC">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6</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9953">
            <w:pPr>
              <w:widowControl/>
              <w:textAlignment w:val="center"/>
              <w:rPr>
                <w:color w:val="000000"/>
                <w:sz w:val="20"/>
                <w:szCs w:val="20"/>
              </w:rPr>
            </w:pPr>
            <w:r>
              <w:rPr>
                <w:rFonts w:hint="eastAsia"/>
                <w:color w:val="000000"/>
                <w:sz w:val="20"/>
                <w:szCs w:val="20"/>
                <w:lang w:val="en-US" w:bidi="ar"/>
              </w:rPr>
              <w:t>配电箱基础制作及安装（含接地极）</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2448">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205C">
            <w:pPr>
              <w:widowControl/>
              <w:jc w:val="center"/>
              <w:textAlignment w:val="center"/>
              <w:rPr>
                <w:color w:val="000000"/>
                <w:sz w:val="20"/>
                <w:szCs w:val="20"/>
              </w:rPr>
            </w:pPr>
            <w:r>
              <w:rPr>
                <w:rFonts w:hint="eastAsia"/>
                <w:color w:val="000000"/>
                <w:sz w:val="20"/>
                <w:szCs w:val="20"/>
                <w:lang w:val="en-US" w:bidi="ar"/>
              </w:rPr>
              <w:t>1</w:t>
            </w:r>
          </w:p>
        </w:tc>
      </w:tr>
      <w:tr w14:paraId="434E07CE">
        <w:tblPrEx>
          <w:tblCellMar>
            <w:top w:w="0" w:type="dxa"/>
            <w:left w:w="108" w:type="dxa"/>
            <w:bottom w:w="0" w:type="dxa"/>
            <w:right w:w="108" w:type="dxa"/>
          </w:tblCellMar>
        </w:tblPrEx>
        <w:trPr>
          <w:trHeight w:val="78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78AEC">
            <w:pPr>
              <w:widowControl/>
              <w:textAlignment w:val="center"/>
              <w:rPr>
                <w:b/>
                <w:bCs/>
                <w:color w:val="000000"/>
                <w:sz w:val="20"/>
                <w:szCs w:val="20"/>
              </w:rPr>
            </w:pPr>
            <w:r>
              <w:rPr>
                <w:rFonts w:hint="eastAsia"/>
                <w:b/>
                <w:bCs/>
                <w:color w:val="000000"/>
                <w:sz w:val="20"/>
                <w:szCs w:val="20"/>
                <w:lang w:val="en-US" w:bidi="ar"/>
              </w:rPr>
              <w:t>二、管沟开挖及恢复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F75A">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1DDE">
            <w:pPr>
              <w:rPr>
                <w:color w:val="000000"/>
                <w:sz w:val="20"/>
                <w:szCs w:val="20"/>
              </w:rPr>
            </w:pPr>
          </w:p>
        </w:tc>
      </w:tr>
      <w:tr w14:paraId="455896B6">
        <w:tblPrEx>
          <w:tblCellMar>
            <w:top w:w="0" w:type="dxa"/>
            <w:left w:w="108" w:type="dxa"/>
            <w:bottom w:w="0" w:type="dxa"/>
            <w:right w:w="108" w:type="dxa"/>
          </w:tblCellMar>
        </w:tblPrEx>
        <w:trPr>
          <w:trHeight w:val="4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19C3">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4B75">
            <w:pPr>
              <w:widowControl/>
              <w:textAlignment w:val="center"/>
              <w:rPr>
                <w:color w:val="000000"/>
                <w:sz w:val="20"/>
                <w:szCs w:val="20"/>
              </w:rPr>
            </w:pPr>
            <w:r>
              <w:rPr>
                <w:rFonts w:hint="eastAsia"/>
                <w:color w:val="000000"/>
                <w:sz w:val="20"/>
                <w:szCs w:val="20"/>
                <w:lang w:val="en-US" w:bidi="ar"/>
              </w:rPr>
              <w:t>绿化带，断面300*700mm，沟槽土质普通土</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999D">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D11">
            <w:pPr>
              <w:widowControl/>
              <w:jc w:val="center"/>
              <w:textAlignment w:val="center"/>
              <w:rPr>
                <w:color w:val="000000"/>
                <w:sz w:val="20"/>
                <w:szCs w:val="20"/>
              </w:rPr>
            </w:pPr>
            <w:r>
              <w:rPr>
                <w:rFonts w:hint="eastAsia"/>
                <w:color w:val="000000"/>
                <w:sz w:val="20"/>
                <w:szCs w:val="20"/>
                <w:lang w:val="en-US" w:bidi="ar"/>
              </w:rPr>
              <w:t>45.5</w:t>
            </w:r>
          </w:p>
        </w:tc>
      </w:tr>
      <w:tr w14:paraId="1BE5219F">
        <w:tblPrEx>
          <w:tblCellMar>
            <w:top w:w="0" w:type="dxa"/>
            <w:left w:w="108" w:type="dxa"/>
            <w:bottom w:w="0" w:type="dxa"/>
            <w:right w:w="108" w:type="dxa"/>
          </w:tblCellMar>
        </w:tblPrEx>
        <w:trPr>
          <w:trHeight w:val="60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AF41B">
            <w:pPr>
              <w:widowControl/>
              <w:textAlignment w:val="center"/>
              <w:rPr>
                <w:b/>
                <w:bCs/>
                <w:color w:val="000000"/>
                <w:sz w:val="20"/>
                <w:szCs w:val="20"/>
              </w:rPr>
            </w:pPr>
            <w:r>
              <w:rPr>
                <w:rFonts w:hint="eastAsia"/>
                <w:b/>
                <w:bCs/>
                <w:color w:val="000000"/>
                <w:sz w:val="20"/>
                <w:szCs w:val="20"/>
                <w:lang w:val="en-US" w:bidi="ar"/>
              </w:rPr>
              <w:t>三、塑料电缆保护管敷设</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754F">
            <w:pPr>
              <w:jc w:val="cente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612D">
            <w:pPr>
              <w:rPr>
                <w:color w:val="000000"/>
                <w:sz w:val="20"/>
                <w:szCs w:val="20"/>
              </w:rPr>
            </w:pPr>
          </w:p>
        </w:tc>
      </w:tr>
      <w:tr w14:paraId="58F04D79">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0ADB">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3BE4">
            <w:pPr>
              <w:widowControl/>
              <w:textAlignment w:val="center"/>
              <w:rPr>
                <w:color w:val="000000"/>
                <w:sz w:val="20"/>
                <w:szCs w:val="20"/>
              </w:rPr>
            </w:pPr>
            <w:r>
              <w:rPr>
                <w:rFonts w:hint="eastAsia"/>
                <w:color w:val="000000"/>
                <w:sz w:val="20"/>
                <w:szCs w:val="20"/>
                <w:lang w:val="en-US" w:bidi="ar"/>
              </w:rPr>
              <w:t>碳素波纹管或硬塑料管敷设：DN40，埋地敷设</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69D6">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1A3C">
            <w:pPr>
              <w:widowControl/>
              <w:jc w:val="center"/>
              <w:textAlignment w:val="center"/>
              <w:rPr>
                <w:color w:val="000000"/>
                <w:sz w:val="20"/>
                <w:szCs w:val="20"/>
              </w:rPr>
            </w:pPr>
            <w:r>
              <w:rPr>
                <w:rFonts w:hint="eastAsia"/>
                <w:color w:val="000000"/>
                <w:sz w:val="20"/>
                <w:szCs w:val="20"/>
                <w:lang w:val="en-US" w:bidi="ar"/>
              </w:rPr>
              <w:t>120</w:t>
            </w:r>
          </w:p>
        </w:tc>
      </w:tr>
      <w:tr w14:paraId="606DFB77">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49D5">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1909">
            <w:pPr>
              <w:widowControl/>
              <w:textAlignment w:val="center"/>
              <w:rPr>
                <w:color w:val="000000"/>
                <w:sz w:val="20"/>
                <w:szCs w:val="20"/>
              </w:rPr>
            </w:pPr>
            <w:r>
              <w:rPr>
                <w:rFonts w:hint="eastAsia"/>
                <w:color w:val="000000"/>
                <w:sz w:val="20"/>
                <w:szCs w:val="20"/>
                <w:lang w:val="en-US" w:bidi="ar"/>
              </w:rPr>
              <w:t>碳素波纹管或硬塑料管敷设：DN100，埋地敷设</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0345">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1F9F">
            <w:pPr>
              <w:widowControl/>
              <w:jc w:val="center"/>
              <w:textAlignment w:val="center"/>
              <w:rPr>
                <w:color w:val="000000"/>
                <w:sz w:val="20"/>
                <w:szCs w:val="20"/>
              </w:rPr>
            </w:pPr>
            <w:r>
              <w:rPr>
                <w:rFonts w:hint="eastAsia"/>
                <w:color w:val="000000"/>
                <w:sz w:val="20"/>
                <w:szCs w:val="20"/>
                <w:lang w:val="en-US" w:bidi="ar"/>
              </w:rPr>
              <w:t>65</w:t>
            </w:r>
          </w:p>
        </w:tc>
      </w:tr>
      <w:tr w14:paraId="7623B248">
        <w:tblPrEx>
          <w:tblCellMar>
            <w:top w:w="0" w:type="dxa"/>
            <w:left w:w="108" w:type="dxa"/>
            <w:bottom w:w="0" w:type="dxa"/>
            <w:right w:w="108" w:type="dxa"/>
          </w:tblCellMar>
        </w:tblPrEx>
        <w:trPr>
          <w:trHeight w:val="78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F9E4D">
            <w:pPr>
              <w:widowControl/>
              <w:textAlignment w:val="center"/>
              <w:rPr>
                <w:b/>
                <w:bCs/>
                <w:color w:val="000000"/>
                <w:sz w:val="20"/>
                <w:szCs w:val="20"/>
              </w:rPr>
            </w:pPr>
            <w:r>
              <w:rPr>
                <w:rFonts w:hint="eastAsia"/>
                <w:b/>
                <w:bCs/>
                <w:color w:val="000000"/>
                <w:sz w:val="20"/>
                <w:szCs w:val="20"/>
                <w:lang w:val="en-US" w:bidi="ar"/>
              </w:rPr>
              <w:t>四、铜芯电缆敷设</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BAD">
            <w:pPr>
              <w:jc w:val="cente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FDAA">
            <w:pPr>
              <w:rPr>
                <w:color w:val="000000"/>
                <w:sz w:val="20"/>
                <w:szCs w:val="20"/>
              </w:rPr>
            </w:pPr>
          </w:p>
        </w:tc>
      </w:tr>
      <w:tr w14:paraId="7AB8BC38">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D132">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B495">
            <w:pPr>
              <w:widowControl/>
              <w:textAlignment w:val="center"/>
              <w:rPr>
                <w:color w:val="000000"/>
                <w:sz w:val="20"/>
                <w:szCs w:val="20"/>
              </w:rPr>
            </w:pPr>
            <w:r>
              <w:rPr>
                <w:rFonts w:hint="eastAsia"/>
                <w:color w:val="000000"/>
                <w:sz w:val="20"/>
                <w:szCs w:val="20"/>
                <w:lang w:val="en-US" w:bidi="ar"/>
              </w:rPr>
              <w:t>铜芯电缆敷设：70mm2以内，五芯，穿管埋地敷设</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1B6C">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7E21">
            <w:pPr>
              <w:widowControl/>
              <w:jc w:val="center"/>
              <w:textAlignment w:val="center"/>
              <w:rPr>
                <w:color w:val="000000"/>
                <w:sz w:val="20"/>
                <w:szCs w:val="20"/>
              </w:rPr>
            </w:pPr>
            <w:r>
              <w:rPr>
                <w:rFonts w:hint="eastAsia"/>
                <w:color w:val="000000"/>
                <w:sz w:val="20"/>
                <w:szCs w:val="20"/>
                <w:lang w:val="en-US" w:bidi="ar"/>
              </w:rPr>
              <w:t>7</w:t>
            </w:r>
          </w:p>
        </w:tc>
      </w:tr>
      <w:tr w14:paraId="522B8EC1">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D524">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6955">
            <w:pPr>
              <w:widowControl/>
              <w:textAlignment w:val="center"/>
              <w:rPr>
                <w:color w:val="000000"/>
                <w:sz w:val="20"/>
                <w:szCs w:val="20"/>
              </w:rPr>
            </w:pPr>
            <w:r>
              <w:rPr>
                <w:rFonts w:hint="eastAsia"/>
                <w:color w:val="000000"/>
                <w:sz w:val="20"/>
                <w:szCs w:val="20"/>
                <w:lang w:val="en-US" w:bidi="ar"/>
              </w:rPr>
              <w:t>铜芯电缆敷设：95mm2以内，五芯，敷设高度4m以上</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3AAF">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DF43">
            <w:pPr>
              <w:widowControl/>
              <w:jc w:val="center"/>
              <w:textAlignment w:val="center"/>
              <w:rPr>
                <w:color w:val="000000"/>
                <w:sz w:val="20"/>
                <w:szCs w:val="20"/>
              </w:rPr>
            </w:pPr>
            <w:r>
              <w:rPr>
                <w:rFonts w:hint="eastAsia"/>
                <w:color w:val="000000"/>
                <w:sz w:val="20"/>
                <w:szCs w:val="20"/>
                <w:lang w:val="en-US" w:bidi="ar"/>
              </w:rPr>
              <w:t>104</w:t>
            </w:r>
          </w:p>
        </w:tc>
      </w:tr>
      <w:tr w14:paraId="7AFB0A5B">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3973">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3</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02D7">
            <w:pPr>
              <w:widowControl/>
              <w:textAlignment w:val="center"/>
              <w:rPr>
                <w:color w:val="000000"/>
                <w:sz w:val="20"/>
                <w:szCs w:val="20"/>
              </w:rPr>
            </w:pPr>
            <w:r>
              <w:rPr>
                <w:rFonts w:hint="eastAsia"/>
                <w:color w:val="000000"/>
                <w:sz w:val="20"/>
                <w:szCs w:val="20"/>
                <w:lang w:val="en-US" w:bidi="ar"/>
              </w:rPr>
              <w:t>铜芯电缆敷设：95mm2以内，五芯，穿管埋地敷设</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293F">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3EC0">
            <w:pPr>
              <w:widowControl/>
              <w:jc w:val="center"/>
              <w:textAlignment w:val="center"/>
              <w:rPr>
                <w:color w:val="000000"/>
                <w:sz w:val="20"/>
                <w:szCs w:val="20"/>
              </w:rPr>
            </w:pPr>
            <w:r>
              <w:rPr>
                <w:rFonts w:hint="eastAsia"/>
                <w:color w:val="000000"/>
                <w:sz w:val="20"/>
                <w:szCs w:val="20"/>
                <w:lang w:val="en-US" w:bidi="ar"/>
              </w:rPr>
              <w:t>126</w:t>
            </w:r>
          </w:p>
        </w:tc>
      </w:tr>
      <w:tr w14:paraId="325E26D8">
        <w:tblPrEx>
          <w:tblCellMar>
            <w:top w:w="0" w:type="dxa"/>
            <w:left w:w="108" w:type="dxa"/>
            <w:bottom w:w="0" w:type="dxa"/>
            <w:right w:w="108" w:type="dxa"/>
          </w:tblCellMar>
        </w:tblPrEx>
        <w:trPr>
          <w:trHeight w:val="86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0C65D">
            <w:pPr>
              <w:widowControl/>
              <w:textAlignment w:val="center"/>
              <w:rPr>
                <w:b/>
                <w:bCs/>
                <w:color w:val="000000"/>
                <w:sz w:val="20"/>
                <w:szCs w:val="20"/>
              </w:rPr>
            </w:pPr>
            <w:r>
              <w:rPr>
                <w:rFonts w:hint="eastAsia"/>
                <w:b/>
                <w:bCs/>
                <w:color w:val="000000"/>
                <w:sz w:val="20"/>
                <w:szCs w:val="20"/>
                <w:lang w:val="en-US" w:bidi="ar"/>
              </w:rPr>
              <w:t>五、热缩电缆终端头安装</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BD85">
            <w:pPr>
              <w:jc w:val="center"/>
              <w:rPr>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133D">
            <w:pPr>
              <w:rPr>
                <w:color w:val="000000"/>
                <w:sz w:val="20"/>
                <w:szCs w:val="20"/>
              </w:rPr>
            </w:pPr>
          </w:p>
        </w:tc>
      </w:tr>
      <w:tr w14:paraId="685B2442">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FC1E">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3EFF">
            <w:pPr>
              <w:widowControl/>
              <w:textAlignment w:val="center"/>
              <w:rPr>
                <w:color w:val="000000"/>
                <w:sz w:val="20"/>
                <w:szCs w:val="20"/>
              </w:rPr>
            </w:pPr>
            <w:r>
              <w:rPr>
                <w:rFonts w:hint="eastAsia"/>
                <w:color w:val="000000"/>
                <w:sz w:val="20"/>
                <w:szCs w:val="20"/>
                <w:lang w:val="en-US" w:bidi="ar"/>
              </w:rPr>
              <w:t>热缩终端头制作：铜芯，70mm2内，五芯，含线鼻子</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13D7">
            <w:pPr>
              <w:widowControl/>
              <w:jc w:val="center"/>
              <w:textAlignment w:val="center"/>
              <w:rPr>
                <w:color w:val="000000"/>
                <w:sz w:val="20"/>
                <w:szCs w:val="20"/>
              </w:rPr>
            </w:pPr>
            <w:r>
              <w:rPr>
                <w:rFonts w:hint="eastAsia"/>
                <w:color w:val="000000"/>
                <w:sz w:val="20"/>
                <w:szCs w:val="20"/>
                <w:lang w:val="en-US"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9276">
            <w:pPr>
              <w:widowControl/>
              <w:jc w:val="center"/>
              <w:textAlignment w:val="center"/>
              <w:rPr>
                <w:color w:val="000000"/>
                <w:sz w:val="20"/>
                <w:szCs w:val="20"/>
              </w:rPr>
            </w:pPr>
            <w:r>
              <w:rPr>
                <w:rFonts w:hint="eastAsia"/>
                <w:color w:val="000000"/>
                <w:sz w:val="20"/>
                <w:szCs w:val="20"/>
                <w:lang w:val="en-US" w:bidi="ar"/>
              </w:rPr>
              <w:t>2</w:t>
            </w:r>
          </w:p>
        </w:tc>
      </w:tr>
      <w:tr w14:paraId="31FCDCB6">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2886">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5107">
            <w:pPr>
              <w:widowControl/>
              <w:textAlignment w:val="center"/>
              <w:rPr>
                <w:color w:val="000000"/>
                <w:sz w:val="20"/>
                <w:szCs w:val="20"/>
              </w:rPr>
            </w:pPr>
            <w:r>
              <w:rPr>
                <w:rFonts w:hint="eastAsia"/>
                <w:color w:val="000000"/>
                <w:sz w:val="20"/>
                <w:szCs w:val="20"/>
                <w:lang w:val="en-US" w:bidi="ar"/>
              </w:rPr>
              <w:t>热缩终端头制作：铜芯，95mm2内，五芯，含线鼻子</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8326">
            <w:pPr>
              <w:widowControl/>
              <w:jc w:val="center"/>
              <w:textAlignment w:val="center"/>
              <w:rPr>
                <w:color w:val="000000"/>
                <w:sz w:val="20"/>
                <w:szCs w:val="20"/>
              </w:rPr>
            </w:pPr>
            <w:r>
              <w:rPr>
                <w:rFonts w:hint="eastAsia"/>
                <w:color w:val="000000"/>
                <w:sz w:val="20"/>
                <w:szCs w:val="20"/>
                <w:lang w:val="en-US"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2DC4">
            <w:pPr>
              <w:widowControl/>
              <w:jc w:val="center"/>
              <w:textAlignment w:val="center"/>
              <w:rPr>
                <w:color w:val="000000"/>
                <w:sz w:val="20"/>
                <w:szCs w:val="20"/>
              </w:rPr>
            </w:pPr>
            <w:r>
              <w:rPr>
                <w:rFonts w:hint="eastAsia"/>
                <w:color w:val="000000"/>
                <w:sz w:val="20"/>
                <w:szCs w:val="20"/>
                <w:lang w:val="en-US" w:bidi="ar"/>
              </w:rPr>
              <w:t>2</w:t>
            </w:r>
          </w:p>
        </w:tc>
      </w:tr>
      <w:tr w14:paraId="3914F253">
        <w:tblPrEx>
          <w:tblCellMar>
            <w:top w:w="0" w:type="dxa"/>
            <w:left w:w="108" w:type="dxa"/>
            <w:bottom w:w="0" w:type="dxa"/>
            <w:right w:w="108" w:type="dxa"/>
          </w:tblCellMar>
        </w:tblPrEx>
        <w:trPr>
          <w:trHeight w:val="54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F2E7B">
            <w:pPr>
              <w:widowControl/>
              <w:textAlignment w:val="center"/>
              <w:rPr>
                <w:b/>
                <w:bCs/>
                <w:color w:val="000000"/>
                <w:sz w:val="20"/>
                <w:szCs w:val="20"/>
              </w:rPr>
            </w:pPr>
            <w:r>
              <w:rPr>
                <w:rFonts w:hint="eastAsia"/>
                <w:b/>
                <w:bCs/>
                <w:color w:val="000000"/>
                <w:sz w:val="20"/>
                <w:szCs w:val="20"/>
                <w:lang w:val="en-US" w:bidi="ar"/>
              </w:rPr>
              <w:t>六、铜芯终端电缆敷设</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426F">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EB51">
            <w:pPr>
              <w:jc w:val="center"/>
              <w:rPr>
                <w:color w:val="000000"/>
                <w:sz w:val="20"/>
                <w:szCs w:val="20"/>
              </w:rPr>
            </w:pPr>
          </w:p>
        </w:tc>
      </w:tr>
      <w:tr w14:paraId="6FBDD1DB">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9061">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0199">
            <w:pPr>
              <w:widowControl/>
              <w:textAlignment w:val="center"/>
              <w:rPr>
                <w:color w:val="000000"/>
                <w:sz w:val="20"/>
                <w:szCs w:val="20"/>
              </w:rPr>
            </w:pPr>
            <w:r>
              <w:rPr>
                <w:rFonts w:hint="eastAsia"/>
                <w:color w:val="000000"/>
                <w:sz w:val="20"/>
                <w:szCs w:val="20"/>
                <w:lang w:val="en-US" w:bidi="ar"/>
              </w:rPr>
              <w:t>铜芯电缆敷设：交流单桩，穿管埋地 YJV-3*6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C5AE">
            <w:pPr>
              <w:widowControl/>
              <w:jc w:val="center"/>
              <w:textAlignment w:val="center"/>
              <w:rPr>
                <w:color w:val="000000"/>
                <w:sz w:val="20"/>
                <w:szCs w:val="20"/>
              </w:rPr>
            </w:pPr>
            <w:r>
              <w:rPr>
                <w:rFonts w:hint="eastAsia"/>
                <w:color w:val="000000"/>
                <w:sz w:val="20"/>
                <w:szCs w:val="20"/>
                <w:lang w:val="en-US"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CC12">
            <w:pPr>
              <w:widowControl/>
              <w:jc w:val="center"/>
              <w:textAlignment w:val="center"/>
              <w:rPr>
                <w:color w:val="000000"/>
                <w:sz w:val="20"/>
                <w:szCs w:val="20"/>
              </w:rPr>
            </w:pPr>
            <w:r>
              <w:rPr>
                <w:rFonts w:hint="eastAsia"/>
                <w:color w:val="000000"/>
                <w:sz w:val="20"/>
                <w:szCs w:val="20"/>
                <w:lang w:val="en-US" w:bidi="ar"/>
              </w:rPr>
              <w:t>155</w:t>
            </w:r>
          </w:p>
        </w:tc>
      </w:tr>
      <w:tr w14:paraId="0AAA6170">
        <w:tblPrEx>
          <w:tblCellMar>
            <w:top w:w="0" w:type="dxa"/>
            <w:left w:w="108" w:type="dxa"/>
            <w:bottom w:w="0" w:type="dxa"/>
            <w:right w:w="108" w:type="dxa"/>
          </w:tblCellMar>
        </w:tblPrEx>
        <w:trPr>
          <w:trHeight w:val="114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4B29A">
            <w:pPr>
              <w:widowControl/>
              <w:textAlignment w:val="center"/>
              <w:rPr>
                <w:b/>
                <w:bCs/>
                <w:color w:val="000000"/>
                <w:sz w:val="20"/>
                <w:szCs w:val="20"/>
              </w:rPr>
            </w:pPr>
            <w:r>
              <w:rPr>
                <w:rFonts w:hint="eastAsia"/>
                <w:b/>
                <w:bCs/>
                <w:color w:val="000000"/>
                <w:sz w:val="20"/>
                <w:szCs w:val="20"/>
                <w:lang w:val="en-US" w:bidi="ar"/>
              </w:rPr>
              <w:t>七、交流单桩基础制作、本体安装及接线</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1BB1">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1443">
            <w:pPr>
              <w:rPr>
                <w:color w:val="000000"/>
                <w:sz w:val="20"/>
                <w:szCs w:val="20"/>
              </w:rPr>
            </w:pPr>
          </w:p>
        </w:tc>
      </w:tr>
      <w:tr w14:paraId="38860285">
        <w:tblPrEx>
          <w:tblCellMar>
            <w:top w:w="0" w:type="dxa"/>
            <w:left w:w="108" w:type="dxa"/>
            <w:bottom w:w="0" w:type="dxa"/>
            <w:right w:w="108" w:type="dxa"/>
          </w:tblCellMar>
        </w:tblPrEx>
        <w:trPr>
          <w:trHeight w:val="4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508">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28D2">
            <w:pPr>
              <w:widowControl/>
              <w:textAlignment w:val="center"/>
              <w:rPr>
                <w:color w:val="000000"/>
                <w:sz w:val="20"/>
                <w:szCs w:val="20"/>
              </w:rPr>
            </w:pPr>
            <w:r>
              <w:rPr>
                <w:rFonts w:hint="eastAsia"/>
                <w:color w:val="000000"/>
                <w:sz w:val="20"/>
                <w:szCs w:val="20"/>
                <w:lang w:val="en-US" w:bidi="ar"/>
              </w:rPr>
              <w:t>单桩基础制作、设备安装及两端接线：7KW交流充电桩</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A121">
            <w:pPr>
              <w:widowControl/>
              <w:jc w:val="center"/>
              <w:textAlignment w:val="center"/>
              <w:rPr>
                <w:color w:val="000000"/>
                <w:sz w:val="20"/>
                <w:szCs w:val="20"/>
              </w:rPr>
            </w:pPr>
            <w:r>
              <w:rPr>
                <w:rFonts w:hint="eastAsia"/>
                <w:color w:val="000000"/>
                <w:sz w:val="20"/>
                <w:szCs w:val="20"/>
                <w:lang w:val="en-US"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4991">
            <w:pPr>
              <w:widowControl/>
              <w:jc w:val="center"/>
              <w:textAlignment w:val="center"/>
              <w:rPr>
                <w:color w:val="000000"/>
                <w:sz w:val="20"/>
                <w:szCs w:val="20"/>
              </w:rPr>
            </w:pPr>
            <w:r>
              <w:rPr>
                <w:rFonts w:hint="eastAsia"/>
                <w:color w:val="000000"/>
                <w:sz w:val="20"/>
                <w:szCs w:val="20"/>
                <w:lang w:val="en-US" w:bidi="ar"/>
              </w:rPr>
              <w:t>8</w:t>
            </w:r>
          </w:p>
        </w:tc>
      </w:tr>
      <w:tr w14:paraId="6945ED24">
        <w:tblPrEx>
          <w:tblCellMar>
            <w:top w:w="0" w:type="dxa"/>
            <w:left w:w="108" w:type="dxa"/>
            <w:bottom w:w="0" w:type="dxa"/>
            <w:right w:w="108" w:type="dxa"/>
          </w:tblCellMar>
        </w:tblPrEx>
        <w:trPr>
          <w:trHeight w:val="102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8966">
            <w:pPr>
              <w:widowControl/>
              <w:textAlignment w:val="center"/>
              <w:rPr>
                <w:b/>
                <w:bCs/>
                <w:color w:val="000000"/>
                <w:sz w:val="20"/>
                <w:szCs w:val="20"/>
              </w:rPr>
            </w:pPr>
            <w:r>
              <w:rPr>
                <w:rFonts w:hint="eastAsia"/>
                <w:b/>
                <w:bCs/>
                <w:color w:val="000000"/>
                <w:sz w:val="20"/>
                <w:szCs w:val="20"/>
                <w:lang w:val="en-US" w:bidi="ar"/>
              </w:rPr>
              <w:t>八、直流单桩基础制作、本体安装</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14F8">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D5A1">
            <w:pPr>
              <w:rPr>
                <w:color w:val="000000"/>
                <w:sz w:val="20"/>
                <w:szCs w:val="20"/>
              </w:rPr>
            </w:pPr>
          </w:p>
        </w:tc>
      </w:tr>
      <w:tr w14:paraId="22CE84CB">
        <w:tblPrEx>
          <w:tblCellMar>
            <w:top w:w="0" w:type="dxa"/>
            <w:left w:w="108" w:type="dxa"/>
            <w:bottom w:w="0" w:type="dxa"/>
            <w:right w:w="108" w:type="dxa"/>
          </w:tblCellMar>
        </w:tblPrEx>
        <w:trPr>
          <w:trHeight w:val="7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94F6">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3312">
            <w:pPr>
              <w:widowControl/>
              <w:textAlignment w:val="center"/>
              <w:rPr>
                <w:color w:val="000000"/>
                <w:sz w:val="20"/>
                <w:szCs w:val="20"/>
              </w:rPr>
            </w:pPr>
            <w:r>
              <w:rPr>
                <w:rFonts w:hint="eastAsia"/>
                <w:color w:val="000000"/>
                <w:sz w:val="20"/>
                <w:szCs w:val="20"/>
                <w:lang w:val="en-US" w:bidi="ar"/>
              </w:rPr>
              <w:t>直流充电单桩基础制作、设备安装：80KW直流充电桩</w:t>
            </w:r>
            <w:r>
              <w:rPr>
                <w:rFonts w:hint="eastAsia"/>
                <w:color w:val="000000"/>
                <w:sz w:val="20"/>
                <w:szCs w:val="20"/>
                <w:lang w:val="en-US" w:bidi="ar"/>
              </w:rPr>
              <w:br w:type="textWrapping"/>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5869">
            <w:pPr>
              <w:widowControl/>
              <w:jc w:val="center"/>
              <w:textAlignment w:val="center"/>
              <w:rPr>
                <w:color w:val="000000"/>
                <w:sz w:val="20"/>
                <w:szCs w:val="20"/>
              </w:rPr>
            </w:pPr>
            <w:r>
              <w:rPr>
                <w:rFonts w:hint="eastAsia"/>
                <w:color w:val="000000"/>
                <w:sz w:val="20"/>
                <w:szCs w:val="20"/>
                <w:lang w:val="en-US" w:bidi="ar"/>
              </w:rPr>
              <w:t>座</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F1A0">
            <w:pPr>
              <w:widowControl/>
              <w:jc w:val="center"/>
              <w:textAlignment w:val="center"/>
              <w:rPr>
                <w:color w:val="000000"/>
                <w:sz w:val="20"/>
                <w:szCs w:val="20"/>
              </w:rPr>
            </w:pPr>
            <w:r>
              <w:rPr>
                <w:rFonts w:hint="eastAsia"/>
                <w:color w:val="000000"/>
                <w:sz w:val="20"/>
                <w:szCs w:val="20"/>
                <w:lang w:val="en-US" w:bidi="ar"/>
              </w:rPr>
              <w:t>1</w:t>
            </w:r>
          </w:p>
        </w:tc>
      </w:tr>
      <w:tr w14:paraId="50437CBB">
        <w:tblPrEx>
          <w:tblCellMar>
            <w:top w:w="0" w:type="dxa"/>
            <w:left w:w="108" w:type="dxa"/>
            <w:bottom w:w="0" w:type="dxa"/>
            <w:right w:w="108" w:type="dxa"/>
          </w:tblCellMar>
        </w:tblPrEx>
        <w:trPr>
          <w:trHeight w:val="48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378B1">
            <w:pPr>
              <w:widowControl/>
              <w:textAlignment w:val="center"/>
              <w:rPr>
                <w:b/>
                <w:bCs/>
                <w:color w:val="000000"/>
                <w:sz w:val="20"/>
                <w:szCs w:val="20"/>
              </w:rPr>
            </w:pPr>
            <w:r>
              <w:rPr>
                <w:rFonts w:hint="eastAsia"/>
                <w:b/>
                <w:bCs/>
                <w:color w:val="000000"/>
                <w:sz w:val="20"/>
                <w:szCs w:val="20"/>
                <w:lang w:val="en-US" w:bidi="ar"/>
              </w:rPr>
              <w:t>九、墙体开孔</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262E">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CE43">
            <w:pPr>
              <w:rPr>
                <w:color w:val="000000"/>
                <w:sz w:val="20"/>
                <w:szCs w:val="20"/>
              </w:rPr>
            </w:pPr>
          </w:p>
        </w:tc>
      </w:tr>
      <w:tr w14:paraId="40E67D67">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A646">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214D">
            <w:pPr>
              <w:widowControl/>
              <w:textAlignment w:val="center"/>
              <w:rPr>
                <w:color w:val="000000"/>
                <w:sz w:val="20"/>
                <w:szCs w:val="20"/>
              </w:rPr>
            </w:pPr>
            <w:r>
              <w:rPr>
                <w:rFonts w:hint="eastAsia"/>
                <w:color w:val="000000"/>
                <w:sz w:val="20"/>
                <w:szCs w:val="20"/>
                <w:lang w:val="en-US" w:bidi="ar"/>
              </w:rPr>
              <w:t>墙体开孔：100内圆孔，普通24砖墙</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7A38">
            <w:pPr>
              <w:widowControl/>
              <w:jc w:val="center"/>
              <w:textAlignment w:val="center"/>
              <w:rPr>
                <w:color w:val="000000"/>
                <w:sz w:val="20"/>
                <w:szCs w:val="20"/>
              </w:rPr>
            </w:pPr>
            <w:r>
              <w:rPr>
                <w:rFonts w:hint="eastAsia"/>
                <w:color w:val="000000"/>
                <w:sz w:val="20"/>
                <w:szCs w:val="20"/>
                <w:lang w:val="en-US"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B2F3">
            <w:pPr>
              <w:widowControl/>
              <w:jc w:val="center"/>
              <w:textAlignment w:val="center"/>
              <w:rPr>
                <w:color w:val="000000"/>
                <w:sz w:val="20"/>
                <w:szCs w:val="20"/>
              </w:rPr>
            </w:pPr>
            <w:r>
              <w:rPr>
                <w:rFonts w:hint="eastAsia"/>
                <w:color w:val="000000"/>
                <w:sz w:val="20"/>
                <w:szCs w:val="20"/>
                <w:lang w:val="en-US" w:bidi="ar"/>
              </w:rPr>
              <w:t>2</w:t>
            </w:r>
          </w:p>
        </w:tc>
      </w:tr>
      <w:tr w14:paraId="431B0FE2">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6ABE">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2</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241E">
            <w:pPr>
              <w:widowControl/>
              <w:textAlignment w:val="center"/>
              <w:rPr>
                <w:color w:val="000000"/>
                <w:sz w:val="20"/>
                <w:szCs w:val="20"/>
              </w:rPr>
            </w:pPr>
            <w:r>
              <w:rPr>
                <w:rFonts w:hint="eastAsia"/>
                <w:color w:val="000000"/>
                <w:sz w:val="20"/>
                <w:szCs w:val="20"/>
                <w:lang w:val="en-US" w:bidi="ar"/>
              </w:rPr>
              <w:t>墙体开孔：200X300内方孔（含恢复封堵），混凝土剪力墙</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4A37">
            <w:pPr>
              <w:widowControl/>
              <w:jc w:val="center"/>
              <w:textAlignment w:val="center"/>
              <w:rPr>
                <w:color w:val="000000"/>
                <w:sz w:val="20"/>
                <w:szCs w:val="20"/>
              </w:rPr>
            </w:pPr>
            <w:r>
              <w:rPr>
                <w:rFonts w:hint="eastAsia"/>
                <w:color w:val="000000"/>
                <w:sz w:val="20"/>
                <w:szCs w:val="20"/>
                <w:lang w:val="en-US"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70C7">
            <w:pPr>
              <w:widowControl/>
              <w:jc w:val="center"/>
              <w:textAlignment w:val="center"/>
              <w:rPr>
                <w:color w:val="000000"/>
                <w:sz w:val="20"/>
                <w:szCs w:val="20"/>
              </w:rPr>
            </w:pPr>
            <w:r>
              <w:rPr>
                <w:rFonts w:hint="eastAsia"/>
                <w:color w:val="000000"/>
                <w:sz w:val="20"/>
                <w:szCs w:val="20"/>
                <w:lang w:val="en-US" w:bidi="ar"/>
              </w:rPr>
              <w:t>1</w:t>
            </w:r>
          </w:p>
        </w:tc>
      </w:tr>
      <w:tr w14:paraId="5814FDB5">
        <w:tblPrEx>
          <w:tblCellMar>
            <w:top w:w="0" w:type="dxa"/>
            <w:left w:w="108" w:type="dxa"/>
            <w:bottom w:w="0" w:type="dxa"/>
            <w:right w:w="108" w:type="dxa"/>
          </w:tblCellMar>
        </w:tblPrEx>
        <w:trPr>
          <w:trHeight w:val="56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7AA91">
            <w:pPr>
              <w:widowControl/>
              <w:textAlignment w:val="center"/>
              <w:rPr>
                <w:b/>
                <w:bCs/>
                <w:color w:val="000000"/>
                <w:sz w:val="20"/>
                <w:szCs w:val="20"/>
              </w:rPr>
            </w:pPr>
            <w:r>
              <w:rPr>
                <w:rFonts w:hint="eastAsia"/>
                <w:b/>
                <w:bCs/>
                <w:color w:val="000000"/>
                <w:sz w:val="20"/>
                <w:szCs w:val="20"/>
                <w:lang w:val="en-US" w:bidi="ar"/>
              </w:rPr>
              <w:t>十、穿线井</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10D8">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3297">
            <w:pPr>
              <w:rPr>
                <w:color w:val="000000"/>
                <w:sz w:val="20"/>
                <w:szCs w:val="20"/>
              </w:rPr>
            </w:pPr>
          </w:p>
        </w:tc>
      </w:tr>
      <w:tr w14:paraId="70981161">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5D10">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5410">
            <w:pPr>
              <w:widowControl/>
              <w:textAlignment w:val="center"/>
              <w:rPr>
                <w:color w:val="000000"/>
                <w:sz w:val="20"/>
                <w:szCs w:val="20"/>
              </w:rPr>
            </w:pPr>
            <w:r>
              <w:rPr>
                <w:rFonts w:hint="eastAsia"/>
                <w:color w:val="000000"/>
                <w:sz w:val="20"/>
                <w:szCs w:val="20"/>
                <w:lang w:val="en-US" w:bidi="ar"/>
              </w:rPr>
              <w:t>砖砌电缆井：1080*1080*1000mm，浇筑井盖，普通土</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E4FD">
            <w:pPr>
              <w:widowControl/>
              <w:jc w:val="center"/>
              <w:textAlignment w:val="center"/>
              <w:rPr>
                <w:color w:val="000000"/>
                <w:sz w:val="20"/>
                <w:szCs w:val="20"/>
              </w:rPr>
            </w:pPr>
            <w:r>
              <w:rPr>
                <w:rFonts w:hint="eastAsia"/>
                <w:color w:val="000000"/>
                <w:sz w:val="20"/>
                <w:szCs w:val="20"/>
                <w:lang w:val="en-US" w:bidi="ar"/>
              </w:rPr>
              <w:t>座</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A0C4">
            <w:pPr>
              <w:widowControl/>
              <w:jc w:val="center"/>
              <w:textAlignment w:val="center"/>
              <w:rPr>
                <w:color w:val="000000"/>
                <w:sz w:val="20"/>
                <w:szCs w:val="20"/>
              </w:rPr>
            </w:pPr>
            <w:r>
              <w:rPr>
                <w:rFonts w:hint="eastAsia"/>
                <w:color w:val="000000"/>
                <w:sz w:val="20"/>
                <w:szCs w:val="20"/>
                <w:lang w:val="en-US" w:bidi="ar"/>
              </w:rPr>
              <w:t>1</w:t>
            </w:r>
          </w:p>
        </w:tc>
      </w:tr>
      <w:tr w14:paraId="1636399B">
        <w:tblPrEx>
          <w:tblCellMar>
            <w:top w:w="0" w:type="dxa"/>
            <w:left w:w="108" w:type="dxa"/>
            <w:bottom w:w="0" w:type="dxa"/>
            <w:right w:w="108" w:type="dxa"/>
          </w:tblCellMar>
        </w:tblPrEx>
        <w:trPr>
          <w:trHeight w:val="46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1B6F2">
            <w:pPr>
              <w:widowControl/>
              <w:textAlignment w:val="center"/>
              <w:rPr>
                <w:b/>
                <w:bCs/>
                <w:color w:val="000000"/>
                <w:sz w:val="20"/>
                <w:szCs w:val="20"/>
              </w:rPr>
            </w:pPr>
            <w:r>
              <w:rPr>
                <w:rFonts w:hint="eastAsia"/>
                <w:b/>
                <w:bCs/>
                <w:color w:val="000000"/>
                <w:sz w:val="20"/>
                <w:szCs w:val="20"/>
                <w:lang w:val="en-US" w:bidi="ar"/>
              </w:rPr>
              <w:t>十一、设备材料运输和二次转运</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8B97">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CE72">
            <w:pPr>
              <w:rPr>
                <w:color w:val="000000"/>
                <w:sz w:val="20"/>
                <w:szCs w:val="20"/>
              </w:rPr>
            </w:pPr>
          </w:p>
        </w:tc>
      </w:tr>
      <w:tr w14:paraId="7DB854D5">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6262">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9B38">
            <w:pPr>
              <w:widowControl/>
              <w:textAlignment w:val="center"/>
              <w:rPr>
                <w:color w:val="000000"/>
                <w:sz w:val="20"/>
                <w:szCs w:val="20"/>
              </w:rPr>
            </w:pPr>
            <w:r>
              <w:rPr>
                <w:rFonts w:hint="eastAsia"/>
                <w:color w:val="000000"/>
                <w:sz w:val="20"/>
                <w:szCs w:val="20"/>
                <w:lang w:val="en-US" w:bidi="ar"/>
              </w:rPr>
              <w:t>设备、材料二次运输费(库房到现场）</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944B">
            <w:pPr>
              <w:widowControl/>
              <w:jc w:val="center"/>
              <w:textAlignment w:val="center"/>
              <w:rPr>
                <w:color w:val="000000"/>
                <w:sz w:val="20"/>
                <w:szCs w:val="20"/>
              </w:rPr>
            </w:pPr>
            <w:r>
              <w:rPr>
                <w:rFonts w:hint="eastAsia"/>
                <w:color w:val="000000"/>
                <w:sz w:val="20"/>
                <w:szCs w:val="20"/>
                <w:lang w:val="en-US" w:bidi="ar"/>
              </w:rPr>
              <w:t>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054D">
            <w:pPr>
              <w:widowControl/>
              <w:jc w:val="center"/>
              <w:textAlignment w:val="center"/>
              <w:rPr>
                <w:color w:val="000000"/>
                <w:sz w:val="20"/>
                <w:szCs w:val="20"/>
              </w:rPr>
            </w:pPr>
            <w:r>
              <w:rPr>
                <w:rFonts w:hint="eastAsia"/>
                <w:color w:val="000000"/>
                <w:sz w:val="20"/>
                <w:szCs w:val="20"/>
                <w:lang w:val="en-US" w:bidi="ar"/>
              </w:rPr>
              <w:t>2</w:t>
            </w:r>
          </w:p>
        </w:tc>
      </w:tr>
      <w:tr w14:paraId="2F4DB040">
        <w:tblPrEx>
          <w:tblCellMar>
            <w:top w:w="0" w:type="dxa"/>
            <w:left w:w="108" w:type="dxa"/>
            <w:bottom w:w="0" w:type="dxa"/>
            <w:right w:w="108" w:type="dxa"/>
          </w:tblCellMar>
        </w:tblPrEx>
        <w:trPr>
          <w:trHeight w:val="54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19B69">
            <w:pPr>
              <w:widowControl/>
              <w:textAlignment w:val="center"/>
              <w:rPr>
                <w:b/>
                <w:bCs/>
                <w:color w:val="000000"/>
                <w:sz w:val="20"/>
                <w:szCs w:val="20"/>
              </w:rPr>
            </w:pPr>
            <w:r>
              <w:rPr>
                <w:rFonts w:hint="eastAsia"/>
                <w:b/>
                <w:bCs/>
                <w:color w:val="000000"/>
                <w:sz w:val="20"/>
                <w:szCs w:val="20"/>
                <w:lang w:val="en-US" w:bidi="ar"/>
              </w:rPr>
              <w:t>十二、车挡器安装</w:t>
            </w:r>
            <w:r>
              <w:rPr>
                <w:rFonts w:hint="eastAsia"/>
                <w:color w:val="000000"/>
                <w:sz w:val="20"/>
                <w:szCs w:val="20"/>
                <w:lang w:val="en-US" w:bidi="ar"/>
              </w:rPr>
              <w:t>（挖填土、基底夯实、钢管、混凝土、预埋板、检查、安装；含主材）</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DB45">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46DC">
            <w:pPr>
              <w:rPr>
                <w:color w:val="000000"/>
                <w:sz w:val="20"/>
                <w:szCs w:val="20"/>
              </w:rPr>
            </w:pPr>
          </w:p>
        </w:tc>
      </w:tr>
      <w:tr w14:paraId="423C819C">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17D9">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F389">
            <w:pPr>
              <w:widowControl/>
              <w:textAlignment w:val="center"/>
              <w:rPr>
                <w:color w:val="000000"/>
                <w:sz w:val="20"/>
                <w:szCs w:val="20"/>
              </w:rPr>
            </w:pPr>
            <w:r>
              <w:rPr>
                <w:rFonts w:hint="eastAsia"/>
                <w:color w:val="000000"/>
                <w:sz w:val="20"/>
                <w:szCs w:val="20"/>
                <w:lang w:val="en-US" w:bidi="ar"/>
              </w:rPr>
              <w:t>车阻器：钢管车档，DN80，浇筑基础</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8BDD">
            <w:pPr>
              <w:widowControl/>
              <w:jc w:val="center"/>
              <w:textAlignment w:val="center"/>
              <w:rPr>
                <w:color w:val="000000"/>
                <w:sz w:val="20"/>
                <w:szCs w:val="20"/>
              </w:rPr>
            </w:pPr>
            <w:r>
              <w:rPr>
                <w:rFonts w:hint="eastAsia"/>
                <w:color w:val="000000"/>
                <w:sz w:val="20"/>
                <w:szCs w:val="20"/>
                <w:lang w:val="en-US" w:bidi="ar"/>
              </w:rPr>
              <w:t>处</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5B02">
            <w:pPr>
              <w:widowControl/>
              <w:jc w:val="center"/>
              <w:textAlignment w:val="center"/>
              <w:rPr>
                <w:color w:val="000000"/>
                <w:sz w:val="20"/>
                <w:szCs w:val="20"/>
              </w:rPr>
            </w:pPr>
            <w:r>
              <w:rPr>
                <w:rFonts w:hint="eastAsia"/>
                <w:color w:val="000000"/>
                <w:sz w:val="20"/>
                <w:szCs w:val="20"/>
                <w:lang w:val="en-US" w:bidi="ar"/>
              </w:rPr>
              <w:t>10</w:t>
            </w:r>
          </w:p>
        </w:tc>
      </w:tr>
      <w:tr w14:paraId="2B9F8D2D">
        <w:tblPrEx>
          <w:tblCellMar>
            <w:top w:w="0" w:type="dxa"/>
            <w:left w:w="108" w:type="dxa"/>
            <w:bottom w:w="0" w:type="dxa"/>
            <w:right w:w="108" w:type="dxa"/>
          </w:tblCellMar>
        </w:tblPrEx>
        <w:trPr>
          <w:trHeight w:val="30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9DC7">
            <w:pPr>
              <w:widowControl/>
              <w:textAlignment w:val="center"/>
              <w:rPr>
                <w:b/>
                <w:bCs/>
                <w:color w:val="000000"/>
                <w:sz w:val="20"/>
                <w:szCs w:val="20"/>
              </w:rPr>
            </w:pPr>
            <w:r>
              <w:rPr>
                <w:rFonts w:hint="eastAsia"/>
                <w:b/>
                <w:bCs/>
                <w:color w:val="000000"/>
                <w:sz w:val="20"/>
                <w:szCs w:val="20"/>
                <w:lang w:val="en-US" w:bidi="ar"/>
              </w:rPr>
              <w:t>十三、车位喷涂划线</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CA3F">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F845">
            <w:pPr>
              <w:jc w:val="center"/>
              <w:rPr>
                <w:color w:val="000000"/>
                <w:sz w:val="20"/>
                <w:szCs w:val="20"/>
              </w:rPr>
            </w:pPr>
          </w:p>
        </w:tc>
      </w:tr>
      <w:tr w14:paraId="7B58EB94">
        <w:tblPrEx>
          <w:tblCellMar>
            <w:top w:w="0" w:type="dxa"/>
            <w:left w:w="108" w:type="dxa"/>
            <w:bottom w:w="0" w:type="dxa"/>
            <w:right w:w="108" w:type="dxa"/>
          </w:tblCellMar>
        </w:tblPrEx>
        <w:trPr>
          <w:trHeight w:val="3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495E">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55EC">
            <w:pPr>
              <w:widowControl/>
              <w:textAlignment w:val="center"/>
              <w:rPr>
                <w:color w:val="000000"/>
                <w:sz w:val="20"/>
                <w:szCs w:val="20"/>
              </w:rPr>
            </w:pPr>
            <w:r>
              <w:rPr>
                <w:rFonts w:hint="eastAsia"/>
                <w:color w:val="000000"/>
                <w:sz w:val="20"/>
                <w:szCs w:val="20"/>
                <w:lang w:val="en-US" w:bidi="ar"/>
              </w:rPr>
              <w:t>充电车位喷字（绿底白字）</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B8E3">
            <w:pPr>
              <w:widowControl/>
              <w:jc w:val="center"/>
              <w:textAlignment w:val="center"/>
              <w:rPr>
                <w:color w:val="000000"/>
                <w:sz w:val="20"/>
                <w:szCs w:val="20"/>
              </w:rPr>
            </w:pPr>
            <w:r>
              <w:rPr>
                <w:rFonts w:hint="eastAsia"/>
                <w:color w:val="000000"/>
                <w:sz w:val="20"/>
                <w:szCs w:val="20"/>
                <w:lang w:val="en-US"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1DE6">
            <w:pPr>
              <w:widowControl/>
              <w:jc w:val="center"/>
              <w:textAlignment w:val="center"/>
              <w:rPr>
                <w:color w:val="000000"/>
                <w:sz w:val="20"/>
                <w:szCs w:val="20"/>
              </w:rPr>
            </w:pPr>
            <w:r>
              <w:rPr>
                <w:rFonts w:hint="eastAsia"/>
                <w:color w:val="000000"/>
                <w:sz w:val="20"/>
                <w:szCs w:val="20"/>
                <w:lang w:val="en-US" w:bidi="ar"/>
              </w:rPr>
              <w:t>10</w:t>
            </w:r>
          </w:p>
        </w:tc>
      </w:tr>
      <w:tr w14:paraId="23B21B7E">
        <w:tblPrEx>
          <w:tblCellMar>
            <w:top w:w="0" w:type="dxa"/>
            <w:left w:w="108" w:type="dxa"/>
            <w:bottom w:w="0" w:type="dxa"/>
            <w:right w:w="108" w:type="dxa"/>
          </w:tblCellMar>
        </w:tblPrEx>
        <w:trPr>
          <w:trHeight w:val="360" w:hRule="atLeast"/>
        </w:trPr>
        <w:tc>
          <w:tcPr>
            <w:tcW w:w="8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BE1B5">
            <w:pPr>
              <w:widowControl/>
              <w:textAlignment w:val="center"/>
              <w:rPr>
                <w:b/>
                <w:bCs/>
                <w:color w:val="000000"/>
                <w:sz w:val="20"/>
                <w:szCs w:val="20"/>
              </w:rPr>
            </w:pPr>
            <w:r>
              <w:rPr>
                <w:rFonts w:hint="eastAsia"/>
                <w:b/>
                <w:bCs/>
                <w:color w:val="000000"/>
                <w:sz w:val="20"/>
                <w:szCs w:val="20"/>
                <w:lang w:val="en-US" w:bidi="ar"/>
              </w:rPr>
              <w:t>十四、余方弃置</w:t>
            </w:r>
            <w:r>
              <w:rPr>
                <w:rFonts w:hint="eastAsia"/>
                <w:color w:val="000000"/>
                <w:sz w:val="20"/>
                <w:szCs w:val="20"/>
                <w:lang w:val="en-US" w:bidi="ar"/>
              </w:rPr>
              <w:t>（专用车运输到专业倒场）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23B6">
            <w:pPr>
              <w:rPr>
                <w:color w:val="000000"/>
                <w:sz w:val="20"/>
                <w:szCs w:val="20"/>
              </w:rPr>
            </w:pPr>
          </w:p>
        </w:tc>
      </w:tr>
      <w:tr w14:paraId="68866DE7">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2809">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2EA5">
            <w:pPr>
              <w:widowControl/>
              <w:textAlignment w:val="center"/>
              <w:rPr>
                <w:color w:val="000000"/>
                <w:sz w:val="20"/>
                <w:szCs w:val="20"/>
              </w:rPr>
            </w:pPr>
            <w:r>
              <w:rPr>
                <w:rFonts w:hint="eastAsia"/>
                <w:color w:val="000000"/>
                <w:sz w:val="20"/>
                <w:szCs w:val="20"/>
                <w:lang w:val="en-US" w:bidi="ar"/>
              </w:rPr>
              <w:t>余方弃置：市区，人工装土，运距＞10KM</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97FA">
            <w:pPr>
              <w:widowControl/>
              <w:jc w:val="center"/>
              <w:textAlignment w:val="center"/>
              <w:rPr>
                <w:color w:val="000000"/>
                <w:sz w:val="20"/>
                <w:szCs w:val="20"/>
              </w:rPr>
            </w:pPr>
            <w:r>
              <w:rPr>
                <w:rFonts w:hint="eastAsia"/>
                <w:color w:val="000000"/>
                <w:sz w:val="20"/>
                <w:szCs w:val="20"/>
                <w:lang w:val="en-US" w:bidi="ar"/>
              </w:rPr>
              <w:t>m3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E99A">
            <w:pPr>
              <w:widowControl/>
              <w:jc w:val="center"/>
              <w:textAlignment w:val="center"/>
              <w:rPr>
                <w:color w:val="000000"/>
                <w:sz w:val="20"/>
                <w:szCs w:val="20"/>
              </w:rPr>
            </w:pPr>
            <w:r>
              <w:rPr>
                <w:rFonts w:hint="eastAsia"/>
                <w:color w:val="000000"/>
                <w:sz w:val="20"/>
                <w:szCs w:val="20"/>
                <w:lang w:val="en-US" w:bidi="ar"/>
              </w:rPr>
              <w:t>5</w:t>
            </w:r>
          </w:p>
        </w:tc>
      </w:tr>
      <w:tr w14:paraId="0134BA19">
        <w:tblPrEx>
          <w:tblCellMar>
            <w:top w:w="0" w:type="dxa"/>
            <w:left w:w="108" w:type="dxa"/>
            <w:bottom w:w="0" w:type="dxa"/>
            <w:right w:w="108" w:type="dxa"/>
          </w:tblCellMar>
        </w:tblPrEx>
        <w:trPr>
          <w:trHeight w:val="480" w:hRule="atLeast"/>
        </w:trPr>
        <w:tc>
          <w:tcPr>
            <w:tcW w:w="92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A690">
            <w:pPr>
              <w:widowControl/>
              <w:textAlignment w:val="center"/>
              <w:rPr>
                <w:b/>
                <w:bCs/>
                <w:color w:val="000000"/>
                <w:sz w:val="20"/>
                <w:szCs w:val="20"/>
              </w:rPr>
            </w:pPr>
            <w:r>
              <w:rPr>
                <w:rFonts w:hint="eastAsia"/>
                <w:b/>
                <w:bCs/>
                <w:color w:val="000000"/>
                <w:sz w:val="20"/>
                <w:szCs w:val="20"/>
                <w:lang w:val="en-US" w:bidi="ar"/>
              </w:rPr>
              <w:t>（二）VI工程</w:t>
            </w:r>
          </w:p>
        </w:tc>
      </w:tr>
      <w:tr w14:paraId="721AE1C3">
        <w:tblPrEx>
          <w:tblCellMar>
            <w:top w:w="0" w:type="dxa"/>
            <w:left w:w="108" w:type="dxa"/>
            <w:bottom w:w="0" w:type="dxa"/>
            <w:right w:w="108" w:type="dxa"/>
          </w:tblCellMar>
        </w:tblPrEx>
        <w:trPr>
          <w:trHeight w:val="27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3F0A">
            <w:pPr>
              <w:widowControl/>
              <w:textAlignment w:val="center"/>
              <w:rPr>
                <w:b/>
                <w:bCs/>
                <w:color w:val="000000"/>
                <w:sz w:val="20"/>
                <w:szCs w:val="20"/>
              </w:rPr>
            </w:pPr>
            <w:r>
              <w:rPr>
                <w:rFonts w:hint="eastAsia"/>
                <w:b/>
                <w:bCs/>
                <w:color w:val="000000"/>
                <w:sz w:val="20"/>
                <w:szCs w:val="20"/>
                <w:lang w:val="en-US" w:bidi="ar"/>
              </w:rPr>
              <w:t>一、标识牌基础及安装</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1508">
            <w:pPr>
              <w:rPr>
                <w:b/>
                <w:bCs/>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D39A">
            <w:pPr>
              <w:rPr>
                <w:color w:val="000000"/>
                <w:sz w:val="20"/>
                <w:szCs w:val="20"/>
              </w:rPr>
            </w:pPr>
          </w:p>
        </w:tc>
      </w:tr>
      <w:tr w14:paraId="225E205B">
        <w:tblPrEx>
          <w:tblCellMar>
            <w:top w:w="0" w:type="dxa"/>
            <w:left w:w="108" w:type="dxa"/>
            <w:bottom w:w="0" w:type="dxa"/>
            <w:right w:w="108" w:type="dxa"/>
          </w:tblCellMar>
        </w:tblPrEx>
        <w:trPr>
          <w:trHeight w:val="6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4B10">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81E9">
            <w:pPr>
              <w:widowControl/>
              <w:textAlignment w:val="center"/>
              <w:rPr>
                <w:color w:val="000000"/>
                <w:sz w:val="20"/>
                <w:szCs w:val="20"/>
              </w:rPr>
            </w:pPr>
            <w:r>
              <w:rPr>
                <w:rFonts w:hint="eastAsia"/>
                <w:color w:val="000000"/>
                <w:sz w:val="20"/>
                <w:szCs w:val="20"/>
                <w:lang w:val="en-US" w:bidi="ar"/>
              </w:rPr>
              <w:t>广告牌采购：安全牌   操作牌含安装</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29C7">
            <w:pPr>
              <w:widowControl/>
              <w:jc w:val="center"/>
              <w:textAlignment w:val="center"/>
              <w:rPr>
                <w:color w:val="000000"/>
                <w:sz w:val="20"/>
                <w:szCs w:val="20"/>
              </w:rPr>
            </w:pPr>
            <w:r>
              <w:rPr>
                <w:rFonts w:hint="eastAsia"/>
                <w:color w:val="000000"/>
                <w:sz w:val="20"/>
                <w:szCs w:val="20"/>
                <w:lang w:val="en-US"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40D0">
            <w:pPr>
              <w:widowControl/>
              <w:jc w:val="center"/>
              <w:textAlignment w:val="center"/>
              <w:rPr>
                <w:color w:val="000000"/>
                <w:sz w:val="20"/>
                <w:szCs w:val="20"/>
              </w:rPr>
            </w:pPr>
            <w:r>
              <w:rPr>
                <w:rFonts w:hint="eastAsia"/>
                <w:color w:val="000000"/>
                <w:sz w:val="20"/>
                <w:szCs w:val="20"/>
                <w:lang w:val="en-US" w:bidi="ar"/>
              </w:rPr>
              <w:t>2</w:t>
            </w:r>
          </w:p>
        </w:tc>
      </w:tr>
      <w:tr w14:paraId="69B9A4E9">
        <w:tblPrEx>
          <w:tblCellMar>
            <w:top w:w="0" w:type="dxa"/>
            <w:left w:w="108" w:type="dxa"/>
            <w:bottom w:w="0" w:type="dxa"/>
            <w:right w:w="108" w:type="dxa"/>
          </w:tblCellMar>
        </w:tblPrEx>
        <w:trPr>
          <w:trHeight w:val="400" w:hRule="atLeast"/>
        </w:trPr>
        <w:tc>
          <w:tcPr>
            <w:tcW w:w="92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23E8">
            <w:pPr>
              <w:widowControl/>
              <w:textAlignment w:val="center"/>
              <w:rPr>
                <w:b/>
                <w:bCs/>
                <w:color w:val="000000"/>
                <w:sz w:val="20"/>
                <w:szCs w:val="20"/>
              </w:rPr>
            </w:pPr>
            <w:r>
              <w:rPr>
                <w:rFonts w:hint="eastAsia"/>
                <w:b/>
                <w:bCs/>
                <w:color w:val="000000"/>
                <w:sz w:val="20"/>
                <w:szCs w:val="20"/>
                <w:lang w:val="en-US" w:bidi="ar"/>
              </w:rPr>
              <w:t>（三）消防工程</w:t>
            </w:r>
          </w:p>
        </w:tc>
      </w:tr>
      <w:tr w14:paraId="4031C848">
        <w:tblPrEx>
          <w:tblCellMar>
            <w:top w:w="0" w:type="dxa"/>
            <w:left w:w="108" w:type="dxa"/>
            <w:bottom w:w="0" w:type="dxa"/>
            <w:right w:w="108" w:type="dxa"/>
          </w:tblCellMar>
        </w:tblPrEx>
        <w:trPr>
          <w:trHeight w:val="270" w:hRule="atLeast"/>
        </w:trPr>
        <w:tc>
          <w:tcPr>
            <w:tcW w:w="69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A693">
            <w:pPr>
              <w:widowControl/>
              <w:textAlignment w:val="center"/>
              <w:rPr>
                <w:b/>
                <w:bCs/>
                <w:color w:val="000000"/>
                <w:sz w:val="20"/>
                <w:szCs w:val="20"/>
              </w:rPr>
            </w:pPr>
            <w:r>
              <w:rPr>
                <w:rFonts w:hint="eastAsia"/>
                <w:b/>
                <w:bCs/>
                <w:color w:val="000000"/>
                <w:sz w:val="20"/>
                <w:szCs w:val="20"/>
                <w:lang w:val="en-US" w:bidi="ar"/>
              </w:rPr>
              <w:t>一、消防设施安装</w:t>
            </w:r>
            <w:r>
              <w:rPr>
                <w:rFonts w:hint="eastAsia"/>
                <w:color w:val="000000"/>
                <w:sz w:val="20"/>
                <w:szCs w:val="20"/>
                <w:lang w:val="en-US" w:bidi="ar"/>
              </w:rPr>
              <w:t>(灭火器、灭火器箱、安装）</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5299">
            <w:pPr>
              <w:jc w:val="center"/>
              <w:rPr>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08EA">
            <w:pPr>
              <w:jc w:val="center"/>
              <w:rPr>
                <w:color w:val="000000"/>
                <w:sz w:val="20"/>
                <w:szCs w:val="20"/>
              </w:rPr>
            </w:pPr>
          </w:p>
        </w:tc>
      </w:tr>
      <w:tr w14:paraId="59A90CA7">
        <w:tblPrEx>
          <w:tblCellMar>
            <w:top w:w="0" w:type="dxa"/>
            <w:left w:w="108" w:type="dxa"/>
            <w:bottom w:w="0" w:type="dxa"/>
            <w:right w:w="108" w:type="dxa"/>
          </w:tblCellMar>
        </w:tblPrEx>
        <w:trPr>
          <w:trHeight w:val="27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51C7">
            <w:pPr>
              <w:widowControl/>
              <w:jc w:val="center"/>
              <w:textAlignment w:val="center"/>
              <w:rPr>
                <w:rFonts w:ascii="Arial" w:hAnsi="Arial" w:cs="Arial"/>
                <w:color w:val="000000"/>
                <w:sz w:val="20"/>
                <w:szCs w:val="20"/>
              </w:rPr>
            </w:pPr>
            <w:r>
              <w:rPr>
                <w:rFonts w:ascii="Arial" w:hAnsi="Arial" w:cs="Arial"/>
                <w:color w:val="000000"/>
                <w:sz w:val="20"/>
                <w:szCs w:val="20"/>
                <w:lang w:val="en-US" w:bidi="ar"/>
              </w:rPr>
              <w:t>1</w:t>
            </w:r>
          </w:p>
        </w:tc>
        <w:tc>
          <w:tcPr>
            <w:tcW w:w="6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D300">
            <w:pPr>
              <w:widowControl/>
              <w:textAlignment w:val="center"/>
              <w:rPr>
                <w:color w:val="000000"/>
                <w:sz w:val="20"/>
                <w:szCs w:val="20"/>
              </w:rPr>
            </w:pPr>
            <w:r>
              <w:rPr>
                <w:rFonts w:hint="eastAsia"/>
                <w:color w:val="000000"/>
                <w:sz w:val="20"/>
                <w:szCs w:val="20"/>
                <w:lang w:val="en-US" w:bidi="ar"/>
              </w:rPr>
              <w:t>灭火器：手提式干粉（磷酸铵盐）灭火器（MF/ABC5）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3A7C">
            <w:pPr>
              <w:widowControl/>
              <w:jc w:val="center"/>
              <w:textAlignment w:val="center"/>
              <w:rPr>
                <w:color w:val="000000"/>
                <w:sz w:val="20"/>
                <w:szCs w:val="20"/>
              </w:rPr>
            </w:pPr>
            <w:r>
              <w:rPr>
                <w:rFonts w:hint="eastAsia"/>
                <w:color w:val="000000"/>
                <w:sz w:val="20"/>
                <w:szCs w:val="20"/>
                <w:lang w:val="en-US" w:bidi="ar"/>
              </w:rPr>
              <w:t>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BE6E">
            <w:pPr>
              <w:widowControl/>
              <w:jc w:val="center"/>
              <w:textAlignment w:val="center"/>
              <w:rPr>
                <w:color w:val="000000"/>
                <w:sz w:val="20"/>
                <w:szCs w:val="20"/>
              </w:rPr>
            </w:pPr>
            <w:r>
              <w:rPr>
                <w:rFonts w:hint="eastAsia"/>
                <w:color w:val="000000"/>
                <w:sz w:val="20"/>
                <w:szCs w:val="20"/>
                <w:lang w:val="en-US" w:bidi="ar"/>
              </w:rPr>
              <w:t>2</w:t>
            </w:r>
          </w:p>
        </w:tc>
      </w:tr>
    </w:tbl>
    <w:p w14:paraId="4B8DF58E">
      <w:pPr>
        <w:tabs>
          <w:tab w:val="left" w:pos="1166"/>
        </w:tabs>
        <w:spacing w:line="360" w:lineRule="auto"/>
        <w:ind w:firstLine="442" w:firstLineChars="200"/>
        <w:jc w:val="both"/>
        <w:rPr>
          <w:rFonts w:ascii="Times New Roman" w:hAnsi="Times New Roman" w:cs="Times New Roman"/>
          <w:b/>
        </w:rPr>
      </w:pPr>
      <w:r>
        <w:rPr>
          <w:rFonts w:hint="eastAsia" w:ascii="Times New Roman" w:hAnsi="Times New Roman" w:cs="Times New Roman"/>
          <w:b/>
          <w:lang w:val="en-US"/>
        </w:rPr>
        <w:t>三</w:t>
      </w:r>
      <w:r>
        <w:rPr>
          <w:rFonts w:hint="eastAsia" w:ascii="Times New Roman" w:hAnsi="Times New Roman" w:cs="Times New Roman"/>
          <w:b/>
        </w:rPr>
        <w:t>、技术要求</w:t>
      </w:r>
    </w:p>
    <w:p w14:paraId="45D6C944">
      <w:pPr>
        <w:keepNext/>
        <w:keepLines/>
        <w:spacing w:line="400" w:lineRule="exact"/>
        <w:jc w:val="both"/>
        <w:outlineLvl w:val="1"/>
        <w:rPr>
          <w:rFonts w:cs="Times New Roman"/>
          <w:b/>
          <w:bCs/>
          <w:kern w:val="2"/>
          <w:sz w:val="21"/>
          <w:szCs w:val="21"/>
          <w:lang w:val="en-US"/>
        </w:rPr>
      </w:pPr>
      <w:r>
        <w:rPr>
          <w:rFonts w:hint="eastAsia" w:cs="Times New Roman"/>
          <w:b/>
          <w:bCs/>
          <w:kern w:val="2"/>
          <w:sz w:val="21"/>
          <w:szCs w:val="21"/>
          <w:lang w:val="en-US"/>
        </w:rPr>
        <w:t>一体式直流充电机技术要求</w:t>
      </w:r>
    </w:p>
    <w:p w14:paraId="58C4D31F">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技术参数</w:t>
      </w:r>
    </w:p>
    <w:p w14:paraId="7274B19F">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环境条件</w:t>
      </w:r>
    </w:p>
    <w:p w14:paraId="16E8D3C5">
      <w:pPr>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环境温度：</w:t>
      </w:r>
      <w:r>
        <w:rPr>
          <w:rFonts w:cs="Times New Roman"/>
          <w:color w:val="000000"/>
          <w:kern w:val="2"/>
          <w:sz w:val="21"/>
          <w:szCs w:val="21"/>
          <w:lang w:val="en-US"/>
        </w:rPr>
        <w:t>-20</w:t>
      </w:r>
      <w:r>
        <w:rPr>
          <w:rFonts w:hint="eastAsia" w:cs="Times New Roman"/>
          <w:color w:val="000000"/>
          <w:kern w:val="2"/>
          <w:sz w:val="21"/>
          <w:szCs w:val="21"/>
          <w:lang w:val="en-US"/>
        </w:rPr>
        <w:t>℃</w:t>
      </w:r>
      <w:r>
        <w:rPr>
          <w:rFonts w:cs="Times New Roman"/>
          <w:color w:val="000000"/>
          <w:kern w:val="2"/>
          <w:sz w:val="21"/>
          <w:szCs w:val="21"/>
          <w:lang w:val="en-US"/>
        </w:rPr>
        <w:t>～50</w:t>
      </w:r>
      <w:r>
        <w:rPr>
          <w:rFonts w:hint="eastAsia" w:cs="Times New Roman"/>
          <w:color w:val="000000"/>
          <w:kern w:val="2"/>
          <w:sz w:val="21"/>
          <w:szCs w:val="21"/>
          <w:lang w:val="en-US"/>
        </w:rPr>
        <w:t>℃</w:t>
      </w:r>
      <w:r>
        <w:rPr>
          <w:rFonts w:cs="Times New Roman"/>
          <w:color w:val="000000"/>
          <w:kern w:val="2"/>
          <w:sz w:val="21"/>
          <w:szCs w:val="21"/>
          <w:lang w:val="en-US"/>
        </w:rPr>
        <w:t>；</w:t>
      </w:r>
    </w:p>
    <w:p w14:paraId="6424C8AF">
      <w:pPr>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相对湿度：5％～95％；</w:t>
      </w:r>
    </w:p>
    <w:p w14:paraId="4B7129B1">
      <w:pPr>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海拔高度：≤2000m</w:t>
      </w:r>
      <w:r>
        <w:rPr>
          <w:rFonts w:hint="eastAsia" w:cs="Times New Roman"/>
          <w:color w:val="000000"/>
          <w:kern w:val="2"/>
          <w:sz w:val="21"/>
          <w:szCs w:val="21"/>
          <w:lang w:val="en-US"/>
        </w:rPr>
        <w:t>，2000</w:t>
      </w:r>
      <w:r>
        <w:rPr>
          <w:rFonts w:cs="Times New Roman"/>
          <w:color w:val="000000"/>
          <w:kern w:val="2"/>
          <w:sz w:val="21"/>
          <w:szCs w:val="21"/>
          <w:lang w:val="en-US"/>
        </w:rPr>
        <w:t>m以上降额输出；</w:t>
      </w:r>
    </w:p>
    <w:p w14:paraId="3CBECB4D">
      <w:pPr>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大气压强：80kPa～110kPa；</w:t>
      </w:r>
    </w:p>
    <w:p w14:paraId="48EDF2B9">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电源条件</w:t>
      </w:r>
    </w:p>
    <w:p w14:paraId="5F9C87E4">
      <w:pPr>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交流输入电压：380V±15％；</w:t>
      </w:r>
    </w:p>
    <w:p w14:paraId="1F8E03BF">
      <w:pPr>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交流电源频率：45HZ</w:t>
      </w:r>
      <w:r>
        <w:rPr>
          <w:rFonts w:hint="eastAsia" w:cs="Times New Roman"/>
          <w:color w:val="000000"/>
          <w:kern w:val="2"/>
          <w:sz w:val="21"/>
          <w:szCs w:val="21"/>
          <w:lang w:val="en-US"/>
        </w:rPr>
        <w:t>~</w:t>
      </w:r>
      <w:r>
        <w:rPr>
          <w:rFonts w:cs="Times New Roman"/>
          <w:color w:val="000000"/>
          <w:kern w:val="2"/>
          <w:sz w:val="21"/>
          <w:szCs w:val="21"/>
          <w:lang w:val="en-US"/>
        </w:rPr>
        <w:t>65HZ。</w:t>
      </w:r>
    </w:p>
    <w:p w14:paraId="0E8C0C80">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输出电压和额定功率</w:t>
      </w:r>
    </w:p>
    <w:p w14:paraId="06BE194C">
      <w:pPr>
        <w:numPr>
          <w:ilvl w:val="0"/>
          <w:numId w:val="16"/>
        </w:numPr>
        <w:spacing w:line="400" w:lineRule="exact"/>
        <w:jc w:val="both"/>
        <w:rPr>
          <w:rFonts w:cs="Times New Roman"/>
          <w:color w:val="000000"/>
          <w:kern w:val="2"/>
          <w:sz w:val="21"/>
          <w:szCs w:val="21"/>
          <w:lang w:val="en-US"/>
        </w:rPr>
      </w:pPr>
      <w:r>
        <w:rPr>
          <w:rFonts w:cs="Times New Roman"/>
          <w:color w:val="000000"/>
          <w:kern w:val="2"/>
          <w:sz w:val="21"/>
          <w:szCs w:val="21"/>
          <w:lang w:val="en-US"/>
        </w:rPr>
        <w:t>▲</w:t>
      </w:r>
      <w:r>
        <w:rPr>
          <w:rFonts w:hint="eastAsia" w:cs="Times New Roman"/>
          <w:color w:val="000000"/>
          <w:kern w:val="2"/>
          <w:sz w:val="21"/>
          <w:szCs w:val="21"/>
          <w:lang w:val="en-US"/>
        </w:rPr>
        <w:t>直流</w:t>
      </w:r>
      <w:r>
        <w:rPr>
          <w:rFonts w:cs="Times New Roman"/>
          <w:color w:val="000000"/>
          <w:kern w:val="2"/>
          <w:sz w:val="21"/>
          <w:szCs w:val="21"/>
          <w:lang w:val="en-US"/>
        </w:rPr>
        <w:t>输出电压：</w:t>
      </w:r>
      <w:r>
        <w:rPr>
          <w:rFonts w:hint="eastAsia" w:cs="Times New Roman"/>
          <w:color w:val="000000"/>
          <w:kern w:val="2"/>
          <w:sz w:val="21"/>
          <w:szCs w:val="21"/>
          <w:lang w:val="en-US"/>
        </w:rPr>
        <w:t>D</w:t>
      </w:r>
      <w:r>
        <w:rPr>
          <w:rFonts w:cs="Times New Roman"/>
          <w:color w:val="000000"/>
          <w:kern w:val="2"/>
          <w:sz w:val="21"/>
          <w:szCs w:val="21"/>
          <w:lang w:val="en-US"/>
        </w:rPr>
        <w:t>C</w:t>
      </w:r>
      <w:r>
        <w:rPr>
          <w:rFonts w:hint="eastAsia" w:cs="Times New Roman"/>
          <w:color w:val="000000"/>
          <w:kern w:val="2"/>
          <w:sz w:val="21"/>
          <w:szCs w:val="21"/>
          <w:lang w:val="en-US"/>
        </w:rPr>
        <w:t>5</w:t>
      </w:r>
      <w:r>
        <w:rPr>
          <w:rFonts w:cs="Times New Roman"/>
          <w:color w:val="000000"/>
          <w:kern w:val="2"/>
          <w:sz w:val="21"/>
          <w:szCs w:val="21"/>
          <w:lang w:val="en-US"/>
        </w:rPr>
        <w:t>0V-1000V</w:t>
      </w:r>
      <w:r>
        <w:rPr>
          <w:rFonts w:hint="eastAsia" w:cs="Times New Roman"/>
          <w:color w:val="000000"/>
          <w:kern w:val="2"/>
          <w:sz w:val="21"/>
          <w:szCs w:val="21"/>
          <w:lang w:val="en-US"/>
        </w:rPr>
        <w:t>或更优；</w:t>
      </w:r>
    </w:p>
    <w:p w14:paraId="08171B8A">
      <w:pPr>
        <w:numPr>
          <w:ilvl w:val="0"/>
          <w:numId w:val="16"/>
        </w:numPr>
        <w:spacing w:line="400" w:lineRule="exact"/>
        <w:jc w:val="both"/>
        <w:rPr>
          <w:rFonts w:cs="Times New Roman"/>
          <w:color w:val="000000"/>
          <w:kern w:val="2"/>
          <w:sz w:val="21"/>
          <w:szCs w:val="21"/>
          <w:lang w:val="en-US"/>
        </w:rPr>
      </w:pPr>
      <w:r>
        <w:rPr>
          <w:rFonts w:cs="Times New Roman"/>
          <w:color w:val="000000"/>
          <w:kern w:val="2"/>
          <w:sz w:val="21"/>
          <w:szCs w:val="21"/>
          <w:lang w:val="en-US"/>
        </w:rPr>
        <w:t>恒功率</w:t>
      </w:r>
      <w:r>
        <w:rPr>
          <w:rFonts w:hint="eastAsia" w:cs="Times New Roman"/>
          <w:color w:val="000000"/>
          <w:kern w:val="2"/>
          <w:sz w:val="21"/>
          <w:szCs w:val="21"/>
          <w:lang w:val="en-US"/>
        </w:rPr>
        <w:t>段：D</w:t>
      </w:r>
      <w:r>
        <w:rPr>
          <w:rFonts w:cs="Times New Roman"/>
          <w:color w:val="000000"/>
          <w:kern w:val="2"/>
          <w:sz w:val="21"/>
          <w:szCs w:val="21"/>
          <w:lang w:val="en-US"/>
        </w:rPr>
        <w:t>C</w:t>
      </w:r>
      <w:r>
        <w:rPr>
          <w:rFonts w:hint="eastAsia" w:cs="Times New Roman"/>
          <w:color w:val="000000"/>
          <w:kern w:val="2"/>
          <w:sz w:val="21"/>
          <w:szCs w:val="21"/>
          <w:lang w:val="en-US"/>
        </w:rPr>
        <w:t>300V-</w:t>
      </w:r>
      <w:r>
        <w:rPr>
          <w:rFonts w:cs="Times New Roman"/>
          <w:color w:val="000000"/>
          <w:kern w:val="2"/>
          <w:sz w:val="21"/>
          <w:szCs w:val="21"/>
          <w:lang w:val="en-US"/>
        </w:rPr>
        <w:t>100</w:t>
      </w:r>
      <w:r>
        <w:rPr>
          <w:rFonts w:hint="eastAsia" w:cs="Times New Roman"/>
          <w:color w:val="000000"/>
          <w:kern w:val="2"/>
          <w:sz w:val="21"/>
          <w:szCs w:val="21"/>
          <w:lang w:val="en-US"/>
        </w:rPr>
        <w:t>0V或更优。</w:t>
      </w:r>
    </w:p>
    <w:p w14:paraId="2B0A5416">
      <w:pPr>
        <w:numPr>
          <w:ilvl w:val="0"/>
          <w:numId w:val="16"/>
        </w:numPr>
        <w:spacing w:line="400" w:lineRule="exact"/>
        <w:ind w:left="840" w:leftChars="0" w:hanging="360" w:firstLineChars="0"/>
        <w:jc w:val="both"/>
        <w:rPr>
          <w:rFonts w:hint="eastAsia" w:cs="Times New Roman"/>
          <w:color w:val="000000"/>
          <w:kern w:val="2"/>
          <w:sz w:val="21"/>
          <w:szCs w:val="21"/>
          <w:lang w:val="en-US"/>
        </w:rPr>
      </w:pPr>
      <w:r>
        <w:rPr>
          <w:rFonts w:hint="eastAsia" w:cs="Times New Roman"/>
          <w:color w:val="000000"/>
          <w:kern w:val="2"/>
          <w:sz w:val="21"/>
          <w:szCs w:val="21"/>
          <w:lang w:val="en-US"/>
        </w:rPr>
        <w:t>额定</w:t>
      </w:r>
      <w:r>
        <w:rPr>
          <w:rFonts w:cs="Times New Roman"/>
          <w:color w:val="000000"/>
          <w:kern w:val="2"/>
          <w:sz w:val="21"/>
          <w:szCs w:val="21"/>
          <w:lang w:val="en-US"/>
        </w:rPr>
        <w:t>功率</w:t>
      </w:r>
      <w:r>
        <w:rPr>
          <w:rFonts w:hint="eastAsia" w:cs="Times New Roman"/>
          <w:color w:val="000000"/>
          <w:kern w:val="2"/>
          <w:sz w:val="21"/>
          <w:szCs w:val="21"/>
          <w:lang w:val="en-US"/>
        </w:rPr>
        <w:t>：单模块</w:t>
      </w:r>
      <w:r>
        <w:rPr>
          <w:rFonts w:cs="Times New Roman"/>
          <w:color w:val="000000"/>
          <w:kern w:val="2"/>
          <w:sz w:val="21"/>
          <w:szCs w:val="21"/>
          <w:lang w:val="en-US"/>
        </w:rPr>
        <w:t>额定输出功率</w:t>
      </w:r>
      <w:r>
        <w:rPr>
          <w:rFonts w:hint="eastAsia" w:cs="Times New Roman"/>
          <w:color w:val="000000"/>
          <w:kern w:val="2"/>
          <w:sz w:val="21"/>
          <w:szCs w:val="21"/>
          <w:lang w:val="en-US"/>
        </w:rPr>
        <w:t>4</w:t>
      </w:r>
      <w:r>
        <w:rPr>
          <w:rFonts w:cs="Times New Roman"/>
          <w:color w:val="000000"/>
          <w:kern w:val="2"/>
          <w:sz w:val="21"/>
          <w:szCs w:val="21"/>
          <w:lang w:val="en-US"/>
        </w:rPr>
        <w:t>0</w:t>
      </w:r>
      <w:r>
        <w:rPr>
          <w:rFonts w:hint="eastAsia" w:cs="Times New Roman"/>
          <w:color w:val="000000"/>
          <w:kern w:val="2"/>
          <w:sz w:val="21"/>
          <w:szCs w:val="21"/>
          <w:lang w:val="en-US"/>
        </w:rPr>
        <w:t>kW。</w:t>
      </w:r>
    </w:p>
    <w:p w14:paraId="6B77AC1A">
      <w:pPr>
        <w:numPr>
          <w:ilvl w:val="0"/>
          <w:numId w:val="16"/>
        </w:numPr>
        <w:spacing w:line="400" w:lineRule="exact"/>
        <w:ind w:left="840" w:leftChars="0" w:hanging="360" w:firstLineChars="0"/>
        <w:jc w:val="both"/>
        <w:rPr>
          <w:rFonts w:hint="default" w:cs="Times New Roman"/>
          <w:color w:val="000000"/>
          <w:kern w:val="2"/>
          <w:sz w:val="21"/>
          <w:szCs w:val="21"/>
          <w:highlight w:val="none"/>
          <w:woUserID w:val="1"/>
        </w:rPr>
      </w:pPr>
      <w:r>
        <w:rPr>
          <w:rFonts w:cs="Times New Roman"/>
          <w:color w:val="000000"/>
          <w:kern w:val="2"/>
          <w:sz w:val="21"/>
          <w:szCs w:val="21"/>
          <w:highlight w:val="none"/>
          <w:lang w:val="en-US"/>
          <w:woUserID w:val="1"/>
        </w:rPr>
        <w:t>▲</w:t>
      </w:r>
      <w:r>
        <w:rPr>
          <w:rFonts w:hint="default" w:cs="Times New Roman"/>
          <w:color w:val="000000"/>
          <w:kern w:val="2"/>
          <w:sz w:val="21"/>
          <w:szCs w:val="21"/>
          <w:highlight w:val="none"/>
          <w:woUserID w:val="1"/>
        </w:rPr>
        <w:t>充电模块具备输出电压、输出电流、内部温度、电容寿命等遥测信号采集的能力。</w:t>
      </w:r>
    </w:p>
    <w:p w14:paraId="340ED3AC">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低压辅助电源</w:t>
      </w:r>
    </w:p>
    <w:p w14:paraId="3E98357A">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充电机应能为电动汽车提供低压辅助电源，</w:t>
      </w:r>
      <w:r>
        <w:rPr>
          <w:rFonts w:cs="Times New Roman"/>
          <w:caps/>
          <w:color w:val="000000"/>
          <w:sz w:val="21"/>
          <w:szCs w:val="21"/>
          <w:lang w:val="en-US"/>
        </w:rPr>
        <w:t>且具备过负荷、过压、过温保护</w:t>
      </w:r>
      <w:r>
        <w:rPr>
          <w:rFonts w:hint="eastAsia" w:cs="Times New Roman"/>
          <w:caps/>
          <w:color w:val="000000"/>
          <w:sz w:val="21"/>
          <w:szCs w:val="21"/>
          <w:lang w:val="en-US"/>
        </w:rPr>
        <w:t>功能。</w:t>
      </w:r>
    </w:p>
    <w:p w14:paraId="55EB4859">
      <w:pPr>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1）</w:t>
      </w:r>
      <w:r>
        <w:rPr>
          <w:rFonts w:cs="Times New Roman"/>
          <w:color w:val="000000"/>
          <w:kern w:val="2"/>
          <w:sz w:val="21"/>
          <w:szCs w:val="21"/>
          <w:lang w:val="en-US"/>
        </w:rPr>
        <w:t>辅助电源电压：12</w:t>
      </w:r>
      <w:r>
        <w:rPr>
          <w:rFonts w:hint="eastAsia" w:cs="Times New Roman"/>
          <w:color w:val="000000"/>
          <w:kern w:val="2"/>
          <w:sz w:val="21"/>
          <w:szCs w:val="21"/>
          <w:lang w:val="en-US"/>
        </w:rPr>
        <w:t>V</w:t>
      </w:r>
    </w:p>
    <w:p w14:paraId="6483D3ED">
      <w:pPr>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2）充电机辅助电源满足GB/T 18487</w:t>
      </w:r>
      <w:r>
        <w:rPr>
          <w:rFonts w:cs="Times New Roman"/>
          <w:color w:val="000000"/>
          <w:kern w:val="2"/>
          <w:sz w:val="21"/>
          <w:szCs w:val="21"/>
          <w:lang w:val="en-US"/>
        </w:rPr>
        <w:t>.1-2015</w:t>
      </w:r>
      <w:r>
        <w:rPr>
          <w:rFonts w:hint="eastAsia" w:cs="Times New Roman"/>
          <w:color w:val="000000"/>
          <w:kern w:val="2"/>
          <w:sz w:val="21"/>
          <w:szCs w:val="21"/>
          <w:lang w:val="en-US"/>
        </w:rPr>
        <w:t>和Q/GDW</w:t>
      </w:r>
      <w:r>
        <w:rPr>
          <w:rFonts w:cs="Times New Roman"/>
          <w:color w:val="000000"/>
          <w:kern w:val="2"/>
          <w:sz w:val="21"/>
          <w:szCs w:val="21"/>
          <w:lang w:val="en-US"/>
        </w:rPr>
        <w:t xml:space="preserve"> 1594-2014</w:t>
      </w:r>
      <w:r>
        <w:rPr>
          <w:rFonts w:hint="eastAsia" w:cs="Times New Roman"/>
          <w:color w:val="000000"/>
          <w:kern w:val="2"/>
          <w:sz w:val="21"/>
          <w:szCs w:val="21"/>
          <w:lang w:val="en-US"/>
        </w:rPr>
        <w:t>中的要求</w:t>
      </w:r>
      <w:r>
        <w:rPr>
          <w:rFonts w:cs="Times New Roman"/>
          <w:color w:val="000000"/>
          <w:kern w:val="2"/>
          <w:sz w:val="21"/>
          <w:szCs w:val="21"/>
          <w:lang w:val="en-US"/>
        </w:rPr>
        <w:t>；</w:t>
      </w:r>
    </w:p>
    <w:p w14:paraId="6AC162A1">
      <w:pPr>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3）</w:t>
      </w:r>
      <w:r>
        <w:rPr>
          <w:rFonts w:cs="Times New Roman"/>
          <w:color w:val="000000"/>
          <w:kern w:val="2"/>
          <w:sz w:val="21"/>
          <w:szCs w:val="21"/>
          <w:lang w:val="en-US"/>
        </w:rPr>
        <w:t>纹波峰值系数：不超过±1%</w:t>
      </w:r>
      <w:r>
        <w:rPr>
          <w:rFonts w:hint="eastAsia" w:cs="Times New Roman"/>
          <w:color w:val="000000"/>
          <w:kern w:val="2"/>
          <w:sz w:val="21"/>
          <w:szCs w:val="21"/>
          <w:lang w:val="en-US"/>
        </w:rPr>
        <w:t>。</w:t>
      </w:r>
    </w:p>
    <w:p w14:paraId="79219B53">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待机损耗</w:t>
      </w:r>
    </w:p>
    <w:p w14:paraId="68BE2425">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w:t>
      </w:r>
      <w:r>
        <w:rPr>
          <w:rFonts w:hint="eastAsia" w:cs="Times New Roman"/>
          <w:caps/>
          <w:color w:val="000000"/>
          <w:sz w:val="21"/>
          <w:szCs w:val="21"/>
          <w:lang w:val="en-US"/>
        </w:rPr>
        <w:t>整机待机损耗小于等于N</w:t>
      </w:r>
      <w:r>
        <w:rPr>
          <w:rFonts w:cs="Times New Roman"/>
          <w:caps/>
          <w:color w:val="000000"/>
          <w:sz w:val="21"/>
          <w:szCs w:val="21"/>
          <w:lang w:val="en-US"/>
        </w:rPr>
        <w:t>*20</w:t>
      </w:r>
      <w:r>
        <w:rPr>
          <w:rFonts w:hint="eastAsia" w:cs="Times New Roman"/>
          <w:caps/>
          <w:color w:val="000000"/>
          <w:sz w:val="21"/>
          <w:szCs w:val="21"/>
          <w:lang w:val="en-US"/>
        </w:rPr>
        <w:t>W。（N表示车辆接口数量）</w:t>
      </w:r>
    </w:p>
    <w:p w14:paraId="594B362F">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结构要求</w:t>
      </w:r>
    </w:p>
    <w:p w14:paraId="0A0C1587">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一体式直流充电机，</w:t>
      </w:r>
      <w:r>
        <w:rPr>
          <w:rFonts w:cs="Times New Roman"/>
          <w:caps/>
          <w:color w:val="000000"/>
          <w:sz w:val="21"/>
          <w:szCs w:val="21"/>
          <w:lang w:val="en-US"/>
        </w:rPr>
        <w:t>基本</w:t>
      </w:r>
      <w:r>
        <w:rPr>
          <w:rFonts w:hint="eastAsia" w:cs="Times New Roman"/>
          <w:caps/>
          <w:color w:val="000000"/>
          <w:sz w:val="21"/>
          <w:szCs w:val="21"/>
          <w:lang w:val="en-US"/>
        </w:rPr>
        <w:t>构成包括：充电模块、配电单元、控制单元、人机交互单元、</w:t>
      </w:r>
      <w:r>
        <w:rPr>
          <w:rFonts w:cs="Times New Roman"/>
          <w:caps/>
          <w:color w:val="000000"/>
          <w:sz w:val="21"/>
          <w:szCs w:val="21"/>
          <w:lang w:val="en-US"/>
        </w:rPr>
        <w:t>计量</w:t>
      </w:r>
      <w:r>
        <w:rPr>
          <w:rFonts w:hint="eastAsia" w:cs="Times New Roman"/>
          <w:caps/>
          <w:color w:val="000000"/>
          <w:sz w:val="21"/>
          <w:szCs w:val="21"/>
          <w:lang w:val="en-US"/>
        </w:rPr>
        <w:t>单元、</w:t>
      </w:r>
      <w:r>
        <w:rPr>
          <w:rFonts w:cs="Times New Roman"/>
          <w:caps/>
          <w:color w:val="000000"/>
          <w:sz w:val="21"/>
          <w:szCs w:val="21"/>
          <w:lang w:val="en-US"/>
        </w:rPr>
        <w:t>充电接口</w:t>
      </w:r>
      <w:r>
        <w:rPr>
          <w:rFonts w:hint="eastAsia" w:cs="Times New Roman"/>
          <w:caps/>
          <w:color w:val="000000"/>
          <w:sz w:val="21"/>
          <w:szCs w:val="21"/>
          <w:lang w:val="en-US"/>
        </w:rPr>
        <w:t>等，充电机左、右、</w:t>
      </w:r>
      <w:r>
        <w:rPr>
          <w:rFonts w:cs="Times New Roman"/>
          <w:caps/>
          <w:color w:val="000000"/>
          <w:sz w:val="21"/>
          <w:szCs w:val="21"/>
          <w:lang w:val="en-US"/>
        </w:rPr>
        <w:t>前</w:t>
      </w:r>
      <w:r>
        <w:rPr>
          <w:rFonts w:hint="eastAsia" w:cs="Times New Roman"/>
          <w:caps/>
          <w:color w:val="000000"/>
          <w:sz w:val="21"/>
          <w:szCs w:val="21"/>
          <w:lang w:val="en-US"/>
        </w:rPr>
        <w:t>开门，可支持靠墙安装。</w:t>
      </w:r>
    </w:p>
    <w:p w14:paraId="6D1EBB0C">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结构形式</w:t>
      </w:r>
    </w:p>
    <w:p w14:paraId="5D92391A">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一体式直流充电机，柜体带有A、B两把枪，出线方式均为上出线。</w:t>
      </w:r>
      <w:r>
        <w:rPr>
          <w:rFonts w:cs="Times New Roman"/>
          <w:caps/>
          <w:color w:val="000000"/>
          <w:sz w:val="21"/>
          <w:szCs w:val="21"/>
          <w:lang w:val="en-US"/>
        </w:rPr>
        <w:t xml:space="preserve"> </w:t>
      </w:r>
    </w:p>
    <w:p w14:paraId="71D4B644">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外壳要求</w:t>
      </w:r>
    </w:p>
    <w:p w14:paraId="06A1BF28">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充电机采用抗冲击力强、抗老化的材质，</w:t>
      </w:r>
      <w:r>
        <w:rPr>
          <w:rFonts w:cs="Times New Roman"/>
          <w:caps/>
          <w:color w:val="000000"/>
          <w:sz w:val="21"/>
          <w:szCs w:val="21"/>
          <w:lang w:val="en-US"/>
        </w:rPr>
        <w:t>可靠性</w:t>
      </w:r>
      <w:r>
        <w:rPr>
          <w:rFonts w:hint="eastAsia" w:cs="Times New Roman"/>
          <w:caps/>
          <w:color w:val="000000"/>
          <w:sz w:val="21"/>
          <w:szCs w:val="21"/>
          <w:lang w:val="en-US"/>
        </w:rPr>
        <w:t>高，充电机钣金外壳和暴露在外的钣金支架、零件应采取双层防锈措施，非金属外壳也应具有防老化处理</w:t>
      </w:r>
      <w:r>
        <w:rPr>
          <w:rFonts w:cs="Times New Roman"/>
          <w:caps/>
          <w:color w:val="000000"/>
          <w:sz w:val="21"/>
          <w:szCs w:val="21"/>
          <w:lang w:val="en-US"/>
        </w:rPr>
        <w:t>。</w:t>
      </w:r>
    </w:p>
    <w:p w14:paraId="464C94E7">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功能要求</w:t>
      </w:r>
    </w:p>
    <w:p w14:paraId="573F3624">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充电控制功能</w:t>
      </w:r>
    </w:p>
    <w:p w14:paraId="7A1B909E">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充电机应具备自动充电控制功能，可具备手动充电控制功能。充电机采用手动充电控制时，应具有明显的操作提示信息，仅限于专业人员在特殊情况下对充电机设备进行调试或维护时使用。</w:t>
      </w:r>
    </w:p>
    <w:p w14:paraId="30A3A1AF">
      <w:pPr>
        <w:keepNext/>
        <w:keepLines/>
        <w:spacing w:line="400" w:lineRule="exact"/>
        <w:jc w:val="both"/>
        <w:outlineLvl w:val="3"/>
        <w:rPr>
          <w:rFonts w:cs="Times New Roman"/>
          <w:b/>
          <w:bCs/>
          <w:kern w:val="2"/>
          <w:sz w:val="21"/>
          <w:szCs w:val="21"/>
          <w:lang w:val="en-US"/>
        </w:rPr>
      </w:pPr>
      <w:r>
        <w:rPr>
          <w:rFonts w:hint="eastAsia" w:cs="Times New Roman"/>
          <w:b/>
          <w:bCs/>
          <w:kern w:val="2"/>
          <w:sz w:val="21"/>
          <w:szCs w:val="21"/>
          <w:lang w:val="en-US"/>
        </w:rPr>
        <w:t>人机交互功能</w:t>
      </w:r>
    </w:p>
    <w:p w14:paraId="5FAE9D41">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充电机显示下列状态信息：</w:t>
      </w:r>
    </w:p>
    <w:p w14:paraId="34770108">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（1）充电机的运行状态指示：待机、插枪、充电、告警。</w:t>
      </w:r>
    </w:p>
    <w:p w14:paraId="24BBC7FB">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 xml:space="preserve">（2）具有手动充电控制功能的充电机应显示人工输入信息。 </w:t>
      </w:r>
    </w:p>
    <w:p w14:paraId="04BD9E43">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充电机显示下列信息：</w:t>
      </w:r>
    </w:p>
    <w:p w14:paraId="719ED186">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（1）电池当前荷电状态（state of charge, SOC）、充电电压、充电电流、充电功率；</w:t>
      </w:r>
    </w:p>
    <w:p w14:paraId="21F88270">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（2）己充电时间、己充电电量、己充电金额。</w:t>
      </w:r>
    </w:p>
    <w:p w14:paraId="15DF6179">
      <w:pPr>
        <w:keepNext/>
        <w:keepLines/>
        <w:spacing w:line="400" w:lineRule="exact"/>
        <w:jc w:val="both"/>
        <w:outlineLvl w:val="3"/>
        <w:rPr>
          <w:rFonts w:cs="Times New Roman"/>
          <w:b/>
          <w:bCs/>
          <w:kern w:val="2"/>
          <w:sz w:val="21"/>
          <w:szCs w:val="21"/>
          <w:lang w:val="en-US"/>
        </w:rPr>
      </w:pPr>
      <w:r>
        <w:rPr>
          <w:rFonts w:hint="eastAsia" w:cs="Times New Roman"/>
          <w:b/>
          <w:bCs/>
          <w:kern w:val="2"/>
          <w:sz w:val="21"/>
          <w:szCs w:val="21"/>
          <w:lang w:val="en-US"/>
        </w:rPr>
        <w:t>充电启动方式设定</w:t>
      </w:r>
    </w:p>
    <w:p w14:paraId="2EC3AA9C">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充电机支持离线运行和联网运行，多种启动方式可选。</w:t>
      </w:r>
      <w:r>
        <w:rPr>
          <w:rFonts w:cs="Times New Roman"/>
          <w:color w:val="000000"/>
          <w:kern w:val="2"/>
          <w:sz w:val="21"/>
          <w:szCs w:val="21"/>
          <w:lang w:val="en-US"/>
        </w:rPr>
        <w:t>离线</w:t>
      </w:r>
      <w:r>
        <w:rPr>
          <w:rFonts w:hint="eastAsia" w:cs="Times New Roman"/>
          <w:color w:val="000000"/>
          <w:kern w:val="2"/>
          <w:sz w:val="21"/>
          <w:szCs w:val="21"/>
          <w:lang w:val="en-US"/>
        </w:rPr>
        <w:t>支持刷卡、</w:t>
      </w:r>
      <w:r>
        <w:rPr>
          <w:rFonts w:cs="Times New Roman"/>
          <w:color w:val="000000"/>
          <w:kern w:val="2"/>
          <w:sz w:val="21"/>
          <w:szCs w:val="21"/>
          <w:lang w:val="en-US"/>
        </w:rPr>
        <w:t>密码</w:t>
      </w:r>
      <w:r>
        <w:rPr>
          <w:rFonts w:hint="eastAsia" w:cs="Times New Roman"/>
          <w:color w:val="000000"/>
          <w:kern w:val="2"/>
          <w:sz w:val="21"/>
          <w:szCs w:val="21"/>
          <w:lang w:val="en-US"/>
        </w:rPr>
        <w:t>启动方式；联网支持APP、小程序、</w:t>
      </w:r>
      <w:r>
        <w:rPr>
          <w:rFonts w:cs="Times New Roman"/>
          <w:color w:val="000000"/>
          <w:kern w:val="2"/>
          <w:sz w:val="21"/>
          <w:szCs w:val="21"/>
          <w:lang w:val="en-US"/>
        </w:rPr>
        <w:t>刷卡</w:t>
      </w:r>
      <w:r>
        <w:rPr>
          <w:rFonts w:hint="eastAsia" w:cs="Times New Roman"/>
          <w:color w:val="000000"/>
          <w:kern w:val="2"/>
          <w:sz w:val="21"/>
          <w:szCs w:val="21"/>
          <w:lang w:val="en-US"/>
        </w:rPr>
        <w:t>启动方式。</w:t>
      </w:r>
    </w:p>
    <w:p w14:paraId="3B1BC19B">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充电模式和连接方式</w:t>
      </w:r>
    </w:p>
    <w:p w14:paraId="06EAE018">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充电机采用GB/T18487.1-2015附录B中规定的充电模式4和连接方式C对电动汽车进行充电。充电接口应满足GB/T20234.1-2015和 GB/T20234.3-2015的规定。</w:t>
      </w:r>
    </w:p>
    <w:p w14:paraId="46B79286">
      <w:pPr>
        <w:keepNext/>
        <w:keepLines/>
        <w:spacing w:line="400" w:lineRule="exact"/>
        <w:jc w:val="both"/>
        <w:outlineLvl w:val="3"/>
        <w:rPr>
          <w:rFonts w:cs="Times New Roman"/>
          <w:b/>
          <w:bCs/>
          <w:kern w:val="2"/>
          <w:sz w:val="21"/>
          <w:szCs w:val="21"/>
          <w:lang w:val="en-US"/>
        </w:rPr>
      </w:pPr>
      <w:r>
        <w:rPr>
          <w:rFonts w:hint="eastAsia" w:cs="Times New Roman"/>
          <w:b/>
          <w:bCs/>
          <w:kern w:val="2"/>
          <w:sz w:val="21"/>
          <w:szCs w:val="21"/>
          <w:lang w:val="en-US"/>
        </w:rPr>
        <w:t>与电池管理系统通信功能</w:t>
      </w:r>
    </w:p>
    <w:p w14:paraId="0E01F811">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充电机应具有与电池管理系统通信的CAN接口，获得电池管理系统的充电参数和充电实时数据，通信协议应能满足 GB/T 27930-2015的规定。</w:t>
      </w:r>
    </w:p>
    <w:p w14:paraId="16D36CD2">
      <w:pPr>
        <w:keepNext/>
        <w:keepLines/>
        <w:spacing w:line="400" w:lineRule="exact"/>
        <w:jc w:val="both"/>
        <w:outlineLvl w:val="3"/>
        <w:rPr>
          <w:rFonts w:cs="Times New Roman"/>
          <w:b/>
          <w:bCs/>
          <w:kern w:val="2"/>
          <w:sz w:val="21"/>
          <w:szCs w:val="21"/>
          <w:lang w:val="en-US"/>
        </w:rPr>
      </w:pPr>
      <w:r>
        <w:rPr>
          <w:rFonts w:hint="eastAsia" w:cs="Times New Roman"/>
          <w:b/>
          <w:bCs/>
          <w:kern w:val="2"/>
          <w:sz w:val="21"/>
          <w:szCs w:val="21"/>
          <w:lang w:val="en-US"/>
        </w:rPr>
        <w:t>主动</w:t>
      </w:r>
      <w:r>
        <w:rPr>
          <w:rFonts w:cs="Times New Roman"/>
          <w:b/>
          <w:bCs/>
          <w:kern w:val="2"/>
          <w:sz w:val="21"/>
          <w:szCs w:val="21"/>
          <w:lang w:val="en-US"/>
        </w:rPr>
        <w:t>防护过</w:t>
      </w:r>
      <w:r>
        <w:rPr>
          <w:rFonts w:hint="eastAsia" w:cs="Times New Roman"/>
          <w:b/>
          <w:bCs/>
          <w:kern w:val="2"/>
          <w:sz w:val="21"/>
          <w:szCs w:val="21"/>
          <w:lang w:val="en-US"/>
        </w:rPr>
        <w:t>充</w:t>
      </w:r>
      <w:r>
        <w:rPr>
          <w:rFonts w:cs="Times New Roman"/>
          <w:b/>
          <w:bCs/>
          <w:kern w:val="2"/>
          <w:sz w:val="21"/>
          <w:szCs w:val="21"/>
          <w:lang w:val="en-US"/>
        </w:rPr>
        <w:t>设计</w:t>
      </w:r>
    </w:p>
    <w:p w14:paraId="62670EEA">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具备主动监测电动汽车BMS运行状态、电池特性参数及充电机自身的运行状态等功能。</w:t>
      </w:r>
      <w:r>
        <w:rPr>
          <w:rFonts w:hint="eastAsia" w:cs="Times New Roman"/>
          <w:kern w:val="2"/>
          <w:sz w:val="21"/>
          <w:szCs w:val="21"/>
          <w:lang w:val="en-US"/>
        </w:rPr>
        <w:t>通过输入输出保护、通信保护、充电过程保护、功能性保护方面内容，</w:t>
      </w:r>
      <w:r>
        <w:rPr>
          <w:rFonts w:hint="eastAsia" w:cs="Times New Roman"/>
          <w:color w:val="000000"/>
          <w:kern w:val="2"/>
          <w:sz w:val="21"/>
          <w:szCs w:val="21"/>
          <w:lang w:val="en-US"/>
        </w:rPr>
        <w:t>主动诊断并处理故障和异常，实现电动汽车充电过程的主动防护。</w:t>
      </w:r>
    </w:p>
    <w:p w14:paraId="243098F7">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充电控制</w:t>
      </w:r>
    </w:p>
    <w:p w14:paraId="5C022D09">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w:t>
      </w:r>
      <w:r>
        <w:rPr>
          <w:rFonts w:cs="Times New Roman"/>
          <w:caps/>
          <w:color w:val="000000"/>
          <w:sz w:val="21"/>
          <w:szCs w:val="21"/>
          <w:lang w:val="en-US"/>
        </w:rPr>
        <w:t>具备VIN自动识别充电：通过插枪，</w:t>
      </w:r>
      <w:r>
        <w:rPr>
          <w:rFonts w:hint="eastAsia" w:cs="Times New Roman"/>
          <w:caps/>
          <w:color w:val="000000"/>
          <w:sz w:val="21"/>
          <w:szCs w:val="21"/>
          <w:lang w:val="en-US"/>
        </w:rPr>
        <w:t>自动</w:t>
      </w:r>
      <w:r>
        <w:rPr>
          <w:rFonts w:cs="Times New Roman"/>
          <w:caps/>
          <w:color w:val="000000"/>
          <w:sz w:val="21"/>
          <w:szCs w:val="21"/>
          <w:lang w:val="en-US"/>
        </w:rPr>
        <w:t>识别车辆BMS传回的VIN</w:t>
      </w:r>
      <w:r>
        <w:rPr>
          <w:rFonts w:hint="eastAsia" w:cs="Times New Roman"/>
          <w:caps/>
          <w:color w:val="000000"/>
          <w:sz w:val="21"/>
          <w:szCs w:val="21"/>
          <w:lang w:val="en-US"/>
        </w:rPr>
        <w:t>码</w:t>
      </w:r>
      <w:r>
        <w:rPr>
          <w:rFonts w:cs="Times New Roman"/>
          <w:caps/>
          <w:color w:val="000000"/>
          <w:sz w:val="21"/>
          <w:szCs w:val="21"/>
          <w:lang w:val="en-US"/>
        </w:rPr>
        <w:t>，集中控制器识别正确，</w:t>
      </w:r>
      <w:r>
        <w:rPr>
          <w:rFonts w:hint="eastAsia" w:cs="Times New Roman"/>
          <w:caps/>
          <w:color w:val="000000"/>
          <w:sz w:val="21"/>
          <w:szCs w:val="21"/>
          <w:lang w:val="en-US"/>
        </w:rPr>
        <w:t>自动</w:t>
      </w:r>
      <w:r>
        <w:rPr>
          <w:rFonts w:cs="Times New Roman"/>
          <w:caps/>
          <w:color w:val="000000"/>
          <w:sz w:val="21"/>
          <w:szCs w:val="21"/>
          <w:lang w:val="en-US"/>
        </w:rPr>
        <w:t>启动充电或遵循后台设置的</w:t>
      </w:r>
      <w:r>
        <w:rPr>
          <w:rFonts w:hint="eastAsia" w:cs="Times New Roman"/>
          <w:caps/>
          <w:color w:val="000000"/>
          <w:sz w:val="21"/>
          <w:szCs w:val="21"/>
          <w:lang w:val="en-US"/>
        </w:rPr>
        <w:t>启动</w:t>
      </w:r>
      <w:r>
        <w:rPr>
          <w:rFonts w:cs="Times New Roman"/>
          <w:caps/>
          <w:color w:val="000000"/>
          <w:sz w:val="21"/>
          <w:szCs w:val="21"/>
          <w:lang w:val="en-US"/>
        </w:rPr>
        <w:t>充电时间，</w:t>
      </w:r>
      <w:r>
        <w:rPr>
          <w:rFonts w:hint="eastAsia" w:cs="Times New Roman"/>
          <w:caps/>
          <w:color w:val="000000"/>
          <w:sz w:val="21"/>
          <w:szCs w:val="21"/>
          <w:lang w:val="en-US"/>
        </w:rPr>
        <w:t>自动</w:t>
      </w:r>
      <w:r>
        <w:rPr>
          <w:rFonts w:cs="Times New Roman"/>
          <w:caps/>
          <w:color w:val="000000"/>
          <w:sz w:val="21"/>
          <w:szCs w:val="21"/>
          <w:lang w:val="en-US"/>
        </w:rPr>
        <w:t>启动；</w:t>
      </w:r>
      <w:r>
        <w:rPr>
          <w:rFonts w:hint="eastAsia" w:cs="Times New Roman"/>
          <w:caps/>
          <w:color w:val="000000"/>
          <w:sz w:val="21"/>
          <w:szCs w:val="21"/>
          <w:lang w:val="en-US"/>
        </w:rPr>
        <w:t>充电结束</w:t>
      </w:r>
      <w:r>
        <w:rPr>
          <w:rFonts w:cs="Times New Roman"/>
          <w:caps/>
          <w:color w:val="000000"/>
          <w:sz w:val="21"/>
          <w:szCs w:val="21"/>
          <w:lang w:val="en-US"/>
        </w:rPr>
        <w:t>后，</w:t>
      </w:r>
      <w:r>
        <w:rPr>
          <w:rFonts w:hint="eastAsia" w:cs="Times New Roman"/>
          <w:caps/>
          <w:color w:val="000000"/>
          <w:sz w:val="21"/>
          <w:szCs w:val="21"/>
          <w:lang w:val="en-US"/>
        </w:rPr>
        <w:t>自动</w:t>
      </w:r>
      <w:r>
        <w:rPr>
          <w:rFonts w:cs="Times New Roman"/>
          <w:caps/>
          <w:color w:val="000000"/>
          <w:sz w:val="21"/>
          <w:szCs w:val="21"/>
          <w:lang w:val="en-US"/>
        </w:rPr>
        <w:t>停止，</w:t>
      </w:r>
      <w:r>
        <w:rPr>
          <w:rFonts w:hint="eastAsia" w:cs="Times New Roman"/>
          <w:caps/>
          <w:color w:val="000000"/>
          <w:sz w:val="21"/>
          <w:szCs w:val="21"/>
          <w:lang w:val="en-US"/>
        </w:rPr>
        <w:t>充电未结束</w:t>
      </w:r>
      <w:r>
        <w:rPr>
          <w:rFonts w:cs="Times New Roman"/>
          <w:caps/>
          <w:color w:val="000000"/>
          <w:sz w:val="21"/>
          <w:szCs w:val="21"/>
          <w:lang w:val="en-US"/>
        </w:rPr>
        <w:t>时，</w:t>
      </w:r>
      <w:r>
        <w:rPr>
          <w:rFonts w:hint="eastAsia" w:cs="Times New Roman"/>
          <w:caps/>
          <w:color w:val="000000"/>
          <w:sz w:val="21"/>
          <w:szCs w:val="21"/>
          <w:lang w:val="en-US"/>
        </w:rPr>
        <w:t>通过</w:t>
      </w:r>
      <w:r>
        <w:rPr>
          <w:rFonts w:cs="Times New Roman"/>
          <w:caps/>
          <w:color w:val="000000"/>
          <w:sz w:val="21"/>
          <w:szCs w:val="21"/>
          <w:lang w:val="en-US"/>
        </w:rPr>
        <w:t>手机、</w:t>
      </w:r>
      <w:r>
        <w:rPr>
          <w:rFonts w:hint="eastAsia" w:cs="Times New Roman"/>
          <w:caps/>
          <w:color w:val="000000"/>
          <w:sz w:val="21"/>
          <w:szCs w:val="21"/>
          <w:lang w:val="en-US"/>
        </w:rPr>
        <w:t>PAD</w:t>
      </w:r>
      <w:r>
        <w:rPr>
          <w:rFonts w:cs="Times New Roman"/>
          <w:caps/>
          <w:color w:val="000000"/>
          <w:sz w:val="21"/>
          <w:szCs w:val="21"/>
          <w:lang w:val="en-US"/>
        </w:rPr>
        <w:t>、</w:t>
      </w:r>
      <w:r>
        <w:rPr>
          <w:rFonts w:hint="eastAsia" w:cs="Times New Roman"/>
          <w:caps/>
          <w:color w:val="000000"/>
          <w:sz w:val="21"/>
          <w:szCs w:val="21"/>
          <w:lang w:val="en-US"/>
        </w:rPr>
        <w:t>PC</w:t>
      </w:r>
      <w:r>
        <w:rPr>
          <w:rFonts w:cs="Times New Roman"/>
          <w:caps/>
          <w:color w:val="000000"/>
          <w:sz w:val="21"/>
          <w:szCs w:val="21"/>
          <w:lang w:val="en-US"/>
        </w:rPr>
        <w:t>等终端，</w:t>
      </w:r>
      <w:r>
        <w:rPr>
          <w:rFonts w:hint="eastAsia" w:cs="Times New Roman"/>
          <w:caps/>
          <w:color w:val="000000"/>
          <w:sz w:val="21"/>
          <w:szCs w:val="21"/>
          <w:lang w:val="en-US"/>
        </w:rPr>
        <w:t>可</w:t>
      </w:r>
      <w:r>
        <w:rPr>
          <w:rFonts w:cs="Times New Roman"/>
          <w:caps/>
          <w:color w:val="000000"/>
          <w:sz w:val="21"/>
          <w:szCs w:val="21"/>
          <w:lang w:val="en-US"/>
        </w:rPr>
        <w:t>直接选择充电枪，</w:t>
      </w:r>
      <w:r>
        <w:rPr>
          <w:rFonts w:hint="eastAsia" w:cs="Times New Roman"/>
          <w:caps/>
          <w:color w:val="000000"/>
          <w:sz w:val="21"/>
          <w:szCs w:val="21"/>
          <w:lang w:val="en-US"/>
        </w:rPr>
        <w:t>终止</w:t>
      </w:r>
      <w:r>
        <w:rPr>
          <w:rFonts w:cs="Times New Roman"/>
          <w:caps/>
          <w:color w:val="000000"/>
          <w:sz w:val="21"/>
          <w:szCs w:val="21"/>
          <w:lang w:val="en-US"/>
        </w:rPr>
        <w:t>充电。</w:t>
      </w:r>
    </w:p>
    <w:p w14:paraId="6748876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2）定时充电功能</w:t>
      </w:r>
      <w:r>
        <w:rPr>
          <w:rFonts w:cs="Times New Roman"/>
          <w:caps/>
          <w:color w:val="000000"/>
          <w:sz w:val="21"/>
          <w:szCs w:val="21"/>
          <w:lang w:val="en-US"/>
        </w:rPr>
        <w:t>：</w:t>
      </w:r>
      <w:r>
        <w:rPr>
          <w:rFonts w:hint="eastAsia" w:cs="Times New Roman"/>
          <w:caps/>
          <w:color w:val="000000"/>
          <w:sz w:val="21"/>
          <w:szCs w:val="21"/>
          <w:lang w:val="en-US"/>
        </w:rPr>
        <w:t>可以自动或</w:t>
      </w:r>
      <w:r>
        <w:rPr>
          <w:rFonts w:cs="Times New Roman"/>
          <w:caps/>
          <w:color w:val="000000"/>
          <w:sz w:val="21"/>
          <w:szCs w:val="21"/>
          <w:lang w:val="en-US"/>
        </w:rPr>
        <w:t>手动</w:t>
      </w:r>
      <w:r>
        <w:rPr>
          <w:rFonts w:hint="eastAsia" w:cs="Times New Roman"/>
          <w:caps/>
          <w:color w:val="000000"/>
          <w:sz w:val="21"/>
          <w:szCs w:val="21"/>
          <w:lang w:val="en-US"/>
        </w:rPr>
        <w:t>设置充电时间，充分利用低谷电价，降低运营成本</w:t>
      </w:r>
      <w:r>
        <w:rPr>
          <w:rFonts w:cs="Times New Roman"/>
          <w:caps/>
          <w:color w:val="000000"/>
          <w:sz w:val="21"/>
          <w:szCs w:val="21"/>
          <w:lang w:val="en-US"/>
        </w:rPr>
        <w:t>。</w:t>
      </w:r>
    </w:p>
    <w:p w14:paraId="1104A275">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3）智能</w:t>
      </w:r>
      <w:r>
        <w:rPr>
          <w:rFonts w:cs="Times New Roman"/>
          <w:caps/>
          <w:color w:val="000000"/>
          <w:sz w:val="21"/>
          <w:szCs w:val="21"/>
          <w:lang w:val="en-US"/>
        </w:rPr>
        <w:t>充电功能；区域组网，</w:t>
      </w:r>
      <w:r>
        <w:rPr>
          <w:rFonts w:hint="eastAsia" w:cs="Times New Roman"/>
          <w:caps/>
          <w:color w:val="000000"/>
          <w:sz w:val="21"/>
          <w:szCs w:val="21"/>
          <w:lang w:val="en-US"/>
        </w:rPr>
        <w:t>本地</w:t>
      </w:r>
      <w:r>
        <w:rPr>
          <w:rFonts w:cs="Times New Roman"/>
          <w:caps/>
          <w:color w:val="000000"/>
          <w:sz w:val="21"/>
          <w:szCs w:val="21"/>
          <w:lang w:val="en-US"/>
        </w:rPr>
        <w:t>所有充电机</w:t>
      </w:r>
      <w:r>
        <w:rPr>
          <w:rFonts w:hint="eastAsia" w:cs="Times New Roman"/>
          <w:caps/>
          <w:color w:val="000000"/>
          <w:sz w:val="21"/>
          <w:szCs w:val="21"/>
          <w:lang w:val="en-US"/>
        </w:rPr>
        <w:t>协同</w:t>
      </w:r>
      <w:r>
        <w:rPr>
          <w:rFonts w:cs="Times New Roman"/>
          <w:caps/>
          <w:color w:val="000000"/>
          <w:sz w:val="21"/>
          <w:szCs w:val="21"/>
          <w:lang w:val="en-US"/>
        </w:rPr>
        <w:t>，智能错峰充电。</w:t>
      </w:r>
    </w:p>
    <w:p w14:paraId="1CE04FA6">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与电池管理系统通信功能</w:t>
      </w:r>
    </w:p>
    <w:p w14:paraId="22F3877C">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充电机应具有与电池管理系统通信的CAN接口，获得电池管理系统的充电参数和充电实时数据。通信协议应能满足 GB/T 27930-2015的规定。</w:t>
      </w:r>
    </w:p>
    <w:p w14:paraId="1A75432E">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计量功能</w:t>
      </w:r>
    </w:p>
    <w:p w14:paraId="3D37F696">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充电机采用直流侧计量，</w:t>
      </w:r>
      <w:r>
        <w:rPr>
          <w:rFonts w:hint="eastAsia" w:cs="Times New Roman"/>
          <w:caps/>
          <w:color w:val="000000"/>
          <w:sz w:val="21"/>
          <w:szCs w:val="21"/>
          <w:lang w:val="en-US"/>
        </w:rPr>
        <w:t>应具有对每个充电接口输出电能进行计量的功能。电能计量装置应符合国家计量</w:t>
      </w:r>
      <w:r>
        <w:rPr>
          <w:rFonts w:cs="Times New Roman"/>
          <w:caps/>
          <w:color w:val="000000"/>
          <w:sz w:val="21"/>
          <w:szCs w:val="21"/>
          <w:lang w:val="en-US"/>
        </w:rPr>
        <w:t>器具检定</w:t>
      </w:r>
      <w:r>
        <w:rPr>
          <w:rFonts w:hint="eastAsia" w:cs="Times New Roman"/>
          <w:caps/>
          <w:color w:val="000000"/>
          <w:sz w:val="21"/>
          <w:szCs w:val="21"/>
          <w:lang w:val="en-US"/>
        </w:rPr>
        <w:t>相关要求。精确度等级1.0级，电能计量装置具备1个RS485接口，通信协议遵循《DL/T 645-2007多功能电能表通信协议》技术要求。</w:t>
      </w:r>
    </w:p>
    <w:p w14:paraId="0EC49C28">
      <w:pPr>
        <w:spacing w:line="400" w:lineRule="exact"/>
        <w:ind w:firstLine="480"/>
        <w:jc w:val="both"/>
        <w:rPr>
          <w:rFonts w:cs="Times New Roman"/>
          <w:caps/>
          <w:color w:val="000000"/>
          <w:sz w:val="21"/>
          <w:szCs w:val="21"/>
          <w:highlight w:val="none"/>
          <w:lang w:val="en-US"/>
        </w:rPr>
      </w:pPr>
      <w:r>
        <w:rPr>
          <w:rFonts w:cs="Times New Roman"/>
          <w:caps/>
          <w:color w:val="000000"/>
          <w:sz w:val="21"/>
          <w:szCs w:val="21"/>
          <w:highlight w:val="yellow"/>
          <w:lang w:val="en-US"/>
        </w:rPr>
        <w:t>▲</w:t>
      </w:r>
      <w:r>
        <w:rPr>
          <w:rFonts w:hint="default" w:cs="Times New Roman"/>
          <w:caps/>
          <w:color w:val="000000"/>
          <w:sz w:val="21"/>
          <w:szCs w:val="21"/>
          <w:highlight w:val="none"/>
          <w:woUserID w:val="1"/>
        </w:rPr>
        <w:t>充电机内印刷线路板、接插件、充电模块、辅源等电路进行防潮湿、 防霉变、防盐雾处理， 关键器件充电模块、辅源采用全灌胶工艺</w:t>
      </w:r>
      <w:r>
        <w:rPr>
          <w:rFonts w:hint="eastAsia" w:cs="Times New Roman"/>
          <w:caps/>
          <w:color w:val="000000"/>
          <w:sz w:val="21"/>
          <w:szCs w:val="21"/>
          <w:highlight w:val="none"/>
          <w:lang w:val="en-US"/>
        </w:rPr>
        <w:t>。</w:t>
      </w:r>
    </w:p>
    <w:p w14:paraId="40F17DAB">
      <w:pPr>
        <w:keepNext/>
        <w:keepLines/>
        <w:spacing w:line="400" w:lineRule="exact"/>
        <w:jc w:val="both"/>
        <w:outlineLvl w:val="3"/>
        <w:rPr>
          <w:rFonts w:cs="Times New Roman"/>
          <w:b/>
          <w:bCs/>
          <w:color w:val="000000"/>
          <w:kern w:val="2"/>
          <w:sz w:val="21"/>
          <w:szCs w:val="21"/>
          <w:highlight w:val="none"/>
          <w:lang w:val="en-US"/>
        </w:rPr>
      </w:pPr>
      <w:r>
        <w:rPr>
          <w:rFonts w:cs="Times New Roman"/>
          <w:b/>
          <w:bCs/>
          <w:color w:val="000000"/>
          <w:kern w:val="2"/>
          <w:sz w:val="21"/>
          <w:szCs w:val="21"/>
          <w:highlight w:val="none"/>
          <w:lang w:val="en-US"/>
        </w:rPr>
        <w:t>通信功能</w:t>
      </w:r>
    </w:p>
    <w:p w14:paraId="535CE852">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配置4</w:t>
      </w:r>
      <w:r>
        <w:rPr>
          <w:rFonts w:hint="eastAsia" w:cs="Times New Roman"/>
          <w:caps/>
          <w:color w:val="000000"/>
          <w:sz w:val="21"/>
          <w:szCs w:val="21"/>
          <w:lang w:val="en-US"/>
        </w:rPr>
        <w:t>G</w:t>
      </w:r>
      <w:r>
        <w:rPr>
          <w:rFonts w:cs="Times New Roman"/>
          <w:caps/>
          <w:color w:val="000000"/>
          <w:sz w:val="21"/>
          <w:szCs w:val="21"/>
          <w:lang w:val="en-US"/>
        </w:rPr>
        <w:t>通讯模块，</w:t>
      </w:r>
      <w:r>
        <w:rPr>
          <w:rFonts w:hint="eastAsia" w:cs="Times New Roman"/>
          <w:caps/>
          <w:color w:val="000000"/>
          <w:sz w:val="21"/>
          <w:szCs w:val="21"/>
          <w:lang w:val="en-US"/>
        </w:rPr>
        <w:t>采用</w:t>
      </w:r>
      <w:r>
        <w:rPr>
          <w:rFonts w:cs="Times New Roman"/>
          <w:caps/>
          <w:color w:val="000000"/>
          <w:sz w:val="21"/>
          <w:szCs w:val="21"/>
          <w:lang w:val="en-US"/>
        </w:rPr>
        <w:t>4</w:t>
      </w:r>
      <w:r>
        <w:rPr>
          <w:rFonts w:hint="eastAsia" w:cs="Times New Roman"/>
          <w:caps/>
          <w:color w:val="000000"/>
          <w:sz w:val="21"/>
          <w:szCs w:val="21"/>
          <w:lang w:val="en-US"/>
        </w:rPr>
        <w:t>G通讯流量卡连接网络，</w:t>
      </w:r>
      <w:r>
        <w:rPr>
          <w:rFonts w:cs="Times New Roman"/>
          <w:caps/>
          <w:color w:val="000000"/>
          <w:sz w:val="21"/>
          <w:szCs w:val="21"/>
          <w:lang w:val="en-US"/>
        </w:rPr>
        <w:t>手机</w:t>
      </w:r>
      <w:r>
        <w:rPr>
          <w:rFonts w:hint="eastAsia" w:cs="Times New Roman"/>
          <w:caps/>
          <w:color w:val="000000"/>
          <w:sz w:val="21"/>
          <w:szCs w:val="21"/>
          <w:lang w:val="en-US"/>
        </w:rPr>
        <w:t>APP</w:t>
      </w:r>
      <w:r>
        <w:rPr>
          <w:rFonts w:cs="Times New Roman"/>
          <w:caps/>
          <w:color w:val="000000"/>
          <w:sz w:val="21"/>
          <w:szCs w:val="21"/>
          <w:lang w:val="en-US"/>
        </w:rPr>
        <w:t>、PAD、PC</w:t>
      </w:r>
      <w:r>
        <w:rPr>
          <w:rFonts w:hint="eastAsia" w:cs="Times New Roman"/>
          <w:caps/>
          <w:color w:val="000000"/>
          <w:sz w:val="21"/>
          <w:szCs w:val="21"/>
          <w:lang w:val="en-US"/>
        </w:rPr>
        <w:t>登陆云平台进行充电状态的监控</w:t>
      </w:r>
      <w:r>
        <w:rPr>
          <w:rFonts w:cs="Times New Roman"/>
          <w:caps/>
          <w:color w:val="000000"/>
          <w:sz w:val="21"/>
          <w:szCs w:val="21"/>
          <w:lang w:val="en-US"/>
        </w:rPr>
        <w:t>、</w:t>
      </w:r>
      <w:r>
        <w:rPr>
          <w:rFonts w:hint="eastAsia" w:cs="Times New Roman"/>
          <w:caps/>
          <w:color w:val="000000"/>
          <w:sz w:val="21"/>
          <w:szCs w:val="21"/>
          <w:lang w:val="en-US"/>
        </w:rPr>
        <w:t>查询及控制</w:t>
      </w:r>
      <w:r>
        <w:rPr>
          <w:rFonts w:cs="Times New Roman"/>
          <w:caps/>
          <w:color w:val="000000"/>
          <w:sz w:val="21"/>
          <w:szCs w:val="21"/>
          <w:lang w:val="en-US"/>
        </w:rPr>
        <w:t>功能。受后台通讯频次与数据</w:t>
      </w:r>
      <w:r>
        <w:rPr>
          <w:rFonts w:hint="eastAsia" w:cs="Times New Roman"/>
          <w:caps/>
          <w:color w:val="000000"/>
          <w:sz w:val="21"/>
          <w:szCs w:val="21"/>
          <w:lang w:val="en-US"/>
        </w:rPr>
        <w:t>要求</w:t>
      </w:r>
      <w:r>
        <w:rPr>
          <w:rFonts w:cs="Times New Roman"/>
          <w:caps/>
          <w:color w:val="000000"/>
          <w:sz w:val="21"/>
          <w:szCs w:val="21"/>
          <w:lang w:val="en-US"/>
        </w:rPr>
        <w:t>，</w:t>
      </w:r>
      <w:r>
        <w:rPr>
          <w:rFonts w:hint="eastAsia" w:cs="Times New Roman"/>
          <w:caps/>
          <w:color w:val="000000"/>
          <w:sz w:val="21"/>
          <w:szCs w:val="21"/>
          <w:lang w:val="en-US"/>
        </w:rPr>
        <w:t>配置流量卡</w:t>
      </w:r>
      <w:r>
        <w:rPr>
          <w:rFonts w:cs="Times New Roman"/>
          <w:caps/>
          <w:color w:val="000000"/>
          <w:sz w:val="21"/>
          <w:szCs w:val="21"/>
          <w:lang w:val="en-US"/>
        </w:rPr>
        <w:t>具备每月不低于500</w:t>
      </w:r>
      <w:r>
        <w:rPr>
          <w:rFonts w:hint="eastAsia" w:cs="Times New Roman"/>
          <w:caps/>
          <w:color w:val="000000"/>
          <w:sz w:val="21"/>
          <w:szCs w:val="21"/>
          <w:lang w:val="en-US"/>
        </w:rPr>
        <w:t>M</w:t>
      </w:r>
      <w:r>
        <w:rPr>
          <w:rFonts w:cs="Times New Roman"/>
          <w:caps/>
          <w:color w:val="000000"/>
          <w:sz w:val="21"/>
          <w:szCs w:val="21"/>
          <w:lang w:val="en-US"/>
        </w:rPr>
        <w:t>流量／</w:t>
      </w:r>
      <w:r>
        <w:rPr>
          <w:rFonts w:hint="eastAsia" w:cs="Times New Roman"/>
          <w:caps/>
          <w:color w:val="000000"/>
          <w:sz w:val="21"/>
          <w:szCs w:val="21"/>
          <w:lang w:val="en-US"/>
        </w:rPr>
        <w:t>桩</w:t>
      </w:r>
      <w:r>
        <w:rPr>
          <w:rFonts w:cs="Times New Roman"/>
          <w:caps/>
          <w:color w:val="000000"/>
          <w:sz w:val="21"/>
          <w:szCs w:val="21"/>
          <w:lang w:val="en-US"/>
        </w:rPr>
        <w:t>，</w:t>
      </w:r>
      <w:r>
        <w:rPr>
          <w:rFonts w:hint="eastAsia" w:cs="Times New Roman"/>
          <w:caps/>
          <w:color w:val="000000"/>
          <w:sz w:val="21"/>
          <w:szCs w:val="21"/>
          <w:lang w:val="en-US"/>
        </w:rPr>
        <w:t>每个</w:t>
      </w:r>
      <w:r>
        <w:rPr>
          <w:rFonts w:cs="Times New Roman"/>
          <w:caps/>
          <w:color w:val="000000"/>
          <w:sz w:val="21"/>
          <w:szCs w:val="21"/>
          <w:lang w:val="en-US"/>
        </w:rPr>
        <w:t>车位可单独计量、</w:t>
      </w:r>
      <w:r>
        <w:rPr>
          <w:rFonts w:hint="eastAsia" w:cs="Times New Roman"/>
          <w:caps/>
          <w:color w:val="000000"/>
          <w:sz w:val="21"/>
          <w:szCs w:val="21"/>
          <w:lang w:val="en-US"/>
        </w:rPr>
        <w:t>计费</w:t>
      </w:r>
      <w:r>
        <w:rPr>
          <w:rFonts w:cs="Times New Roman"/>
          <w:caps/>
          <w:color w:val="000000"/>
          <w:sz w:val="21"/>
          <w:szCs w:val="21"/>
          <w:lang w:val="en-US"/>
        </w:rPr>
        <w:t>、</w:t>
      </w:r>
      <w:r>
        <w:rPr>
          <w:rFonts w:hint="eastAsia" w:cs="Times New Roman"/>
          <w:caps/>
          <w:color w:val="000000"/>
          <w:sz w:val="21"/>
          <w:szCs w:val="21"/>
          <w:lang w:val="en-US"/>
        </w:rPr>
        <w:t>通信</w:t>
      </w:r>
      <w:r>
        <w:rPr>
          <w:rFonts w:cs="Times New Roman"/>
          <w:caps/>
          <w:color w:val="000000"/>
          <w:sz w:val="21"/>
          <w:szCs w:val="21"/>
          <w:lang w:val="en-US"/>
        </w:rPr>
        <w:t>，流量卡由</w:t>
      </w:r>
      <w:r>
        <w:rPr>
          <w:rFonts w:hint="eastAsia" w:cs="Times New Roman"/>
          <w:caps/>
          <w:color w:val="000000"/>
          <w:sz w:val="21"/>
          <w:szCs w:val="21"/>
          <w:lang w:val="en-US"/>
        </w:rPr>
        <w:t>投标人</w:t>
      </w:r>
      <w:r>
        <w:rPr>
          <w:rFonts w:cs="Times New Roman"/>
          <w:caps/>
          <w:color w:val="000000"/>
          <w:sz w:val="21"/>
          <w:szCs w:val="21"/>
          <w:lang w:val="en-US"/>
        </w:rPr>
        <w:t>提供，</w:t>
      </w:r>
      <w:r>
        <w:rPr>
          <w:rFonts w:hint="eastAsia" w:cs="Times New Roman"/>
          <w:caps/>
          <w:color w:val="000000"/>
          <w:sz w:val="21"/>
          <w:szCs w:val="21"/>
          <w:lang w:val="en-US"/>
        </w:rPr>
        <w:t>自行计入</w:t>
      </w:r>
      <w:r>
        <w:rPr>
          <w:rFonts w:cs="Times New Roman"/>
          <w:caps/>
          <w:color w:val="000000"/>
          <w:sz w:val="21"/>
          <w:szCs w:val="21"/>
          <w:lang w:val="en-US"/>
        </w:rPr>
        <w:t>成本，</w:t>
      </w:r>
      <w:r>
        <w:rPr>
          <w:rFonts w:hint="eastAsia" w:cs="Times New Roman"/>
          <w:caps/>
          <w:color w:val="000000"/>
          <w:sz w:val="21"/>
          <w:szCs w:val="21"/>
          <w:lang w:val="en-US"/>
        </w:rPr>
        <w:t>通讯运营商</w:t>
      </w:r>
      <w:r>
        <w:rPr>
          <w:rFonts w:cs="Times New Roman"/>
          <w:caps/>
          <w:color w:val="000000"/>
          <w:sz w:val="21"/>
          <w:szCs w:val="21"/>
          <w:lang w:val="en-US"/>
        </w:rPr>
        <w:t>的选择根据充电站所在位置选择网络较好的运营商，由招标人在下单时提供。自行配</w:t>
      </w:r>
      <w:r>
        <w:rPr>
          <w:rFonts w:hint="eastAsia" w:cs="Times New Roman"/>
          <w:caps/>
          <w:color w:val="000000"/>
          <w:sz w:val="21"/>
          <w:szCs w:val="21"/>
          <w:lang w:val="en-US"/>
        </w:rPr>
        <w:t>置</w:t>
      </w:r>
      <w:r>
        <w:rPr>
          <w:rFonts w:cs="Times New Roman"/>
          <w:caps/>
          <w:color w:val="000000"/>
          <w:sz w:val="21"/>
          <w:szCs w:val="21"/>
          <w:lang w:val="en-US"/>
        </w:rPr>
        <w:t>工业级无线路由器（全网通通信模块，兼容4G/3G/2G频段，</w:t>
      </w:r>
      <w:r>
        <w:rPr>
          <w:rFonts w:hint="eastAsia" w:cs="Times New Roman"/>
          <w:caps/>
          <w:color w:val="000000"/>
          <w:sz w:val="21"/>
          <w:szCs w:val="21"/>
          <w:lang w:val="en-US"/>
        </w:rPr>
        <w:t>有线</w:t>
      </w:r>
      <w:r>
        <w:rPr>
          <w:rFonts w:cs="Times New Roman"/>
          <w:caps/>
          <w:color w:val="000000"/>
          <w:sz w:val="21"/>
          <w:szCs w:val="21"/>
          <w:lang w:val="en-US"/>
        </w:rPr>
        <w:t>加无线双网互备）。</w:t>
      </w:r>
    </w:p>
    <w:p w14:paraId="09B83D60">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流量统计功能</w:t>
      </w:r>
    </w:p>
    <w:p w14:paraId="36494FEE">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具有对外通信流量统计功能，并显示流量信息。</w:t>
      </w:r>
    </w:p>
    <w:p w14:paraId="5E4EC7F8">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▲远程</w:t>
      </w:r>
      <w:r>
        <w:rPr>
          <w:rFonts w:hint="eastAsia" w:cs="Times New Roman"/>
          <w:b/>
          <w:bCs/>
          <w:color w:val="000000"/>
          <w:kern w:val="2"/>
          <w:sz w:val="21"/>
          <w:szCs w:val="21"/>
          <w:lang w:val="en-US"/>
        </w:rPr>
        <w:t>运维</w:t>
      </w:r>
    </w:p>
    <w:p w14:paraId="6CC750B1">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为保证充电机运维售后的及时性，充电机应具备以下功能：</w:t>
      </w:r>
    </w:p>
    <w:p w14:paraId="1C506FE9">
      <w:pPr>
        <w:numPr>
          <w:ilvl w:val="0"/>
          <w:numId w:val="17"/>
        </w:numPr>
        <w:spacing w:line="400" w:lineRule="exact"/>
        <w:jc w:val="both"/>
        <w:rPr>
          <w:rFonts w:cs="Times New Roman"/>
          <w:caps/>
          <w:color w:val="000000"/>
          <w:sz w:val="21"/>
          <w:szCs w:val="21"/>
          <w:lang w:val="en-US"/>
        </w:rPr>
      </w:pPr>
      <w:r>
        <w:rPr>
          <w:rFonts w:hint="eastAsia" w:cs="Times New Roman"/>
          <w:caps/>
          <w:color w:val="000000"/>
          <w:sz w:val="21"/>
          <w:szCs w:val="21"/>
          <w:lang w:val="en-US"/>
        </w:rPr>
        <w:t>远程系统程序升级、设置充电参数、故障监控运维功能；</w:t>
      </w:r>
    </w:p>
    <w:p w14:paraId="3DF83CDD">
      <w:pPr>
        <w:numPr>
          <w:ilvl w:val="0"/>
          <w:numId w:val="17"/>
        </w:numPr>
        <w:spacing w:line="400" w:lineRule="exact"/>
        <w:jc w:val="both"/>
        <w:rPr>
          <w:rFonts w:cs="Times New Roman"/>
          <w:caps/>
          <w:color w:val="000000"/>
          <w:sz w:val="21"/>
          <w:szCs w:val="21"/>
          <w:lang w:val="en-US"/>
        </w:rPr>
      </w:pPr>
      <w:r>
        <w:rPr>
          <w:rFonts w:hint="eastAsia" w:cs="Times New Roman"/>
          <w:caps/>
          <w:color w:val="000000"/>
          <w:sz w:val="21"/>
          <w:szCs w:val="21"/>
          <w:lang w:val="en-US"/>
        </w:rPr>
        <w:t>具备便携式</w:t>
      </w:r>
      <w:r>
        <w:rPr>
          <w:rFonts w:cs="Times New Roman"/>
          <w:caps/>
          <w:color w:val="000000"/>
          <w:sz w:val="21"/>
          <w:szCs w:val="21"/>
          <w:lang w:val="en-US"/>
        </w:rPr>
        <w:t>BMS 报文抓取接口，无须拆除其他接线及端子</w:t>
      </w:r>
      <w:r>
        <w:rPr>
          <w:rFonts w:hint="eastAsia" w:cs="Times New Roman"/>
          <w:caps/>
          <w:color w:val="000000"/>
          <w:sz w:val="21"/>
          <w:szCs w:val="21"/>
          <w:lang w:val="en-US"/>
        </w:rPr>
        <w:t>。</w:t>
      </w:r>
    </w:p>
    <w:p w14:paraId="6B9776B0">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开门断电功能</w:t>
      </w:r>
    </w:p>
    <w:p w14:paraId="52608B4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充电机应在开门有裸露电气部分的门位置安装信号开关，当在充电前或充电中开门时，其信号开关应将信号传至总开关，并执行断开交流电源动作，以保证人身安全。</w:t>
      </w:r>
    </w:p>
    <w:p w14:paraId="6984CC5C">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辅助检修功能</w:t>
      </w:r>
    </w:p>
    <w:p w14:paraId="6BD21E79">
      <w:pPr>
        <w:spacing w:line="400" w:lineRule="exact"/>
        <w:ind w:firstLine="480"/>
        <w:jc w:val="both"/>
        <w:rPr>
          <w:rFonts w:cs="Times New Roman"/>
          <w:caps/>
          <w:sz w:val="21"/>
          <w:szCs w:val="21"/>
          <w:lang w:val="en-US"/>
        </w:rPr>
      </w:pPr>
      <w:r>
        <w:rPr>
          <w:rFonts w:hint="eastAsia" w:cs="Times New Roman"/>
          <w:caps/>
          <w:color w:val="000000"/>
          <w:sz w:val="21"/>
          <w:szCs w:val="21"/>
          <w:lang w:val="en-US"/>
        </w:rPr>
        <w:t>充电机具有柜内照明灯和柜内220V维护插座，便于后期现场运维检修。</w:t>
      </w:r>
    </w:p>
    <w:p w14:paraId="44979D31">
      <w:pPr>
        <w:keepNext/>
        <w:keepLines/>
        <w:spacing w:line="36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双枪同充功能</w:t>
      </w:r>
    </w:p>
    <w:p w14:paraId="3E55C02F">
      <w:pPr>
        <w:spacing w:line="36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充电机支持双枪同充功能，可两把枪同时给一辆车充电，实现最大功率输出，在充电完成拔枪后未归位，系统提示请还枪归位，可减少枪头随意放置的情况。</w:t>
      </w:r>
    </w:p>
    <w:p w14:paraId="50184191">
      <w:pPr>
        <w:keepNext/>
        <w:keepLines/>
        <w:spacing w:line="36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备份</w:t>
      </w:r>
      <w:r>
        <w:rPr>
          <w:rFonts w:cs="Times New Roman"/>
          <w:b/>
          <w:bCs/>
          <w:color w:val="000000"/>
          <w:kern w:val="2"/>
          <w:sz w:val="21"/>
          <w:szCs w:val="21"/>
          <w:lang w:val="en-US"/>
        </w:rPr>
        <w:t>存储自动上传</w:t>
      </w:r>
    </w:p>
    <w:p w14:paraId="74DDB091">
      <w:pPr>
        <w:spacing w:line="360" w:lineRule="exact"/>
        <w:ind w:firstLine="480"/>
        <w:jc w:val="both"/>
        <w:rPr>
          <w:rFonts w:cs="Times New Roman"/>
          <w:caps/>
          <w:color w:val="000000"/>
          <w:sz w:val="21"/>
          <w:szCs w:val="21"/>
          <w:lang w:val="en-US"/>
        </w:rPr>
      </w:pPr>
      <w:r>
        <w:rPr>
          <w:rFonts w:cs="Times New Roman"/>
          <w:caps/>
          <w:color w:val="000000"/>
          <w:sz w:val="21"/>
          <w:szCs w:val="21"/>
          <w:lang w:val="en-US"/>
        </w:rPr>
        <w:t>本地系统自动备份</w:t>
      </w:r>
      <w:r>
        <w:rPr>
          <w:rFonts w:hint="eastAsia" w:cs="Times New Roman"/>
          <w:caps/>
          <w:color w:val="000000"/>
          <w:sz w:val="21"/>
          <w:szCs w:val="21"/>
          <w:lang w:val="en-US"/>
        </w:rPr>
        <w:t>离网</w:t>
      </w:r>
      <w:r>
        <w:rPr>
          <w:rFonts w:cs="Times New Roman"/>
          <w:caps/>
          <w:color w:val="000000"/>
          <w:sz w:val="21"/>
          <w:szCs w:val="21"/>
          <w:lang w:val="en-US"/>
        </w:rPr>
        <w:t>数据，</w:t>
      </w:r>
      <w:r>
        <w:rPr>
          <w:rFonts w:hint="eastAsia" w:cs="Times New Roman"/>
          <w:caps/>
          <w:color w:val="000000"/>
          <w:sz w:val="21"/>
          <w:szCs w:val="21"/>
          <w:lang w:val="en-US"/>
        </w:rPr>
        <w:t>并实现</w:t>
      </w:r>
      <w:r>
        <w:rPr>
          <w:rFonts w:cs="Times New Roman"/>
          <w:caps/>
          <w:color w:val="000000"/>
          <w:sz w:val="21"/>
          <w:szCs w:val="21"/>
          <w:lang w:val="en-US"/>
        </w:rPr>
        <w:t>上传。</w:t>
      </w:r>
      <w:r>
        <w:rPr>
          <w:rFonts w:hint="eastAsia" w:cs="Times New Roman"/>
          <w:caps/>
          <w:color w:val="000000"/>
          <w:sz w:val="21"/>
          <w:szCs w:val="21"/>
          <w:lang w:val="en-US"/>
        </w:rPr>
        <w:t>并且具有U盘鉴权能力，具有通过有加密的特殊U盘才能进行软件升级和拷贝数据的功能。</w:t>
      </w:r>
    </w:p>
    <w:p w14:paraId="2883476E">
      <w:pPr>
        <w:keepNext/>
        <w:keepLines/>
        <w:spacing w:line="36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w:t>
      </w:r>
      <w:r>
        <w:rPr>
          <w:rFonts w:hint="eastAsia" w:cs="Times New Roman"/>
          <w:b/>
          <w:bCs/>
          <w:color w:val="000000"/>
          <w:kern w:val="2"/>
          <w:sz w:val="21"/>
          <w:szCs w:val="21"/>
          <w:lang w:val="en-US"/>
        </w:rPr>
        <w:t>模块自主休眠</w:t>
      </w:r>
    </w:p>
    <w:p w14:paraId="51B6443F">
      <w:pPr>
        <w:adjustRightInd w:val="0"/>
        <w:snapToGrid w:val="0"/>
        <w:spacing w:line="36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充电</w:t>
      </w:r>
      <w:r>
        <w:rPr>
          <w:rFonts w:hint="eastAsia" w:cs="Times New Roman"/>
          <w:color w:val="000000"/>
          <w:kern w:val="2"/>
          <w:sz w:val="21"/>
          <w:szCs w:val="21"/>
          <w:lang w:val="en-US"/>
        </w:rPr>
        <w:t>机在不充电情况下，可以切掉主功率模块，减少待机功率。</w:t>
      </w:r>
    </w:p>
    <w:p w14:paraId="254D467A">
      <w:pPr>
        <w:keepNext/>
        <w:keepLines/>
        <w:spacing w:line="36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锁止功能</w:t>
      </w:r>
    </w:p>
    <w:p w14:paraId="38BE7BD4">
      <w:pPr>
        <w:adjustRightInd w:val="0"/>
        <w:snapToGrid w:val="0"/>
        <w:spacing w:line="36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充电</w:t>
      </w:r>
      <w:r>
        <w:rPr>
          <w:rFonts w:hint="eastAsia" w:cs="Times New Roman"/>
          <w:color w:val="000000"/>
          <w:kern w:val="2"/>
          <w:sz w:val="21"/>
          <w:szCs w:val="21"/>
          <w:lang w:val="en-US"/>
        </w:rPr>
        <w:t>枪应安装电子锁止装置，具有枪头锁止功能，防止充电过程中意外</w:t>
      </w:r>
      <w:r>
        <w:rPr>
          <w:rFonts w:cs="Times New Roman"/>
          <w:color w:val="000000"/>
          <w:kern w:val="2"/>
          <w:sz w:val="21"/>
          <w:szCs w:val="21"/>
          <w:lang w:val="en-US"/>
        </w:rPr>
        <w:t>拔枪</w:t>
      </w:r>
      <w:r>
        <w:rPr>
          <w:rFonts w:hint="eastAsia" w:cs="Times New Roman"/>
          <w:color w:val="000000"/>
          <w:kern w:val="2"/>
          <w:sz w:val="21"/>
          <w:szCs w:val="21"/>
          <w:lang w:val="en-US"/>
        </w:rPr>
        <w:t>，当电子锁未可靠锁止时，充电机应不能启动充电或立即停止充电。</w:t>
      </w:r>
    </w:p>
    <w:p w14:paraId="79534578">
      <w:pPr>
        <w:keepNext/>
        <w:keepLines/>
        <w:spacing w:line="36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超温断电</w:t>
      </w:r>
    </w:p>
    <w:p w14:paraId="14A1F5FC">
      <w:pPr>
        <w:adjustRightInd w:val="0"/>
        <w:snapToGrid w:val="0"/>
        <w:spacing w:line="36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充电枪带有</w:t>
      </w:r>
      <w:r>
        <w:rPr>
          <w:rFonts w:hint="eastAsia" w:cs="Times New Roman"/>
          <w:color w:val="000000"/>
          <w:kern w:val="2"/>
          <w:sz w:val="21"/>
          <w:szCs w:val="21"/>
          <w:lang w:val="en-US"/>
        </w:rPr>
        <w:t>温度检测功能，充电过程对枪头DC+/DC-端子连接处进行温度实时检测</w:t>
      </w:r>
      <w:r>
        <w:rPr>
          <w:rFonts w:cs="Times New Roman"/>
          <w:color w:val="000000"/>
          <w:kern w:val="2"/>
          <w:sz w:val="21"/>
          <w:szCs w:val="21"/>
          <w:lang w:val="en-US"/>
        </w:rPr>
        <w:t>。</w:t>
      </w:r>
      <w:r>
        <w:rPr>
          <w:rFonts w:hint="eastAsia" w:cs="Times New Roman"/>
          <w:color w:val="000000"/>
          <w:kern w:val="2"/>
          <w:sz w:val="21"/>
          <w:szCs w:val="21"/>
          <w:lang w:val="en-US"/>
        </w:rPr>
        <w:t>当确认充电枪头温度达到90℃两分钟后，充电机限制输出电流为当前直流电表检测值的90%；当确认充电枪头温度达到95℃两分钟后，充电机限制输出电流为当前直流电表检测值的80%；当确认充电枪头温度达到100℃两分钟后，充电机限制输出电流为当前直流电表检测值的70%；当确认充电枪头温度达到110℃两秒钟后，充电机立即停止充电，</w:t>
      </w:r>
      <w:r>
        <w:rPr>
          <w:rFonts w:cs="Times New Roman"/>
          <w:color w:val="000000"/>
          <w:kern w:val="2"/>
          <w:sz w:val="21"/>
          <w:szCs w:val="21"/>
          <w:lang w:val="en-US"/>
        </w:rPr>
        <w:t>并</w:t>
      </w:r>
      <w:r>
        <w:rPr>
          <w:rFonts w:hint="eastAsia" w:cs="Times New Roman"/>
          <w:color w:val="000000"/>
          <w:kern w:val="2"/>
          <w:sz w:val="21"/>
          <w:szCs w:val="21"/>
          <w:lang w:val="en-US"/>
        </w:rPr>
        <w:t>发出过温故障提示。</w:t>
      </w:r>
    </w:p>
    <w:p w14:paraId="311DCB68">
      <w:pPr>
        <w:keepNext/>
        <w:keepLines/>
        <w:spacing w:line="36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GPS</w:t>
      </w:r>
      <w:r>
        <w:rPr>
          <w:rFonts w:hint="eastAsia" w:cs="Times New Roman"/>
          <w:b/>
          <w:bCs/>
          <w:color w:val="000000"/>
          <w:kern w:val="2"/>
          <w:sz w:val="21"/>
          <w:szCs w:val="21"/>
          <w:lang w:val="en-US"/>
        </w:rPr>
        <w:t>定位功能</w:t>
      </w:r>
    </w:p>
    <w:p w14:paraId="1AFDBE6F">
      <w:pPr>
        <w:spacing w:line="360" w:lineRule="exact"/>
        <w:ind w:firstLine="480"/>
        <w:jc w:val="both"/>
        <w:rPr>
          <w:rFonts w:cs="Times New Roman"/>
          <w:caps/>
          <w:color w:val="000000"/>
          <w:sz w:val="21"/>
          <w:szCs w:val="21"/>
          <w:lang w:val="en-US"/>
        </w:rPr>
      </w:pPr>
      <w:r>
        <w:rPr>
          <w:rFonts w:hint="eastAsia" w:cs="Times New Roman"/>
          <w:caps/>
          <w:color w:val="000000"/>
          <w:sz w:val="21"/>
          <w:szCs w:val="21"/>
          <w:lang w:val="en-US"/>
        </w:rPr>
        <w:t>具有定位设备所在地理位置，并记录信息，定位精度小于200m。</w:t>
      </w:r>
    </w:p>
    <w:p w14:paraId="350240FE">
      <w:pPr>
        <w:keepNext/>
        <w:keepLines/>
        <w:spacing w:line="36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耐气候环境要求</w:t>
      </w:r>
    </w:p>
    <w:p w14:paraId="687CBC55">
      <w:pPr>
        <w:keepNext/>
        <w:keepLines/>
        <w:spacing w:line="36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防护等级</w:t>
      </w:r>
    </w:p>
    <w:p w14:paraId="3FD8EF80">
      <w:pPr>
        <w:spacing w:line="360" w:lineRule="exact"/>
        <w:ind w:firstLine="480"/>
        <w:jc w:val="both"/>
        <w:rPr>
          <w:rFonts w:hint="default" w:cs="Times New Roman"/>
          <w:caps/>
          <w:color w:val="000000"/>
          <w:sz w:val="21"/>
          <w:szCs w:val="21"/>
          <w:woUserID w:val="1"/>
        </w:rPr>
      </w:pPr>
      <w:r>
        <w:rPr>
          <w:rFonts w:cs="Times New Roman"/>
          <w:caps/>
          <w:color w:val="000000"/>
          <w:sz w:val="21"/>
          <w:szCs w:val="21"/>
          <w:lang w:val="en-US"/>
        </w:rPr>
        <w:t>▲</w:t>
      </w:r>
      <w:r>
        <w:rPr>
          <w:rFonts w:hint="eastAsia" w:cs="Times New Roman"/>
          <w:caps/>
          <w:color w:val="000000"/>
          <w:sz w:val="21"/>
          <w:szCs w:val="21"/>
          <w:lang w:val="en-US"/>
        </w:rPr>
        <w:t>充电机的柜体防护等级不应低于IP5</w:t>
      </w:r>
      <w:r>
        <w:rPr>
          <w:rFonts w:cs="Times New Roman"/>
          <w:caps/>
          <w:color w:val="000000"/>
          <w:sz w:val="21"/>
          <w:szCs w:val="21"/>
          <w:lang w:val="en-US"/>
        </w:rPr>
        <w:t>5</w:t>
      </w:r>
      <w:r>
        <w:rPr>
          <w:rFonts w:hint="eastAsia" w:cs="Times New Roman"/>
          <w:caps/>
          <w:color w:val="000000"/>
          <w:sz w:val="21"/>
          <w:szCs w:val="21"/>
          <w:lang w:val="en-US"/>
        </w:rPr>
        <w:t>，至少具备双层分离式防尘网防护。</w:t>
      </w:r>
      <w:r>
        <w:rPr>
          <w:rFonts w:hint="default" w:cs="Times New Roman"/>
          <w:caps/>
          <w:color w:val="000000"/>
          <w:sz w:val="21"/>
          <w:szCs w:val="21"/>
          <w:highlight w:val="yellow"/>
          <w:woUserID w:val="1"/>
        </w:rPr>
        <w:t>满足《T/CEC 214—2019 电动汽车非车载充电机 高温沿海地区特殊要求》或T/CEC 213-2019的要求（内部结构、外壳涂装检查、铭牌材料检查、三防试验、湿热试验、防太阳辐射）。</w:t>
      </w:r>
    </w:p>
    <w:p w14:paraId="678CF4F0">
      <w:pPr>
        <w:keepNext/>
        <w:keepLines/>
        <w:spacing w:line="36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三防（防潮湿，防霉变，防盐雾）保护</w:t>
      </w:r>
    </w:p>
    <w:p w14:paraId="6C5DFCAF">
      <w:pPr>
        <w:keepNext/>
        <w:keepLines/>
        <w:spacing w:line="400" w:lineRule="exact"/>
        <w:jc w:val="both"/>
        <w:outlineLvl w:val="3"/>
        <w:rPr>
          <w:rFonts w:hint="default" w:cs="Times New Roman"/>
          <w:color w:val="000000"/>
          <w:kern w:val="2"/>
          <w:sz w:val="21"/>
          <w:szCs w:val="21"/>
          <w:woUserID w:val="1"/>
        </w:rPr>
      </w:pPr>
      <w:r>
        <w:rPr>
          <w:rFonts w:hint="default" w:cs="Times New Roman"/>
          <w:color w:val="000000"/>
          <w:kern w:val="2"/>
          <w:sz w:val="21"/>
          <w:szCs w:val="21"/>
          <w:woUserID w:val="1"/>
        </w:rPr>
        <w:t xml:space="preserve">  </w:t>
      </w:r>
      <w:r>
        <w:rPr>
          <w:rFonts w:hint="default" w:cs="Times New Roman"/>
          <w:color w:val="000000"/>
          <w:kern w:val="2"/>
          <w:sz w:val="21"/>
          <w:szCs w:val="21"/>
          <w:highlight w:val="yellow"/>
          <w:woUserID w:val="1"/>
        </w:rPr>
        <w:t xml:space="preserve">  </w:t>
      </w:r>
      <w:r>
        <w:rPr>
          <w:rFonts w:cs="Times New Roman"/>
          <w:caps/>
          <w:color w:val="000000"/>
          <w:sz w:val="21"/>
          <w:szCs w:val="21"/>
          <w:highlight w:val="yellow"/>
          <w:lang w:val="en-US"/>
          <w:woUserID w:val="1"/>
        </w:rPr>
        <w:t>▲</w:t>
      </w:r>
      <w:r>
        <w:rPr>
          <w:rFonts w:hint="default" w:cs="Times New Roman"/>
          <w:color w:val="000000"/>
          <w:kern w:val="2"/>
          <w:sz w:val="21"/>
          <w:szCs w:val="21"/>
          <w:highlight w:val="yellow"/>
          <w:woUserID w:val="1"/>
        </w:rPr>
        <w:t>充电机及充电模块内的印刷线路板采用三防漆浸没涂覆的工艺，能够适用于高温度、高湿度、高盐雾的环境。</w:t>
      </w:r>
    </w:p>
    <w:p w14:paraId="29F87BD1">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防锈(防氧化)保护</w:t>
      </w:r>
    </w:p>
    <w:p w14:paraId="1829F8EA">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充电机铁质外壳和暴露在外的铁质支架、零件应采取双层防锈措施，非铁质的金属外壳也应具有防氧化保护膜或进行防氧化处理</w:t>
      </w:r>
      <w:r>
        <w:rPr>
          <w:rFonts w:cs="Times New Roman"/>
          <w:caps/>
          <w:color w:val="000000"/>
          <w:sz w:val="21"/>
          <w:szCs w:val="21"/>
          <w:lang w:val="en-US"/>
        </w:rPr>
        <w:t>。</w:t>
      </w:r>
    </w:p>
    <w:p w14:paraId="1EE90AA3">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防风保护</w:t>
      </w:r>
    </w:p>
    <w:p w14:paraId="437517AF">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充电机应能承受GB/T 4797.5-2008中规定的不同地区最大风速的侵袭。</w:t>
      </w:r>
    </w:p>
    <w:p w14:paraId="0014B72C">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防护要求</w:t>
      </w:r>
    </w:p>
    <w:p w14:paraId="4E2524FA">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允许温度</w:t>
      </w:r>
    </w:p>
    <w:p w14:paraId="0BB1ABED">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w:t>
      </w:r>
      <w:r>
        <w:rPr>
          <w:rFonts w:cs="Times New Roman"/>
          <w:caps/>
          <w:color w:val="000000"/>
          <w:sz w:val="21"/>
          <w:szCs w:val="21"/>
          <w:lang w:val="en-US"/>
        </w:rPr>
        <w:t>在40</w:t>
      </w:r>
      <w:r>
        <w:rPr>
          <w:rFonts w:hint="eastAsia" w:cs="Times New Roman"/>
          <w:caps/>
          <w:color w:val="000000"/>
          <w:sz w:val="21"/>
          <w:szCs w:val="21"/>
          <w:lang w:val="en-US"/>
        </w:rPr>
        <w:t>℃</w:t>
      </w:r>
      <w:r>
        <w:rPr>
          <w:rFonts w:cs="Times New Roman"/>
          <w:caps/>
          <w:color w:val="000000"/>
          <w:sz w:val="21"/>
          <w:szCs w:val="21"/>
          <w:lang w:val="en-US"/>
        </w:rPr>
        <w:t>环境温度下，充电机可用手接触部分允许的最高温度应为：</w:t>
      </w:r>
    </w:p>
    <w:p w14:paraId="4D13CF38">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——金属部分，50</w:t>
      </w:r>
      <w:r>
        <w:rPr>
          <w:rFonts w:hint="eastAsia" w:cs="Times New Roman"/>
          <w:caps/>
          <w:color w:val="000000"/>
          <w:sz w:val="21"/>
          <w:szCs w:val="21"/>
          <w:lang w:val="en-US"/>
        </w:rPr>
        <w:t>℃</w:t>
      </w:r>
      <w:r>
        <w:rPr>
          <w:rFonts w:cs="Times New Roman"/>
          <w:caps/>
          <w:color w:val="000000"/>
          <w:sz w:val="21"/>
          <w:szCs w:val="21"/>
          <w:lang w:val="en-US"/>
        </w:rPr>
        <w:t>；</w:t>
      </w:r>
    </w:p>
    <w:p w14:paraId="36D3F0EA">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——非金属部分，60</w:t>
      </w:r>
      <w:r>
        <w:rPr>
          <w:rFonts w:hint="eastAsia" w:cs="Times New Roman"/>
          <w:caps/>
          <w:color w:val="000000"/>
          <w:sz w:val="21"/>
          <w:szCs w:val="21"/>
          <w:lang w:val="en-US"/>
        </w:rPr>
        <w:t>℃。</w:t>
      </w:r>
    </w:p>
    <w:p w14:paraId="2443CC28">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2）可以用手接触但不必紧握的部分，在同样条件下允许的最高温度应为：</w:t>
      </w:r>
    </w:p>
    <w:p w14:paraId="027A9E36">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——金属部分，60</w:t>
      </w:r>
      <w:r>
        <w:rPr>
          <w:rFonts w:hint="eastAsia" w:cs="Times New Roman"/>
          <w:caps/>
          <w:color w:val="000000"/>
          <w:sz w:val="21"/>
          <w:szCs w:val="21"/>
          <w:lang w:val="en-US"/>
        </w:rPr>
        <w:t>℃</w:t>
      </w:r>
      <w:r>
        <w:rPr>
          <w:rFonts w:cs="Times New Roman"/>
          <w:caps/>
          <w:color w:val="000000"/>
          <w:sz w:val="21"/>
          <w:szCs w:val="21"/>
          <w:lang w:val="en-US"/>
        </w:rPr>
        <w:t>；</w:t>
      </w:r>
    </w:p>
    <w:p w14:paraId="34621B32">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——非金属部分，85</w:t>
      </w:r>
      <w:r>
        <w:rPr>
          <w:rFonts w:hint="eastAsia" w:cs="Times New Roman"/>
          <w:caps/>
          <w:color w:val="000000"/>
          <w:sz w:val="21"/>
          <w:szCs w:val="21"/>
          <w:lang w:val="en-US"/>
        </w:rPr>
        <w:t>℃。</w:t>
      </w:r>
    </w:p>
    <w:p w14:paraId="2285AA16">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电击防护</w:t>
      </w:r>
    </w:p>
    <w:p w14:paraId="116AA8FE">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充电机的电击防护应符合GB/T 18487.1-20</w:t>
      </w:r>
      <w:r>
        <w:rPr>
          <w:rFonts w:hint="eastAsia" w:cs="Times New Roman"/>
          <w:caps/>
          <w:color w:val="000000"/>
          <w:sz w:val="21"/>
          <w:szCs w:val="21"/>
          <w:lang w:val="en-US"/>
        </w:rPr>
        <w:t>15</w:t>
      </w:r>
      <w:r>
        <w:rPr>
          <w:rFonts w:cs="Times New Roman"/>
          <w:caps/>
          <w:color w:val="000000"/>
          <w:sz w:val="21"/>
          <w:szCs w:val="21"/>
          <w:lang w:val="en-US"/>
        </w:rPr>
        <w:t>中第</w:t>
      </w:r>
      <w:r>
        <w:rPr>
          <w:rFonts w:hint="eastAsia" w:cs="Times New Roman"/>
          <w:caps/>
          <w:color w:val="000000"/>
          <w:sz w:val="21"/>
          <w:szCs w:val="21"/>
          <w:lang w:val="en-US"/>
        </w:rPr>
        <w:t>7</w:t>
      </w:r>
      <w:r>
        <w:rPr>
          <w:rFonts w:cs="Times New Roman"/>
          <w:caps/>
          <w:color w:val="000000"/>
          <w:sz w:val="21"/>
          <w:szCs w:val="21"/>
          <w:lang w:val="en-US"/>
        </w:rPr>
        <w:t>章的要求。</w:t>
      </w:r>
    </w:p>
    <w:p w14:paraId="59B3F4CB">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电气间隙和爬电距离</w:t>
      </w:r>
    </w:p>
    <w:p w14:paraId="63063647">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充电机的电气间隙和爬电距离应符合的规定。</w:t>
      </w:r>
    </w:p>
    <w:p w14:paraId="751ABF2E">
      <w:pPr>
        <w:widowControl/>
        <w:spacing w:line="400" w:lineRule="exact"/>
        <w:jc w:val="center"/>
        <w:rPr>
          <w:rFonts w:cs="Times New Roman"/>
          <w:color w:val="000000"/>
          <w:sz w:val="21"/>
          <w:szCs w:val="21"/>
          <w:lang w:val="en-US"/>
        </w:rPr>
      </w:pPr>
      <w:r>
        <w:rPr>
          <w:rFonts w:cs="Times New Roman"/>
          <w:color w:val="000000"/>
          <w:sz w:val="21"/>
          <w:szCs w:val="21"/>
          <w:lang w:val="en-US"/>
        </w:rPr>
        <w:t>电气间隙和爬电距离</w:t>
      </w:r>
    </w:p>
    <w:tbl>
      <w:tblPr>
        <w:tblStyle w:val="50"/>
        <w:tblW w:w="8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628"/>
        <w:gridCol w:w="2763"/>
      </w:tblGrid>
      <w:tr w14:paraId="4246F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895" w:type="dxa"/>
            <w:tcBorders>
              <w:top w:val="single" w:color="auto" w:sz="8" w:space="0"/>
              <w:bottom w:val="single" w:color="auto" w:sz="8" w:space="0"/>
            </w:tcBorders>
            <w:vAlign w:val="center"/>
          </w:tcPr>
          <w:p w14:paraId="7D09AE35">
            <w:pPr>
              <w:widowControl/>
              <w:jc w:val="center"/>
              <w:rPr>
                <w:rFonts w:cs="Times New Roman"/>
                <w:color w:val="000000"/>
                <w:kern w:val="2"/>
                <w:sz w:val="21"/>
                <w:szCs w:val="21"/>
                <w:lang w:val="en-US"/>
              </w:rPr>
            </w:pPr>
            <w:r>
              <w:rPr>
                <w:rFonts w:cs="Times New Roman"/>
                <w:color w:val="000000"/>
                <w:kern w:val="2"/>
                <w:sz w:val="21"/>
                <w:szCs w:val="21"/>
                <w:lang w:val="en-US"/>
              </w:rPr>
              <w:t>额定绝缘电压Ui（V）</w:t>
            </w:r>
          </w:p>
        </w:tc>
        <w:tc>
          <w:tcPr>
            <w:tcW w:w="2628" w:type="dxa"/>
            <w:tcBorders>
              <w:top w:val="single" w:color="auto" w:sz="8" w:space="0"/>
              <w:bottom w:val="single" w:color="auto" w:sz="8" w:space="0"/>
            </w:tcBorders>
            <w:vAlign w:val="center"/>
          </w:tcPr>
          <w:p w14:paraId="4AED76F7">
            <w:pPr>
              <w:widowControl/>
              <w:jc w:val="center"/>
              <w:rPr>
                <w:rFonts w:cs="Times New Roman"/>
                <w:color w:val="000000"/>
                <w:kern w:val="2"/>
                <w:sz w:val="21"/>
                <w:szCs w:val="21"/>
                <w:lang w:val="en-US"/>
              </w:rPr>
            </w:pPr>
            <w:r>
              <w:rPr>
                <w:rFonts w:cs="Times New Roman"/>
                <w:color w:val="000000"/>
                <w:kern w:val="2"/>
                <w:sz w:val="21"/>
                <w:szCs w:val="21"/>
                <w:lang w:val="en-US"/>
              </w:rPr>
              <w:t>电气间隙（mm）</w:t>
            </w:r>
          </w:p>
        </w:tc>
        <w:tc>
          <w:tcPr>
            <w:tcW w:w="2763" w:type="dxa"/>
            <w:tcBorders>
              <w:top w:val="single" w:color="auto" w:sz="8" w:space="0"/>
              <w:bottom w:val="single" w:color="auto" w:sz="8" w:space="0"/>
            </w:tcBorders>
            <w:vAlign w:val="center"/>
          </w:tcPr>
          <w:p w14:paraId="44BAEEA6">
            <w:pPr>
              <w:widowControl/>
              <w:jc w:val="center"/>
              <w:rPr>
                <w:rFonts w:cs="Times New Roman"/>
                <w:color w:val="000000"/>
                <w:kern w:val="2"/>
                <w:sz w:val="21"/>
                <w:szCs w:val="21"/>
                <w:lang w:val="en-US"/>
              </w:rPr>
            </w:pPr>
            <w:r>
              <w:rPr>
                <w:rFonts w:cs="Times New Roman"/>
                <w:color w:val="000000"/>
                <w:kern w:val="2"/>
                <w:sz w:val="21"/>
                <w:szCs w:val="21"/>
                <w:lang w:val="en-US"/>
              </w:rPr>
              <w:t>爬电距离（mm）</w:t>
            </w:r>
          </w:p>
        </w:tc>
      </w:tr>
      <w:tr w14:paraId="25DD6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895" w:type="dxa"/>
            <w:tcBorders>
              <w:top w:val="single" w:color="auto" w:sz="8" w:space="0"/>
              <w:bottom w:val="single" w:color="auto" w:sz="8" w:space="0"/>
            </w:tcBorders>
            <w:vAlign w:val="center"/>
          </w:tcPr>
          <w:p w14:paraId="5122BA26">
            <w:pPr>
              <w:widowControl/>
              <w:jc w:val="center"/>
              <w:rPr>
                <w:rFonts w:cs="Times New Roman"/>
                <w:color w:val="000000"/>
                <w:kern w:val="2"/>
                <w:sz w:val="21"/>
                <w:szCs w:val="21"/>
                <w:lang w:val="en-US"/>
              </w:rPr>
            </w:pPr>
            <w:r>
              <w:rPr>
                <w:rFonts w:cs="Times New Roman"/>
                <w:i/>
                <w:color w:val="000000"/>
                <w:kern w:val="2"/>
                <w:sz w:val="21"/>
                <w:szCs w:val="21"/>
                <w:lang w:val="en-US"/>
              </w:rPr>
              <w:t>Ui</w:t>
            </w:r>
            <w:r>
              <w:rPr>
                <w:rFonts w:cs="Times New Roman"/>
                <w:color w:val="000000"/>
                <w:kern w:val="2"/>
                <w:sz w:val="21"/>
                <w:szCs w:val="21"/>
                <w:lang w:val="en-US"/>
              </w:rPr>
              <w:t>≤60</w:t>
            </w:r>
          </w:p>
        </w:tc>
        <w:tc>
          <w:tcPr>
            <w:tcW w:w="2628" w:type="dxa"/>
            <w:tcBorders>
              <w:top w:val="single" w:color="auto" w:sz="8" w:space="0"/>
              <w:bottom w:val="single" w:color="auto" w:sz="8" w:space="0"/>
            </w:tcBorders>
            <w:vAlign w:val="center"/>
          </w:tcPr>
          <w:p w14:paraId="20B43D29">
            <w:pPr>
              <w:widowControl/>
              <w:jc w:val="center"/>
              <w:rPr>
                <w:rFonts w:cs="Times New Roman"/>
                <w:color w:val="000000"/>
                <w:kern w:val="2"/>
                <w:sz w:val="21"/>
                <w:szCs w:val="21"/>
                <w:lang w:val="en-US"/>
              </w:rPr>
            </w:pPr>
            <w:r>
              <w:rPr>
                <w:rFonts w:cs="Times New Roman"/>
                <w:color w:val="000000"/>
                <w:kern w:val="2"/>
                <w:sz w:val="21"/>
                <w:szCs w:val="21"/>
                <w:lang w:val="en-US"/>
              </w:rPr>
              <w:t>3</w:t>
            </w:r>
            <w:r>
              <w:rPr>
                <w:rFonts w:hint="eastAsia" w:cs="Times New Roman"/>
                <w:color w:val="000000"/>
                <w:kern w:val="2"/>
                <w:sz w:val="21"/>
                <w:szCs w:val="21"/>
                <w:lang w:val="en-US"/>
              </w:rPr>
              <w:t>.0</w:t>
            </w:r>
          </w:p>
        </w:tc>
        <w:tc>
          <w:tcPr>
            <w:tcW w:w="2763" w:type="dxa"/>
            <w:tcBorders>
              <w:top w:val="single" w:color="auto" w:sz="8" w:space="0"/>
              <w:bottom w:val="single" w:color="auto" w:sz="8" w:space="0"/>
            </w:tcBorders>
            <w:vAlign w:val="center"/>
          </w:tcPr>
          <w:p w14:paraId="03A49E60">
            <w:pPr>
              <w:widowControl/>
              <w:jc w:val="center"/>
              <w:rPr>
                <w:rFonts w:cs="Times New Roman"/>
                <w:color w:val="000000"/>
                <w:kern w:val="2"/>
                <w:sz w:val="21"/>
                <w:szCs w:val="21"/>
                <w:lang w:val="en-US"/>
              </w:rPr>
            </w:pPr>
            <w:r>
              <w:rPr>
                <w:rFonts w:cs="Times New Roman"/>
                <w:color w:val="000000"/>
                <w:kern w:val="2"/>
                <w:sz w:val="21"/>
                <w:szCs w:val="21"/>
                <w:lang w:val="en-US"/>
              </w:rPr>
              <w:t>3</w:t>
            </w:r>
            <w:r>
              <w:rPr>
                <w:rFonts w:hint="eastAsia" w:cs="Times New Roman"/>
                <w:color w:val="000000"/>
                <w:kern w:val="2"/>
                <w:sz w:val="21"/>
                <w:szCs w:val="21"/>
                <w:lang w:val="en-US"/>
              </w:rPr>
              <w:t>.0</w:t>
            </w:r>
          </w:p>
        </w:tc>
      </w:tr>
      <w:tr w14:paraId="64627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895" w:type="dxa"/>
            <w:tcBorders>
              <w:top w:val="single" w:color="auto" w:sz="8" w:space="0"/>
              <w:bottom w:val="single" w:color="auto" w:sz="8" w:space="0"/>
            </w:tcBorders>
            <w:vAlign w:val="center"/>
          </w:tcPr>
          <w:p w14:paraId="3653D78C">
            <w:pPr>
              <w:widowControl/>
              <w:jc w:val="center"/>
              <w:rPr>
                <w:rFonts w:cs="Times New Roman"/>
                <w:color w:val="000000"/>
                <w:kern w:val="2"/>
                <w:sz w:val="21"/>
                <w:szCs w:val="21"/>
                <w:lang w:val="en-US"/>
              </w:rPr>
            </w:pPr>
            <w:r>
              <w:rPr>
                <w:rFonts w:cs="Times New Roman"/>
                <w:color w:val="000000"/>
                <w:kern w:val="2"/>
                <w:sz w:val="21"/>
                <w:szCs w:val="21"/>
                <w:lang w:val="en-US"/>
              </w:rPr>
              <w:t>60＜</w:t>
            </w:r>
            <w:r>
              <w:rPr>
                <w:rFonts w:cs="Times New Roman"/>
                <w:i/>
                <w:color w:val="000000"/>
                <w:kern w:val="2"/>
                <w:sz w:val="21"/>
                <w:szCs w:val="21"/>
                <w:lang w:val="en-US"/>
              </w:rPr>
              <w:t>Ui</w:t>
            </w:r>
            <w:r>
              <w:rPr>
                <w:rFonts w:cs="Times New Roman"/>
                <w:color w:val="000000"/>
                <w:kern w:val="2"/>
                <w:sz w:val="21"/>
                <w:szCs w:val="21"/>
                <w:lang w:val="en-US"/>
              </w:rPr>
              <w:t>≤300</w:t>
            </w:r>
          </w:p>
        </w:tc>
        <w:tc>
          <w:tcPr>
            <w:tcW w:w="2628" w:type="dxa"/>
            <w:tcBorders>
              <w:top w:val="single" w:color="auto" w:sz="8" w:space="0"/>
              <w:bottom w:val="single" w:color="auto" w:sz="8" w:space="0"/>
            </w:tcBorders>
            <w:vAlign w:val="center"/>
          </w:tcPr>
          <w:p w14:paraId="2AA9BEA4">
            <w:pPr>
              <w:widowControl/>
              <w:jc w:val="center"/>
              <w:rPr>
                <w:rFonts w:cs="Times New Roman"/>
                <w:color w:val="000000"/>
                <w:kern w:val="2"/>
                <w:sz w:val="21"/>
                <w:szCs w:val="21"/>
                <w:lang w:val="en-US"/>
              </w:rPr>
            </w:pPr>
            <w:r>
              <w:rPr>
                <w:rFonts w:cs="Times New Roman"/>
                <w:color w:val="000000"/>
                <w:kern w:val="2"/>
                <w:sz w:val="21"/>
                <w:szCs w:val="21"/>
                <w:lang w:val="en-US"/>
              </w:rPr>
              <w:t>5</w:t>
            </w:r>
            <w:r>
              <w:rPr>
                <w:rFonts w:hint="eastAsia" w:cs="Times New Roman"/>
                <w:color w:val="000000"/>
                <w:kern w:val="2"/>
                <w:sz w:val="21"/>
                <w:szCs w:val="21"/>
                <w:lang w:val="en-US"/>
              </w:rPr>
              <w:t>.0</w:t>
            </w:r>
          </w:p>
        </w:tc>
        <w:tc>
          <w:tcPr>
            <w:tcW w:w="2763" w:type="dxa"/>
            <w:tcBorders>
              <w:top w:val="single" w:color="auto" w:sz="8" w:space="0"/>
              <w:bottom w:val="single" w:color="auto" w:sz="8" w:space="0"/>
            </w:tcBorders>
            <w:vAlign w:val="center"/>
          </w:tcPr>
          <w:p w14:paraId="1C95234C">
            <w:pPr>
              <w:widowControl/>
              <w:jc w:val="center"/>
              <w:rPr>
                <w:rFonts w:cs="Times New Roman"/>
                <w:color w:val="000000"/>
                <w:kern w:val="2"/>
                <w:sz w:val="21"/>
                <w:szCs w:val="21"/>
                <w:lang w:val="en-US"/>
              </w:rPr>
            </w:pPr>
            <w:r>
              <w:rPr>
                <w:rFonts w:cs="Times New Roman"/>
                <w:color w:val="000000"/>
                <w:kern w:val="2"/>
                <w:sz w:val="21"/>
                <w:szCs w:val="21"/>
                <w:lang w:val="en-US"/>
              </w:rPr>
              <w:t>6</w:t>
            </w:r>
            <w:r>
              <w:rPr>
                <w:rFonts w:hint="eastAsia" w:cs="Times New Roman"/>
                <w:color w:val="000000"/>
                <w:kern w:val="2"/>
                <w:sz w:val="21"/>
                <w:szCs w:val="21"/>
                <w:lang w:val="en-US"/>
              </w:rPr>
              <w:t>.0</w:t>
            </w:r>
          </w:p>
        </w:tc>
      </w:tr>
      <w:tr w14:paraId="531D6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895" w:type="dxa"/>
            <w:tcBorders>
              <w:top w:val="single" w:color="auto" w:sz="8" w:space="0"/>
              <w:bottom w:val="single" w:color="auto" w:sz="8" w:space="0"/>
            </w:tcBorders>
            <w:vAlign w:val="center"/>
          </w:tcPr>
          <w:p w14:paraId="4B343F59">
            <w:pPr>
              <w:widowControl/>
              <w:jc w:val="center"/>
              <w:rPr>
                <w:rFonts w:cs="Times New Roman"/>
                <w:color w:val="000000"/>
                <w:kern w:val="2"/>
                <w:sz w:val="21"/>
                <w:szCs w:val="21"/>
                <w:lang w:val="en-US"/>
              </w:rPr>
            </w:pPr>
            <w:r>
              <w:rPr>
                <w:rFonts w:cs="Times New Roman"/>
                <w:color w:val="000000"/>
                <w:kern w:val="2"/>
                <w:sz w:val="21"/>
                <w:szCs w:val="21"/>
                <w:lang w:val="en-US"/>
              </w:rPr>
              <w:t>300＜</w:t>
            </w:r>
            <w:r>
              <w:rPr>
                <w:rFonts w:cs="Times New Roman"/>
                <w:i/>
                <w:color w:val="000000"/>
                <w:kern w:val="2"/>
                <w:sz w:val="21"/>
                <w:szCs w:val="21"/>
                <w:lang w:val="en-US"/>
              </w:rPr>
              <w:t>Ui</w:t>
            </w:r>
            <w:r>
              <w:rPr>
                <w:rFonts w:cs="Times New Roman"/>
                <w:color w:val="000000"/>
                <w:kern w:val="2"/>
                <w:sz w:val="21"/>
                <w:szCs w:val="21"/>
                <w:lang w:val="en-US"/>
              </w:rPr>
              <w:t>≤700</w:t>
            </w:r>
          </w:p>
        </w:tc>
        <w:tc>
          <w:tcPr>
            <w:tcW w:w="2628" w:type="dxa"/>
            <w:tcBorders>
              <w:top w:val="single" w:color="auto" w:sz="8" w:space="0"/>
              <w:bottom w:val="single" w:color="auto" w:sz="8" w:space="0"/>
            </w:tcBorders>
            <w:vAlign w:val="center"/>
          </w:tcPr>
          <w:p w14:paraId="658B2295">
            <w:pPr>
              <w:widowControl/>
              <w:jc w:val="center"/>
              <w:rPr>
                <w:rFonts w:cs="Times New Roman"/>
                <w:color w:val="000000"/>
                <w:kern w:val="2"/>
                <w:sz w:val="21"/>
                <w:szCs w:val="21"/>
                <w:lang w:val="en-US"/>
              </w:rPr>
            </w:pPr>
            <w:r>
              <w:rPr>
                <w:rFonts w:cs="Times New Roman"/>
                <w:color w:val="000000"/>
                <w:kern w:val="2"/>
                <w:sz w:val="21"/>
                <w:szCs w:val="21"/>
                <w:lang w:val="en-US"/>
              </w:rPr>
              <w:t>8</w:t>
            </w:r>
            <w:r>
              <w:rPr>
                <w:rFonts w:hint="eastAsia" w:cs="Times New Roman"/>
                <w:color w:val="000000"/>
                <w:kern w:val="2"/>
                <w:sz w:val="21"/>
                <w:szCs w:val="21"/>
                <w:lang w:val="en-US"/>
              </w:rPr>
              <w:t>.0</w:t>
            </w:r>
          </w:p>
        </w:tc>
        <w:tc>
          <w:tcPr>
            <w:tcW w:w="2763" w:type="dxa"/>
            <w:tcBorders>
              <w:top w:val="single" w:color="auto" w:sz="8" w:space="0"/>
              <w:bottom w:val="single" w:color="auto" w:sz="8" w:space="0"/>
            </w:tcBorders>
            <w:vAlign w:val="center"/>
          </w:tcPr>
          <w:p w14:paraId="0542708C">
            <w:pPr>
              <w:widowControl/>
              <w:jc w:val="center"/>
              <w:rPr>
                <w:rFonts w:cs="Times New Roman"/>
                <w:color w:val="000000"/>
                <w:kern w:val="2"/>
                <w:sz w:val="21"/>
                <w:szCs w:val="21"/>
                <w:lang w:val="en-US"/>
              </w:rPr>
            </w:pPr>
            <w:r>
              <w:rPr>
                <w:rFonts w:cs="Times New Roman"/>
                <w:color w:val="000000"/>
                <w:kern w:val="2"/>
                <w:sz w:val="21"/>
                <w:szCs w:val="21"/>
                <w:lang w:val="en-US"/>
              </w:rPr>
              <w:t>10</w:t>
            </w:r>
            <w:r>
              <w:rPr>
                <w:rFonts w:hint="eastAsia" w:cs="Times New Roman"/>
                <w:color w:val="000000"/>
                <w:kern w:val="2"/>
                <w:sz w:val="21"/>
                <w:szCs w:val="21"/>
                <w:lang w:val="en-US"/>
              </w:rPr>
              <w:t>.0</w:t>
            </w:r>
          </w:p>
        </w:tc>
      </w:tr>
      <w:tr w14:paraId="37DDE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895" w:type="dxa"/>
            <w:tcBorders>
              <w:top w:val="single" w:color="auto" w:sz="8" w:space="0"/>
              <w:bottom w:val="single" w:color="auto" w:sz="8" w:space="0"/>
            </w:tcBorders>
            <w:vAlign w:val="center"/>
          </w:tcPr>
          <w:p w14:paraId="1E1DAE9F">
            <w:pPr>
              <w:widowControl/>
              <w:jc w:val="center"/>
              <w:rPr>
                <w:rFonts w:cs="Times New Roman"/>
                <w:color w:val="000000"/>
                <w:kern w:val="2"/>
                <w:sz w:val="21"/>
                <w:szCs w:val="21"/>
                <w:lang w:val="en-US"/>
              </w:rPr>
            </w:pPr>
            <w:r>
              <w:rPr>
                <w:rFonts w:cs="Times New Roman"/>
                <w:color w:val="000000"/>
                <w:kern w:val="2"/>
                <w:sz w:val="21"/>
                <w:szCs w:val="21"/>
                <w:lang w:val="en-US"/>
              </w:rPr>
              <w:t>700＜</w:t>
            </w:r>
            <w:r>
              <w:rPr>
                <w:rFonts w:cs="Times New Roman"/>
                <w:i/>
                <w:color w:val="000000"/>
                <w:kern w:val="2"/>
                <w:sz w:val="21"/>
                <w:szCs w:val="21"/>
                <w:lang w:val="en-US"/>
              </w:rPr>
              <w:t>Ui</w:t>
            </w:r>
            <w:r>
              <w:rPr>
                <w:rFonts w:cs="Times New Roman"/>
                <w:color w:val="000000"/>
                <w:kern w:val="2"/>
                <w:sz w:val="21"/>
                <w:szCs w:val="21"/>
                <w:lang w:val="en-US"/>
              </w:rPr>
              <w:t>≤950</w:t>
            </w:r>
          </w:p>
        </w:tc>
        <w:tc>
          <w:tcPr>
            <w:tcW w:w="2628" w:type="dxa"/>
            <w:tcBorders>
              <w:top w:val="single" w:color="auto" w:sz="8" w:space="0"/>
              <w:bottom w:val="single" w:color="auto" w:sz="8" w:space="0"/>
            </w:tcBorders>
            <w:vAlign w:val="center"/>
          </w:tcPr>
          <w:p w14:paraId="18E10764">
            <w:pPr>
              <w:widowControl/>
              <w:jc w:val="center"/>
              <w:rPr>
                <w:rFonts w:cs="Times New Roman"/>
                <w:color w:val="000000"/>
                <w:kern w:val="2"/>
                <w:sz w:val="21"/>
                <w:szCs w:val="21"/>
                <w:lang w:val="en-US"/>
              </w:rPr>
            </w:pPr>
            <w:r>
              <w:rPr>
                <w:rFonts w:hint="eastAsia" w:cs="Times New Roman"/>
                <w:color w:val="000000"/>
                <w:kern w:val="2"/>
                <w:sz w:val="21"/>
                <w:szCs w:val="21"/>
                <w:lang w:val="en-US"/>
              </w:rPr>
              <w:t>14.0</w:t>
            </w:r>
          </w:p>
        </w:tc>
        <w:tc>
          <w:tcPr>
            <w:tcW w:w="2763" w:type="dxa"/>
            <w:tcBorders>
              <w:top w:val="single" w:color="auto" w:sz="8" w:space="0"/>
              <w:bottom w:val="single" w:color="auto" w:sz="8" w:space="0"/>
            </w:tcBorders>
            <w:vAlign w:val="center"/>
          </w:tcPr>
          <w:p w14:paraId="24343F0E">
            <w:pPr>
              <w:widowControl/>
              <w:jc w:val="center"/>
              <w:rPr>
                <w:rFonts w:cs="Times New Roman"/>
                <w:color w:val="000000"/>
                <w:kern w:val="2"/>
                <w:sz w:val="21"/>
                <w:szCs w:val="21"/>
                <w:lang w:val="en-US"/>
              </w:rPr>
            </w:pPr>
            <w:r>
              <w:rPr>
                <w:rFonts w:hint="eastAsia" w:cs="Times New Roman"/>
                <w:color w:val="000000"/>
                <w:kern w:val="2"/>
                <w:sz w:val="21"/>
                <w:szCs w:val="21"/>
                <w:lang w:val="en-US"/>
              </w:rPr>
              <w:t>20.0</w:t>
            </w:r>
          </w:p>
        </w:tc>
      </w:tr>
      <w:tr w14:paraId="66378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286" w:type="dxa"/>
            <w:gridSpan w:val="3"/>
            <w:tcBorders>
              <w:top w:val="single" w:color="auto" w:sz="8" w:space="0"/>
              <w:bottom w:val="single" w:color="auto" w:sz="8" w:space="0"/>
            </w:tcBorders>
            <w:vAlign w:val="center"/>
          </w:tcPr>
          <w:p w14:paraId="2A3DA120">
            <w:pPr>
              <w:widowControl/>
              <w:rPr>
                <w:rFonts w:cs="Times New Roman"/>
                <w:color w:val="000000"/>
                <w:kern w:val="2"/>
                <w:sz w:val="21"/>
                <w:szCs w:val="21"/>
                <w:lang w:val="en-US"/>
              </w:rPr>
            </w:pPr>
            <w:r>
              <w:rPr>
                <w:rFonts w:cs="Times New Roman"/>
                <w:color w:val="000000"/>
                <w:kern w:val="2"/>
                <w:sz w:val="21"/>
                <w:szCs w:val="21"/>
                <w:lang w:val="en-US"/>
              </w:rPr>
              <w:t>注1：当主电路与控制电路或辅助电路的额定绝缘电压不一致时，其电气间隙和爬电距离可分别按其额定值选取。</w:t>
            </w:r>
          </w:p>
          <w:p w14:paraId="26B8D36D">
            <w:pPr>
              <w:widowControl/>
              <w:rPr>
                <w:rFonts w:cs="Times New Roman"/>
                <w:color w:val="000000"/>
                <w:kern w:val="2"/>
                <w:sz w:val="21"/>
                <w:szCs w:val="21"/>
                <w:lang w:val="en-US"/>
              </w:rPr>
            </w:pPr>
            <w:r>
              <w:rPr>
                <w:rFonts w:cs="Times New Roman"/>
                <w:color w:val="000000"/>
                <w:kern w:val="2"/>
                <w:sz w:val="21"/>
                <w:szCs w:val="21"/>
                <w:lang w:val="en-US"/>
              </w:rPr>
              <w:t>注2：具有不同额定值主电路或控制电路导电部分之间的电气间隙与爬电距离，应按最高额定绝缘电压选取。</w:t>
            </w:r>
          </w:p>
          <w:p w14:paraId="4D2C1C0F">
            <w:pPr>
              <w:widowControl/>
              <w:rPr>
                <w:rFonts w:cs="Times New Roman"/>
                <w:color w:val="000000"/>
                <w:kern w:val="2"/>
                <w:sz w:val="21"/>
                <w:szCs w:val="21"/>
                <w:lang w:val="en-US"/>
              </w:rPr>
            </w:pPr>
            <w:r>
              <w:rPr>
                <w:rFonts w:hint="eastAsia" w:cs="Times New Roman"/>
                <w:color w:val="000000"/>
                <w:kern w:val="2"/>
                <w:sz w:val="21"/>
                <w:szCs w:val="21"/>
                <w:lang w:val="en-US"/>
              </w:rPr>
              <w:t>注3：小母线、汇流排或不同级的裸露的带电导体之间，以及裸露的带电导体与未经绝缘的不带电导体之间的电气间隙不小于12mm，爬电距离不小于20mm。</w:t>
            </w:r>
          </w:p>
        </w:tc>
      </w:tr>
    </w:tbl>
    <w:p w14:paraId="3BE89212">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接地要求</w:t>
      </w:r>
    </w:p>
    <w:p w14:paraId="38EE7061">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充电机的接地要求应能满足以下的规定：</w:t>
      </w:r>
    </w:p>
    <w:p w14:paraId="6839C175">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w:t>
      </w:r>
      <w:r>
        <w:rPr>
          <w:rFonts w:cs="Times New Roman"/>
          <w:caps/>
          <w:color w:val="000000"/>
          <w:sz w:val="21"/>
          <w:szCs w:val="21"/>
          <w:lang w:val="en-US"/>
        </w:rPr>
        <w:t>充电机金属壳体应设置接地螺栓，其直径不得小于6mm，并应有接地标志。</w:t>
      </w:r>
    </w:p>
    <w:p w14:paraId="6A998986">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w:t>
      </w:r>
      <w:r>
        <w:rPr>
          <w:rFonts w:cs="Times New Roman"/>
          <w:caps/>
          <w:color w:val="000000"/>
          <w:sz w:val="21"/>
          <w:szCs w:val="21"/>
          <w:lang w:val="en-US"/>
        </w:rPr>
        <w:t>所有作为隔离带电导体的金属隔板、电气元件的金属外壳以及金属手柄等均应有效接地，连续性电阻不应大于0.1Ω。</w:t>
      </w:r>
    </w:p>
    <w:p w14:paraId="17013B9C">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w:t>
      </w:r>
      <w:r>
        <w:rPr>
          <w:rFonts w:cs="Times New Roman"/>
          <w:caps/>
          <w:color w:val="000000"/>
          <w:sz w:val="21"/>
          <w:szCs w:val="21"/>
          <w:lang w:val="en-US"/>
        </w:rPr>
        <w:t>充电机的门、盖板、覆板和类似部件，应采用保护导体将这些部件和充电机主体框架连接，此保护导体的截面积不得小于2.5mm2。</w:t>
      </w:r>
    </w:p>
    <w:p w14:paraId="74107073">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4）</w:t>
      </w:r>
      <w:r>
        <w:rPr>
          <w:rFonts w:cs="Times New Roman"/>
          <w:caps/>
          <w:color w:val="000000"/>
          <w:sz w:val="21"/>
          <w:szCs w:val="21"/>
          <w:lang w:val="en-US"/>
        </w:rPr>
        <w:t>接地母线和柜体之间的所有连接应躲开（或穿透绝缘层）喷漆层，以保证有效的电气连接。</w:t>
      </w:r>
    </w:p>
    <w:p w14:paraId="41D4F555">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绝缘性能</w:t>
      </w:r>
    </w:p>
    <w:p w14:paraId="2359AD45">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绝缘电阻</w:t>
      </w:r>
    </w:p>
    <w:p w14:paraId="02A4C5E6">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用开路电压为规定电压的测试仪器测量，充电机非电气连接的各带电回路之间、各独立带电回路与地（金属外壳）之间绝缘电阻</w:t>
      </w:r>
      <w:r>
        <w:rPr>
          <w:rFonts w:hint="eastAsia" w:cs="Times New Roman"/>
          <w:caps/>
          <w:color w:val="000000"/>
          <w:sz w:val="21"/>
          <w:szCs w:val="21"/>
          <w:lang w:val="en-US"/>
        </w:rPr>
        <w:t>不应小于</w:t>
      </w:r>
      <w:r>
        <w:rPr>
          <w:rFonts w:cs="Times New Roman"/>
          <w:caps/>
          <w:color w:val="000000"/>
          <w:sz w:val="21"/>
          <w:szCs w:val="21"/>
          <w:lang w:val="en-US"/>
        </w:rPr>
        <w:t>10MΩ。</w:t>
      </w:r>
    </w:p>
    <w:p w14:paraId="17998506">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工频耐压</w:t>
      </w:r>
    </w:p>
    <w:p w14:paraId="28961DE0">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充电机非电气连接的各带电回路之间、各独立带电回路与地（金属外壳）之间，按其工作电压应能承受所规定历时1 min的工频耐压试验（也可采用直流电压，试验电压为交流电压有效值的1.4倍）。试验过程中应无绝缘击穿和闪络现象。</w:t>
      </w:r>
    </w:p>
    <w:p w14:paraId="7F5761D0">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冲击电压</w:t>
      </w:r>
    </w:p>
    <w:p w14:paraId="366413D2">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充电机各带电回路、各带电电路对地（金属外壳）之间，按其工作电压应能承受所规定标准雷电波的短时冲击电压试验。试验过程中应无击穿放电。</w:t>
      </w:r>
    </w:p>
    <w:p w14:paraId="5AAA22C4">
      <w:pPr>
        <w:widowControl/>
        <w:spacing w:line="400" w:lineRule="exact"/>
        <w:jc w:val="center"/>
        <w:rPr>
          <w:rFonts w:cs="Times New Roman"/>
          <w:color w:val="000000"/>
          <w:sz w:val="21"/>
          <w:szCs w:val="21"/>
          <w:lang w:val="en-US"/>
        </w:rPr>
      </w:pPr>
      <w:r>
        <w:rPr>
          <w:rFonts w:hint="eastAsia" w:cs="Times New Roman"/>
          <w:color w:val="000000"/>
          <w:sz w:val="21"/>
          <w:szCs w:val="21"/>
          <w:lang w:val="en-US"/>
        </w:rPr>
        <w:t>绝缘试验的试验等级</w:t>
      </w:r>
    </w:p>
    <w:tbl>
      <w:tblPr>
        <w:tblStyle w:val="50"/>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51"/>
        <w:gridCol w:w="2966"/>
        <w:gridCol w:w="2128"/>
        <w:gridCol w:w="1929"/>
      </w:tblGrid>
      <w:tr w14:paraId="0E9B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 w:hRule="atLeast"/>
          <w:jc w:val="center"/>
        </w:trPr>
        <w:tc>
          <w:tcPr>
            <w:tcW w:w="1851" w:type="dxa"/>
            <w:vAlign w:val="center"/>
          </w:tcPr>
          <w:p w14:paraId="170CEF35">
            <w:pPr>
              <w:adjustRightInd w:val="0"/>
              <w:jc w:val="center"/>
              <w:rPr>
                <w:rFonts w:cs="Times New Roman"/>
                <w:color w:val="000000"/>
                <w:kern w:val="2"/>
                <w:sz w:val="21"/>
                <w:szCs w:val="21"/>
                <w:lang w:val="en-US"/>
              </w:rPr>
            </w:pPr>
            <w:r>
              <w:rPr>
                <w:rFonts w:cs="Times New Roman"/>
                <w:color w:val="000000"/>
                <w:kern w:val="2"/>
                <w:sz w:val="21"/>
                <w:szCs w:val="21"/>
                <w:lang w:val="en-US"/>
              </w:rPr>
              <w:t>额定绝缘电压Ui（V）</w:t>
            </w:r>
          </w:p>
        </w:tc>
        <w:tc>
          <w:tcPr>
            <w:tcW w:w="2966" w:type="dxa"/>
            <w:vAlign w:val="center"/>
          </w:tcPr>
          <w:p w14:paraId="04E08828">
            <w:pPr>
              <w:adjustRightInd w:val="0"/>
              <w:jc w:val="center"/>
              <w:rPr>
                <w:rFonts w:cs="Times New Roman"/>
                <w:color w:val="000000"/>
                <w:kern w:val="2"/>
                <w:sz w:val="21"/>
                <w:szCs w:val="21"/>
                <w:lang w:val="en-US"/>
              </w:rPr>
            </w:pPr>
            <w:r>
              <w:rPr>
                <w:rFonts w:cs="Times New Roman"/>
                <w:color w:val="000000"/>
                <w:kern w:val="2"/>
                <w:sz w:val="21"/>
                <w:szCs w:val="21"/>
                <w:lang w:val="en-US"/>
              </w:rPr>
              <w:t>绝缘电阻测试仪器的电压等级（V）</w:t>
            </w:r>
          </w:p>
        </w:tc>
        <w:tc>
          <w:tcPr>
            <w:tcW w:w="2128" w:type="dxa"/>
            <w:vAlign w:val="center"/>
          </w:tcPr>
          <w:p w14:paraId="4B20610E">
            <w:pPr>
              <w:adjustRightInd w:val="0"/>
              <w:jc w:val="center"/>
              <w:rPr>
                <w:rFonts w:cs="Times New Roman"/>
                <w:color w:val="000000"/>
                <w:kern w:val="2"/>
                <w:sz w:val="21"/>
                <w:szCs w:val="21"/>
                <w:lang w:val="en-US"/>
              </w:rPr>
            </w:pPr>
            <w:r>
              <w:rPr>
                <w:rFonts w:cs="Times New Roman"/>
                <w:color w:val="000000"/>
                <w:kern w:val="2"/>
                <w:sz w:val="21"/>
                <w:szCs w:val="21"/>
                <w:lang w:val="en-US"/>
              </w:rPr>
              <w:t>工频耐压试验电压（kV）</w:t>
            </w:r>
          </w:p>
        </w:tc>
        <w:tc>
          <w:tcPr>
            <w:tcW w:w="1929" w:type="dxa"/>
            <w:vAlign w:val="center"/>
          </w:tcPr>
          <w:p w14:paraId="534F60B9">
            <w:pPr>
              <w:adjustRightInd w:val="0"/>
              <w:jc w:val="center"/>
              <w:rPr>
                <w:rFonts w:cs="Times New Roman"/>
                <w:color w:val="000000"/>
                <w:kern w:val="2"/>
                <w:sz w:val="21"/>
                <w:szCs w:val="21"/>
                <w:lang w:val="en-US"/>
              </w:rPr>
            </w:pPr>
            <w:r>
              <w:rPr>
                <w:rFonts w:cs="Times New Roman"/>
                <w:color w:val="000000"/>
                <w:kern w:val="2"/>
                <w:sz w:val="21"/>
                <w:szCs w:val="21"/>
                <w:lang w:val="en-US"/>
              </w:rPr>
              <w:t>冲击耐压试验电压（kV）</w:t>
            </w:r>
          </w:p>
        </w:tc>
      </w:tr>
      <w:tr w14:paraId="75CF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51" w:type="dxa"/>
            <w:vAlign w:val="center"/>
          </w:tcPr>
          <w:p w14:paraId="0DF2896B">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 60</w:t>
            </w:r>
          </w:p>
        </w:tc>
        <w:tc>
          <w:tcPr>
            <w:tcW w:w="2966" w:type="dxa"/>
            <w:vAlign w:val="center"/>
          </w:tcPr>
          <w:p w14:paraId="6C903728">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250</w:t>
            </w:r>
          </w:p>
        </w:tc>
        <w:tc>
          <w:tcPr>
            <w:tcW w:w="2128" w:type="dxa"/>
            <w:vAlign w:val="center"/>
          </w:tcPr>
          <w:p w14:paraId="6E055377">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1.0(1.4)</w:t>
            </w:r>
          </w:p>
        </w:tc>
        <w:tc>
          <w:tcPr>
            <w:tcW w:w="1929" w:type="dxa"/>
            <w:vAlign w:val="center"/>
          </w:tcPr>
          <w:p w14:paraId="02F7AF52">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1</w:t>
            </w:r>
          </w:p>
        </w:tc>
      </w:tr>
      <w:tr w14:paraId="36BB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Align w:val="center"/>
          </w:tcPr>
          <w:p w14:paraId="05B545FB">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60 ＜ U</w:t>
            </w:r>
            <w:r>
              <w:rPr>
                <w:rFonts w:hint="eastAsia" w:cs="Times New Roman"/>
                <w:color w:val="000000"/>
                <w:kern w:val="2"/>
                <w:sz w:val="21"/>
                <w:szCs w:val="21"/>
                <w:vertAlign w:val="subscript"/>
                <w:lang w:val="en-US"/>
              </w:rPr>
              <w:t xml:space="preserve">I </w:t>
            </w:r>
            <w:r>
              <w:rPr>
                <w:rFonts w:hint="eastAsia" w:cs="Times New Roman"/>
                <w:color w:val="000000"/>
                <w:kern w:val="2"/>
                <w:sz w:val="21"/>
                <w:szCs w:val="21"/>
                <w:lang w:val="en-US"/>
              </w:rPr>
              <w:t>≤ 300</w:t>
            </w:r>
          </w:p>
        </w:tc>
        <w:tc>
          <w:tcPr>
            <w:tcW w:w="2966" w:type="dxa"/>
            <w:vAlign w:val="center"/>
          </w:tcPr>
          <w:p w14:paraId="737F7BF3">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500</w:t>
            </w:r>
          </w:p>
        </w:tc>
        <w:tc>
          <w:tcPr>
            <w:tcW w:w="2128" w:type="dxa"/>
            <w:vAlign w:val="center"/>
          </w:tcPr>
          <w:p w14:paraId="428BA709">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2.0(2.8)</w:t>
            </w:r>
          </w:p>
        </w:tc>
        <w:tc>
          <w:tcPr>
            <w:tcW w:w="1929" w:type="dxa"/>
            <w:vAlign w:val="center"/>
          </w:tcPr>
          <w:p w14:paraId="703F98BA">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±2.5</w:t>
            </w:r>
          </w:p>
        </w:tc>
      </w:tr>
      <w:tr w14:paraId="5F2B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Align w:val="center"/>
          </w:tcPr>
          <w:p w14:paraId="57FD847E">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300 ＜ U</w:t>
            </w:r>
            <w:r>
              <w:rPr>
                <w:rFonts w:hint="eastAsia" w:cs="Times New Roman"/>
                <w:color w:val="000000"/>
                <w:kern w:val="2"/>
                <w:sz w:val="21"/>
                <w:szCs w:val="21"/>
                <w:vertAlign w:val="subscript"/>
                <w:lang w:val="en-US"/>
              </w:rPr>
              <w:t xml:space="preserve">I </w:t>
            </w:r>
            <w:r>
              <w:rPr>
                <w:rFonts w:hint="eastAsia" w:cs="Times New Roman"/>
                <w:color w:val="000000"/>
                <w:kern w:val="2"/>
                <w:sz w:val="21"/>
                <w:szCs w:val="21"/>
                <w:lang w:val="en-US"/>
              </w:rPr>
              <w:t>≤ 700</w:t>
            </w:r>
          </w:p>
        </w:tc>
        <w:tc>
          <w:tcPr>
            <w:tcW w:w="2966" w:type="dxa"/>
            <w:vAlign w:val="center"/>
          </w:tcPr>
          <w:p w14:paraId="2ED9682E">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1000</w:t>
            </w:r>
          </w:p>
        </w:tc>
        <w:tc>
          <w:tcPr>
            <w:tcW w:w="2128" w:type="dxa"/>
            <w:vAlign w:val="center"/>
          </w:tcPr>
          <w:p w14:paraId="1C824647">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2.4(3.36)</w:t>
            </w:r>
          </w:p>
        </w:tc>
        <w:tc>
          <w:tcPr>
            <w:tcW w:w="1929" w:type="dxa"/>
            <w:vAlign w:val="center"/>
          </w:tcPr>
          <w:p w14:paraId="60D458E3">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±6</w:t>
            </w:r>
          </w:p>
        </w:tc>
      </w:tr>
      <w:tr w14:paraId="01E1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Align w:val="center"/>
          </w:tcPr>
          <w:p w14:paraId="668F205E">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700 ＜ UI ≤ 950</w:t>
            </w:r>
          </w:p>
        </w:tc>
        <w:tc>
          <w:tcPr>
            <w:tcW w:w="2966" w:type="dxa"/>
            <w:vAlign w:val="center"/>
          </w:tcPr>
          <w:p w14:paraId="7B9B5FB5">
            <w:pPr>
              <w:adjustRightInd w:val="0"/>
              <w:snapToGrid w:val="0"/>
              <w:jc w:val="center"/>
              <w:rPr>
                <w:rFonts w:cs="Times New Roman"/>
                <w:color w:val="000000"/>
                <w:kern w:val="2"/>
                <w:sz w:val="21"/>
                <w:szCs w:val="21"/>
                <w:lang w:val="en-US"/>
              </w:rPr>
            </w:pPr>
            <w:r>
              <w:rPr>
                <w:rFonts w:cs="Times New Roman"/>
                <w:color w:val="000000"/>
                <w:kern w:val="2"/>
                <w:sz w:val="21"/>
                <w:szCs w:val="21"/>
                <w:lang w:val="en-US"/>
              </w:rPr>
              <w:t>1000</w:t>
            </w:r>
          </w:p>
        </w:tc>
        <w:tc>
          <w:tcPr>
            <w:tcW w:w="2128" w:type="dxa"/>
            <w:vAlign w:val="center"/>
          </w:tcPr>
          <w:p w14:paraId="7AEA616E">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2×UI +1.0</w:t>
            </w:r>
          </w:p>
          <w:p w14:paraId="69DDB2D9">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(2.8×UI +1.4)</w:t>
            </w:r>
          </w:p>
        </w:tc>
        <w:tc>
          <w:tcPr>
            <w:tcW w:w="1929" w:type="dxa"/>
            <w:vAlign w:val="center"/>
          </w:tcPr>
          <w:p w14:paraId="569AD834">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±6</w:t>
            </w:r>
          </w:p>
        </w:tc>
      </w:tr>
      <w:tr w14:paraId="3E52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8874" w:type="dxa"/>
            <w:gridSpan w:val="4"/>
            <w:vAlign w:val="center"/>
          </w:tcPr>
          <w:p w14:paraId="29772C10">
            <w:pPr>
              <w:jc w:val="center"/>
              <w:rPr>
                <w:rFonts w:cs="Times New Roman"/>
                <w:color w:val="000000"/>
                <w:kern w:val="2"/>
                <w:sz w:val="21"/>
                <w:szCs w:val="21"/>
                <w:lang w:val="en-US"/>
              </w:rPr>
            </w:pPr>
            <w:r>
              <w:rPr>
                <w:rFonts w:cs="Times New Roman"/>
                <w:color w:val="000000"/>
                <w:kern w:val="2"/>
                <w:sz w:val="21"/>
                <w:szCs w:val="21"/>
                <w:lang w:val="en-US"/>
              </w:rPr>
              <w:t>注：括号内数据为直流介质强度试验值。</w:t>
            </w:r>
          </w:p>
        </w:tc>
      </w:tr>
    </w:tbl>
    <w:p w14:paraId="6614014A">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安全要求</w:t>
      </w:r>
    </w:p>
    <w:p w14:paraId="5C740FEA">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充电机的安全性要求应满足GB/T 18487.1-2015附录B中对应的描述及技术参数要求。</w:t>
      </w:r>
    </w:p>
    <w:p w14:paraId="02A4589F">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1）充电机应具备电源输入侧的过压保护和欠压保护。</w:t>
      </w:r>
    </w:p>
    <w:p w14:paraId="3C644CD8">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2</w:t>
      </w:r>
      <w:r>
        <w:rPr>
          <w:rFonts w:hint="eastAsia" w:cs="Times New Roman"/>
          <w:kern w:val="2"/>
          <w:sz w:val="21"/>
          <w:szCs w:val="21"/>
          <w:lang w:val="en-US"/>
        </w:rPr>
        <w:t>）充电机应具备输出过压保护。</w:t>
      </w:r>
    </w:p>
    <w:p w14:paraId="14470A21">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3</w:t>
      </w:r>
      <w:r>
        <w:rPr>
          <w:rFonts w:hint="eastAsia" w:cs="Times New Roman"/>
          <w:kern w:val="2"/>
          <w:sz w:val="21"/>
          <w:szCs w:val="21"/>
          <w:lang w:val="en-US"/>
        </w:rPr>
        <w:t>）充电机应具备输出过电流和短路保护。</w:t>
      </w:r>
    </w:p>
    <w:p w14:paraId="495E77FD">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4</w:t>
      </w:r>
      <w:r>
        <w:rPr>
          <w:rFonts w:hint="eastAsia" w:cs="Times New Roman"/>
          <w:kern w:val="2"/>
          <w:sz w:val="21"/>
          <w:szCs w:val="21"/>
          <w:lang w:val="en-US"/>
        </w:rPr>
        <w:t>）充电机应具备内部过温保护，当内部温度达到保护值时，采取降功率或停止输出。需具备超温断电功能，当温度过高时，可自动切断充电，防止发生高温自燃等意外，保护充电设备及新能源汽车安全</w:t>
      </w:r>
      <w:r>
        <w:rPr>
          <w:rFonts w:cs="Times New Roman"/>
          <w:kern w:val="2"/>
          <w:sz w:val="21"/>
          <w:szCs w:val="21"/>
          <w:lang w:val="en-US"/>
        </w:rPr>
        <w:t>。</w:t>
      </w:r>
    </w:p>
    <w:p w14:paraId="01521BA1">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5）</w:t>
      </w:r>
      <w:r>
        <w:rPr>
          <w:rFonts w:cs="Times New Roman"/>
          <w:kern w:val="2"/>
          <w:sz w:val="21"/>
          <w:szCs w:val="21"/>
          <w:lang w:val="en-US"/>
        </w:rPr>
        <w:t>充电过程中20</w:t>
      </w:r>
      <w:r>
        <w:rPr>
          <w:rFonts w:hint="eastAsia" w:cs="Times New Roman"/>
          <w:kern w:val="2"/>
          <w:sz w:val="21"/>
          <w:szCs w:val="21"/>
          <w:lang w:val="en-US"/>
        </w:rPr>
        <w:t>分钟内</w:t>
      </w:r>
      <w:r>
        <w:rPr>
          <w:rFonts w:cs="Times New Roman"/>
          <w:kern w:val="2"/>
          <w:sz w:val="21"/>
          <w:szCs w:val="21"/>
          <w:lang w:val="en-US"/>
        </w:rPr>
        <w:t>温度升高超过15度保护。</w:t>
      </w:r>
    </w:p>
    <w:p w14:paraId="3EAD8998">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6）充电机的绝缘检测功能应与车辆绝缘检测功能相配合。</w:t>
      </w:r>
    </w:p>
    <w:p w14:paraId="196BA7AC">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7</w:t>
      </w:r>
      <w:r>
        <w:rPr>
          <w:rFonts w:hint="eastAsia" w:cs="Times New Roman"/>
          <w:kern w:val="2"/>
          <w:sz w:val="21"/>
          <w:szCs w:val="21"/>
          <w:lang w:val="en-US"/>
        </w:rPr>
        <w:t>）充电过程中当发生下列情况时，充电机应能在100ms内断开直流输出接触器，且直流输出电压应在1s内下降至60V以下。</w:t>
      </w:r>
    </w:p>
    <w:p w14:paraId="7EA8A4B9">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启动急停开关；</w:t>
      </w:r>
    </w:p>
    <w:p w14:paraId="27856746">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控制导引故障。</w:t>
      </w:r>
    </w:p>
    <w:p w14:paraId="1A813BAC">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8）充电机在启动充电时应人工确认启动。</w:t>
      </w:r>
    </w:p>
    <w:p w14:paraId="671B2A3E">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9</w:t>
      </w:r>
      <w:r>
        <w:rPr>
          <w:rFonts w:hint="eastAsia" w:cs="Times New Roman"/>
          <w:kern w:val="2"/>
          <w:sz w:val="21"/>
          <w:szCs w:val="21"/>
          <w:lang w:val="en-US"/>
        </w:rPr>
        <w:t>）充电机应具备限制冲击电流功能，冲击电流不应超过额定输入电流的110%。</w:t>
      </w:r>
    </w:p>
    <w:p w14:paraId="2A7FE6B8">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10</w:t>
      </w:r>
      <w:r>
        <w:rPr>
          <w:rFonts w:hint="eastAsia" w:cs="Times New Roman"/>
          <w:kern w:val="2"/>
          <w:sz w:val="21"/>
          <w:szCs w:val="21"/>
          <w:lang w:val="en-US"/>
        </w:rPr>
        <w:t>）充电机应具备电池反接保护功能。</w:t>
      </w:r>
    </w:p>
    <w:p w14:paraId="4558FA09">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11</w:t>
      </w:r>
      <w:r>
        <w:rPr>
          <w:rFonts w:hint="eastAsia" w:cs="Times New Roman"/>
          <w:kern w:val="2"/>
          <w:sz w:val="21"/>
          <w:szCs w:val="21"/>
          <w:lang w:val="en-US"/>
        </w:rPr>
        <w:t>）充电机在自动充电前，应具有电池电压检测功能。</w:t>
      </w:r>
    </w:p>
    <w:p w14:paraId="56892DD5">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12</w:t>
      </w:r>
      <w:r>
        <w:rPr>
          <w:rFonts w:hint="eastAsia" w:cs="Times New Roman"/>
          <w:kern w:val="2"/>
          <w:sz w:val="21"/>
          <w:szCs w:val="21"/>
          <w:lang w:val="en-US"/>
        </w:rPr>
        <w:t>）充电机在充电过程中应具有防止充电连接器意外脱落的锁止装置，直流充电时，车辆接口应具有锁止功能，该锁止功能应符合GB/T20234.1的相关要求。车辆插头端应安装机械锁止装置，供电设备应能判断机械锁是否可靠锁止。车辆插头应安装电子锁止装置，电子锁处于锁止位置时，机械锁应无法操作，供电设备应能判断电子锁是否可靠锁止。当机械锁或电子锁未可靠锁止时，供电设备应停止充电或不启动充电。直流充电车辆接口锁止装置工作示例参见GB/T18487.1-2015附录C。</w:t>
      </w:r>
    </w:p>
    <w:p w14:paraId="501684F0">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1</w:t>
      </w:r>
      <w:r>
        <w:rPr>
          <w:rFonts w:cs="Times New Roman"/>
          <w:kern w:val="2"/>
          <w:sz w:val="21"/>
          <w:szCs w:val="21"/>
          <w:lang w:val="en-US"/>
        </w:rPr>
        <w:t>3</w:t>
      </w:r>
      <w:r>
        <w:rPr>
          <w:rFonts w:hint="eastAsia" w:cs="Times New Roman"/>
          <w:kern w:val="2"/>
          <w:sz w:val="21"/>
          <w:szCs w:val="21"/>
          <w:lang w:val="en-US"/>
        </w:rPr>
        <w:t>）</w:t>
      </w:r>
      <w:r>
        <w:rPr>
          <w:rFonts w:cs="Times New Roman"/>
          <w:kern w:val="2"/>
          <w:sz w:val="21"/>
          <w:szCs w:val="21"/>
          <w:lang w:val="en-US"/>
        </w:rPr>
        <w:t>充电过程中BMS传递的SOC/V/</w:t>
      </w:r>
      <w:r>
        <w:rPr>
          <w:rFonts w:hint="eastAsia" w:cs="Times New Roman"/>
          <w:kern w:val="2"/>
          <w:sz w:val="21"/>
          <w:szCs w:val="21"/>
          <w:lang w:val="en-US"/>
        </w:rPr>
        <w:t>I</w:t>
      </w:r>
      <w:r>
        <w:rPr>
          <w:rFonts w:cs="Times New Roman"/>
          <w:kern w:val="2"/>
          <w:sz w:val="21"/>
          <w:szCs w:val="21"/>
          <w:lang w:val="en-US"/>
        </w:rPr>
        <w:t xml:space="preserve">/Vcell </w:t>
      </w:r>
      <w:r>
        <w:rPr>
          <w:rFonts w:hint="eastAsia" w:cs="Times New Roman"/>
          <w:kern w:val="2"/>
          <w:sz w:val="21"/>
          <w:szCs w:val="21"/>
          <w:lang w:val="en-US"/>
        </w:rPr>
        <w:t>Max</w:t>
      </w:r>
      <w:r>
        <w:rPr>
          <w:rFonts w:cs="Times New Roman"/>
          <w:kern w:val="2"/>
          <w:sz w:val="21"/>
          <w:szCs w:val="21"/>
          <w:lang w:val="en-US"/>
        </w:rPr>
        <w:t>/</w:t>
      </w:r>
      <w:r>
        <w:rPr>
          <w:rFonts w:hint="eastAsia" w:cs="Times New Roman"/>
          <w:kern w:val="2"/>
          <w:sz w:val="21"/>
          <w:szCs w:val="21"/>
          <w:lang w:val="en-US"/>
        </w:rPr>
        <w:t>Tempture</w:t>
      </w:r>
      <w:r>
        <w:rPr>
          <w:rFonts w:cs="Times New Roman"/>
          <w:kern w:val="2"/>
          <w:sz w:val="21"/>
          <w:szCs w:val="21"/>
          <w:lang w:val="en-US"/>
        </w:rPr>
        <w:t>这些信息维持不变超过3分钟保护。</w:t>
      </w:r>
    </w:p>
    <w:p w14:paraId="2D74A5B7">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14</w:t>
      </w:r>
      <w:r>
        <w:rPr>
          <w:rFonts w:hint="eastAsia" w:cs="Times New Roman"/>
          <w:kern w:val="2"/>
          <w:sz w:val="21"/>
          <w:szCs w:val="21"/>
          <w:lang w:val="en-US"/>
        </w:rPr>
        <w:t>）充电机应具备防止电池电流倒灌功能。</w:t>
      </w:r>
    </w:p>
    <w:p w14:paraId="652612AB">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15</w:t>
      </w:r>
      <w:r>
        <w:rPr>
          <w:rFonts w:hint="eastAsia" w:cs="Times New Roman"/>
          <w:kern w:val="2"/>
          <w:sz w:val="21"/>
          <w:szCs w:val="21"/>
          <w:lang w:val="en-US"/>
        </w:rPr>
        <w:t>）充电机应具备预充电功能。当充电机检测到电动汽车直流接触器闭合后，充电机应检测电池端电压；充电机检测到电池端电压后需进行预充，将功率模块输出电压升到与电池端电压测量值之差小于10V后，方可闭合充电机输出接触器。</w:t>
      </w:r>
    </w:p>
    <w:p w14:paraId="7F89BA82">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1</w:t>
      </w:r>
      <w:r>
        <w:rPr>
          <w:rFonts w:cs="Times New Roman"/>
          <w:kern w:val="2"/>
          <w:sz w:val="21"/>
          <w:szCs w:val="21"/>
          <w:lang w:val="en-US"/>
        </w:rPr>
        <w:t>6</w:t>
      </w:r>
      <w:r>
        <w:rPr>
          <w:rFonts w:hint="eastAsia" w:cs="Times New Roman"/>
          <w:kern w:val="2"/>
          <w:sz w:val="21"/>
          <w:szCs w:val="21"/>
          <w:lang w:val="en-US"/>
        </w:rPr>
        <w:t>）充电机在每个充电周期内进行接触器触点烧结检测。当检测到接触器触点出现粘连的情况后，充电机不得继续工作。</w:t>
      </w:r>
    </w:p>
    <w:p w14:paraId="4729E879">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1</w:t>
      </w:r>
      <w:r>
        <w:rPr>
          <w:rFonts w:cs="Times New Roman"/>
          <w:kern w:val="2"/>
          <w:sz w:val="21"/>
          <w:szCs w:val="21"/>
          <w:lang w:val="en-US"/>
        </w:rPr>
        <w:t>7</w:t>
      </w:r>
      <w:r>
        <w:rPr>
          <w:rFonts w:hint="eastAsia" w:cs="Times New Roman"/>
          <w:kern w:val="2"/>
          <w:sz w:val="21"/>
          <w:szCs w:val="21"/>
          <w:lang w:val="en-US"/>
        </w:rPr>
        <w:t>）充电机必须保证充电机输出接触器闭合发生在车辆直流充电接触器闭合之后，其时间间隔不得低于500ms。</w:t>
      </w:r>
    </w:p>
    <w:p w14:paraId="01878C1C">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18</w:t>
      </w:r>
      <w:r>
        <w:rPr>
          <w:rFonts w:hint="eastAsia" w:cs="Times New Roman"/>
          <w:kern w:val="2"/>
          <w:sz w:val="21"/>
          <w:szCs w:val="21"/>
          <w:lang w:val="en-US"/>
        </w:rPr>
        <w:t>）充电机在充电停止状态下，应保证直流输出回路处于断开状态。</w:t>
      </w:r>
    </w:p>
    <w:p w14:paraId="0EF70D88">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温升</w:t>
      </w:r>
    </w:p>
    <w:p w14:paraId="292A16AC">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正常试验条件下，交流输入为额定值，在额定负载下长期连续运行，充电机内部各发热元器件及各部位的温升不应超过中的规定。</w:t>
      </w:r>
    </w:p>
    <w:p w14:paraId="5AC3AA8C">
      <w:pPr>
        <w:widowControl/>
        <w:spacing w:line="400" w:lineRule="exact"/>
        <w:jc w:val="center"/>
        <w:rPr>
          <w:rFonts w:cs="Times New Roman"/>
          <w:color w:val="000000"/>
          <w:sz w:val="21"/>
          <w:szCs w:val="21"/>
          <w:lang w:val="en-US"/>
        </w:rPr>
      </w:pPr>
      <w:r>
        <w:rPr>
          <w:rFonts w:hint="eastAsia" w:cs="Times New Roman"/>
          <w:color w:val="000000"/>
          <w:sz w:val="21"/>
          <w:szCs w:val="21"/>
          <w:lang w:val="en-US"/>
        </w:rPr>
        <w:t>充电机各部件极限温升</w:t>
      </w:r>
    </w:p>
    <w:tbl>
      <w:tblPr>
        <w:tblStyle w:val="50"/>
        <w:tblW w:w="8976" w:type="dxa"/>
        <w:jc w:val="center"/>
        <w:tblLayout w:type="fixed"/>
        <w:tblCellMar>
          <w:top w:w="0" w:type="dxa"/>
          <w:left w:w="108" w:type="dxa"/>
          <w:bottom w:w="0" w:type="dxa"/>
          <w:right w:w="108" w:type="dxa"/>
        </w:tblCellMar>
      </w:tblPr>
      <w:tblGrid>
        <w:gridCol w:w="4793"/>
        <w:gridCol w:w="4183"/>
      </w:tblGrid>
      <w:tr w14:paraId="2028114E">
        <w:tblPrEx>
          <w:tblCellMar>
            <w:top w:w="0" w:type="dxa"/>
            <w:left w:w="108" w:type="dxa"/>
            <w:bottom w:w="0" w:type="dxa"/>
            <w:right w:w="108" w:type="dxa"/>
          </w:tblCellMar>
        </w:tblPrEx>
        <w:trPr>
          <w:trHeight w:val="124"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70A950DA">
            <w:pPr>
              <w:adjustRightInd w:val="0"/>
              <w:jc w:val="center"/>
              <w:rPr>
                <w:rFonts w:cs="Times New Roman"/>
                <w:color w:val="000000"/>
                <w:kern w:val="2"/>
                <w:sz w:val="21"/>
                <w:szCs w:val="21"/>
                <w:lang w:val="en-US"/>
              </w:rPr>
            </w:pPr>
            <w:r>
              <w:rPr>
                <w:rFonts w:cs="Times New Roman"/>
                <w:color w:val="000000"/>
                <w:kern w:val="2"/>
                <w:sz w:val="21"/>
                <w:szCs w:val="21"/>
                <w:lang w:val="en-US"/>
              </w:rPr>
              <w:t>部 件 或 器 件</w:t>
            </w:r>
          </w:p>
        </w:tc>
        <w:tc>
          <w:tcPr>
            <w:tcW w:w="4183" w:type="dxa"/>
            <w:tcBorders>
              <w:top w:val="single" w:color="000000" w:sz="8" w:space="0"/>
              <w:left w:val="single" w:color="000000" w:sz="8" w:space="0"/>
              <w:bottom w:val="single" w:color="000000" w:sz="8" w:space="0"/>
              <w:right w:val="single" w:color="000000" w:sz="8" w:space="0"/>
            </w:tcBorders>
            <w:vAlign w:val="center"/>
          </w:tcPr>
          <w:p w14:paraId="5A83AD2C">
            <w:pPr>
              <w:adjustRightInd w:val="0"/>
              <w:jc w:val="center"/>
              <w:rPr>
                <w:rFonts w:cs="Times New Roman"/>
                <w:color w:val="000000"/>
                <w:kern w:val="2"/>
                <w:sz w:val="21"/>
                <w:szCs w:val="21"/>
                <w:lang w:val="en-US"/>
              </w:rPr>
            </w:pPr>
            <w:r>
              <w:rPr>
                <w:rFonts w:cs="Times New Roman"/>
                <w:color w:val="000000"/>
                <w:kern w:val="2"/>
                <w:sz w:val="21"/>
                <w:szCs w:val="21"/>
                <w:lang w:val="en-US"/>
              </w:rPr>
              <w:t>极 限 温 升（K）</w:t>
            </w:r>
          </w:p>
        </w:tc>
      </w:tr>
      <w:tr w14:paraId="422EE6A8">
        <w:tblPrEx>
          <w:tblCellMar>
            <w:top w:w="0" w:type="dxa"/>
            <w:left w:w="108" w:type="dxa"/>
            <w:bottom w:w="0" w:type="dxa"/>
            <w:right w:w="108" w:type="dxa"/>
          </w:tblCellMar>
        </w:tblPrEx>
        <w:trPr>
          <w:trHeight w:val="186"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5E6FA25A">
            <w:pPr>
              <w:adjustRightInd w:val="0"/>
              <w:jc w:val="center"/>
              <w:rPr>
                <w:rFonts w:cs="Times New Roman"/>
                <w:color w:val="000000"/>
                <w:kern w:val="2"/>
                <w:sz w:val="21"/>
                <w:szCs w:val="21"/>
                <w:lang w:val="en-US"/>
              </w:rPr>
            </w:pPr>
            <w:r>
              <w:rPr>
                <w:rFonts w:cs="Times New Roman"/>
                <w:color w:val="000000"/>
                <w:kern w:val="2"/>
                <w:sz w:val="21"/>
                <w:szCs w:val="21"/>
                <w:lang w:val="en-US"/>
              </w:rPr>
              <w:t>功率开关器件</w:t>
            </w:r>
          </w:p>
        </w:tc>
        <w:tc>
          <w:tcPr>
            <w:tcW w:w="4183" w:type="dxa"/>
            <w:tcBorders>
              <w:top w:val="single" w:color="000000" w:sz="8" w:space="0"/>
              <w:left w:val="single" w:color="000000" w:sz="8" w:space="0"/>
              <w:bottom w:val="single" w:color="000000" w:sz="8" w:space="0"/>
              <w:right w:val="single" w:color="000000" w:sz="8" w:space="0"/>
            </w:tcBorders>
            <w:vAlign w:val="center"/>
          </w:tcPr>
          <w:p w14:paraId="371D4974">
            <w:pPr>
              <w:adjustRightInd w:val="0"/>
              <w:jc w:val="center"/>
              <w:rPr>
                <w:rFonts w:cs="Times New Roman"/>
                <w:color w:val="000000"/>
                <w:kern w:val="2"/>
                <w:sz w:val="21"/>
                <w:szCs w:val="21"/>
                <w:lang w:val="en-US"/>
              </w:rPr>
            </w:pPr>
            <w:r>
              <w:rPr>
                <w:rFonts w:cs="Times New Roman"/>
                <w:color w:val="000000"/>
                <w:kern w:val="2"/>
                <w:sz w:val="21"/>
                <w:szCs w:val="21"/>
                <w:lang w:val="en-US"/>
              </w:rPr>
              <w:t>70</w:t>
            </w:r>
          </w:p>
        </w:tc>
      </w:tr>
      <w:tr w14:paraId="7F730B7C">
        <w:tblPrEx>
          <w:tblCellMar>
            <w:top w:w="0" w:type="dxa"/>
            <w:left w:w="108" w:type="dxa"/>
            <w:bottom w:w="0" w:type="dxa"/>
            <w:right w:w="108" w:type="dxa"/>
          </w:tblCellMar>
        </w:tblPrEx>
        <w:trPr>
          <w:trHeight w:val="211"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5CB3C915">
            <w:pPr>
              <w:adjustRightInd w:val="0"/>
              <w:jc w:val="center"/>
              <w:rPr>
                <w:rFonts w:cs="Times New Roman"/>
                <w:color w:val="000000"/>
                <w:kern w:val="2"/>
                <w:sz w:val="21"/>
                <w:szCs w:val="21"/>
                <w:lang w:val="en-US"/>
              </w:rPr>
            </w:pPr>
            <w:r>
              <w:rPr>
                <w:rFonts w:cs="Times New Roman"/>
                <w:color w:val="000000"/>
                <w:kern w:val="2"/>
                <w:sz w:val="21"/>
                <w:szCs w:val="21"/>
                <w:lang w:val="en-US"/>
              </w:rPr>
              <w:t>整流变压器、电抗器（B级绝缘绕组）</w:t>
            </w:r>
          </w:p>
        </w:tc>
        <w:tc>
          <w:tcPr>
            <w:tcW w:w="4183" w:type="dxa"/>
            <w:tcBorders>
              <w:top w:val="single" w:color="000000" w:sz="8" w:space="0"/>
              <w:left w:val="single" w:color="000000" w:sz="8" w:space="0"/>
              <w:bottom w:val="single" w:color="000000" w:sz="8" w:space="0"/>
              <w:right w:val="single" w:color="000000" w:sz="8" w:space="0"/>
            </w:tcBorders>
            <w:vAlign w:val="center"/>
          </w:tcPr>
          <w:p w14:paraId="194FC931">
            <w:pPr>
              <w:adjustRightInd w:val="0"/>
              <w:jc w:val="center"/>
              <w:rPr>
                <w:rFonts w:cs="Times New Roman"/>
                <w:color w:val="000000"/>
                <w:kern w:val="2"/>
                <w:sz w:val="21"/>
                <w:szCs w:val="21"/>
                <w:lang w:val="en-US"/>
              </w:rPr>
            </w:pPr>
            <w:r>
              <w:rPr>
                <w:rFonts w:cs="Times New Roman"/>
                <w:color w:val="000000"/>
                <w:kern w:val="2"/>
                <w:sz w:val="21"/>
                <w:szCs w:val="21"/>
                <w:lang w:val="en-US"/>
              </w:rPr>
              <w:t>80</w:t>
            </w:r>
          </w:p>
        </w:tc>
      </w:tr>
      <w:tr w14:paraId="63FEBF2B">
        <w:tblPrEx>
          <w:tblCellMar>
            <w:top w:w="0" w:type="dxa"/>
            <w:left w:w="108" w:type="dxa"/>
            <w:bottom w:w="0" w:type="dxa"/>
            <w:right w:w="108" w:type="dxa"/>
          </w:tblCellMar>
        </w:tblPrEx>
        <w:trPr>
          <w:trHeight w:val="161"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7DD4F27A">
            <w:pPr>
              <w:adjustRightInd w:val="0"/>
              <w:jc w:val="center"/>
              <w:rPr>
                <w:rFonts w:cs="Times New Roman"/>
                <w:color w:val="000000"/>
                <w:kern w:val="2"/>
                <w:sz w:val="21"/>
                <w:szCs w:val="21"/>
                <w:lang w:val="en-US"/>
              </w:rPr>
            </w:pPr>
            <w:r>
              <w:rPr>
                <w:rFonts w:cs="Times New Roman"/>
                <w:color w:val="000000"/>
                <w:kern w:val="2"/>
                <w:sz w:val="21"/>
                <w:szCs w:val="21"/>
                <w:lang w:val="en-US"/>
              </w:rPr>
              <w:t>与半导体器件的连接处</w:t>
            </w:r>
          </w:p>
        </w:tc>
        <w:tc>
          <w:tcPr>
            <w:tcW w:w="4183" w:type="dxa"/>
            <w:tcBorders>
              <w:top w:val="single" w:color="000000" w:sz="8" w:space="0"/>
              <w:left w:val="single" w:color="000000" w:sz="8" w:space="0"/>
              <w:bottom w:val="single" w:color="000000" w:sz="8" w:space="0"/>
              <w:right w:val="single" w:color="000000" w:sz="8" w:space="0"/>
            </w:tcBorders>
            <w:vAlign w:val="center"/>
          </w:tcPr>
          <w:p w14:paraId="4781D379">
            <w:pPr>
              <w:adjustRightInd w:val="0"/>
              <w:jc w:val="center"/>
              <w:rPr>
                <w:rFonts w:cs="Times New Roman"/>
                <w:color w:val="000000"/>
                <w:kern w:val="2"/>
                <w:sz w:val="21"/>
                <w:szCs w:val="21"/>
                <w:lang w:val="en-US"/>
              </w:rPr>
            </w:pPr>
            <w:r>
              <w:rPr>
                <w:rFonts w:cs="Times New Roman"/>
                <w:color w:val="000000"/>
                <w:kern w:val="2"/>
                <w:sz w:val="21"/>
                <w:szCs w:val="21"/>
                <w:lang w:val="en-US"/>
              </w:rPr>
              <w:t>55</w:t>
            </w:r>
          </w:p>
        </w:tc>
      </w:tr>
      <w:tr w14:paraId="164E2CBD">
        <w:tblPrEx>
          <w:tblCellMar>
            <w:top w:w="0" w:type="dxa"/>
            <w:left w:w="108" w:type="dxa"/>
            <w:bottom w:w="0" w:type="dxa"/>
            <w:right w:w="108" w:type="dxa"/>
          </w:tblCellMar>
        </w:tblPrEx>
        <w:trPr>
          <w:trHeight w:val="111"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0284EBBE">
            <w:pPr>
              <w:adjustRightInd w:val="0"/>
              <w:jc w:val="center"/>
              <w:rPr>
                <w:rFonts w:cs="Times New Roman"/>
                <w:color w:val="000000"/>
                <w:kern w:val="2"/>
                <w:sz w:val="21"/>
                <w:szCs w:val="21"/>
                <w:lang w:val="en-US"/>
              </w:rPr>
            </w:pPr>
            <w:r>
              <w:rPr>
                <w:rFonts w:cs="Times New Roman"/>
                <w:color w:val="000000"/>
                <w:kern w:val="2"/>
                <w:sz w:val="21"/>
                <w:szCs w:val="21"/>
                <w:lang w:val="en-US"/>
              </w:rPr>
              <w:t>与半导体器件的连接处的塑料绝缘线</w:t>
            </w:r>
          </w:p>
        </w:tc>
        <w:tc>
          <w:tcPr>
            <w:tcW w:w="4183" w:type="dxa"/>
            <w:tcBorders>
              <w:top w:val="single" w:color="000000" w:sz="8" w:space="0"/>
              <w:left w:val="single" w:color="000000" w:sz="8" w:space="0"/>
              <w:bottom w:val="single" w:color="000000" w:sz="8" w:space="0"/>
              <w:right w:val="single" w:color="000000" w:sz="8" w:space="0"/>
            </w:tcBorders>
            <w:vAlign w:val="center"/>
          </w:tcPr>
          <w:p w14:paraId="3CC14F78">
            <w:pPr>
              <w:adjustRightInd w:val="0"/>
              <w:jc w:val="center"/>
              <w:rPr>
                <w:rFonts w:cs="Times New Roman"/>
                <w:color w:val="000000"/>
                <w:kern w:val="2"/>
                <w:sz w:val="21"/>
                <w:szCs w:val="21"/>
                <w:lang w:val="en-US"/>
              </w:rPr>
            </w:pPr>
            <w:r>
              <w:rPr>
                <w:rFonts w:cs="Times New Roman"/>
                <w:color w:val="000000"/>
                <w:kern w:val="2"/>
                <w:sz w:val="21"/>
                <w:szCs w:val="21"/>
                <w:lang w:val="en-US"/>
              </w:rPr>
              <w:t>25</w:t>
            </w:r>
          </w:p>
        </w:tc>
      </w:tr>
      <w:tr w14:paraId="0E10F1E3">
        <w:tblPrEx>
          <w:tblCellMar>
            <w:top w:w="0" w:type="dxa"/>
            <w:left w:w="108" w:type="dxa"/>
            <w:bottom w:w="0" w:type="dxa"/>
            <w:right w:w="108" w:type="dxa"/>
          </w:tblCellMar>
        </w:tblPrEx>
        <w:trPr>
          <w:trHeight w:val="644"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48C9031C">
            <w:pPr>
              <w:adjustRightInd w:val="0"/>
              <w:jc w:val="center"/>
              <w:rPr>
                <w:rFonts w:cs="Times New Roman"/>
                <w:color w:val="000000"/>
                <w:kern w:val="2"/>
                <w:sz w:val="21"/>
                <w:szCs w:val="21"/>
                <w:lang w:val="en-US"/>
              </w:rPr>
            </w:pPr>
            <w:r>
              <w:rPr>
                <w:rFonts w:cs="Times New Roman"/>
                <w:color w:val="000000"/>
                <w:kern w:val="2"/>
                <w:sz w:val="21"/>
                <w:szCs w:val="21"/>
                <w:lang w:val="en-US"/>
              </w:rPr>
              <w:t>母线连接处</w:t>
            </w:r>
          </w:p>
          <w:p w14:paraId="473E4E09">
            <w:pPr>
              <w:adjustRightInd w:val="0"/>
              <w:jc w:val="center"/>
              <w:rPr>
                <w:rFonts w:cs="Times New Roman"/>
                <w:color w:val="000000"/>
                <w:kern w:val="2"/>
                <w:sz w:val="21"/>
                <w:szCs w:val="21"/>
                <w:lang w:val="en-US"/>
              </w:rPr>
            </w:pPr>
            <w:r>
              <w:rPr>
                <w:rFonts w:cs="Times New Roman"/>
                <w:color w:val="000000"/>
                <w:kern w:val="2"/>
                <w:sz w:val="21"/>
                <w:szCs w:val="21"/>
                <w:lang w:val="en-US"/>
              </w:rPr>
              <w:t>铜与铜</w:t>
            </w:r>
          </w:p>
          <w:p w14:paraId="292C9886">
            <w:pPr>
              <w:adjustRightInd w:val="0"/>
              <w:jc w:val="center"/>
              <w:rPr>
                <w:rFonts w:cs="Times New Roman"/>
                <w:color w:val="000000"/>
                <w:kern w:val="2"/>
                <w:sz w:val="21"/>
                <w:szCs w:val="21"/>
                <w:lang w:val="en-US"/>
              </w:rPr>
            </w:pPr>
            <w:r>
              <w:rPr>
                <w:rFonts w:cs="Times New Roman"/>
                <w:color w:val="000000"/>
                <w:kern w:val="2"/>
                <w:sz w:val="21"/>
                <w:szCs w:val="21"/>
                <w:lang w:val="en-US"/>
              </w:rPr>
              <w:t>铜搪锡——铜搪锡</w:t>
            </w:r>
          </w:p>
        </w:tc>
        <w:tc>
          <w:tcPr>
            <w:tcW w:w="4183" w:type="dxa"/>
            <w:tcBorders>
              <w:top w:val="single" w:color="000000" w:sz="8" w:space="0"/>
              <w:left w:val="single" w:color="000000" w:sz="8" w:space="0"/>
              <w:bottom w:val="single" w:color="000000" w:sz="8" w:space="0"/>
              <w:right w:val="single" w:color="000000" w:sz="8" w:space="0"/>
            </w:tcBorders>
            <w:vAlign w:val="center"/>
          </w:tcPr>
          <w:p w14:paraId="4CC790A6">
            <w:pPr>
              <w:adjustRightInd w:val="0"/>
              <w:jc w:val="center"/>
              <w:rPr>
                <w:rFonts w:cs="Times New Roman"/>
                <w:color w:val="000000"/>
                <w:kern w:val="2"/>
                <w:sz w:val="21"/>
                <w:szCs w:val="21"/>
                <w:lang w:val="en-US"/>
              </w:rPr>
            </w:pPr>
          </w:p>
          <w:p w14:paraId="2CA36D18">
            <w:pPr>
              <w:adjustRightInd w:val="0"/>
              <w:jc w:val="center"/>
              <w:rPr>
                <w:rFonts w:cs="Times New Roman"/>
                <w:color w:val="000000"/>
                <w:kern w:val="2"/>
                <w:sz w:val="21"/>
                <w:szCs w:val="21"/>
                <w:lang w:val="en-US"/>
              </w:rPr>
            </w:pPr>
            <w:r>
              <w:rPr>
                <w:rFonts w:cs="Times New Roman"/>
                <w:color w:val="000000"/>
                <w:kern w:val="2"/>
                <w:sz w:val="21"/>
                <w:szCs w:val="21"/>
                <w:lang w:val="en-US"/>
              </w:rPr>
              <w:t>50</w:t>
            </w:r>
          </w:p>
          <w:p w14:paraId="655038AD">
            <w:pPr>
              <w:adjustRightInd w:val="0"/>
              <w:jc w:val="center"/>
              <w:rPr>
                <w:rFonts w:cs="Times New Roman"/>
                <w:color w:val="000000"/>
                <w:kern w:val="2"/>
                <w:sz w:val="21"/>
                <w:szCs w:val="21"/>
                <w:lang w:val="en-US"/>
              </w:rPr>
            </w:pPr>
            <w:r>
              <w:rPr>
                <w:rFonts w:cs="Times New Roman"/>
                <w:color w:val="000000"/>
                <w:kern w:val="2"/>
                <w:sz w:val="21"/>
                <w:szCs w:val="21"/>
                <w:lang w:val="en-US"/>
              </w:rPr>
              <w:t>60</w:t>
            </w:r>
          </w:p>
        </w:tc>
      </w:tr>
    </w:tbl>
    <w:p w14:paraId="26032C5F">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高低温和湿热性能</w:t>
      </w:r>
    </w:p>
    <w:p w14:paraId="4C5B25E7">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低温性能</w:t>
      </w:r>
    </w:p>
    <w:p w14:paraId="5FBAE021">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试验温度为规定的下限值，待达到试验温度后启动充电机，充电机应能正常工作。测试充电机的稳压精度应</w:t>
      </w:r>
      <w:r>
        <w:rPr>
          <w:rFonts w:hint="eastAsia" w:cs="Times New Roman"/>
          <w:caps/>
          <w:color w:val="000000"/>
          <w:sz w:val="21"/>
          <w:szCs w:val="21"/>
          <w:lang w:val="en-US"/>
        </w:rPr>
        <w:t>不超过±</w:t>
      </w:r>
      <w:r>
        <w:rPr>
          <w:rFonts w:cs="Times New Roman"/>
          <w:caps/>
          <w:color w:val="000000"/>
          <w:sz w:val="21"/>
          <w:szCs w:val="21"/>
          <w:lang w:val="en-US"/>
        </w:rPr>
        <w:t>0.5%。</w:t>
      </w:r>
    </w:p>
    <w:p w14:paraId="6079FA13">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高温性能</w:t>
      </w:r>
    </w:p>
    <w:p w14:paraId="3085639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试验温度为规定的上限值，待达到试验温度后启动充电机，充电机应能正常工作。测试充电机的稳</w:t>
      </w:r>
      <w:r>
        <w:rPr>
          <w:rFonts w:cs="Times New Roman"/>
          <w:caps/>
          <w:color w:val="000000"/>
          <w:sz w:val="21"/>
          <w:szCs w:val="21"/>
          <w:lang w:val="en-US"/>
        </w:rPr>
        <w:t>压</w:t>
      </w:r>
      <w:r>
        <w:rPr>
          <w:rFonts w:hint="eastAsia" w:cs="Times New Roman"/>
          <w:caps/>
          <w:color w:val="000000"/>
          <w:sz w:val="21"/>
          <w:szCs w:val="21"/>
          <w:lang w:val="en-US"/>
        </w:rPr>
        <w:t>精度应不超过±</w:t>
      </w:r>
      <w:r>
        <w:rPr>
          <w:rFonts w:cs="Times New Roman"/>
          <w:caps/>
          <w:color w:val="000000"/>
          <w:sz w:val="21"/>
          <w:szCs w:val="21"/>
          <w:lang w:val="en-US"/>
        </w:rPr>
        <w:t>0.5%</w:t>
      </w:r>
      <w:r>
        <w:rPr>
          <w:rFonts w:hint="eastAsia" w:cs="Times New Roman"/>
          <w:caps/>
          <w:color w:val="000000"/>
          <w:sz w:val="21"/>
          <w:szCs w:val="21"/>
          <w:lang w:val="en-US"/>
        </w:rPr>
        <w:t>。</w:t>
      </w:r>
    </w:p>
    <w:p w14:paraId="0A92A2A2">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湿热性能</w:t>
      </w:r>
    </w:p>
    <w:p w14:paraId="1E9B9DD9">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按GB/T 2423.4-2008中试验Db规定的方法进行试验，试验温度为（40±2）</w:t>
      </w:r>
      <w:r>
        <w:rPr>
          <w:rFonts w:hint="eastAsia" w:cs="Times New Roman"/>
          <w:caps/>
          <w:color w:val="000000"/>
          <w:sz w:val="21"/>
          <w:szCs w:val="21"/>
          <w:lang w:val="en-US"/>
        </w:rPr>
        <w:t>℃</w:t>
      </w:r>
      <w:r>
        <w:rPr>
          <w:rFonts w:cs="Times New Roman"/>
          <w:caps/>
          <w:color w:val="000000"/>
          <w:sz w:val="21"/>
          <w:szCs w:val="21"/>
          <w:lang w:val="en-US"/>
        </w:rPr>
        <w:t>，循环次数为2次，在试验结束前2h进行绝缘电阻和介电强度检测，其中绝缘电阻不应小于1MΩ，介电强度按规定值的75％施加测量电压。试验结束后，恢复至正常大气条件，通电后检查充电机各项功能应正常。</w:t>
      </w:r>
    </w:p>
    <w:p w14:paraId="0DFCC2A1">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机械强度</w:t>
      </w:r>
    </w:p>
    <w:p w14:paraId="4478C62B">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按GB/T 2423.55-2006规定的方法进行试验，剧烈冲击能量为20J（5kg，在0.4m）。试验结束后，充电机的IP等级不受影响，绝缘性能不应降低，门的操作和锁止点不应损坏。</w:t>
      </w:r>
    </w:p>
    <w:p w14:paraId="6B9154BB">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充电输出参数</w:t>
      </w:r>
      <w:r>
        <w:rPr>
          <w:rFonts w:cs="Times New Roman"/>
          <w:b/>
          <w:bCs/>
          <w:color w:val="000000"/>
          <w:kern w:val="2"/>
          <w:sz w:val="21"/>
          <w:szCs w:val="21"/>
          <w:lang w:val="en-US"/>
        </w:rPr>
        <w:t>、</w:t>
      </w:r>
      <w:r>
        <w:rPr>
          <w:rFonts w:hint="eastAsia" w:cs="Times New Roman"/>
          <w:b/>
          <w:bCs/>
          <w:color w:val="000000"/>
          <w:kern w:val="2"/>
          <w:sz w:val="21"/>
          <w:szCs w:val="21"/>
          <w:lang w:val="en-US"/>
        </w:rPr>
        <w:t>电磁</w:t>
      </w:r>
      <w:r>
        <w:rPr>
          <w:rFonts w:cs="Times New Roman"/>
          <w:b/>
          <w:bCs/>
          <w:color w:val="000000"/>
          <w:kern w:val="2"/>
          <w:sz w:val="21"/>
          <w:szCs w:val="21"/>
          <w:lang w:val="en-US"/>
        </w:rPr>
        <w:t>兼容、</w:t>
      </w:r>
      <w:r>
        <w:rPr>
          <w:rFonts w:hint="eastAsia" w:cs="Times New Roman"/>
          <w:b/>
          <w:bCs/>
          <w:color w:val="000000"/>
          <w:kern w:val="2"/>
          <w:sz w:val="21"/>
          <w:szCs w:val="21"/>
          <w:lang w:val="en-US"/>
        </w:rPr>
        <w:t>可靠性</w:t>
      </w:r>
      <w:r>
        <w:rPr>
          <w:rFonts w:cs="Times New Roman"/>
          <w:b/>
          <w:bCs/>
          <w:color w:val="000000"/>
          <w:kern w:val="2"/>
          <w:sz w:val="21"/>
          <w:szCs w:val="21"/>
          <w:lang w:val="en-US"/>
        </w:rPr>
        <w:t>要求</w:t>
      </w:r>
    </w:p>
    <w:tbl>
      <w:tblPr>
        <w:tblStyle w:val="50"/>
        <w:tblW w:w="8971" w:type="dxa"/>
        <w:tblInd w:w="0" w:type="dxa"/>
        <w:tblLayout w:type="fixed"/>
        <w:tblCellMar>
          <w:top w:w="0" w:type="dxa"/>
          <w:left w:w="108" w:type="dxa"/>
          <w:bottom w:w="0" w:type="dxa"/>
          <w:right w:w="108" w:type="dxa"/>
        </w:tblCellMar>
      </w:tblPr>
      <w:tblGrid>
        <w:gridCol w:w="649"/>
        <w:gridCol w:w="745"/>
        <w:gridCol w:w="2527"/>
        <w:gridCol w:w="1543"/>
        <w:gridCol w:w="3507"/>
      </w:tblGrid>
      <w:tr w14:paraId="75C3C246">
        <w:tblPrEx>
          <w:tblCellMar>
            <w:top w:w="0" w:type="dxa"/>
            <w:left w:w="108" w:type="dxa"/>
            <w:bottom w:w="0" w:type="dxa"/>
            <w:right w:w="108" w:type="dxa"/>
          </w:tblCellMar>
        </w:tblPrEx>
        <w:trPr>
          <w:trHeight w:val="634" w:hRule="atLeast"/>
          <w:tblHeader/>
        </w:trPr>
        <w:tc>
          <w:tcPr>
            <w:tcW w:w="649" w:type="dxa"/>
            <w:tcBorders>
              <w:top w:val="single" w:color="auto" w:sz="4" w:space="0"/>
              <w:left w:val="single" w:color="auto" w:sz="4" w:space="0"/>
              <w:bottom w:val="single" w:color="auto" w:sz="4" w:space="0"/>
              <w:right w:val="single" w:color="auto" w:sz="4" w:space="0"/>
            </w:tcBorders>
            <w:vAlign w:val="center"/>
          </w:tcPr>
          <w:p w14:paraId="55E03CCF">
            <w:pPr>
              <w:widowControl/>
              <w:jc w:val="center"/>
              <w:rPr>
                <w:b/>
                <w:bCs/>
                <w:color w:val="000000"/>
                <w:kern w:val="2"/>
                <w:sz w:val="21"/>
                <w:szCs w:val="21"/>
                <w:lang w:val="en-US"/>
              </w:rPr>
            </w:pPr>
            <w:r>
              <w:rPr>
                <w:rFonts w:hint="eastAsia"/>
                <w:b/>
                <w:bCs/>
                <w:color w:val="000000"/>
                <w:kern w:val="2"/>
                <w:sz w:val="21"/>
                <w:szCs w:val="21"/>
                <w:lang w:val="en-US"/>
              </w:rPr>
              <w:t>序号</w:t>
            </w:r>
          </w:p>
        </w:tc>
        <w:tc>
          <w:tcPr>
            <w:tcW w:w="745" w:type="dxa"/>
            <w:tcBorders>
              <w:top w:val="single" w:color="auto" w:sz="4" w:space="0"/>
              <w:left w:val="nil"/>
              <w:bottom w:val="single" w:color="auto" w:sz="4" w:space="0"/>
              <w:right w:val="single" w:color="auto" w:sz="4" w:space="0"/>
            </w:tcBorders>
            <w:vAlign w:val="center"/>
          </w:tcPr>
          <w:p w14:paraId="27C03D7E">
            <w:pPr>
              <w:widowControl/>
              <w:jc w:val="center"/>
              <w:rPr>
                <w:b/>
                <w:bCs/>
                <w:color w:val="000000"/>
                <w:kern w:val="2"/>
                <w:sz w:val="21"/>
                <w:szCs w:val="21"/>
                <w:lang w:val="en-US"/>
              </w:rPr>
            </w:pPr>
            <w:r>
              <w:rPr>
                <w:rFonts w:hint="eastAsia"/>
                <w:b/>
                <w:bCs/>
                <w:color w:val="000000"/>
                <w:kern w:val="2"/>
                <w:sz w:val="21"/>
                <w:szCs w:val="21"/>
                <w:lang w:val="en-US"/>
              </w:rPr>
              <w:t>名称</w:t>
            </w:r>
          </w:p>
        </w:tc>
        <w:tc>
          <w:tcPr>
            <w:tcW w:w="2527" w:type="dxa"/>
            <w:tcBorders>
              <w:top w:val="single" w:color="auto" w:sz="4" w:space="0"/>
              <w:left w:val="nil"/>
              <w:bottom w:val="single" w:color="auto" w:sz="4" w:space="0"/>
              <w:right w:val="single" w:color="auto" w:sz="4" w:space="0"/>
            </w:tcBorders>
            <w:vAlign w:val="center"/>
          </w:tcPr>
          <w:p w14:paraId="1AEBBB6B">
            <w:pPr>
              <w:widowControl/>
              <w:jc w:val="center"/>
              <w:rPr>
                <w:b/>
                <w:bCs/>
                <w:color w:val="000000"/>
                <w:kern w:val="2"/>
                <w:sz w:val="21"/>
                <w:szCs w:val="21"/>
                <w:lang w:val="en-US"/>
              </w:rPr>
            </w:pPr>
            <w:r>
              <w:rPr>
                <w:rFonts w:hint="eastAsia"/>
                <w:b/>
                <w:bCs/>
                <w:color w:val="000000"/>
                <w:kern w:val="2"/>
                <w:sz w:val="21"/>
                <w:szCs w:val="21"/>
                <w:lang w:val="en-US"/>
              </w:rPr>
              <w:t>项目</w:t>
            </w:r>
          </w:p>
        </w:tc>
        <w:tc>
          <w:tcPr>
            <w:tcW w:w="1543" w:type="dxa"/>
            <w:tcBorders>
              <w:top w:val="single" w:color="auto" w:sz="4" w:space="0"/>
              <w:left w:val="nil"/>
              <w:bottom w:val="single" w:color="auto" w:sz="4" w:space="0"/>
              <w:right w:val="single" w:color="auto" w:sz="4" w:space="0"/>
            </w:tcBorders>
            <w:vAlign w:val="center"/>
          </w:tcPr>
          <w:p w14:paraId="7C1A6FCD">
            <w:pPr>
              <w:widowControl/>
              <w:jc w:val="center"/>
              <w:rPr>
                <w:b/>
                <w:bCs/>
                <w:color w:val="000000"/>
                <w:kern w:val="2"/>
                <w:sz w:val="21"/>
                <w:szCs w:val="21"/>
                <w:lang w:val="en-US"/>
              </w:rPr>
            </w:pPr>
            <w:r>
              <w:rPr>
                <w:rFonts w:hint="eastAsia"/>
                <w:b/>
                <w:bCs/>
                <w:color w:val="000000"/>
                <w:kern w:val="2"/>
                <w:sz w:val="21"/>
                <w:szCs w:val="21"/>
                <w:lang w:val="en-US"/>
              </w:rPr>
              <w:t>单位</w:t>
            </w:r>
          </w:p>
        </w:tc>
        <w:tc>
          <w:tcPr>
            <w:tcW w:w="3507" w:type="dxa"/>
            <w:tcBorders>
              <w:top w:val="single" w:color="auto" w:sz="4" w:space="0"/>
              <w:left w:val="nil"/>
              <w:bottom w:val="single" w:color="auto" w:sz="4" w:space="0"/>
              <w:right w:val="single" w:color="auto" w:sz="4" w:space="0"/>
            </w:tcBorders>
            <w:vAlign w:val="center"/>
          </w:tcPr>
          <w:p w14:paraId="178938CB">
            <w:pPr>
              <w:widowControl/>
              <w:jc w:val="center"/>
              <w:rPr>
                <w:b/>
                <w:bCs/>
                <w:color w:val="000000"/>
                <w:kern w:val="2"/>
                <w:sz w:val="21"/>
                <w:szCs w:val="21"/>
                <w:lang w:val="en-US"/>
              </w:rPr>
            </w:pPr>
            <w:r>
              <w:rPr>
                <w:rFonts w:hint="eastAsia"/>
                <w:b/>
                <w:bCs/>
                <w:color w:val="000000"/>
                <w:kern w:val="2"/>
                <w:sz w:val="21"/>
                <w:szCs w:val="21"/>
                <w:lang w:val="en-US"/>
              </w:rPr>
              <w:t>技术参数要求</w:t>
            </w:r>
          </w:p>
        </w:tc>
      </w:tr>
      <w:tr w14:paraId="44733F9D">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2E55554F">
            <w:pPr>
              <w:widowControl/>
              <w:jc w:val="center"/>
              <w:rPr>
                <w:color w:val="000000"/>
                <w:kern w:val="2"/>
                <w:sz w:val="21"/>
                <w:szCs w:val="21"/>
                <w:lang w:val="en-US"/>
              </w:rPr>
            </w:pPr>
            <w:r>
              <w:rPr>
                <w:rFonts w:hint="eastAsia"/>
                <w:color w:val="000000"/>
                <w:kern w:val="2"/>
                <w:sz w:val="21"/>
                <w:szCs w:val="21"/>
                <w:lang w:val="en-US"/>
              </w:rPr>
              <w:t>1</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7A7E1620">
            <w:pPr>
              <w:widowControl/>
              <w:jc w:val="center"/>
              <w:rPr>
                <w:color w:val="000000"/>
                <w:kern w:val="2"/>
                <w:sz w:val="21"/>
                <w:szCs w:val="21"/>
                <w:lang w:val="en-US"/>
              </w:rPr>
            </w:pPr>
            <w:r>
              <w:rPr>
                <w:rFonts w:hint="eastAsia"/>
                <w:color w:val="000000"/>
                <w:kern w:val="2"/>
                <w:sz w:val="21"/>
                <w:szCs w:val="21"/>
                <w:lang w:val="en-US"/>
              </w:rPr>
              <w:t>直流充电机</w:t>
            </w:r>
          </w:p>
        </w:tc>
        <w:tc>
          <w:tcPr>
            <w:tcW w:w="2527" w:type="dxa"/>
            <w:tcBorders>
              <w:top w:val="single" w:color="auto" w:sz="4" w:space="0"/>
              <w:left w:val="nil"/>
              <w:bottom w:val="single" w:color="auto" w:sz="4" w:space="0"/>
              <w:right w:val="single" w:color="auto" w:sz="4" w:space="0"/>
            </w:tcBorders>
            <w:vAlign w:val="center"/>
          </w:tcPr>
          <w:p w14:paraId="55578B02">
            <w:pPr>
              <w:widowControl/>
              <w:jc w:val="center"/>
              <w:rPr>
                <w:color w:val="000000"/>
                <w:kern w:val="2"/>
                <w:sz w:val="21"/>
                <w:szCs w:val="21"/>
                <w:lang w:val="en-US"/>
              </w:rPr>
            </w:pPr>
            <w:r>
              <w:rPr>
                <w:rFonts w:hint="eastAsia"/>
                <w:color w:val="000000"/>
                <w:kern w:val="2"/>
                <w:sz w:val="21"/>
                <w:szCs w:val="21"/>
                <w:lang w:val="en-US"/>
              </w:rPr>
              <w:t>交流输入电压</w:t>
            </w:r>
          </w:p>
        </w:tc>
        <w:tc>
          <w:tcPr>
            <w:tcW w:w="1543" w:type="dxa"/>
            <w:tcBorders>
              <w:top w:val="single" w:color="auto" w:sz="4" w:space="0"/>
              <w:left w:val="nil"/>
              <w:bottom w:val="single" w:color="auto" w:sz="4" w:space="0"/>
              <w:right w:val="single" w:color="auto" w:sz="4" w:space="0"/>
            </w:tcBorders>
            <w:vAlign w:val="center"/>
          </w:tcPr>
          <w:p w14:paraId="76994D02">
            <w:pPr>
              <w:widowControl/>
              <w:jc w:val="center"/>
              <w:rPr>
                <w:color w:val="000000"/>
                <w:kern w:val="2"/>
                <w:sz w:val="21"/>
                <w:szCs w:val="21"/>
                <w:lang w:val="en-US"/>
              </w:rPr>
            </w:pPr>
            <w:r>
              <w:rPr>
                <w:rFonts w:hint="eastAsia"/>
                <w:color w:val="000000"/>
                <w:kern w:val="2"/>
                <w:sz w:val="21"/>
                <w:szCs w:val="21"/>
                <w:lang w:val="en-US"/>
              </w:rPr>
              <w:t>V</w:t>
            </w:r>
          </w:p>
        </w:tc>
        <w:tc>
          <w:tcPr>
            <w:tcW w:w="3507" w:type="dxa"/>
            <w:tcBorders>
              <w:top w:val="single" w:color="auto" w:sz="4" w:space="0"/>
              <w:left w:val="nil"/>
              <w:bottom w:val="single" w:color="auto" w:sz="4" w:space="0"/>
              <w:right w:val="single" w:color="auto" w:sz="4" w:space="0"/>
            </w:tcBorders>
            <w:vAlign w:val="center"/>
          </w:tcPr>
          <w:p w14:paraId="2A66CA77">
            <w:pPr>
              <w:widowControl/>
              <w:jc w:val="center"/>
              <w:rPr>
                <w:color w:val="000000"/>
                <w:kern w:val="2"/>
                <w:sz w:val="21"/>
                <w:szCs w:val="21"/>
                <w:lang w:val="en-US"/>
              </w:rPr>
            </w:pPr>
            <w:r>
              <w:rPr>
                <w:rFonts w:hint="eastAsia"/>
                <w:color w:val="000000"/>
                <w:kern w:val="2"/>
                <w:sz w:val="21"/>
                <w:szCs w:val="21"/>
                <w:lang w:val="en-US"/>
              </w:rPr>
              <w:t>三相380：323～437</w:t>
            </w:r>
          </w:p>
        </w:tc>
      </w:tr>
      <w:tr w14:paraId="2E89A080">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70DEB8C5">
            <w:pPr>
              <w:widowControl/>
              <w:jc w:val="center"/>
              <w:rPr>
                <w:color w:val="000000"/>
                <w:kern w:val="2"/>
                <w:sz w:val="21"/>
                <w:szCs w:val="21"/>
                <w:lang w:val="en-US"/>
              </w:rPr>
            </w:pPr>
            <w:r>
              <w:rPr>
                <w:rFonts w:hint="eastAsia"/>
                <w:color w:val="000000"/>
                <w:kern w:val="2"/>
                <w:sz w:val="21"/>
                <w:szCs w:val="21"/>
                <w:lang w:val="en-US"/>
              </w:rPr>
              <w:t>2</w:t>
            </w:r>
          </w:p>
        </w:tc>
        <w:tc>
          <w:tcPr>
            <w:tcW w:w="745" w:type="dxa"/>
            <w:vMerge w:val="continue"/>
            <w:tcBorders>
              <w:top w:val="nil"/>
              <w:left w:val="single" w:color="auto" w:sz="4" w:space="0"/>
              <w:bottom w:val="single" w:color="auto" w:sz="4" w:space="0"/>
              <w:right w:val="single" w:color="auto" w:sz="4" w:space="0"/>
            </w:tcBorders>
            <w:vAlign w:val="center"/>
          </w:tcPr>
          <w:p w14:paraId="76278655">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5F9A1FB4">
            <w:pPr>
              <w:widowControl/>
              <w:jc w:val="center"/>
              <w:rPr>
                <w:color w:val="000000"/>
                <w:kern w:val="2"/>
                <w:sz w:val="21"/>
                <w:szCs w:val="21"/>
                <w:lang w:val="en-US"/>
              </w:rPr>
            </w:pPr>
            <w:r>
              <w:rPr>
                <w:rFonts w:hint="eastAsia"/>
                <w:color w:val="000000"/>
                <w:kern w:val="2"/>
                <w:sz w:val="21"/>
                <w:szCs w:val="21"/>
                <w:lang w:val="en-US"/>
              </w:rPr>
              <w:t>交流电源频率</w:t>
            </w:r>
          </w:p>
        </w:tc>
        <w:tc>
          <w:tcPr>
            <w:tcW w:w="1543" w:type="dxa"/>
            <w:tcBorders>
              <w:top w:val="nil"/>
              <w:left w:val="nil"/>
              <w:bottom w:val="single" w:color="auto" w:sz="4" w:space="0"/>
              <w:right w:val="single" w:color="auto" w:sz="4" w:space="0"/>
            </w:tcBorders>
            <w:vAlign w:val="center"/>
          </w:tcPr>
          <w:p w14:paraId="799B07CF">
            <w:pPr>
              <w:widowControl/>
              <w:jc w:val="center"/>
              <w:rPr>
                <w:color w:val="000000"/>
                <w:kern w:val="2"/>
                <w:sz w:val="21"/>
                <w:szCs w:val="21"/>
                <w:lang w:val="en-US"/>
              </w:rPr>
            </w:pPr>
            <w:r>
              <w:rPr>
                <w:rFonts w:hint="eastAsia"/>
                <w:color w:val="000000"/>
                <w:kern w:val="2"/>
                <w:sz w:val="21"/>
                <w:szCs w:val="21"/>
                <w:lang w:val="en-US"/>
              </w:rPr>
              <w:t>Hz</w:t>
            </w:r>
          </w:p>
        </w:tc>
        <w:tc>
          <w:tcPr>
            <w:tcW w:w="3507" w:type="dxa"/>
            <w:tcBorders>
              <w:top w:val="nil"/>
              <w:left w:val="nil"/>
              <w:bottom w:val="single" w:color="auto" w:sz="4" w:space="0"/>
              <w:right w:val="single" w:color="auto" w:sz="4" w:space="0"/>
            </w:tcBorders>
            <w:vAlign w:val="center"/>
          </w:tcPr>
          <w:p w14:paraId="0967ED76">
            <w:pPr>
              <w:widowControl/>
              <w:jc w:val="center"/>
              <w:rPr>
                <w:color w:val="000000"/>
                <w:kern w:val="2"/>
                <w:sz w:val="21"/>
                <w:szCs w:val="21"/>
                <w:lang w:val="en-US"/>
              </w:rPr>
            </w:pPr>
            <w:r>
              <w:rPr>
                <w:color w:val="000000"/>
                <w:kern w:val="2"/>
                <w:sz w:val="21"/>
                <w:szCs w:val="21"/>
                <w:lang w:val="en-US"/>
              </w:rPr>
              <w:t>45</w:t>
            </w:r>
            <w:r>
              <w:rPr>
                <w:rFonts w:hint="eastAsia"/>
                <w:color w:val="000000"/>
                <w:kern w:val="2"/>
                <w:sz w:val="21"/>
                <w:szCs w:val="21"/>
                <w:lang w:val="en-US"/>
              </w:rPr>
              <w:t>～65</w:t>
            </w:r>
          </w:p>
        </w:tc>
      </w:tr>
      <w:tr w14:paraId="1F183EAF">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12DD9504">
            <w:pPr>
              <w:widowControl/>
              <w:jc w:val="center"/>
              <w:rPr>
                <w:color w:val="000000"/>
                <w:kern w:val="2"/>
                <w:sz w:val="21"/>
                <w:szCs w:val="21"/>
                <w:lang w:val="en-US"/>
              </w:rPr>
            </w:pPr>
            <w:r>
              <w:rPr>
                <w:rFonts w:hint="eastAsia"/>
                <w:color w:val="000000"/>
                <w:kern w:val="2"/>
                <w:sz w:val="21"/>
                <w:szCs w:val="21"/>
                <w:lang w:val="en-US"/>
              </w:rPr>
              <w:t>3</w:t>
            </w:r>
          </w:p>
        </w:tc>
        <w:tc>
          <w:tcPr>
            <w:tcW w:w="745" w:type="dxa"/>
            <w:vMerge w:val="continue"/>
            <w:tcBorders>
              <w:top w:val="nil"/>
              <w:left w:val="single" w:color="auto" w:sz="4" w:space="0"/>
              <w:bottom w:val="single" w:color="auto" w:sz="4" w:space="0"/>
              <w:right w:val="single" w:color="auto" w:sz="4" w:space="0"/>
            </w:tcBorders>
            <w:vAlign w:val="center"/>
          </w:tcPr>
          <w:p w14:paraId="39C02C7B">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579876C2">
            <w:pPr>
              <w:widowControl/>
              <w:jc w:val="center"/>
              <w:rPr>
                <w:color w:val="000000"/>
                <w:kern w:val="2"/>
                <w:sz w:val="21"/>
                <w:szCs w:val="21"/>
                <w:lang w:val="en-US"/>
              </w:rPr>
            </w:pPr>
            <w:r>
              <w:rPr>
                <w:rFonts w:hint="eastAsia"/>
                <w:color w:val="000000"/>
                <w:kern w:val="2"/>
                <w:sz w:val="21"/>
                <w:szCs w:val="21"/>
                <w:lang w:val="en-US"/>
              </w:rPr>
              <w:t>输入功率因数</w:t>
            </w:r>
          </w:p>
        </w:tc>
        <w:tc>
          <w:tcPr>
            <w:tcW w:w="1543" w:type="dxa"/>
            <w:tcBorders>
              <w:top w:val="nil"/>
              <w:left w:val="nil"/>
              <w:bottom w:val="single" w:color="auto" w:sz="4" w:space="0"/>
              <w:right w:val="single" w:color="auto" w:sz="4" w:space="0"/>
            </w:tcBorders>
            <w:vAlign w:val="center"/>
          </w:tcPr>
          <w:p w14:paraId="77608DD4">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05259C8E">
            <w:pPr>
              <w:widowControl/>
              <w:jc w:val="center"/>
              <w:rPr>
                <w:color w:val="000000"/>
                <w:kern w:val="2"/>
                <w:sz w:val="21"/>
                <w:szCs w:val="21"/>
                <w:lang w:val="en-US"/>
              </w:rPr>
            </w:pPr>
            <w:r>
              <w:rPr>
                <w:rFonts w:hint="eastAsia"/>
                <w:color w:val="000000"/>
                <w:kern w:val="2"/>
                <w:sz w:val="21"/>
                <w:szCs w:val="21"/>
                <w:lang w:val="en-US"/>
              </w:rPr>
              <w:t>≥0.99</w:t>
            </w:r>
          </w:p>
        </w:tc>
      </w:tr>
      <w:tr w14:paraId="2DC3DED0">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3FB9B9E9">
            <w:pPr>
              <w:widowControl/>
              <w:jc w:val="center"/>
              <w:rPr>
                <w:color w:val="000000"/>
                <w:kern w:val="2"/>
                <w:sz w:val="21"/>
                <w:szCs w:val="21"/>
                <w:lang w:val="en-US"/>
              </w:rPr>
            </w:pPr>
            <w:r>
              <w:rPr>
                <w:rFonts w:hint="eastAsia"/>
                <w:color w:val="000000"/>
                <w:kern w:val="2"/>
                <w:sz w:val="21"/>
                <w:szCs w:val="21"/>
                <w:lang w:val="en-US"/>
              </w:rPr>
              <w:t>4</w:t>
            </w:r>
          </w:p>
        </w:tc>
        <w:tc>
          <w:tcPr>
            <w:tcW w:w="745" w:type="dxa"/>
            <w:vMerge w:val="continue"/>
            <w:tcBorders>
              <w:top w:val="nil"/>
              <w:left w:val="single" w:color="auto" w:sz="4" w:space="0"/>
              <w:bottom w:val="single" w:color="auto" w:sz="4" w:space="0"/>
              <w:right w:val="single" w:color="auto" w:sz="4" w:space="0"/>
            </w:tcBorders>
            <w:vAlign w:val="center"/>
          </w:tcPr>
          <w:p w14:paraId="51B78F1B">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518050D1">
            <w:pPr>
              <w:widowControl/>
              <w:jc w:val="center"/>
              <w:rPr>
                <w:color w:val="000000"/>
                <w:kern w:val="2"/>
                <w:sz w:val="21"/>
                <w:szCs w:val="21"/>
                <w:lang w:val="en-US"/>
              </w:rPr>
            </w:pPr>
            <w:r>
              <w:rPr>
                <w:rFonts w:hint="eastAsia"/>
                <w:color w:val="000000"/>
                <w:kern w:val="2"/>
                <w:sz w:val="21"/>
                <w:szCs w:val="21"/>
                <w:lang w:val="en-US"/>
              </w:rPr>
              <w:t>直流电压调节范围</w:t>
            </w:r>
          </w:p>
        </w:tc>
        <w:tc>
          <w:tcPr>
            <w:tcW w:w="1543" w:type="dxa"/>
            <w:tcBorders>
              <w:top w:val="nil"/>
              <w:left w:val="nil"/>
              <w:bottom w:val="single" w:color="auto" w:sz="4" w:space="0"/>
              <w:right w:val="single" w:color="auto" w:sz="4" w:space="0"/>
            </w:tcBorders>
            <w:vAlign w:val="center"/>
          </w:tcPr>
          <w:p w14:paraId="13165313">
            <w:pPr>
              <w:widowControl/>
              <w:jc w:val="center"/>
              <w:rPr>
                <w:color w:val="000000"/>
                <w:kern w:val="2"/>
                <w:sz w:val="21"/>
                <w:szCs w:val="21"/>
                <w:lang w:val="en-US"/>
              </w:rPr>
            </w:pPr>
            <w:r>
              <w:rPr>
                <w:rFonts w:hint="eastAsia"/>
                <w:color w:val="000000"/>
                <w:kern w:val="2"/>
                <w:sz w:val="21"/>
                <w:szCs w:val="21"/>
                <w:lang w:val="en-US"/>
              </w:rPr>
              <w:t>V</w:t>
            </w:r>
          </w:p>
        </w:tc>
        <w:tc>
          <w:tcPr>
            <w:tcW w:w="3507" w:type="dxa"/>
            <w:tcBorders>
              <w:top w:val="nil"/>
              <w:left w:val="nil"/>
              <w:bottom w:val="single" w:color="auto" w:sz="4" w:space="0"/>
              <w:right w:val="single" w:color="auto" w:sz="4" w:space="0"/>
            </w:tcBorders>
            <w:vAlign w:val="center"/>
          </w:tcPr>
          <w:p w14:paraId="2E4AD038">
            <w:pPr>
              <w:widowControl/>
              <w:jc w:val="center"/>
              <w:rPr>
                <w:color w:val="000000"/>
                <w:kern w:val="2"/>
                <w:sz w:val="21"/>
                <w:szCs w:val="21"/>
                <w:lang w:val="en-US"/>
              </w:rPr>
            </w:pPr>
            <w:r>
              <w:rPr>
                <w:color w:val="000000"/>
                <w:kern w:val="2"/>
                <w:sz w:val="21"/>
                <w:szCs w:val="21"/>
                <w:lang w:val="en-US"/>
              </w:rPr>
              <w:t>5</w:t>
            </w:r>
            <w:r>
              <w:rPr>
                <w:rFonts w:hint="eastAsia"/>
                <w:color w:val="000000"/>
                <w:kern w:val="2"/>
                <w:sz w:val="21"/>
                <w:szCs w:val="21"/>
                <w:lang w:val="en-US"/>
              </w:rPr>
              <w:t>0～1000V或更优</w:t>
            </w:r>
            <w:r>
              <w:rPr>
                <w:color w:val="000000"/>
                <w:kern w:val="2"/>
                <w:sz w:val="21"/>
                <w:szCs w:val="21"/>
                <w:lang w:val="en-US"/>
              </w:rPr>
              <w:t xml:space="preserve"> </w:t>
            </w:r>
          </w:p>
        </w:tc>
      </w:tr>
      <w:tr w14:paraId="58155630">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1AA34956">
            <w:pPr>
              <w:widowControl/>
              <w:jc w:val="center"/>
              <w:rPr>
                <w:color w:val="000000"/>
                <w:kern w:val="2"/>
                <w:sz w:val="21"/>
                <w:szCs w:val="21"/>
                <w:lang w:val="en-US"/>
              </w:rPr>
            </w:pPr>
            <w:r>
              <w:rPr>
                <w:rFonts w:hint="eastAsia"/>
                <w:color w:val="000000"/>
                <w:kern w:val="2"/>
                <w:sz w:val="21"/>
                <w:szCs w:val="21"/>
                <w:lang w:val="en-US"/>
              </w:rPr>
              <w:t>5</w:t>
            </w:r>
          </w:p>
        </w:tc>
        <w:tc>
          <w:tcPr>
            <w:tcW w:w="745" w:type="dxa"/>
            <w:vMerge w:val="continue"/>
            <w:tcBorders>
              <w:top w:val="nil"/>
              <w:left w:val="single" w:color="auto" w:sz="4" w:space="0"/>
              <w:bottom w:val="single" w:color="auto" w:sz="4" w:space="0"/>
              <w:right w:val="single" w:color="auto" w:sz="4" w:space="0"/>
            </w:tcBorders>
            <w:vAlign w:val="center"/>
          </w:tcPr>
          <w:p w14:paraId="3B5BBA6B">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3FA19524">
            <w:pPr>
              <w:widowControl/>
              <w:jc w:val="center"/>
              <w:rPr>
                <w:color w:val="000000"/>
                <w:kern w:val="2"/>
                <w:sz w:val="21"/>
                <w:szCs w:val="21"/>
                <w:lang w:val="en-US"/>
              </w:rPr>
            </w:pPr>
            <w:r>
              <w:rPr>
                <w:rFonts w:hint="eastAsia"/>
                <w:color w:val="000000"/>
                <w:kern w:val="2"/>
                <w:sz w:val="21"/>
                <w:szCs w:val="21"/>
                <w:lang w:val="en-US"/>
              </w:rPr>
              <w:t xml:space="preserve">充电模块功率 </w:t>
            </w:r>
          </w:p>
        </w:tc>
        <w:tc>
          <w:tcPr>
            <w:tcW w:w="1543" w:type="dxa"/>
            <w:tcBorders>
              <w:top w:val="nil"/>
              <w:left w:val="nil"/>
              <w:bottom w:val="single" w:color="auto" w:sz="4" w:space="0"/>
              <w:right w:val="single" w:color="auto" w:sz="4" w:space="0"/>
            </w:tcBorders>
            <w:vAlign w:val="center"/>
          </w:tcPr>
          <w:p w14:paraId="60291625">
            <w:pPr>
              <w:widowControl/>
              <w:jc w:val="center"/>
              <w:rPr>
                <w:color w:val="000000"/>
                <w:kern w:val="2"/>
                <w:sz w:val="21"/>
                <w:szCs w:val="21"/>
                <w:lang w:val="en-US"/>
              </w:rPr>
            </w:pPr>
            <w:r>
              <w:rPr>
                <w:color w:val="000000"/>
                <w:kern w:val="2"/>
                <w:sz w:val="21"/>
                <w:szCs w:val="21"/>
                <w:lang w:val="en-US"/>
              </w:rPr>
              <w:t>kW</w:t>
            </w:r>
          </w:p>
        </w:tc>
        <w:tc>
          <w:tcPr>
            <w:tcW w:w="3507" w:type="dxa"/>
            <w:tcBorders>
              <w:top w:val="nil"/>
              <w:left w:val="nil"/>
              <w:bottom w:val="single" w:color="auto" w:sz="4" w:space="0"/>
              <w:right w:val="single" w:color="auto" w:sz="4" w:space="0"/>
            </w:tcBorders>
            <w:vAlign w:val="center"/>
          </w:tcPr>
          <w:p w14:paraId="1FBB48EA">
            <w:pPr>
              <w:widowControl/>
              <w:jc w:val="center"/>
              <w:rPr>
                <w:color w:val="000000"/>
                <w:kern w:val="2"/>
                <w:sz w:val="21"/>
                <w:szCs w:val="21"/>
                <w:lang w:val="en-US"/>
              </w:rPr>
            </w:pPr>
            <w:r>
              <w:rPr>
                <w:rFonts w:hint="eastAsia"/>
                <w:color w:val="000000"/>
                <w:kern w:val="2"/>
                <w:sz w:val="21"/>
                <w:szCs w:val="21"/>
                <w:lang w:val="en-US"/>
              </w:rPr>
              <w:t>40kW</w:t>
            </w:r>
          </w:p>
        </w:tc>
      </w:tr>
      <w:tr w14:paraId="199DCE24">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23A62504">
            <w:pPr>
              <w:widowControl/>
              <w:jc w:val="center"/>
              <w:rPr>
                <w:color w:val="000000"/>
                <w:kern w:val="2"/>
                <w:sz w:val="21"/>
                <w:szCs w:val="21"/>
                <w:lang w:val="en-US"/>
              </w:rPr>
            </w:pPr>
            <w:r>
              <w:rPr>
                <w:rFonts w:hint="eastAsia"/>
                <w:color w:val="000000"/>
                <w:kern w:val="2"/>
                <w:sz w:val="21"/>
                <w:szCs w:val="21"/>
                <w:lang w:val="en-US"/>
              </w:rPr>
              <w:t>6</w:t>
            </w:r>
          </w:p>
        </w:tc>
        <w:tc>
          <w:tcPr>
            <w:tcW w:w="745" w:type="dxa"/>
            <w:vMerge w:val="continue"/>
            <w:tcBorders>
              <w:top w:val="nil"/>
              <w:left w:val="single" w:color="auto" w:sz="4" w:space="0"/>
              <w:bottom w:val="single" w:color="auto" w:sz="4" w:space="0"/>
              <w:right w:val="single" w:color="auto" w:sz="4" w:space="0"/>
            </w:tcBorders>
            <w:vAlign w:val="center"/>
          </w:tcPr>
          <w:p w14:paraId="17E27D60">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6121C8BA">
            <w:pPr>
              <w:widowControl/>
              <w:jc w:val="center"/>
              <w:rPr>
                <w:color w:val="000000"/>
                <w:kern w:val="2"/>
                <w:sz w:val="21"/>
                <w:szCs w:val="21"/>
                <w:lang w:val="en-US"/>
              </w:rPr>
            </w:pPr>
            <w:r>
              <w:rPr>
                <w:rFonts w:hint="eastAsia"/>
                <w:color w:val="000000"/>
                <w:kern w:val="2"/>
                <w:sz w:val="21"/>
                <w:szCs w:val="21"/>
                <w:lang w:val="en-US"/>
              </w:rPr>
              <w:t>电压设定误差</w:t>
            </w:r>
          </w:p>
        </w:tc>
        <w:tc>
          <w:tcPr>
            <w:tcW w:w="1543" w:type="dxa"/>
            <w:tcBorders>
              <w:top w:val="nil"/>
              <w:left w:val="nil"/>
              <w:bottom w:val="single" w:color="auto" w:sz="4" w:space="0"/>
              <w:right w:val="single" w:color="auto" w:sz="4" w:space="0"/>
            </w:tcBorders>
            <w:vAlign w:val="center"/>
          </w:tcPr>
          <w:p w14:paraId="6C3B9CA8">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nil"/>
              <w:left w:val="nil"/>
              <w:bottom w:val="single" w:color="auto" w:sz="4" w:space="0"/>
              <w:right w:val="single" w:color="auto" w:sz="4" w:space="0"/>
            </w:tcBorders>
            <w:vAlign w:val="center"/>
          </w:tcPr>
          <w:p w14:paraId="0A601BF2">
            <w:pPr>
              <w:widowControl/>
              <w:jc w:val="center"/>
              <w:rPr>
                <w:color w:val="000000"/>
                <w:kern w:val="2"/>
                <w:sz w:val="21"/>
                <w:szCs w:val="21"/>
                <w:lang w:val="en-US"/>
              </w:rPr>
            </w:pPr>
            <w:r>
              <w:rPr>
                <w:rFonts w:hint="eastAsia"/>
                <w:color w:val="000000"/>
                <w:kern w:val="2"/>
                <w:sz w:val="21"/>
                <w:szCs w:val="21"/>
                <w:lang w:val="en-US"/>
              </w:rPr>
              <w:t>≤±0.5%</w:t>
            </w:r>
          </w:p>
        </w:tc>
      </w:tr>
      <w:tr w14:paraId="6F0C4AB3">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shd w:val="clear" w:color="auto" w:fill="auto"/>
            <w:vAlign w:val="center"/>
          </w:tcPr>
          <w:p w14:paraId="5EE2C388">
            <w:pPr>
              <w:widowControl/>
              <w:jc w:val="center"/>
              <w:rPr>
                <w:color w:val="000000"/>
                <w:kern w:val="2"/>
                <w:sz w:val="21"/>
                <w:szCs w:val="21"/>
                <w:lang w:val="en-US"/>
              </w:rPr>
            </w:pPr>
            <w:r>
              <w:rPr>
                <w:rFonts w:hint="eastAsia"/>
                <w:color w:val="000000"/>
                <w:kern w:val="2"/>
                <w:sz w:val="21"/>
                <w:szCs w:val="21"/>
                <w:lang w:val="en-US"/>
              </w:rPr>
              <w:t>7</w:t>
            </w:r>
          </w:p>
        </w:tc>
        <w:tc>
          <w:tcPr>
            <w:tcW w:w="745" w:type="dxa"/>
            <w:vMerge w:val="continue"/>
            <w:tcBorders>
              <w:top w:val="nil"/>
              <w:left w:val="single" w:color="auto" w:sz="4" w:space="0"/>
              <w:bottom w:val="single" w:color="auto" w:sz="4" w:space="0"/>
              <w:right w:val="single" w:color="auto" w:sz="4" w:space="0"/>
            </w:tcBorders>
            <w:shd w:val="clear" w:color="auto" w:fill="auto"/>
            <w:vAlign w:val="center"/>
          </w:tcPr>
          <w:p w14:paraId="56B65781">
            <w:pPr>
              <w:widowControl/>
              <w:rPr>
                <w:color w:val="000000"/>
                <w:kern w:val="2"/>
                <w:sz w:val="21"/>
                <w:szCs w:val="21"/>
                <w:lang w:val="en-US"/>
              </w:rPr>
            </w:pPr>
          </w:p>
        </w:tc>
        <w:tc>
          <w:tcPr>
            <w:tcW w:w="2527" w:type="dxa"/>
            <w:tcBorders>
              <w:top w:val="single" w:color="auto" w:sz="4" w:space="0"/>
              <w:left w:val="nil"/>
              <w:bottom w:val="single" w:color="auto" w:sz="4" w:space="0"/>
              <w:right w:val="single" w:color="auto" w:sz="4" w:space="0"/>
            </w:tcBorders>
            <w:shd w:val="clear" w:color="auto" w:fill="FFFFFF"/>
            <w:vAlign w:val="center"/>
          </w:tcPr>
          <w:p w14:paraId="0FFD9A3F">
            <w:pPr>
              <w:widowControl/>
              <w:jc w:val="center"/>
              <w:rPr>
                <w:color w:val="000000"/>
                <w:kern w:val="2"/>
                <w:sz w:val="21"/>
                <w:szCs w:val="21"/>
                <w:lang w:val="en-US"/>
              </w:rPr>
            </w:pPr>
            <w:r>
              <w:rPr>
                <w:rFonts w:hint="eastAsia"/>
                <w:color w:val="000000"/>
                <w:kern w:val="2"/>
                <w:sz w:val="21"/>
                <w:szCs w:val="21"/>
                <w:lang w:val="en-US"/>
              </w:rPr>
              <w:t>电流设定误差</w:t>
            </w:r>
          </w:p>
        </w:tc>
        <w:tc>
          <w:tcPr>
            <w:tcW w:w="1543" w:type="dxa"/>
            <w:tcBorders>
              <w:top w:val="single" w:color="auto" w:sz="4" w:space="0"/>
              <w:left w:val="nil"/>
              <w:bottom w:val="single" w:color="auto" w:sz="4" w:space="0"/>
              <w:right w:val="single" w:color="auto" w:sz="4" w:space="0"/>
            </w:tcBorders>
            <w:shd w:val="clear" w:color="auto" w:fill="FFFFFF"/>
            <w:vAlign w:val="center"/>
          </w:tcPr>
          <w:p w14:paraId="1436F4D6">
            <w:pPr>
              <w:widowControl/>
              <w:jc w:val="center"/>
              <w:rPr>
                <w:color w:val="000000"/>
                <w:kern w:val="2"/>
                <w:sz w:val="21"/>
                <w:szCs w:val="21"/>
                <w:lang w:val="en-US"/>
              </w:rPr>
            </w:pPr>
          </w:p>
        </w:tc>
        <w:tc>
          <w:tcPr>
            <w:tcW w:w="3507" w:type="dxa"/>
            <w:tcBorders>
              <w:top w:val="single" w:color="auto" w:sz="4" w:space="0"/>
              <w:left w:val="nil"/>
              <w:bottom w:val="single" w:color="auto" w:sz="4" w:space="0"/>
              <w:right w:val="single" w:color="auto" w:sz="4" w:space="0"/>
            </w:tcBorders>
            <w:shd w:val="clear" w:color="auto" w:fill="FFFFFF"/>
            <w:vAlign w:val="center"/>
          </w:tcPr>
          <w:p w14:paraId="6DEAEE5F">
            <w:pPr>
              <w:widowControl/>
              <w:jc w:val="center"/>
              <w:rPr>
                <w:color w:val="000000"/>
                <w:kern w:val="2"/>
                <w:sz w:val="21"/>
                <w:szCs w:val="21"/>
                <w:lang w:val="en-US"/>
              </w:rPr>
            </w:pPr>
            <w:r>
              <w:rPr>
                <w:rFonts w:hint="eastAsia"/>
                <w:color w:val="000000"/>
                <w:kern w:val="2"/>
                <w:sz w:val="21"/>
                <w:szCs w:val="21"/>
                <w:lang w:val="en-US"/>
              </w:rPr>
              <w:t>≤±0.2A（输出电流＜30A）</w:t>
            </w:r>
          </w:p>
          <w:p w14:paraId="4AE98E59">
            <w:pPr>
              <w:widowControl/>
              <w:jc w:val="center"/>
              <w:rPr>
                <w:color w:val="000000"/>
                <w:kern w:val="2"/>
                <w:sz w:val="21"/>
                <w:szCs w:val="21"/>
                <w:lang w:val="en-US"/>
              </w:rPr>
            </w:pPr>
            <w:r>
              <w:rPr>
                <w:rFonts w:hint="eastAsia"/>
                <w:color w:val="000000"/>
                <w:kern w:val="2"/>
                <w:sz w:val="21"/>
                <w:szCs w:val="21"/>
                <w:lang w:val="en-US"/>
              </w:rPr>
              <w:t>≤±0.</w:t>
            </w:r>
            <w:r>
              <w:rPr>
                <w:color w:val="000000"/>
                <w:kern w:val="2"/>
                <w:sz w:val="21"/>
                <w:szCs w:val="21"/>
                <w:lang w:val="en-US"/>
              </w:rPr>
              <w:t>5%</w:t>
            </w:r>
            <w:r>
              <w:rPr>
                <w:rFonts w:hint="eastAsia"/>
                <w:color w:val="000000"/>
                <w:kern w:val="2"/>
                <w:sz w:val="21"/>
                <w:szCs w:val="21"/>
                <w:lang w:val="en-US"/>
              </w:rPr>
              <w:t>（输出电流≥30A）</w:t>
            </w:r>
          </w:p>
        </w:tc>
      </w:tr>
      <w:tr w14:paraId="350F1246">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shd w:val="clear" w:color="auto" w:fill="auto"/>
            <w:vAlign w:val="center"/>
          </w:tcPr>
          <w:p w14:paraId="23491627">
            <w:pPr>
              <w:widowControl/>
              <w:jc w:val="center"/>
              <w:rPr>
                <w:color w:val="000000"/>
                <w:kern w:val="2"/>
                <w:sz w:val="21"/>
                <w:szCs w:val="21"/>
                <w:lang w:val="en-US"/>
              </w:rPr>
            </w:pPr>
            <w:r>
              <w:rPr>
                <w:rFonts w:hint="eastAsia"/>
                <w:color w:val="000000"/>
                <w:kern w:val="2"/>
                <w:sz w:val="21"/>
                <w:szCs w:val="21"/>
                <w:lang w:val="en-US"/>
              </w:rPr>
              <w:t>8</w:t>
            </w:r>
          </w:p>
        </w:tc>
        <w:tc>
          <w:tcPr>
            <w:tcW w:w="745" w:type="dxa"/>
            <w:vMerge w:val="continue"/>
            <w:tcBorders>
              <w:top w:val="nil"/>
              <w:left w:val="single" w:color="auto" w:sz="4" w:space="0"/>
              <w:bottom w:val="single" w:color="auto" w:sz="4" w:space="0"/>
              <w:right w:val="single" w:color="auto" w:sz="4" w:space="0"/>
            </w:tcBorders>
            <w:shd w:val="clear" w:color="auto" w:fill="auto"/>
            <w:vAlign w:val="center"/>
          </w:tcPr>
          <w:p w14:paraId="67EC2922">
            <w:pPr>
              <w:widowControl/>
              <w:rPr>
                <w:color w:val="000000"/>
                <w:kern w:val="2"/>
                <w:sz w:val="21"/>
                <w:szCs w:val="21"/>
                <w:lang w:val="en-US"/>
              </w:rPr>
            </w:pPr>
          </w:p>
        </w:tc>
        <w:tc>
          <w:tcPr>
            <w:tcW w:w="2527" w:type="dxa"/>
            <w:tcBorders>
              <w:top w:val="single" w:color="auto" w:sz="4" w:space="0"/>
              <w:left w:val="nil"/>
              <w:bottom w:val="single" w:color="auto" w:sz="4" w:space="0"/>
              <w:right w:val="single" w:color="auto" w:sz="4" w:space="0"/>
            </w:tcBorders>
            <w:shd w:val="clear" w:color="auto" w:fill="FFFFFF"/>
            <w:vAlign w:val="center"/>
          </w:tcPr>
          <w:p w14:paraId="295459BE">
            <w:pPr>
              <w:widowControl/>
              <w:jc w:val="center"/>
              <w:rPr>
                <w:color w:val="000000"/>
                <w:kern w:val="2"/>
                <w:sz w:val="21"/>
                <w:szCs w:val="21"/>
                <w:lang w:val="en-US"/>
              </w:rPr>
            </w:pPr>
            <w:r>
              <w:rPr>
                <w:rFonts w:hint="eastAsia"/>
                <w:color w:val="000000"/>
                <w:kern w:val="2"/>
                <w:sz w:val="21"/>
                <w:szCs w:val="21"/>
                <w:lang w:val="en-US"/>
              </w:rPr>
              <w:t>稳压精度</w:t>
            </w:r>
          </w:p>
        </w:tc>
        <w:tc>
          <w:tcPr>
            <w:tcW w:w="1543" w:type="dxa"/>
            <w:tcBorders>
              <w:top w:val="single" w:color="auto" w:sz="4" w:space="0"/>
              <w:left w:val="nil"/>
              <w:bottom w:val="single" w:color="auto" w:sz="4" w:space="0"/>
              <w:right w:val="single" w:color="auto" w:sz="4" w:space="0"/>
            </w:tcBorders>
            <w:shd w:val="clear" w:color="auto" w:fill="FFFFFF"/>
            <w:vAlign w:val="center"/>
          </w:tcPr>
          <w:p w14:paraId="45579038">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single" w:color="auto" w:sz="4" w:space="0"/>
              <w:left w:val="nil"/>
              <w:bottom w:val="single" w:color="auto" w:sz="4" w:space="0"/>
              <w:right w:val="single" w:color="auto" w:sz="4" w:space="0"/>
            </w:tcBorders>
            <w:shd w:val="clear" w:color="auto" w:fill="FFFFFF"/>
            <w:vAlign w:val="center"/>
          </w:tcPr>
          <w:p w14:paraId="0A0591D2">
            <w:pPr>
              <w:widowControl/>
              <w:jc w:val="center"/>
              <w:rPr>
                <w:color w:val="000000"/>
                <w:kern w:val="2"/>
                <w:sz w:val="21"/>
                <w:szCs w:val="21"/>
                <w:lang w:val="en-US"/>
              </w:rPr>
            </w:pPr>
            <w:r>
              <w:rPr>
                <w:rFonts w:hint="eastAsia"/>
                <w:color w:val="000000"/>
                <w:kern w:val="2"/>
                <w:sz w:val="21"/>
                <w:szCs w:val="21"/>
                <w:lang w:val="en-US"/>
              </w:rPr>
              <w:t>≤±0.</w:t>
            </w:r>
            <w:r>
              <w:rPr>
                <w:color w:val="000000"/>
                <w:kern w:val="2"/>
                <w:sz w:val="21"/>
                <w:szCs w:val="21"/>
                <w:lang w:val="en-US"/>
              </w:rPr>
              <w:t>5</w:t>
            </w:r>
            <w:r>
              <w:rPr>
                <w:rFonts w:hint="eastAsia"/>
                <w:color w:val="000000"/>
                <w:kern w:val="2"/>
                <w:sz w:val="21"/>
                <w:szCs w:val="21"/>
                <w:lang w:val="en-US"/>
              </w:rPr>
              <w:t>%</w:t>
            </w:r>
          </w:p>
        </w:tc>
      </w:tr>
      <w:tr w14:paraId="1FB08E0C">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shd w:val="clear" w:color="auto" w:fill="auto"/>
            <w:vAlign w:val="center"/>
          </w:tcPr>
          <w:p w14:paraId="0863277B">
            <w:pPr>
              <w:widowControl/>
              <w:jc w:val="center"/>
              <w:rPr>
                <w:color w:val="000000"/>
                <w:kern w:val="2"/>
                <w:sz w:val="21"/>
                <w:szCs w:val="21"/>
                <w:lang w:val="en-US"/>
              </w:rPr>
            </w:pPr>
            <w:r>
              <w:rPr>
                <w:rFonts w:hint="eastAsia"/>
                <w:color w:val="000000"/>
                <w:kern w:val="2"/>
                <w:sz w:val="21"/>
                <w:szCs w:val="21"/>
                <w:lang w:val="en-US"/>
              </w:rPr>
              <w:t>9</w:t>
            </w:r>
          </w:p>
        </w:tc>
        <w:tc>
          <w:tcPr>
            <w:tcW w:w="745" w:type="dxa"/>
            <w:vMerge w:val="continue"/>
            <w:tcBorders>
              <w:top w:val="nil"/>
              <w:left w:val="single" w:color="auto" w:sz="4" w:space="0"/>
              <w:bottom w:val="single" w:color="auto" w:sz="4" w:space="0"/>
              <w:right w:val="single" w:color="auto" w:sz="4" w:space="0"/>
            </w:tcBorders>
            <w:shd w:val="clear" w:color="auto" w:fill="auto"/>
            <w:vAlign w:val="center"/>
          </w:tcPr>
          <w:p w14:paraId="07CE9771">
            <w:pPr>
              <w:widowControl/>
              <w:rPr>
                <w:color w:val="000000"/>
                <w:kern w:val="2"/>
                <w:sz w:val="21"/>
                <w:szCs w:val="21"/>
                <w:lang w:val="en-US"/>
              </w:rPr>
            </w:pPr>
          </w:p>
        </w:tc>
        <w:tc>
          <w:tcPr>
            <w:tcW w:w="2527" w:type="dxa"/>
            <w:tcBorders>
              <w:top w:val="single" w:color="auto" w:sz="4" w:space="0"/>
              <w:left w:val="nil"/>
              <w:bottom w:val="single" w:color="auto" w:sz="4" w:space="0"/>
              <w:right w:val="single" w:color="auto" w:sz="4" w:space="0"/>
            </w:tcBorders>
            <w:shd w:val="clear" w:color="auto" w:fill="FFFFFF"/>
            <w:vAlign w:val="center"/>
          </w:tcPr>
          <w:p w14:paraId="74B53EB3">
            <w:pPr>
              <w:widowControl/>
              <w:jc w:val="center"/>
              <w:rPr>
                <w:color w:val="000000"/>
                <w:kern w:val="2"/>
                <w:sz w:val="21"/>
                <w:szCs w:val="21"/>
                <w:lang w:val="en-US"/>
              </w:rPr>
            </w:pPr>
            <w:r>
              <w:rPr>
                <w:rFonts w:hint="eastAsia"/>
                <w:color w:val="000000"/>
                <w:kern w:val="2"/>
                <w:sz w:val="21"/>
                <w:szCs w:val="21"/>
                <w:lang w:val="en-US"/>
              </w:rPr>
              <w:t>稳流精度</w:t>
            </w:r>
          </w:p>
        </w:tc>
        <w:tc>
          <w:tcPr>
            <w:tcW w:w="1543" w:type="dxa"/>
            <w:tcBorders>
              <w:top w:val="single" w:color="auto" w:sz="4" w:space="0"/>
              <w:left w:val="nil"/>
              <w:bottom w:val="single" w:color="auto" w:sz="4" w:space="0"/>
              <w:right w:val="single" w:color="auto" w:sz="4" w:space="0"/>
            </w:tcBorders>
            <w:shd w:val="clear" w:color="auto" w:fill="FFFFFF"/>
            <w:vAlign w:val="center"/>
          </w:tcPr>
          <w:p w14:paraId="4E2786A7">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single" w:color="auto" w:sz="4" w:space="0"/>
              <w:left w:val="nil"/>
              <w:bottom w:val="single" w:color="auto" w:sz="4" w:space="0"/>
              <w:right w:val="single" w:color="auto" w:sz="4" w:space="0"/>
            </w:tcBorders>
            <w:shd w:val="clear" w:color="auto" w:fill="FFFFFF"/>
            <w:vAlign w:val="center"/>
          </w:tcPr>
          <w:p w14:paraId="65C4AB57">
            <w:pPr>
              <w:widowControl/>
              <w:jc w:val="center"/>
              <w:rPr>
                <w:color w:val="000000"/>
                <w:kern w:val="2"/>
                <w:sz w:val="21"/>
                <w:szCs w:val="21"/>
                <w:lang w:val="en-US"/>
              </w:rPr>
            </w:pPr>
            <w:r>
              <w:rPr>
                <w:rFonts w:hint="eastAsia"/>
                <w:color w:val="000000"/>
                <w:kern w:val="2"/>
                <w:sz w:val="21"/>
                <w:szCs w:val="21"/>
                <w:lang w:val="en-US"/>
              </w:rPr>
              <w:t>≤±0.</w:t>
            </w:r>
            <w:r>
              <w:rPr>
                <w:color w:val="000000"/>
                <w:kern w:val="2"/>
                <w:sz w:val="21"/>
                <w:szCs w:val="21"/>
                <w:lang w:val="en-US"/>
              </w:rPr>
              <w:t>5</w:t>
            </w:r>
            <w:r>
              <w:rPr>
                <w:rFonts w:hint="eastAsia"/>
                <w:color w:val="000000"/>
                <w:kern w:val="2"/>
                <w:sz w:val="21"/>
                <w:szCs w:val="21"/>
                <w:lang w:val="en-US"/>
              </w:rPr>
              <w:t>%</w:t>
            </w:r>
          </w:p>
        </w:tc>
      </w:tr>
      <w:tr w14:paraId="6A3C5A20">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shd w:val="clear" w:color="auto" w:fill="auto"/>
            <w:vAlign w:val="center"/>
          </w:tcPr>
          <w:p w14:paraId="646E85F5">
            <w:pPr>
              <w:widowControl/>
              <w:jc w:val="center"/>
              <w:rPr>
                <w:color w:val="000000"/>
                <w:kern w:val="2"/>
                <w:sz w:val="21"/>
                <w:szCs w:val="21"/>
                <w:lang w:val="en-US"/>
              </w:rPr>
            </w:pPr>
            <w:r>
              <w:rPr>
                <w:rFonts w:hint="eastAsia"/>
                <w:color w:val="000000"/>
                <w:kern w:val="2"/>
                <w:sz w:val="21"/>
                <w:szCs w:val="21"/>
                <w:lang w:val="en-US"/>
              </w:rPr>
              <w:t>10</w:t>
            </w:r>
          </w:p>
        </w:tc>
        <w:tc>
          <w:tcPr>
            <w:tcW w:w="745" w:type="dxa"/>
            <w:vMerge w:val="continue"/>
            <w:tcBorders>
              <w:top w:val="nil"/>
              <w:left w:val="single" w:color="auto" w:sz="4" w:space="0"/>
              <w:bottom w:val="single" w:color="auto" w:sz="4" w:space="0"/>
              <w:right w:val="single" w:color="auto" w:sz="4" w:space="0"/>
            </w:tcBorders>
            <w:shd w:val="clear" w:color="auto" w:fill="auto"/>
            <w:vAlign w:val="center"/>
          </w:tcPr>
          <w:p w14:paraId="4C3E1CF5">
            <w:pPr>
              <w:widowControl/>
              <w:rPr>
                <w:color w:val="000000"/>
                <w:kern w:val="2"/>
                <w:sz w:val="21"/>
                <w:szCs w:val="21"/>
                <w:lang w:val="en-US"/>
              </w:rPr>
            </w:pPr>
          </w:p>
        </w:tc>
        <w:tc>
          <w:tcPr>
            <w:tcW w:w="2527" w:type="dxa"/>
            <w:tcBorders>
              <w:top w:val="single" w:color="auto" w:sz="4" w:space="0"/>
              <w:left w:val="nil"/>
              <w:bottom w:val="single" w:color="auto" w:sz="4" w:space="0"/>
              <w:right w:val="single" w:color="auto" w:sz="4" w:space="0"/>
            </w:tcBorders>
            <w:shd w:val="clear" w:color="auto" w:fill="FFFFFF"/>
            <w:vAlign w:val="center"/>
          </w:tcPr>
          <w:p w14:paraId="5E42286D">
            <w:pPr>
              <w:widowControl/>
              <w:jc w:val="center"/>
              <w:rPr>
                <w:color w:val="000000"/>
                <w:kern w:val="2"/>
                <w:sz w:val="21"/>
                <w:szCs w:val="21"/>
                <w:lang w:val="en-US"/>
              </w:rPr>
            </w:pPr>
            <w:r>
              <w:rPr>
                <w:rFonts w:hint="eastAsia"/>
                <w:color w:val="000000"/>
                <w:kern w:val="2"/>
                <w:sz w:val="21"/>
                <w:szCs w:val="21"/>
                <w:lang w:val="en-US"/>
              </w:rPr>
              <w:t>纹波系数</w:t>
            </w:r>
          </w:p>
        </w:tc>
        <w:tc>
          <w:tcPr>
            <w:tcW w:w="1543" w:type="dxa"/>
            <w:tcBorders>
              <w:top w:val="single" w:color="auto" w:sz="4" w:space="0"/>
              <w:left w:val="nil"/>
              <w:bottom w:val="single" w:color="auto" w:sz="4" w:space="0"/>
              <w:right w:val="single" w:color="auto" w:sz="4" w:space="0"/>
            </w:tcBorders>
            <w:shd w:val="clear" w:color="auto" w:fill="FFFFFF"/>
            <w:vAlign w:val="center"/>
          </w:tcPr>
          <w:p w14:paraId="129A57B0">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single" w:color="auto" w:sz="4" w:space="0"/>
              <w:left w:val="nil"/>
              <w:bottom w:val="single" w:color="auto" w:sz="4" w:space="0"/>
              <w:right w:val="single" w:color="auto" w:sz="4" w:space="0"/>
            </w:tcBorders>
            <w:shd w:val="clear" w:color="auto" w:fill="FFFFFF"/>
            <w:vAlign w:val="center"/>
          </w:tcPr>
          <w:p w14:paraId="7C8D0B2F">
            <w:pPr>
              <w:widowControl/>
              <w:jc w:val="center"/>
              <w:rPr>
                <w:color w:val="000000"/>
                <w:kern w:val="2"/>
                <w:sz w:val="21"/>
                <w:szCs w:val="21"/>
                <w:lang w:val="en-US"/>
              </w:rPr>
            </w:pPr>
            <w:r>
              <w:rPr>
                <w:rFonts w:hint="eastAsia"/>
                <w:color w:val="000000"/>
                <w:kern w:val="2"/>
                <w:sz w:val="21"/>
                <w:szCs w:val="21"/>
                <w:lang w:val="en-US"/>
              </w:rPr>
              <w:t>峰值：≤±</w:t>
            </w:r>
            <w:r>
              <w:rPr>
                <w:color w:val="000000"/>
                <w:kern w:val="2"/>
                <w:sz w:val="21"/>
                <w:szCs w:val="21"/>
                <w:lang w:val="en-US"/>
              </w:rPr>
              <w:t>1%</w:t>
            </w:r>
          </w:p>
        </w:tc>
      </w:tr>
      <w:tr w14:paraId="203DBE47">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7976CCEB">
            <w:pPr>
              <w:widowControl/>
              <w:jc w:val="center"/>
              <w:rPr>
                <w:color w:val="000000"/>
                <w:kern w:val="2"/>
                <w:sz w:val="21"/>
                <w:szCs w:val="21"/>
                <w:lang w:val="en-US"/>
              </w:rPr>
            </w:pPr>
            <w:r>
              <w:rPr>
                <w:rFonts w:hint="eastAsia"/>
                <w:color w:val="000000"/>
                <w:kern w:val="2"/>
                <w:sz w:val="21"/>
                <w:szCs w:val="21"/>
                <w:lang w:val="en-US"/>
              </w:rPr>
              <w:t>11</w:t>
            </w:r>
          </w:p>
        </w:tc>
        <w:tc>
          <w:tcPr>
            <w:tcW w:w="745" w:type="dxa"/>
            <w:vMerge w:val="continue"/>
            <w:tcBorders>
              <w:top w:val="nil"/>
              <w:left w:val="single" w:color="auto" w:sz="4" w:space="0"/>
              <w:bottom w:val="single" w:color="auto" w:sz="4" w:space="0"/>
              <w:right w:val="single" w:color="auto" w:sz="4" w:space="0"/>
            </w:tcBorders>
            <w:vAlign w:val="center"/>
          </w:tcPr>
          <w:p w14:paraId="56DF493E">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5B477194">
            <w:pPr>
              <w:widowControl/>
              <w:jc w:val="center"/>
              <w:rPr>
                <w:color w:val="000000"/>
                <w:kern w:val="2"/>
                <w:sz w:val="21"/>
                <w:szCs w:val="21"/>
                <w:lang w:val="en-US"/>
              </w:rPr>
            </w:pPr>
            <w:r>
              <w:rPr>
                <w:rFonts w:hint="eastAsia"/>
                <w:color w:val="000000"/>
                <w:kern w:val="2"/>
                <w:sz w:val="21"/>
                <w:szCs w:val="21"/>
                <w:lang w:val="en-US"/>
              </w:rPr>
              <w:t>输入冲击电流</w:t>
            </w:r>
          </w:p>
        </w:tc>
        <w:tc>
          <w:tcPr>
            <w:tcW w:w="1543" w:type="dxa"/>
            <w:tcBorders>
              <w:top w:val="nil"/>
              <w:left w:val="nil"/>
              <w:bottom w:val="single" w:color="auto" w:sz="4" w:space="0"/>
              <w:right w:val="single" w:color="auto" w:sz="4" w:space="0"/>
            </w:tcBorders>
            <w:vAlign w:val="center"/>
          </w:tcPr>
          <w:p w14:paraId="3B8A0B80">
            <w:pPr>
              <w:widowControl/>
              <w:jc w:val="center"/>
              <w:rPr>
                <w:color w:val="000000"/>
                <w:kern w:val="2"/>
                <w:sz w:val="21"/>
                <w:szCs w:val="21"/>
                <w:lang w:val="en-US"/>
              </w:rPr>
            </w:pPr>
            <w:r>
              <w:rPr>
                <w:rFonts w:hint="eastAsia"/>
                <w:color w:val="000000"/>
                <w:kern w:val="2"/>
                <w:sz w:val="21"/>
                <w:szCs w:val="21"/>
                <w:lang w:val="en-US"/>
              </w:rPr>
              <w:t>A</w:t>
            </w:r>
          </w:p>
        </w:tc>
        <w:tc>
          <w:tcPr>
            <w:tcW w:w="3507" w:type="dxa"/>
            <w:tcBorders>
              <w:top w:val="nil"/>
              <w:left w:val="nil"/>
              <w:bottom w:val="single" w:color="auto" w:sz="4" w:space="0"/>
              <w:right w:val="single" w:color="auto" w:sz="4" w:space="0"/>
            </w:tcBorders>
            <w:vAlign w:val="center"/>
          </w:tcPr>
          <w:p w14:paraId="51546909">
            <w:pPr>
              <w:widowControl/>
              <w:jc w:val="center"/>
              <w:rPr>
                <w:color w:val="000000"/>
                <w:kern w:val="2"/>
                <w:sz w:val="21"/>
                <w:szCs w:val="21"/>
                <w:lang w:val="en-US"/>
              </w:rPr>
            </w:pPr>
            <w:r>
              <w:rPr>
                <w:rFonts w:hint="eastAsia"/>
                <w:color w:val="000000"/>
                <w:kern w:val="2"/>
                <w:sz w:val="21"/>
                <w:szCs w:val="21"/>
                <w:lang w:val="en-US"/>
              </w:rPr>
              <w:t>≤1</w:t>
            </w:r>
            <w:r>
              <w:rPr>
                <w:color w:val="000000"/>
                <w:kern w:val="2"/>
                <w:sz w:val="21"/>
                <w:szCs w:val="21"/>
                <w:lang w:val="en-US"/>
              </w:rPr>
              <w:t>1</w:t>
            </w:r>
            <w:r>
              <w:rPr>
                <w:rFonts w:hint="eastAsia"/>
                <w:color w:val="000000"/>
                <w:kern w:val="2"/>
                <w:sz w:val="21"/>
                <w:szCs w:val="21"/>
                <w:lang w:val="en-US"/>
              </w:rPr>
              <w:t>0%额定输入电流</w:t>
            </w:r>
          </w:p>
        </w:tc>
      </w:tr>
      <w:tr w14:paraId="5A50F15F">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544944E5">
            <w:pPr>
              <w:widowControl/>
              <w:jc w:val="center"/>
              <w:rPr>
                <w:color w:val="000000"/>
                <w:kern w:val="2"/>
                <w:sz w:val="21"/>
                <w:szCs w:val="21"/>
                <w:lang w:val="en-US"/>
              </w:rPr>
            </w:pPr>
            <w:r>
              <w:rPr>
                <w:rFonts w:hint="eastAsia"/>
                <w:color w:val="000000"/>
                <w:kern w:val="2"/>
                <w:sz w:val="21"/>
                <w:szCs w:val="21"/>
                <w:lang w:val="en-US"/>
              </w:rPr>
              <w:t>1</w:t>
            </w:r>
            <w:r>
              <w:rPr>
                <w:color w:val="000000"/>
                <w:kern w:val="2"/>
                <w:sz w:val="21"/>
                <w:szCs w:val="21"/>
                <w:lang w:val="en-US"/>
              </w:rPr>
              <w:t>2</w:t>
            </w:r>
          </w:p>
        </w:tc>
        <w:tc>
          <w:tcPr>
            <w:tcW w:w="745" w:type="dxa"/>
            <w:vMerge w:val="continue"/>
            <w:tcBorders>
              <w:top w:val="nil"/>
              <w:left w:val="single" w:color="auto" w:sz="4" w:space="0"/>
              <w:bottom w:val="single" w:color="auto" w:sz="4" w:space="0"/>
              <w:right w:val="single" w:color="auto" w:sz="4" w:space="0"/>
            </w:tcBorders>
            <w:vAlign w:val="center"/>
          </w:tcPr>
          <w:p w14:paraId="5A512C7B">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342AAF86">
            <w:pPr>
              <w:widowControl/>
              <w:jc w:val="center"/>
              <w:rPr>
                <w:color w:val="000000"/>
                <w:kern w:val="2"/>
                <w:sz w:val="21"/>
                <w:szCs w:val="21"/>
                <w:lang w:val="en-US"/>
              </w:rPr>
            </w:pPr>
            <w:r>
              <w:rPr>
                <w:rFonts w:hint="eastAsia"/>
                <w:color w:val="000000"/>
                <w:kern w:val="2"/>
                <w:sz w:val="21"/>
                <w:szCs w:val="21"/>
                <w:lang w:val="en-US"/>
              </w:rPr>
              <w:t>总功率</w:t>
            </w:r>
          </w:p>
        </w:tc>
        <w:tc>
          <w:tcPr>
            <w:tcW w:w="1543" w:type="dxa"/>
            <w:tcBorders>
              <w:top w:val="nil"/>
              <w:left w:val="nil"/>
              <w:bottom w:val="single" w:color="auto" w:sz="4" w:space="0"/>
              <w:right w:val="single" w:color="auto" w:sz="4" w:space="0"/>
            </w:tcBorders>
            <w:vAlign w:val="center"/>
          </w:tcPr>
          <w:p w14:paraId="16623C81">
            <w:pPr>
              <w:widowControl/>
              <w:jc w:val="center"/>
              <w:rPr>
                <w:color w:val="000000"/>
                <w:kern w:val="2"/>
                <w:sz w:val="21"/>
                <w:szCs w:val="21"/>
                <w:lang w:val="en-US"/>
              </w:rPr>
            </w:pPr>
            <w:r>
              <w:rPr>
                <w:rFonts w:hint="eastAsia"/>
                <w:kern w:val="2"/>
                <w:sz w:val="21"/>
                <w:szCs w:val="21"/>
                <w:lang w:val="en-US"/>
              </w:rPr>
              <w:t>kw</w:t>
            </w:r>
          </w:p>
        </w:tc>
        <w:tc>
          <w:tcPr>
            <w:tcW w:w="3507" w:type="dxa"/>
            <w:tcBorders>
              <w:top w:val="nil"/>
              <w:left w:val="nil"/>
              <w:bottom w:val="single" w:color="auto" w:sz="4" w:space="0"/>
              <w:right w:val="single" w:color="auto" w:sz="4" w:space="0"/>
            </w:tcBorders>
            <w:vAlign w:val="center"/>
          </w:tcPr>
          <w:p w14:paraId="01ED8407">
            <w:pPr>
              <w:widowControl/>
              <w:jc w:val="center"/>
              <w:rPr>
                <w:color w:val="000000"/>
                <w:kern w:val="2"/>
                <w:sz w:val="21"/>
                <w:szCs w:val="21"/>
                <w:lang w:val="en-US"/>
              </w:rPr>
            </w:pPr>
            <w:r>
              <w:rPr>
                <w:rFonts w:hint="eastAsia"/>
                <w:color w:val="000000"/>
                <w:kern w:val="2"/>
                <w:sz w:val="21"/>
                <w:szCs w:val="21"/>
                <w:lang w:val="en-US"/>
              </w:rPr>
              <w:t>8</w:t>
            </w:r>
            <w:r>
              <w:rPr>
                <w:color w:val="000000"/>
                <w:kern w:val="2"/>
                <w:sz w:val="21"/>
                <w:szCs w:val="21"/>
                <w:lang w:val="en-US"/>
              </w:rPr>
              <w:t>0</w:t>
            </w:r>
          </w:p>
        </w:tc>
      </w:tr>
      <w:tr w14:paraId="0EAE9BEF">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151B54DC">
            <w:pPr>
              <w:widowControl/>
              <w:jc w:val="center"/>
              <w:rPr>
                <w:color w:val="000000"/>
                <w:kern w:val="2"/>
                <w:sz w:val="21"/>
                <w:szCs w:val="21"/>
                <w:lang w:val="en-US"/>
              </w:rPr>
            </w:pPr>
            <w:r>
              <w:rPr>
                <w:rFonts w:hint="eastAsia"/>
                <w:color w:val="000000"/>
                <w:kern w:val="2"/>
                <w:sz w:val="21"/>
                <w:szCs w:val="21"/>
                <w:lang w:val="en-US"/>
              </w:rPr>
              <w:t>1</w:t>
            </w:r>
            <w:r>
              <w:rPr>
                <w:color w:val="000000"/>
                <w:kern w:val="2"/>
                <w:sz w:val="21"/>
                <w:szCs w:val="21"/>
                <w:lang w:val="en-US"/>
              </w:rPr>
              <w:t>3</w:t>
            </w:r>
          </w:p>
        </w:tc>
        <w:tc>
          <w:tcPr>
            <w:tcW w:w="745" w:type="dxa"/>
            <w:vMerge w:val="continue"/>
            <w:tcBorders>
              <w:top w:val="nil"/>
              <w:left w:val="single" w:color="auto" w:sz="4" w:space="0"/>
              <w:bottom w:val="single" w:color="auto" w:sz="4" w:space="0"/>
              <w:right w:val="single" w:color="auto" w:sz="4" w:space="0"/>
            </w:tcBorders>
            <w:vAlign w:val="center"/>
          </w:tcPr>
          <w:p w14:paraId="5273A9DD">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23185426">
            <w:pPr>
              <w:widowControl/>
              <w:jc w:val="center"/>
              <w:rPr>
                <w:color w:val="000000"/>
                <w:kern w:val="2"/>
                <w:sz w:val="21"/>
                <w:szCs w:val="21"/>
                <w:lang w:val="en-US"/>
              </w:rPr>
            </w:pPr>
            <w:r>
              <w:rPr>
                <w:rFonts w:hint="eastAsia"/>
                <w:color w:val="000000"/>
                <w:kern w:val="2"/>
                <w:sz w:val="21"/>
                <w:szCs w:val="21"/>
                <w:lang w:val="en-US"/>
              </w:rPr>
              <w:t>静电放电抗扰度</w:t>
            </w:r>
          </w:p>
        </w:tc>
        <w:tc>
          <w:tcPr>
            <w:tcW w:w="1543" w:type="dxa"/>
            <w:tcBorders>
              <w:top w:val="nil"/>
              <w:left w:val="nil"/>
              <w:bottom w:val="single" w:color="auto" w:sz="4" w:space="0"/>
              <w:right w:val="single" w:color="auto" w:sz="4" w:space="0"/>
            </w:tcBorders>
            <w:vAlign w:val="center"/>
          </w:tcPr>
          <w:p w14:paraId="0C4B7601">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129B21A9">
            <w:pPr>
              <w:widowControl/>
              <w:jc w:val="center"/>
              <w:rPr>
                <w:color w:val="000000"/>
                <w:kern w:val="2"/>
                <w:sz w:val="21"/>
                <w:szCs w:val="21"/>
                <w:lang w:val="en-US"/>
              </w:rPr>
            </w:pPr>
            <w:r>
              <w:rPr>
                <w:rFonts w:hint="eastAsia"/>
                <w:color w:val="000000"/>
                <w:kern w:val="2"/>
                <w:sz w:val="21"/>
                <w:szCs w:val="21"/>
                <w:lang w:val="en-US"/>
              </w:rPr>
              <w:t>4级</w:t>
            </w:r>
          </w:p>
        </w:tc>
      </w:tr>
      <w:tr w14:paraId="0DE719A8">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7A809FA2">
            <w:pPr>
              <w:widowControl/>
              <w:jc w:val="center"/>
              <w:rPr>
                <w:color w:val="000000"/>
                <w:kern w:val="2"/>
                <w:sz w:val="21"/>
                <w:szCs w:val="21"/>
                <w:lang w:val="en-US"/>
              </w:rPr>
            </w:pPr>
            <w:r>
              <w:rPr>
                <w:rFonts w:hint="eastAsia"/>
                <w:color w:val="000000"/>
                <w:kern w:val="2"/>
                <w:sz w:val="21"/>
                <w:szCs w:val="21"/>
                <w:lang w:val="en-US"/>
              </w:rPr>
              <w:t>14</w:t>
            </w:r>
          </w:p>
        </w:tc>
        <w:tc>
          <w:tcPr>
            <w:tcW w:w="745" w:type="dxa"/>
            <w:vMerge w:val="continue"/>
            <w:tcBorders>
              <w:top w:val="nil"/>
              <w:left w:val="single" w:color="auto" w:sz="4" w:space="0"/>
              <w:bottom w:val="single" w:color="auto" w:sz="4" w:space="0"/>
              <w:right w:val="single" w:color="auto" w:sz="4" w:space="0"/>
            </w:tcBorders>
            <w:vAlign w:val="center"/>
          </w:tcPr>
          <w:p w14:paraId="4FB987AD">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3F82ACB3">
            <w:pPr>
              <w:widowControl/>
              <w:jc w:val="center"/>
              <w:rPr>
                <w:color w:val="000000"/>
                <w:kern w:val="2"/>
                <w:sz w:val="21"/>
                <w:szCs w:val="21"/>
                <w:lang w:val="en-US"/>
              </w:rPr>
            </w:pPr>
            <w:r>
              <w:rPr>
                <w:rFonts w:hint="eastAsia"/>
                <w:color w:val="000000"/>
                <w:kern w:val="2"/>
                <w:sz w:val="21"/>
                <w:szCs w:val="21"/>
                <w:lang w:val="en-US"/>
              </w:rPr>
              <w:t>射频电磁场辐射抗扰度</w:t>
            </w:r>
          </w:p>
        </w:tc>
        <w:tc>
          <w:tcPr>
            <w:tcW w:w="1543" w:type="dxa"/>
            <w:tcBorders>
              <w:top w:val="nil"/>
              <w:left w:val="nil"/>
              <w:bottom w:val="single" w:color="auto" w:sz="4" w:space="0"/>
              <w:right w:val="single" w:color="auto" w:sz="4" w:space="0"/>
            </w:tcBorders>
            <w:vAlign w:val="center"/>
          </w:tcPr>
          <w:p w14:paraId="472E00A2">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7415A14F">
            <w:pPr>
              <w:widowControl/>
              <w:jc w:val="center"/>
              <w:rPr>
                <w:color w:val="000000"/>
                <w:kern w:val="2"/>
                <w:sz w:val="21"/>
                <w:szCs w:val="21"/>
                <w:lang w:val="en-US"/>
              </w:rPr>
            </w:pPr>
            <w:r>
              <w:rPr>
                <w:rFonts w:hint="eastAsia"/>
                <w:color w:val="000000"/>
                <w:kern w:val="2"/>
                <w:sz w:val="21"/>
                <w:szCs w:val="21"/>
                <w:lang w:val="en-US"/>
              </w:rPr>
              <w:t>4级</w:t>
            </w:r>
          </w:p>
        </w:tc>
      </w:tr>
      <w:tr w14:paraId="310EEFEC">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333997CF">
            <w:pPr>
              <w:widowControl/>
              <w:jc w:val="center"/>
              <w:rPr>
                <w:color w:val="000000"/>
                <w:kern w:val="2"/>
                <w:sz w:val="21"/>
                <w:szCs w:val="21"/>
                <w:lang w:val="en-US"/>
              </w:rPr>
            </w:pPr>
            <w:r>
              <w:rPr>
                <w:rFonts w:hint="eastAsia"/>
                <w:color w:val="000000"/>
                <w:kern w:val="2"/>
                <w:sz w:val="21"/>
                <w:szCs w:val="21"/>
                <w:lang w:val="en-US"/>
              </w:rPr>
              <w:t>15</w:t>
            </w:r>
          </w:p>
        </w:tc>
        <w:tc>
          <w:tcPr>
            <w:tcW w:w="745" w:type="dxa"/>
            <w:vMerge w:val="continue"/>
            <w:tcBorders>
              <w:top w:val="nil"/>
              <w:left w:val="single" w:color="auto" w:sz="4" w:space="0"/>
              <w:bottom w:val="single" w:color="auto" w:sz="4" w:space="0"/>
              <w:right w:val="single" w:color="auto" w:sz="4" w:space="0"/>
            </w:tcBorders>
            <w:vAlign w:val="center"/>
          </w:tcPr>
          <w:p w14:paraId="39492455">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74C6768E">
            <w:pPr>
              <w:widowControl/>
              <w:jc w:val="center"/>
              <w:rPr>
                <w:color w:val="000000"/>
                <w:kern w:val="2"/>
                <w:sz w:val="21"/>
                <w:szCs w:val="21"/>
                <w:lang w:val="en-US"/>
              </w:rPr>
            </w:pPr>
            <w:r>
              <w:rPr>
                <w:rFonts w:hint="eastAsia"/>
                <w:color w:val="000000"/>
                <w:kern w:val="2"/>
                <w:sz w:val="21"/>
                <w:szCs w:val="21"/>
                <w:lang w:val="en-US"/>
              </w:rPr>
              <w:t>电快速瞬变脉冲群抗扰度</w:t>
            </w:r>
          </w:p>
        </w:tc>
        <w:tc>
          <w:tcPr>
            <w:tcW w:w="1543" w:type="dxa"/>
            <w:tcBorders>
              <w:top w:val="nil"/>
              <w:left w:val="nil"/>
              <w:bottom w:val="single" w:color="auto" w:sz="4" w:space="0"/>
              <w:right w:val="single" w:color="auto" w:sz="4" w:space="0"/>
            </w:tcBorders>
            <w:vAlign w:val="center"/>
          </w:tcPr>
          <w:p w14:paraId="5EA2CF05">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7E4004E6">
            <w:pPr>
              <w:widowControl/>
              <w:jc w:val="center"/>
              <w:rPr>
                <w:color w:val="000000"/>
                <w:kern w:val="2"/>
                <w:sz w:val="21"/>
                <w:szCs w:val="21"/>
                <w:lang w:val="en-US"/>
              </w:rPr>
            </w:pPr>
            <w:r>
              <w:rPr>
                <w:rFonts w:hint="eastAsia"/>
                <w:color w:val="000000"/>
                <w:kern w:val="2"/>
                <w:sz w:val="21"/>
                <w:szCs w:val="21"/>
                <w:lang w:val="en-US"/>
              </w:rPr>
              <w:t>4级</w:t>
            </w:r>
          </w:p>
        </w:tc>
      </w:tr>
      <w:tr w14:paraId="0EFC4C3C">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5A0800A7">
            <w:pPr>
              <w:widowControl/>
              <w:jc w:val="center"/>
              <w:rPr>
                <w:color w:val="000000"/>
                <w:kern w:val="2"/>
                <w:sz w:val="21"/>
                <w:szCs w:val="21"/>
                <w:lang w:val="en-US"/>
              </w:rPr>
            </w:pPr>
            <w:r>
              <w:rPr>
                <w:rFonts w:hint="eastAsia"/>
                <w:color w:val="000000"/>
                <w:kern w:val="2"/>
                <w:sz w:val="21"/>
                <w:szCs w:val="21"/>
                <w:lang w:val="en-US"/>
              </w:rPr>
              <w:t>16</w:t>
            </w:r>
          </w:p>
        </w:tc>
        <w:tc>
          <w:tcPr>
            <w:tcW w:w="745" w:type="dxa"/>
            <w:vMerge w:val="continue"/>
            <w:tcBorders>
              <w:top w:val="nil"/>
              <w:left w:val="single" w:color="auto" w:sz="4" w:space="0"/>
              <w:bottom w:val="single" w:color="auto" w:sz="4" w:space="0"/>
              <w:right w:val="single" w:color="auto" w:sz="4" w:space="0"/>
            </w:tcBorders>
            <w:vAlign w:val="center"/>
          </w:tcPr>
          <w:p w14:paraId="0379D32E">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7705B363">
            <w:pPr>
              <w:widowControl/>
              <w:jc w:val="center"/>
              <w:rPr>
                <w:color w:val="000000"/>
                <w:kern w:val="2"/>
                <w:sz w:val="21"/>
                <w:szCs w:val="21"/>
                <w:lang w:val="en-US"/>
              </w:rPr>
            </w:pPr>
            <w:r>
              <w:rPr>
                <w:rFonts w:hint="eastAsia"/>
                <w:color w:val="000000"/>
                <w:kern w:val="2"/>
                <w:sz w:val="21"/>
                <w:szCs w:val="21"/>
                <w:lang w:val="en-US"/>
              </w:rPr>
              <w:t>浪涌（冲击）抗扰度</w:t>
            </w:r>
          </w:p>
        </w:tc>
        <w:tc>
          <w:tcPr>
            <w:tcW w:w="1543" w:type="dxa"/>
            <w:tcBorders>
              <w:top w:val="nil"/>
              <w:left w:val="nil"/>
              <w:bottom w:val="single" w:color="auto" w:sz="4" w:space="0"/>
              <w:right w:val="single" w:color="auto" w:sz="4" w:space="0"/>
            </w:tcBorders>
            <w:vAlign w:val="center"/>
          </w:tcPr>
          <w:p w14:paraId="124F7731">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2BC90698">
            <w:pPr>
              <w:widowControl/>
              <w:jc w:val="center"/>
              <w:rPr>
                <w:color w:val="000000"/>
                <w:kern w:val="2"/>
                <w:sz w:val="21"/>
                <w:szCs w:val="21"/>
                <w:lang w:val="en-US"/>
              </w:rPr>
            </w:pPr>
            <w:r>
              <w:rPr>
                <w:rFonts w:hint="eastAsia"/>
                <w:color w:val="000000"/>
                <w:kern w:val="2"/>
                <w:sz w:val="21"/>
                <w:szCs w:val="21"/>
                <w:lang w:val="en-US"/>
              </w:rPr>
              <w:t>4级</w:t>
            </w:r>
          </w:p>
        </w:tc>
      </w:tr>
      <w:tr w14:paraId="223F0DA9">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198B4243">
            <w:pPr>
              <w:widowControl/>
              <w:jc w:val="center"/>
              <w:rPr>
                <w:color w:val="000000"/>
                <w:kern w:val="2"/>
                <w:sz w:val="21"/>
                <w:szCs w:val="21"/>
                <w:lang w:val="en-US"/>
              </w:rPr>
            </w:pPr>
            <w:r>
              <w:rPr>
                <w:rFonts w:hint="eastAsia"/>
                <w:color w:val="000000"/>
                <w:kern w:val="2"/>
                <w:sz w:val="21"/>
                <w:szCs w:val="21"/>
                <w:lang w:val="en-US"/>
              </w:rPr>
              <w:t>17</w:t>
            </w:r>
          </w:p>
        </w:tc>
        <w:tc>
          <w:tcPr>
            <w:tcW w:w="745" w:type="dxa"/>
            <w:vMerge w:val="continue"/>
            <w:tcBorders>
              <w:top w:val="nil"/>
              <w:left w:val="single" w:color="auto" w:sz="4" w:space="0"/>
              <w:bottom w:val="single" w:color="auto" w:sz="4" w:space="0"/>
              <w:right w:val="single" w:color="auto" w:sz="4" w:space="0"/>
            </w:tcBorders>
            <w:vAlign w:val="center"/>
          </w:tcPr>
          <w:p w14:paraId="43F2FF92">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1FD258A2">
            <w:pPr>
              <w:widowControl/>
              <w:jc w:val="center"/>
              <w:rPr>
                <w:color w:val="000000"/>
                <w:kern w:val="2"/>
                <w:sz w:val="21"/>
                <w:szCs w:val="21"/>
                <w:lang w:val="en-US"/>
              </w:rPr>
            </w:pPr>
            <w:r>
              <w:rPr>
                <w:rFonts w:hint="eastAsia"/>
                <w:color w:val="000000"/>
                <w:kern w:val="2"/>
                <w:sz w:val="21"/>
                <w:szCs w:val="21"/>
                <w:lang w:val="en-US"/>
              </w:rPr>
              <w:t>射频场感应的传导骚扰抗扰度</w:t>
            </w:r>
          </w:p>
        </w:tc>
        <w:tc>
          <w:tcPr>
            <w:tcW w:w="1543" w:type="dxa"/>
            <w:tcBorders>
              <w:top w:val="nil"/>
              <w:left w:val="nil"/>
              <w:bottom w:val="single" w:color="auto" w:sz="4" w:space="0"/>
              <w:right w:val="single" w:color="auto" w:sz="4" w:space="0"/>
            </w:tcBorders>
            <w:vAlign w:val="center"/>
          </w:tcPr>
          <w:p w14:paraId="398B8776">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28BEB854">
            <w:pPr>
              <w:widowControl/>
              <w:jc w:val="center"/>
              <w:rPr>
                <w:color w:val="000000"/>
                <w:kern w:val="2"/>
                <w:sz w:val="21"/>
                <w:szCs w:val="21"/>
                <w:lang w:val="en-US"/>
              </w:rPr>
            </w:pPr>
            <w:r>
              <w:rPr>
                <w:rFonts w:hint="eastAsia"/>
                <w:color w:val="000000"/>
                <w:kern w:val="2"/>
                <w:sz w:val="21"/>
                <w:szCs w:val="21"/>
                <w:lang w:val="en-US"/>
              </w:rPr>
              <w:t>3级</w:t>
            </w:r>
          </w:p>
        </w:tc>
      </w:tr>
      <w:tr w14:paraId="4FA070BC">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70D28F8D">
            <w:pPr>
              <w:widowControl/>
              <w:jc w:val="center"/>
              <w:rPr>
                <w:color w:val="000000"/>
                <w:kern w:val="2"/>
                <w:sz w:val="21"/>
                <w:szCs w:val="21"/>
                <w:lang w:val="en-US"/>
              </w:rPr>
            </w:pPr>
            <w:r>
              <w:rPr>
                <w:rFonts w:hint="eastAsia"/>
                <w:color w:val="000000"/>
                <w:kern w:val="2"/>
                <w:sz w:val="21"/>
                <w:szCs w:val="21"/>
                <w:lang w:val="en-US"/>
              </w:rPr>
              <w:t>18</w:t>
            </w:r>
          </w:p>
        </w:tc>
        <w:tc>
          <w:tcPr>
            <w:tcW w:w="745" w:type="dxa"/>
            <w:vMerge w:val="continue"/>
            <w:tcBorders>
              <w:top w:val="nil"/>
              <w:left w:val="single" w:color="auto" w:sz="4" w:space="0"/>
              <w:bottom w:val="single" w:color="auto" w:sz="4" w:space="0"/>
              <w:right w:val="single" w:color="auto" w:sz="4" w:space="0"/>
            </w:tcBorders>
            <w:vAlign w:val="center"/>
          </w:tcPr>
          <w:p w14:paraId="34DDF402">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384AEA44">
            <w:pPr>
              <w:widowControl/>
              <w:jc w:val="center"/>
              <w:rPr>
                <w:color w:val="000000"/>
                <w:kern w:val="2"/>
                <w:sz w:val="21"/>
                <w:szCs w:val="21"/>
                <w:lang w:val="en-US"/>
              </w:rPr>
            </w:pPr>
            <w:r>
              <w:rPr>
                <w:rFonts w:hint="eastAsia"/>
                <w:color w:val="000000"/>
                <w:kern w:val="2"/>
                <w:sz w:val="21"/>
                <w:szCs w:val="21"/>
                <w:lang w:val="en-US"/>
              </w:rPr>
              <w:t>谐波电流限值要求（THD）</w:t>
            </w:r>
          </w:p>
        </w:tc>
        <w:tc>
          <w:tcPr>
            <w:tcW w:w="1543" w:type="dxa"/>
            <w:tcBorders>
              <w:top w:val="nil"/>
              <w:left w:val="nil"/>
              <w:bottom w:val="single" w:color="auto" w:sz="4" w:space="0"/>
              <w:right w:val="single" w:color="auto" w:sz="4" w:space="0"/>
            </w:tcBorders>
            <w:vAlign w:val="center"/>
          </w:tcPr>
          <w:p w14:paraId="5064E5B8">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nil"/>
              <w:left w:val="nil"/>
              <w:bottom w:val="single" w:color="auto" w:sz="4" w:space="0"/>
              <w:right w:val="single" w:color="auto" w:sz="4" w:space="0"/>
            </w:tcBorders>
            <w:vAlign w:val="center"/>
          </w:tcPr>
          <w:p w14:paraId="2716F26B">
            <w:pPr>
              <w:widowControl/>
              <w:jc w:val="center"/>
              <w:rPr>
                <w:color w:val="000000"/>
                <w:kern w:val="2"/>
                <w:sz w:val="21"/>
                <w:szCs w:val="21"/>
                <w:lang w:val="en-US"/>
              </w:rPr>
            </w:pPr>
            <w:r>
              <w:rPr>
                <w:rFonts w:hint="eastAsia"/>
                <w:color w:val="000000"/>
                <w:kern w:val="2"/>
                <w:sz w:val="21"/>
                <w:szCs w:val="21"/>
                <w:lang w:val="en-US"/>
              </w:rPr>
              <w:t>≤</w:t>
            </w:r>
            <w:r>
              <w:rPr>
                <w:color w:val="000000"/>
                <w:kern w:val="2"/>
                <w:sz w:val="21"/>
                <w:szCs w:val="21"/>
                <w:lang w:val="en-US"/>
              </w:rPr>
              <w:t>5</w:t>
            </w:r>
          </w:p>
        </w:tc>
      </w:tr>
      <w:tr w14:paraId="625A2F12">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77ABA6D2">
            <w:pPr>
              <w:widowControl/>
              <w:jc w:val="center"/>
              <w:rPr>
                <w:color w:val="000000"/>
                <w:kern w:val="2"/>
                <w:sz w:val="21"/>
                <w:szCs w:val="21"/>
                <w:lang w:val="en-US"/>
              </w:rPr>
            </w:pPr>
            <w:r>
              <w:rPr>
                <w:rFonts w:hint="eastAsia"/>
                <w:color w:val="000000"/>
                <w:kern w:val="2"/>
                <w:sz w:val="21"/>
                <w:szCs w:val="21"/>
                <w:lang w:val="en-US"/>
              </w:rPr>
              <w:t>19</w:t>
            </w:r>
          </w:p>
        </w:tc>
        <w:tc>
          <w:tcPr>
            <w:tcW w:w="745" w:type="dxa"/>
            <w:vMerge w:val="continue"/>
            <w:tcBorders>
              <w:top w:val="nil"/>
              <w:left w:val="single" w:color="auto" w:sz="4" w:space="0"/>
              <w:bottom w:val="single" w:color="auto" w:sz="4" w:space="0"/>
              <w:right w:val="single" w:color="auto" w:sz="4" w:space="0"/>
            </w:tcBorders>
            <w:vAlign w:val="center"/>
          </w:tcPr>
          <w:p w14:paraId="79FA358C">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5BC07BFD">
            <w:pPr>
              <w:widowControl/>
              <w:jc w:val="center"/>
              <w:rPr>
                <w:color w:val="000000"/>
                <w:kern w:val="2"/>
                <w:sz w:val="21"/>
                <w:szCs w:val="21"/>
                <w:lang w:val="en-US"/>
              </w:rPr>
            </w:pPr>
            <w:r>
              <w:rPr>
                <w:rFonts w:hint="eastAsia"/>
                <w:color w:val="000000"/>
                <w:kern w:val="2"/>
                <w:sz w:val="21"/>
                <w:szCs w:val="21"/>
                <w:lang w:val="en-US"/>
              </w:rPr>
              <w:t>充电机结构形式</w:t>
            </w:r>
          </w:p>
        </w:tc>
        <w:tc>
          <w:tcPr>
            <w:tcW w:w="1543" w:type="dxa"/>
            <w:tcBorders>
              <w:top w:val="nil"/>
              <w:left w:val="nil"/>
              <w:bottom w:val="single" w:color="auto" w:sz="4" w:space="0"/>
              <w:right w:val="single" w:color="auto" w:sz="4" w:space="0"/>
            </w:tcBorders>
            <w:vAlign w:val="center"/>
          </w:tcPr>
          <w:p w14:paraId="0939567B">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03C58424">
            <w:pPr>
              <w:widowControl/>
              <w:jc w:val="center"/>
              <w:rPr>
                <w:color w:val="000000"/>
                <w:kern w:val="2"/>
                <w:sz w:val="21"/>
                <w:szCs w:val="21"/>
                <w:lang w:val="en-US"/>
              </w:rPr>
            </w:pPr>
            <w:r>
              <w:rPr>
                <w:rFonts w:hint="eastAsia"/>
                <w:color w:val="000000"/>
                <w:kern w:val="2"/>
                <w:sz w:val="21"/>
                <w:szCs w:val="21"/>
                <w:lang w:val="en-US"/>
              </w:rPr>
              <w:t>一体式</w:t>
            </w:r>
          </w:p>
        </w:tc>
      </w:tr>
      <w:tr w14:paraId="56988BBE">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2C27759A">
            <w:pPr>
              <w:widowControl/>
              <w:jc w:val="center"/>
              <w:rPr>
                <w:color w:val="000000"/>
                <w:kern w:val="2"/>
                <w:sz w:val="21"/>
                <w:szCs w:val="21"/>
                <w:lang w:val="en-US"/>
              </w:rPr>
            </w:pPr>
            <w:r>
              <w:rPr>
                <w:color w:val="000000"/>
                <w:kern w:val="2"/>
                <w:sz w:val="21"/>
                <w:szCs w:val="21"/>
                <w:lang w:val="en-US"/>
              </w:rPr>
              <w:t>2</w:t>
            </w:r>
            <w:r>
              <w:rPr>
                <w:rFonts w:hint="eastAsia"/>
                <w:color w:val="000000"/>
                <w:kern w:val="2"/>
                <w:sz w:val="21"/>
                <w:szCs w:val="21"/>
                <w:lang w:val="en-US"/>
              </w:rPr>
              <w:t>0</w:t>
            </w:r>
          </w:p>
        </w:tc>
        <w:tc>
          <w:tcPr>
            <w:tcW w:w="745" w:type="dxa"/>
            <w:vMerge w:val="continue"/>
            <w:tcBorders>
              <w:top w:val="nil"/>
              <w:left w:val="single" w:color="auto" w:sz="4" w:space="0"/>
              <w:bottom w:val="single" w:color="auto" w:sz="4" w:space="0"/>
              <w:right w:val="single" w:color="auto" w:sz="4" w:space="0"/>
            </w:tcBorders>
            <w:vAlign w:val="center"/>
          </w:tcPr>
          <w:p w14:paraId="2AAC2C83">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5AF342E1">
            <w:pPr>
              <w:widowControl/>
              <w:jc w:val="center"/>
              <w:rPr>
                <w:color w:val="000000"/>
                <w:kern w:val="2"/>
                <w:sz w:val="21"/>
                <w:szCs w:val="21"/>
                <w:lang w:val="en-US"/>
              </w:rPr>
            </w:pPr>
            <w:r>
              <w:rPr>
                <w:rFonts w:hint="eastAsia"/>
                <w:color w:val="000000"/>
                <w:kern w:val="2"/>
                <w:sz w:val="21"/>
                <w:szCs w:val="21"/>
                <w:lang w:val="en-US"/>
              </w:rPr>
              <w:t>有源功率因数校正电路</w:t>
            </w:r>
          </w:p>
        </w:tc>
        <w:tc>
          <w:tcPr>
            <w:tcW w:w="1543" w:type="dxa"/>
            <w:tcBorders>
              <w:top w:val="nil"/>
              <w:left w:val="nil"/>
              <w:bottom w:val="single" w:color="auto" w:sz="4" w:space="0"/>
              <w:right w:val="single" w:color="auto" w:sz="4" w:space="0"/>
            </w:tcBorders>
            <w:vAlign w:val="center"/>
          </w:tcPr>
          <w:p w14:paraId="3E317DE6">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nil"/>
              <w:left w:val="nil"/>
              <w:bottom w:val="single" w:color="auto" w:sz="4" w:space="0"/>
              <w:right w:val="single" w:color="auto" w:sz="4" w:space="0"/>
            </w:tcBorders>
            <w:vAlign w:val="center"/>
          </w:tcPr>
          <w:p w14:paraId="134931F0">
            <w:pPr>
              <w:widowControl/>
              <w:jc w:val="center"/>
              <w:rPr>
                <w:color w:val="000000"/>
                <w:kern w:val="2"/>
                <w:sz w:val="21"/>
                <w:szCs w:val="21"/>
                <w:lang w:val="en-US"/>
              </w:rPr>
            </w:pPr>
            <w:r>
              <w:rPr>
                <w:rFonts w:hint="eastAsia"/>
                <w:color w:val="000000"/>
                <w:kern w:val="2"/>
                <w:sz w:val="21"/>
                <w:szCs w:val="21"/>
                <w:lang w:val="en-US"/>
              </w:rPr>
              <w:t>带</w:t>
            </w:r>
          </w:p>
        </w:tc>
      </w:tr>
      <w:tr w14:paraId="06FE5357">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02789944">
            <w:pPr>
              <w:widowControl/>
              <w:jc w:val="center"/>
              <w:rPr>
                <w:color w:val="000000"/>
                <w:kern w:val="2"/>
                <w:sz w:val="21"/>
                <w:szCs w:val="21"/>
                <w:lang w:val="en-US"/>
              </w:rPr>
            </w:pPr>
            <w:r>
              <w:rPr>
                <w:rFonts w:hint="eastAsia"/>
                <w:color w:val="000000"/>
                <w:kern w:val="2"/>
                <w:sz w:val="21"/>
                <w:szCs w:val="21"/>
                <w:lang w:val="en-US"/>
              </w:rPr>
              <w:t>21</w:t>
            </w:r>
          </w:p>
        </w:tc>
        <w:tc>
          <w:tcPr>
            <w:tcW w:w="745" w:type="dxa"/>
            <w:vMerge w:val="continue"/>
            <w:tcBorders>
              <w:top w:val="nil"/>
              <w:left w:val="single" w:color="auto" w:sz="4" w:space="0"/>
              <w:bottom w:val="single" w:color="auto" w:sz="4" w:space="0"/>
              <w:right w:val="single" w:color="auto" w:sz="4" w:space="0"/>
            </w:tcBorders>
            <w:vAlign w:val="center"/>
          </w:tcPr>
          <w:p w14:paraId="0306F218">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0BB23119">
            <w:pPr>
              <w:widowControl/>
              <w:jc w:val="center"/>
              <w:rPr>
                <w:color w:val="000000"/>
                <w:kern w:val="2"/>
                <w:sz w:val="21"/>
                <w:szCs w:val="21"/>
                <w:lang w:val="en-US"/>
              </w:rPr>
            </w:pPr>
            <w:r>
              <w:rPr>
                <w:rFonts w:hint="eastAsia"/>
                <w:color w:val="000000"/>
                <w:kern w:val="2"/>
                <w:sz w:val="21"/>
                <w:szCs w:val="21"/>
                <w:lang w:val="en-US"/>
              </w:rPr>
              <w:t>直流输出接口</w:t>
            </w:r>
          </w:p>
        </w:tc>
        <w:tc>
          <w:tcPr>
            <w:tcW w:w="1543" w:type="dxa"/>
            <w:tcBorders>
              <w:top w:val="nil"/>
              <w:left w:val="nil"/>
              <w:bottom w:val="single" w:color="auto" w:sz="4" w:space="0"/>
              <w:right w:val="single" w:color="auto" w:sz="4" w:space="0"/>
            </w:tcBorders>
            <w:vAlign w:val="center"/>
          </w:tcPr>
          <w:p w14:paraId="6902E84F">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22399C36">
            <w:pPr>
              <w:widowControl/>
              <w:jc w:val="center"/>
              <w:rPr>
                <w:color w:val="000000"/>
                <w:kern w:val="2"/>
                <w:sz w:val="21"/>
                <w:szCs w:val="21"/>
                <w:lang w:val="en-US"/>
              </w:rPr>
            </w:pPr>
            <w:r>
              <w:rPr>
                <w:rFonts w:hint="eastAsia"/>
                <w:color w:val="000000"/>
                <w:kern w:val="2"/>
                <w:sz w:val="21"/>
                <w:szCs w:val="21"/>
                <w:lang w:val="en-US"/>
              </w:rPr>
              <w:t>GB／T20234.3-2015</w:t>
            </w:r>
          </w:p>
        </w:tc>
      </w:tr>
      <w:tr w14:paraId="0A7EE50B">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053AD3A7">
            <w:pPr>
              <w:widowControl/>
              <w:jc w:val="center"/>
              <w:rPr>
                <w:color w:val="000000"/>
                <w:kern w:val="2"/>
                <w:sz w:val="21"/>
                <w:szCs w:val="21"/>
                <w:lang w:val="en-US"/>
              </w:rPr>
            </w:pPr>
            <w:r>
              <w:rPr>
                <w:rFonts w:hint="eastAsia"/>
                <w:color w:val="000000"/>
                <w:kern w:val="2"/>
                <w:sz w:val="21"/>
                <w:szCs w:val="21"/>
                <w:lang w:val="en-US"/>
              </w:rPr>
              <w:t>22</w:t>
            </w:r>
          </w:p>
        </w:tc>
        <w:tc>
          <w:tcPr>
            <w:tcW w:w="745" w:type="dxa"/>
            <w:vMerge w:val="continue"/>
            <w:tcBorders>
              <w:top w:val="nil"/>
              <w:left w:val="single" w:color="auto" w:sz="4" w:space="0"/>
              <w:bottom w:val="single" w:color="auto" w:sz="4" w:space="0"/>
              <w:right w:val="single" w:color="auto" w:sz="4" w:space="0"/>
            </w:tcBorders>
            <w:vAlign w:val="center"/>
          </w:tcPr>
          <w:p w14:paraId="03F7FC13">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59AFC145">
            <w:pPr>
              <w:widowControl/>
              <w:jc w:val="center"/>
              <w:rPr>
                <w:color w:val="000000"/>
                <w:kern w:val="2"/>
                <w:sz w:val="21"/>
                <w:szCs w:val="21"/>
                <w:lang w:val="en-US"/>
              </w:rPr>
            </w:pPr>
            <w:r>
              <w:rPr>
                <w:color w:val="000000"/>
                <w:kern w:val="2"/>
                <w:sz w:val="21"/>
                <w:szCs w:val="21"/>
                <w:lang w:val="en-US"/>
              </w:rPr>
              <w:t>平均无故障</w:t>
            </w:r>
            <w:r>
              <w:rPr>
                <w:rFonts w:hint="eastAsia"/>
                <w:color w:val="000000"/>
                <w:kern w:val="2"/>
                <w:sz w:val="21"/>
                <w:szCs w:val="21"/>
                <w:lang w:val="en-US"/>
              </w:rPr>
              <w:t>时间</w:t>
            </w:r>
          </w:p>
        </w:tc>
        <w:tc>
          <w:tcPr>
            <w:tcW w:w="1543" w:type="dxa"/>
            <w:tcBorders>
              <w:top w:val="nil"/>
              <w:left w:val="nil"/>
              <w:bottom w:val="single" w:color="auto" w:sz="4" w:space="0"/>
              <w:right w:val="single" w:color="auto" w:sz="4" w:space="0"/>
            </w:tcBorders>
            <w:vAlign w:val="center"/>
          </w:tcPr>
          <w:p w14:paraId="185FDB21">
            <w:pPr>
              <w:widowControl/>
              <w:jc w:val="center"/>
              <w:rPr>
                <w:color w:val="000000"/>
                <w:kern w:val="2"/>
                <w:sz w:val="21"/>
                <w:szCs w:val="21"/>
                <w:lang w:val="en-US"/>
              </w:rPr>
            </w:pPr>
            <w:r>
              <w:rPr>
                <w:color w:val="000000"/>
                <w:kern w:val="2"/>
                <w:sz w:val="21"/>
                <w:szCs w:val="21"/>
                <w:lang w:val="en-US"/>
              </w:rPr>
              <w:t>h</w:t>
            </w:r>
          </w:p>
        </w:tc>
        <w:tc>
          <w:tcPr>
            <w:tcW w:w="3507" w:type="dxa"/>
            <w:tcBorders>
              <w:top w:val="nil"/>
              <w:left w:val="nil"/>
              <w:bottom w:val="single" w:color="auto" w:sz="4" w:space="0"/>
              <w:right w:val="single" w:color="auto" w:sz="4" w:space="0"/>
            </w:tcBorders>
            <w:vAlign w:val="center"/>
          </w:tcPr>
          <w:p w14:paraId="0CF25943">
            <w:pPr>
              <w:widowControl/>
              <w:jc w:val="center"/>
              <w:rPr>
                <w:color w:val="000000"/>
                <w:kern w:val="2"/>
                <w:sz w:val="21"/>
                <w:szCs w:val="21"/>
                <w:lang w:val="en-US"/>
              </w:rPr>
            </w:pPr>
            <w:r>
              <w:rPr>
                <w:rFonts w:hint="eastAsia"/>
                <w:color w:val="000000"/>
                <w:kern w:val="2"/>
                <w:sz w:val="21"/>
                <w:szCs w:val="21"/>
                <w:lang w:val="en-US"/>
              </w:rPr>
              <w:t>≥</w:t>
            </w:r>
            <w:r>
              <w:rPr>
                <w:color w:val="000000"/>
                <w:kern w:val="2"/>
                <w:sz w:val="21"/>
                <w:szCs w:val="21"/>
                <w:lang w:val="en-US"/>
              </w:rPr>
              <w:t>26280</w:t>
            </w:r>
            <w:r>
              <w:rPr>
                <w:rFonts w:hint="eastAsia"/>
                <w:color w:val="000000"/>
                <w:kern w:val="2"/>
                <w:sz w:val="21"/>
                <w:szCs w:val="21"/>
                <w:lang w:val="en-US"/>
              </w:rPr>
              <w:t>h</w:t>
            </w:r>
          </w:p>
        </w:tc>
      </w:tr>
    </w:tbl>
    <w:p w14:paraId="2A1148AD">
      <w:pPr>
        <w:keepNext/>
        <w:keepLines/>
        <w:spacing w:line="400" w:lineRule="exact"/>
        <w:jc w:val="both"/>
        <w:outlineLvl w:val="1"/>
        <w:rPr>
          <w:rFonts w:cs="Times New Roman"/>
          <w:b/>
          <w:bCs/>
          <w:kern w:val="2"/>
          <w:sz w:val="21"/>
          <w:szCs w:val="21"/>
          <w:lang w:val="en-US"/>
        </w:rPr>
      </w:pPr>
      <w:r>
        <w:rPr>
          <w:rFonts w:hint="eastAsia" w:cs="Times New Roman"/>
          <w:b/>
          <w:bCs/>
          <w:kern w:val="2"/>
          <w:sz w:val="21"/>
          <w:szCs w:val="21"/>
          <w:lang w:val="en-US"/>
        </w:rPr>
        <w:t>7</w:t>
      </w:r>
      <w:r>
        <w:rPr>
          <w:rFonts w:cs="Times New Roman"/>
          <w:b/>
          <w:bCs/>
          <w:kern w:val="2"/>
          <w:sz w:val="21"/>
          <w:szCs w:val="21"/>
          <w:lang w:val="en-US"/>
        </w:rPr>
        <w:t>kW</w:t>
      </w:r>
      <w:r>
        <w:rPr>
          <w:rFonts w:hint="eastAsia" w:cs="Times New Roman"/>
          <w:b/>
          <w:bCs/>
          <w:kern w:val="2"/>
          <w:sz w:val="21"/>
          <w:szCs w:val="21"/>
          <w:lang w:val="en-US"/>
        </w:rPr>
        <w:t>交流充电单桩技术要求</w:t>
      </w:r>
    </w:p>
    <w:tbl>
      <w:tblPr>
        <w:tblStyle w:val="5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88"/>
      </w:tblGrid>
      <w:tr w14:paraId="043F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D26E229">
            <w:pPr>
              <w:jc w:val="center"/>
              <w:rPr>
                <w:rFonts w:cs="Times New Roman"/>
                <w:kern w:val="2"/>
                <w:sz w:val="21"/>
                <w:szCs w:val="21"/>
                <w:lang w:val="en-US"/>
              </w:rPr>
            </w:pPr>
            <w:r>
              <w:rPr>
                <w:rFonts w:hint="eastAsia" w:cs="Times New Roman"/>
                <w:kern w:val="2"/>
                <w:sz w:val="21"/>
                <w:szCs w:val="21"/>
                <w:lang w:val="en-US"/>
              </w:rPr>
              <w:t>名称</w:t>
            </w:r>
          </w:p>
        </w:tc>
        <w:tc>
          <w:tcPr>
            <w:tcW w:w="7088" w:type="dxa"/>
            <w:vAlign w:val="center"/>
          </w:tcPr>
          <w:p w14:paraId="1867BD4A">
            <w:pPr>
              <w:jc w:val="center"/>
              <w:rPr>
                <w:rFonts w:cs="Times New Roman"/>
                <w:kern w:val="2"/>
                <w:sz w:val="21"/>
                <w:szCs w:val="21"/>
                <w:lang w:val="en-US"/>
              </w:rPr>
            </w:pPr>
            <w:r>
              <w:rPr>
                <w:rFonts w:hint="eastAsia" w:cs="Times New Roman"/>
                <w:kern w:val="2"/>
                <w:sz w:val="21"/>
                <w:szCs w:val="21"/>
                <w:lang w:val="en-US"/>
              </w:rPr>
              <w:t>关键技术参数</w:t>
            </w:r>
          </w:p>
        </w:tc>
      </w:tr>
      <w:tr w14:paraId="7BA5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129" w:type="dxa"/>
            <w:vAlign w:val="center"/>
          </w:tcPr>
          <w:p w14:paraId="4A28A59D">
            <w:pPr>
              <w:jc w:val="center"/>
              <w:rPr>
                <w:rFonts w:cs="Times New Roman"/>
                <w:kern w:val="2"/>
                <w:sz w:val="21"/>
                <w:szCs w:val="21"/>
                <w:lang w:val="en-US"/>
              </w:rPr>
            </w:pPr>
            <w:r>
              <w:rPr>
                <w:rFonts w:hint="eastAsia" w:cs="Times New Roman"/>
                <w:kern w:val="2"/>
                <w:sz w:val="21"/>
                <w:szCs w:val="21"/>
                <w:lang w:val="en-US"/>
              </w:rPr>
              <w:t>交流单桩</w:t>
            </w:r>
          </w:p>
        </w:tc>
        <w:tc>
          <w:tcPr>
            <w:tcW w:w="7088" w:type="dxa"/>
            <w:vAlign w:val="center"/>
          </w:tcPr>
          <w:p w14:paraId="70E25265">
            <w:pPr>
              <w:jc w:val="both"/>
              <w:rPr>
                <w:rFonts w:cs="Times New Roman"/>
                <w:kern w:val="2"/>
                <w:sz w:val="21"/>
                <w:szCs w:val="21"/>
                <w:lang w:val="en-US"/>
              </w:rPr>
            </w:pPr>
            <w:r>
              <w:rPr>
                <w:rFonts w:cs="Times New Roman"/>
                <w:kern w:val="2"/>
                <w:sz w:val="21"/>
                <w:szCs w:val="21"/>
                <w:lang w:val="en-US"/>
              </w:rPr>
              <w:t>1.</w:t>
            </w:r>
            <w:r>
              <w:rPr>
                <w:rFonts w:cs="Times New Roman"/>
                <w:color w:val="000000"/>
                <w:kern w:val="2"/>
                <w:sz w:val="21"/>
                <w:szCs w:val="21"/>
                <w:lang w:val="en-US"/>
              </w:rPr>
              <w:t xml:space="preserve"> ▲</w:t>
            </w:r>
            <w:r>
              <w:rPr>
                <w:rFonts w:hint="eastAsia" w:cs="Times New Roman"/>
                <w:kern w:val="2"/>
                <w:sz w:val="21"/>
                <w:szCs w:val="21"/>
                <w:lang w:val="en-US"/>
              </w:rPr>
              <w:t>规格：7</w:t>
            </w:r>
            <w:r>
              <w:rPr>
                <w:rFonts w:cs="Times New Roman"/>
                <w:kern w:val="2"/>
                <w:sz w:val="21"/>
                <w:szCs w:val="21"/>
                <w:lang w:val="en-US"/>
              </w:rPr>
              <w:t>kW</w:t>
            </w:r>
          </w:p>
          <w:p w14:paraId="33A5BF4A">
            <w:pPr>
              <w:jc w:val="both"/>
              <w:rPr>
                <w:rFonts w:cs="Times New Roman"/>
                <w:kern w:val="2"/>
                <w:sz w:val="21"/>
                <w:szCs w:val="21"/>
                <w:lang w:val="en-US"/>
              </w:rPr>
            </w:pPr>
            <w:r>
              <w:rPr>
                <w:rFonts w:hint="eastAsia" w:cs="Times New Roman"/>
                <w:kern w:val="2"/>
                <w:sz w:val="21"/>
                <w:szCs w:val="21"/>
                <w:lang w:val="en-US"/>
              </w:rPr>
              <w:t>2</w:t>
            </w:r>
            <w:r>
              <w:rPr>
                <w:rFonts w:cs="Times New Roman"/>
                <w:kern w:val="2"/>
                <w:sz w:val="21"/>
                <w:szCs w:val="21"/>
                <w:lang w:val="en-US"/>
              </w:rPr>
              <w:t>.</w:t>
            </w:r>
            <w:r>
              <w:rPr>
                <w:rFonts w:cs="Times New Roman"/>
                <w:color w:val="000000"/>
                <w:kern w:val="2"/>
                <w:sz w:val="21"/>
                <w:szCs w:val="21"/>
                <w:lang w:val="en-US"/>
              </w:rPr>
              <w:t xml:space="preserve"> ▲</w:t>
            </w:r>
            <w:r>
              <w:rPr>
                <w:rFonts w:hint="eastAsia" w:cs="Times New Roman"/>
                <w:kern w:val="2"/>
                <w:sz w:val="21"/>
                <w:szCs w:val="21"/>
                <w:lang w:val="en-US"/>
              </w:rPr>
              <w:t>额定输出电流：3</w:t>
            </w:r>
            <w:r>
              <w:rPr>
                <w:rFonts w:cs="Times New Roman"/>
                <w:kern w:val="2"/>
                <w:sz w:val="21"/>
                <w:szCs w:val="21"/>
                <w:lang w:val="en-US"/>
              </w:rPr>
              <w:t>2A</w:t>
            </w:r>
          </w:p>
          <w:p w14:paraId="0D88D576">
            <w:pPr>
              <w:jc w:val="both"/>
              <w:rPr>
                <w:rFonts w:cs="Times New Roman"/>
                <w:kern w:val="2"/>
                <w:sz w:val="21"/>
                <w:szCs w:val="21"/>
                <w:lang w:val="en-US"/>
              </w:rPr>
            </w:pPr>
            <w:r>
              <w:rPr>
                <w:rFonts w:hint="eastAsia" w:cs="Times New Roman"/>
                <w:kern w:val="2"/>
                <w:sz w:val="21"/>
                <w:szCs w:val="21"/>
                <w:lang w:val="en-US"/>
              </w:rPr>
              <w:t>3</w:t>
            </w:r>
            <w:r>
              <w:rPr>
                <w:rFonts w:cs="Times New Roman"/>
                <w:kern w:val="2"/>
                <w:sz w:val="21"/>
                <w:szCs w:val="21"/>
                <w:lang w:val="en-US"/>
              </w:rPr>
              <w:t>.</w:t>
            </w:r>
            <w:r>
              <w:rPr>
                <w:rFonts w:cs="Times New Roman"/>
                <w:color w:val="000000"/>
                <w:kern w:val="2"/>
                <w:sz w:val="21"/>
                <w:szCs w:val="21"/>
                <w:lang w:val="en-US"/>
              </w:rPr>
              <w:t xml:space="preserve"> ▲</w:t>
            </w:r>
            <w:r>
              <w:rPr>
                <w:rFonts w:hint="eastAsia" w:cs="Times New Roman"/>
                <w:kern w:val="2"/>
                <w:sz w:val="21"/>
                <w:szCs w:val="21"/>
                <w:lang w:val="en-US"/>
              </w:rPr>
              <w:t>待机功耗：≤3</w:t>
            </w:r>
            <w:r>
              <w:rPr>
                <w:rFonts w:cs="Times New Roman"/>
                <w:kern w:val="2"/>
                <w:sz w:val="21"/>
                <w:szCs w:val="21"/>
                <w:lang w:val="en-US"/>
              </w:rPr>
              <w:t>W</w:t>
            </w:r>
          </w:p>
          <w:p w14:paraId="4229DE74">
            <w:pPr>
              <w:jc w:val="both"/>
              <w:rPr>
                <w:rFonts w:cs="Times New Roman"/>
                <w:kern w:val="2"/>
                <w:sz w:val="21"/>
                <w:szCs w:val="21"/>
                <w:lang w:val="en-US"/>
              </w:rPr>
            </w:pPr>
            <w:r>
              <w:rPr>
                <w:rFonts w:hint="eastAsia" w:cs="Times New Roman"/>
                <w:kern w:val="2"/>
                <w:sz w:val="21"/>
                <w:szCs w:val="21"/>
                <w:lang w:val="en-US"/>
              </w:rPr>
              <w:t>4</w:t>
            </w:r>
            <w:r>
              <w:rPr>
                <w:rFonts w:cs="Times New Roman"/>
                <w:kern w:val="2"/>
                <w:sz w:val="21"/>
                <w:szCs w:val="21"/>
                <w:lang w:val="en-US"/>
              </w:rPr>
              <w:t>.</w:t>
            </w:r>
            <w:r>
              <w:rPr>
                <w:rFonts w:hint="eastAsia" w:cs="Times New Roman"/>
                <w:kern w:val="2"/>
                <w:sz w:val="21"/>
                <w:szCs w:val="21"/>
                <w:lang w:val="en-US"/>
              </w:rPr>
              <w:t>充电接口：满足</w:t>
            </w:r>
            <w:r>
              <w:rPr>
                <w:rFonts w:cs="Times New Roman"/>
                <w:kern w:val="2"/>
                <w:sz w:val="21"/>
                <w:szCs w:val="21"/>
                <w:lang w:val="en-US"/>
              </w:rPr>
              <w:t>GB/T20234.1-2015</w:t>
            </w:r>
            <w:r>
              <w:rPr>
                <w:rFonts w:hint="eastAsia" w:cs="Times New Roman"/>
                <w:kern w:val="2"/>
                <w:sz w:val="21"/>
                <w:szCs w:val="21"/>
                <w:lang w:val="en-US"/>
              </w:rPr>
              <w:t>、</w:t>
            </w:r>
            <w:r>
              <w:rPr>
                <w:rFonts w:cs="Times New Roman"/>
                <w:kern w:val="2"/>
                <w:sz w:val="21"/>
                <w:szCs w:val="21"/>
                <w:lang w:val="en-US"/>
              </w:rPr>
              <w:t>GB/T20234.2-2015</w:t>
            </w:r>
          </w:p>
          <w:p w14:paraId="34697750">
            <w:pPr>
              <w:jc w:val="both"/>
              <w:rPr>
                <w:rFonts w:cs="Times New Roman"/>
                <w:kern w:val="2"/>
                <w:sz w:val="21"/>
                <w:szCs w:val="21"/>
                <w:lang w:val="en-US"/>
              </w:rPr>
            </w:pPr>
            <w:r>
              <w:rPr>
                <w:rFonts w:cs="Times New Roman"/>
                <w:kern w:val="2"/>
                <w:sz w:val="21"/>
                <w:szCs w:val="21"/>
                <w:lang w:val="en-US"/>
              </w:rPr>
              <w:t>5.充电枪线长≥5米；</w:t>
            </w:r>
          </w:p>
          <w:p w14:paraId="6EFABC10">
            <w:pPr>
              <w:jc w:val="both"/>
              <w:rPr>
                <w:rFonts w:cs="Times New Roman"/>
                <w:kern w:val="2"/>
                <w:sz w:val="21"/>
                <w:szCs w:val="21"/>
                <w:lang w:val="en-US"/>
              </w:rPr>
            </w:pPr>
            <w:r>
              <w:rPr>
                <w:rFonts w:hint="eastAsia" w:cs="Times New Roman"/>
                <w:kern w:val="2"/>
                <w:sz w:val="21"/>
                <w:szCs w:val="21"/>
                <w:lang w:val="en-US"/>
              </w:rPr>
              <w:t>6</w:t>
            </w:r>
            <w:r>
              <w:rPr>
                <w:rFonts w:cs="Times New Roman"/>
                <w:kern w:val="2"/>
                <w:sz w:val="21"/>
                <w:szCs w:val="21"/>
                <w:lang w:val="en-US"/>
              </w:rPr>
              <w:t>.</w:t>
            </w:r>
            <w:r>
              <w:rPr>
                <w:rFonts w:hint="eastAsia" w:cs="Times New Roman"/>
                <w:kern w:val="2"/>
                <w:sz w:val="21"/>
                <w:szCs w:val="21"/>
                <w:lang w:val="en-US"/>
              </w:rPr>
              <w:t>交流输入电压：2</w:t>
            </w:r>
            <w:r>
              <w:rPr>
                <w:rFonts w:cs="Times New Roman"/>
                <w:kern w:val="2"/>
                <w:sz w:val="21"/>
                <w:szCs w:val="21"/>
                <w:lang w:val="en-US"/>
              </w:rPr>
              <w:t>20V</w:t>
            </w:r>
            <w:r>
              <w:rPr>
                <w:rFonts w:hint="eastAsia" w:cs="Times New Roman"/>
                <w:kern w:val="2"/>
                <w:sz w:val="21"/>
                <w:szCs w:val="21"/>
                <w:lang w:val="en-US"/>
              </w:rPr>
              <w:t>±</w:t>
            </w:r>
            <w:r>
              <w:rPr>
                <w:rFonts w:cs="Times New Roman"/>
                <w:kern w:val="2"/>
                <w:sz w:val="21"/>
                <w:szCs w:val="21"/>
                <w:lang w:val="en-US"/>
              </w:rPr>
              <w:t>10%</w:t>
            </w:r>
          </w:p>
          <w:p w14:paraId="4D215E48">
            <w:pPr>
              <w:jc w:val="both"/>
              <w:rPr>
                <w:rFonts w:cs="Times New Roman"/>
                <w:kern w:val="2"/>
                <w:sz w:val="21"/>
                <w:szCs w:val="21"/>
                <w:lang w:val="en-US"/>
              </w:rPr>
            </w:pPr>
            <w:r>
              <w:rPr>
                <w:rFonts w:hint="eastAsia" w:cs="Times New Roman"/>
                <w:kern w:val="2"/>
                <w:sz w:val="21"/>
                <w:szCs w:val="21"/>
                <w:lang w:val="en-US"/>
              </w:rPr>
              <w:t>7</w:t>
            </w:r>
            <w:r>
              <w:rPr>
                <w:rFonts w:cs="Times New Roman"/>
                <w:kern w:val="2"/>
                <w:sz w:val="21"/>
                <w:szCs w:val="21"/>
                <w:lang w:val="en-US"/>
              </w:rPr>
              <w:t>.</w:t>
            </w:r>
            <w:r>
              <w:rPr>
                <w:rFonts w:hint="eastAsia" w:cs="Times New Roman"/>
                <w:kern w:val="2"/>
                <w:sz w:val="21"/>
                <w:szCs w:val="21"/>
                <w:lang w:val="en-US"/>
              </w:rPr>
              <w:t>噪声：≤</w:t>
            </w:r>
            <w:r>
              <w:rPr>
                <w:rFonts w:cs="Times New Roman"/>
                <w:kern w:val="2"/>
                <w:sz w:val="21"/>
                <w:szCs w:val="21"/>
                <w:lang w:val="en-US"/>
              </w:rPr>
              <w:t>20dB</w:t>
            </w:r>
          </w:p>
          <w:p w14:paraId="4D476354">
            <w:pPr>
              <w:jc w:val="both"/>
              <w:rPr>
                <w:rFonts w:cs="Times New Roman"/>
                <w:kern w:val="2"/>
                <w:sz w:val="21"/>
                <w:szCs w:val="21"/>
                <w:lang w:val="en-US"/>
              </w:rPr>
            </w:pPr>
            <w:r>
              <w:rPr>
                <w:rFonts w:hint="eastAsia" w:cs="Times New Roman"/>
                <w:kern w:val="2"/>
                <w:sz w:val="21"/>
                <w:szCs w:val="21"/>
                <w:lang w:val="en-US"/>
              </w:rPr>
              <w:t>8</w:t>
            </w:r>
            <w:r>
              <w:rPr>
                <w:rFonts w:cs="Times New Roman"/>
                <w:kern w:val="2"/>
                <w:sz w:val="21"/>
                <w:szCs w:val="21"/>
                <w:lang w:val="en-US"/>
              </w:rPr>
              <w:t>.</w:t>
            </w:r>
            <w:r>
              <w:rPr>
                <w:rFonts w:hint="eastAsia" w:cs="Times New Roman"/>
                <w:kern w:val="2"/>
                <w:sz w:val="21"/>
                <w:szCs w:val="21"/>
                <w:lang w:val="en-US"/>
              </w:rPr>
              <w:t>介电强度：</w:t>
            </w:r>
            <w:r>
              <w:rPr>
                <w:rFonts w:cs="Times New Roman"/>
                <w:kern w:val="2"/>
                <w:sz w:val="21"/>
                <w:szCs w:val="21"/>
                <w:lang w:val="en-US"/>
              </w:rPr>
              <w:t>≥2000V</w:t>
            </w:r>
          </w:p>
          <w:p w14:paraId="4A868B6C">
            <w:pPr>
              <w:jc w:val="both"/>
              <w:rPr>
                <w:rFonts w:cs="Times New Roman"/>
                <w:kern w:val="2"/>
                <w:sz w:val="21"/>
                <w:szCs w:val="21"/>
                <w:lang w:val="en-US"/>
              </w:rPr>
            </w:pPr>
            <w:r>
              <w:rPr>
                <w:rFonts w:hint="eastAsia" w:cs="Times New Roman"/>
                <w:kern w:val="2"/>
                <w:sz w:val="21"/>
                <w:szCs w:val="21"/>
                <w:lang w:val="en-US"/>
              </w:rPr>
              <w:t>9</w:t>
            </w:r>
            <w:r>
              <w:rPr>
                <w:rFonts w:cs="Times New Roman"/>
                <w:kern w:val="2"/>
                <w:sz w:val="21"/>
                <w:szCs w:val="21"/>
                <w:lang w:val="en-US"/>
              </w:rPr>
              <w:t>.</w:t>
            </w:r>
            <w:r>
              <w:rPr>
                <w:rFonts w:hint="eastAsia" w:cs="Times New Roman"/>
                <w:kern w:val="2"/>
                <w:sz w:val="21"/>
                <w:szCs w:val="21"/>
                <w:lang w:val="en-US"/>
              </w:rPr>
              <w:t>漏电流：</w:t>
            </w:r>
            <w:r>
              <w:rPr>
                <w:rFonts w:cs="Times New Roman"/>
                <w:kern w:val="2"/>
                <w:sz w:val="21"/>
                <w:szCs w:val="21"/>
                <w:lang w:val="en-US"/>
              </w:rPr>
              <w:t>≤3.5MA</w:t>
            </w:r>
          </w:p>
          <w:p w14:paraId="463DF92E">
            <w:pPr>
              <w:jc w:val="both"/>
              <w:rPr>
                <w:rFonts w:cs="Times New Roman"/>
                <w:kern w:val="2"/>
                <w:sz w:val="21"/>
                <w:szCs w:val="21"/>
                <w:lang w:val="en-US"/>
              </w:rPr>
            </w:pPr>
            <w:r>
              <w:rPr>
                <w:rFonts w:hint="eastAsia" w:cs="Times New Roman"/>
                <w:kern w:val="2"/>
                <w:sz w:val="21"/>
                <w:szCs w:val="21"/>
                <w:lang w:val="en-US"/>
              </w:rPr>
              <w:t>1</w:t>
            </w:r>
            <w:r>
              <w:rPr>
                <w:rFonts w:cs="Times New Roman"/>
                <w:kern w:val="2"/>
                <w:sz w:val="21"/>
                <w:szCs w:val="21"/>
                <w:lang w:val="en-US"/>
              </w:rPr>
              <w:t>0.</w:t>
            </w:r>
            <w:r>
              <w:rPr>
                <w:rFonts w:cs="Times New Roman"/>
                <w:color w:val="000000"/>
                <w:kern w:val="2"/>
                <w:sz w:val="21"/>
                <w:szCs w:val="21"/>
                <w:lang w:val="en-US"/>
              </w:rPr>
              <w:t xml:space="preserve"> ▲</w:t>
            </w:r>
            <w:r>
              <w:rPr>
                <w:rFonts w:hint="eastAsia" w:cs="Times New Roman"/>
                <w:kern w:val="2"/>
                <w:sz w:val="21"/>
                <w:szCs w:val="21"/>
                <w:lang w:val="en-US"/>
              </w:rPr>
              <w:t>防护等级：</w:t>
            </w:r>
            <w:r>
              <w:rPr>
                <w:rFonts w:cs="Times New Roman"/>
                <w:kern w:val="2"/>
                <w:sz w:val="21"/>
                <w:szCs w:val="21"/>
                <w:lang w:val="en-US"/>
              </w:rPr>
              <w:t>≥IP</w:t>
            </w:r>
            <w:r>
              <w:rPr>
                <w:rFonts w:cs="Times New Roman"/>
                <w:kern w:val="2"/>
                <w:sz w:val="21"/>
                <w:szCs w:val="21"/>
                <w:woUserID w:val="1"/>
              </w:rPr>
              <w:t>6</w:t>
            </w:r>
            <w:r>
              <w:rPr>
                <w:rFonts w:cs="Times New Roman"/>
                <w:kern w:val="2"/>
                <w:sz w:val="21"/>
                <w:szCs w:val="21"/>
                <w:lang w:val="en-US"/>
              </w:rPr>
              <w:t>5</w:t>
            </w:r>
          </w:p>
        </w:tc>
      </w:tr>
    </w:tbl>
    <w:p w14:paraId="6D7E9F25">
      <w:pPr>
        <w:tabs>
          <w:tab w:val="left" w:pos="525"/>
          <w:tab w:val="left" w:pos="1140"/>
        </w:tabs>
        <w:adjustRightInd w:val="0"/>
        <w:snapToGrid w:val="0"/>
        <w:spacing w:line="400" w:lineRule="exact"/>
        <w:rPr>
          <w:rFonts w:cs="Times New Roman"/>
          <w:b/>
          <w:bCs/>
          <w:caps/>
          <w:sz w:val="21"/>
          <w:szCs w:val="21"/>
          <w:lang w:val="en-US"/>
        </w:rPr>
      </w:pPr>
      <w:r>
        <w:rPr>
          <w:rFonts w:hint="eastAsia" w:cs="Times New Roman"/>
          <w:b/>
          <w:bCs/>
          <w:caps/>
          <w:sz w:val="21"/>
          <w:szCs w:val="21"/>
          <w:lang w:val="en-US"/>
        </w:rPr>
        <w:t>功能要求</w:t>
      </w:r>
    </w:p>
    <w:p w14:paraId="57C0ADDD">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（1）计量功能</w:t>
      </w:r>
    </w:p>
    <w:p w14:paraId="10A15E3A">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电能计量装置应符合国家计量器具鉴定相关要求。</w:t>
      </w:r>
    </w:p>
    <w:p w14:paraId="404A9FFD">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计量精度符合</w:t>
      </w:r>
      <w:r>
        <w:rPr>
          <w:rFonts w:cs="Times New Roman"/>
          <w:kern w:val="2"/>
          <w:sz w:val="21"/>
          <w:szCs w:val="21"/>
          <w:lang w:val="en-US"/>
        </w:rPr>
        <w:t>JJG 1148-2022电动汽车交流充电桩</w:t>
      </w:r>
      <w:r>
        <w:rPr>
          <w:rFonts w:hint="eastAsia" w:cs="Times New Roman"/>
          <w:kern w:val="2"/>
          <w:sz w:val="21"/>
          <w:szCs w:val="21"/>
          <w:lang w:val="en-US"/>
        </w:rPr>
        <w:t>，并检定1级精度合格。</w:t>
      </w:r>
    </w:p>
    <w:p w14:paraId="34F6C445">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w:t>
      </w:r>
      <w:r>
        <w:rPr>
          <w:rFonts w:cs="Times New Roman"/>
          <w:caps/>
          <w:sz w:val="21"/>
          <w:szCs w:val="21"/>
          <w:lang w:val="en-US"/>
        </w:rPr>
        <w:t>2</w:t>
      </w:r>
      <w:r>
        <w:rPr>
          <w:rFonts w:hint="eastAsia" w:cs="Times New Roman"/>
          <w:caps/>
          <w:sz w:val="21"/>
          <w:szCs w:val="21"/>
          <w:lang w:val="en-US"/>
        </w:rPr>
        <w:t>）保护功能</w:t>
      </w:r>
    </w:p>
    <w:p w14:paraId="15D46CBA">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充电桩的安全性要求应满足GB/T 18487.1-2015附录A中对应的描述和要求。</w:t>
      </w:r>
    </w:p>
    <w:p w14:paraId="65756772">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充电桩的电源回路应具备带负载可分合的开关电器。</w:t>
      </w:r>
    </w:p>
    <w:p w14:paraId="7ACCDEC2">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充电桩的电源回路应安装过载、短路、漏电保护装置。</w:t>
      </w:r>
    </w:p>
    <w:p w14:paraId="305C924D">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充电桩的电源回路应具备防雷保护功能，并且符合GB/T  17626.5-2008电磁兼容试验和测量技术（冲击）抗扰度试验  试验等级：3级的要求。</w:t>
      </w:r>
    </w:p>
    <w:p w14:paraId="12BE265F">
      <w:pPr>
        <w:overflowPunct w:val="0"/>
        <w:topLinePunct/>
        <w:adjustRightInd w:val="0"/>
        <w:snapToGrid w:val="0"/>
        <w:spacing w:line="400" w:lineRule="exact"/>
        <w:ind w:firstLine="420" w:firstLineChars="200"/>
        <w:rPr>
          <w:rFonts w:cs="Times New Roman"/>
          <w:kern w:val="2"/>
          <w:sz w:val="21"/>
          <w:szCs w:val="21"/>
          <w:lang w:val="en-US"/>
        </w:rPr>
      </w:pPr>
      <w:r>
        <w:rPr>
          <w:rFonts w:cs="Times New Roman"/>
          <w:color w:val="000000"/>
          <w:kern w:val="2"/>
          <w:sz w:val="21"/>
          <w:szCs w:val="21"/>
          <w:lang w:val="en-US"/>
        </w:rPr>
        <w:t>▲</w:t>
      </w:r>
      <w:r>
        <w:rPr>
          <w:rFonts w:hint="eastAsia" w:cs="Times New Roman"/>
          <w:kern w:val="2"/>
          <w:sz w:val="21"/>
          <w:szCs w:val="21"/>
          <w:lang w:val="en-US"/>
        </w:rPr>
        <w:t>充电桩应具备急停开关，能实现在充电过程中</w:t>
      </w:r>
      <w:r>
        <w:rPr>
          <w:rFonts w:cs="Times New Roman"/>
          <w:kern w:val="2"/>
          <w:sz w:val="21"/>
          <w:szCs w:val="21"/>
          <w:lang w:val="en-US"/>
        </w:rPr>
        <w:t>3</w:t>
      </w:r>
      <w:r>
        <w:rPr>
          <w:rFonts w:hint="eastAsia" w:cs="Times New Roman"/>
          <w:kern w:val="2"/>
          <w:sz w:val="21"/>
          <w:szCs w:val="21"/>
          <w:lang w:val="en-US"/>
        </w:rPr>
        <w:t>0ms内紧急切断交流供电回路并亮红灯告警。</w:t>
      </w:r>
    </w:p>
    <w:p w14:paraId="4F9D5E20">
      <w:pPr>
        <w:overflowPunct w:val="0"/>
        <w:topLinePunct/>
        <w:adjustRightInd w:val="0"/>
        <w:snapToGrid w:val="0"/>
        <w:spacing w:line="400" w:lineRule="exact"/>
        <w:ind w:firstLine="420" w:firstLineChars="200"/>
        <w:rPr>
          <w:rFonts w:cs="Times New Roman"/>
          <w:kern w:val="2"/>
          <w:sz w:val="21"/>
          <w:szCs w:val="21"/>
          <w:lang w:val="en-US"/>
        </w:rPr>
      </w:pPr>
      <w:r>
        <w:rPr>
          <w:rFonts w:cs="Times New Roman"/>
          <w:color w:val="000000"/>
          <w:kern w:val="2"/>
          <w:sz w:val="21"/>
          <w:szCs w:val="21"/>
          <w:lang w:val="en-US"/>
        </w:rPr>
        <w:t>▲</w:t>
      </w:r>
      <w:r>
        <w:rPr>
          <w:rFonts w:hint="eastAsia" w:cs="Times New Roman"/>
          <w:kern w:val="2"/>
          <w:sz w:val="21"/>
          <w:szCs w:val="21"/>
          <w:lang w:val="en-US"/>
        </w:rPr>
        <w:t>恢复急停开关后，设备切换至待机状态，能够正常启动充电。</w:t>
      </w:r>
    </w:p>
    <w:p w14:paraId="3BF972F3">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在充电过程中出现连接异常时，充电桩应立即（100ms内）自动切断输出电源。</w:t>
      </w:r>
    </w:p>
    <w:p w14:paraId="09DE6289">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在停止充电时，充电桩应保证输出电源回路处于断开状态。</w:t>
      </w:r>
    </w:p>
    <w:p w14:paraId="7AE9E8B7">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额定充电电流大于16A的充电桩，供电插座应设置温度监控装置，供电设备应具备温度监测和过温保护功能。</w:t>
      </w:r>
    </w:p>
    <w:p w14:paraId="4C12E929">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剩余电流保护器宜采用A型。</w:t>
      </w:r>
    </w:p>
    <w:p w14:paraId="083BB138">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充电桩应具备保护接地导体连续性的持续检测功能，在失去保护接地导体连续性的情况下，应在100ms内切断输出电源</w:t>
      </w:r>
    </w:p>
    <w:p w14:paraId="4F0A43E0">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w:t>
      </w:r>
      <w:r>
        <w:rPr>
          <w:rFonts w:cs="Times New Roman"/>
          <w:caps/>
          <w:sz w:val="21"/>
          <w:szCs w:val="21"/>
          <w:lang w:val="en-US"/>
        </w:rPr>
        <w:t>3</w:t>
      </w:r>
      <w:r>
        <w:rPr>
          <w:rFonts w:hint="eastAsia" w:cs="Times New Roman"/>
          <w:caps/>
          <w:sz w:val="21"/>
          <w:szCs w:val="21"/>
          <w:lang w:val="en-US"/>
        </w:rPr>
        <w:t>）自检功能</w:t>
      </w:r>
    </w:p>
    <w:p w14:paraId="461008F6">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充电桩应具备自检及故障报警功能。</w:t>
      </w:r>
    </w:p>
    <w:p w14:paraId="5652D8A0">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w:t>
      </w:r>
      <w:r>
        <w:rPr>
          <w:rFonts w:cs="Times New Roman"/>
          <w:caps/>
          <w:sz w:val="21"/>
          <w:szCs w:val="21"/>
          <w:lang w:val="en-US"/>
        </w:rPr>
        <w:t>4</w:t>
      </w:r>
      <w:r>
        <w:rPr>
          <w:rFonts w:hint="eastAsia" w:cs="Times New Roman"/>
          <w:caps/>
          <w:sz w:val="21"/>
          <w:szCs w:val="21"/>
          <w:lang w:val="en-US"/>
        </w:rPr>
        <w:t>）锁止功能</w:t>
      </w:r>
    </w:p>
    <w:p w14:paraId="42F888FE">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交流充电电流大于16A时，供电接口插座应安装电子锁止装置，具有锁止功能，该锁止功能应符合GB/T20234.1的相关要求。防止充电过程中的意外断开。当电子锁未可靠锁止时，供电设备或电动汽车应停止充电或不启动充电。</w:t>
      </w:r>
    </w:p>
    <w:p w14:paraId="56447CC1">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w:t>
      </w:r>
      <w:r>
        <w:rPr>
          <w:rFonts w:cs="Times New Roman"/>
          <w:caps/>
          <w:sz w:val="21"/>
          <w:szCs w:val="21"/>
          <w:lang w:val="en-US"/>
        </w:rPr>
        <w:t>5</w:t>
      </w:r>
      <w:r>
        <w:rPr>
          <w:rFonts w:hint="eastAsia" w:cs="Times New Roman"/>
          <w:caps/>
          <w:sz w:val="21"/>
          <w:szCs w:val="21"/>
          <w:lang w:val="en-US"/>
        </w:rPr>
        <w:t>）</w:t>
      </w:r>
      <w:r>
        <w:rPr>
          <w:rFonts w:cs="Times New Roman"/>
          <w:caps/>
          <w:sz w:val="21"/>
          <w:szCs w:val="21"/>
          <w:lang w:val="en-US"/>
        </w:rPr>
        <w:t>远程升级</w:t>
      </w:r>
    </w:p>
    <w:p w14:paraId="68E499A6">
      <w:pPr>
        <w:overflowPunct w:val="0"/>
        <w:topLinePunct/>
        <w:adjustRightInd w:val="0"/>
        <w:snapToGrid w:val="0"/>
        <w:spacing w:line="400" w:lineRule="exact"/>
        <w:ind w:firstLine="420" w:firstLineChars="200"/>
        <w:rPr>
          <w:rFonts w:cs="Times New Roman"/>
          <w:kern w:val="2"/>
          <w:sz w:val="21"/>
          <w:szCs w:val="21"/>
          <w:lang w:val="en-US"/>
        </w:rPr>
      </w:pPr>
      <w:r>
        <w:rPr>
          <w:rFonts w:cs="Times New Roman"/>
          <w:kern w:val="2"/>
          <w:sz w:val="21"/>
          <w:szCs w:val="21"/>
          <w:lang w:val="en-US"/>
        </w:rPr>
        <w:t>配置通讯模块，充电机烧写程序可通过联网后</w:t>
      </w:r>
      <w:r>
        <w:rPr>
          <w:rFonts w:hint="eastAsia" w:cs="Times New Roman"/>
          <w:kern w:val="2"/>
          <w:sz w:val="21"/>
          <w:szCs w:val="21"/>
          <w:lang w:val="en-US"/>
        </w:rPr>
        <w:t>通过</w:t>
      </w:r>
      <w:r>
        <w:rPr>
          <w:rFonts w:cs="Times New Roman"/>
          <w:kern w:val="2"/>
          <w:sz w:val="21"/>
          <w:szCs w:val="21"/>
          <w:lang w:val="en-US"/>
        </w:rPr>
        <w:t>监控运维平台控制，</w:t>
      </w:r>
      <w:r>
        <w:rPr>
          <w:rFonts w:hint="eastAsia" w:cs="Times New Roman"/>
          <w:kern w:val="2"/>
          <w:sz w:val="21"/>
          <w:szCs w:val="21"/>
          <w:lang w:val="en-US"/>
        </w:rPr>
        <w:t>远程</w:t>
      </w:r>
      <w:r>
        <w:rPr>
          <w:rFonts w:cs="Times New Roman"/>
          <w:kern w:val="2"/>
          <w:sz w:val="21"/>
          <w:szCs w:val="21"/>
          <w:lang w:val="en-US"/>
        </w:rPr>
        <w:t>一键升级，远程更新所有通信协议，以及新国标更新等带来的控制模式升级</w:t>
      </w:r>
      <w:r>
        <w:rPr>
          <w:rFonts w:hint="eastAsia" w:cs="Times New Roman"/>
          <w:kern w:val="2"/>
          <w:sz w:val="21"/>
          <w:szCs w:val="21"/>
          <w:lang w:val="en-US"/>
        </w:rPr>
        <w:t>。</w:t>
      </w:r>
    </w:p>
    <w:p w14:paraId="192513B6">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w:t>
      </w:r>
      <w:r>
        <w:rPr>
          <w:rFonts w:cs="Times New Roman"/>
          <w:caps/>
          <w:sz w:val="21"/>
          <w:szCs w:val="21"/>
          <w:lang w:val="en-US"/>
        </w:rPr>
        <w:t>6</w:t>
      </w:r>
      <w:r>
        <w:rPr>
          <w:rFonts w:hint="eastAsia" w:cs="Times New Roman"/>
          <w:caps/>
          <w:sz w:val="21"/>
          <w:szCs w:val="21"/>
          <w:lang w:val="en-US"/>
        </w:rPr>
        <w:t>）其他必要功能</w:t>
      </w:r>
    </w:p>
    <w:p w14:paraId="1FCC65FF">
      <w:pPr>
        <w:overflowPunct w:val="0"/>
        <w:topLinePunct/>
        <w:adjustRightInd w:val="0"/>
        <w:snapToGrid w:val="0"/>
        <w:spacing w:line="400" w:lineRule="exact"/>
        <w:ind w:firstLine="420" w:firstLineChars="200"/>
        <w:rPr>
          <w:rFonts w:cs="Times New Roman"/>
          <w:kern w:val="2"/>
          <w:sz w:val="21"/>
          <w:szCs w:val="21"/>
          <w:lang w:val="en-US"/>
        </w:rPr>
      </w:pPr>
      <w:r>
        <w:rPr>
          <w:rFonts w:cs="Times New Roman"/>
          <w:kern w:val="2"/>
          <w:sz w:val="21"/>
          <w:szCs w:val="21"/>
          <w:lang w:val="en-US"/>
        </w:rPr>
        <w:t>充电桩应具备充电枪头锁止保护功能</w:t>
      </w:r>
      <w:r>
        <w:rPr>
          <w:rFonts w:hint="eastAsia" w:cs="Times New Roman"/>
          <w:kern w:val="2"/>
          <w:sz w:val="21"/>
          <w:szCs w:val="21"/>
          <w:lang w:val="en-US"/>
        </w:rPr>
        <w:t>，</w:t>
      </w:r>
      <w:r>
        <w:rPr>
          <w:rFonts w:cs="Times New Roman"/>
          <w:kern w:val="2"/>
          <w:sz w:val="21"/>
          <w:szCs w:val="21"/>
          <w:lang w:val="en-US"/>
        </w:rPr>
        <w:t>防止充电桩非充电状态下</w:t>
      </w:r>
      <w:r>
        <w:rPr>
          <w:rFonts w:hint="eastAsia" w:cs="Times New Roman"/>
          <w:kern w:val="2"/>
          <w:sz w:val="21"/>
          <w:szCs w:val="21"/>
          <w:lang w:val="en-US"/>
        </w:rPr>
        <w:t>被拔枪的情况出现。</w:t>
      </w:r>
    </w:p>
    <w:p w14:paraId="51509636">
      <w:pPr>
        <w:keepNext/>
        <w:keepLines/>
        <w:spacing w:line="400" w:lineRule="exact"/>
        <w:jc w:val="both"/>
        <w:outlineLvl w:val="1"/>
        <w:rPr>
          <w:rFonts w:cs="Times New Roman"/>
          <w:b/>
          <w:bCs/>
          <w:kern w:val="2"/>
          <w:sz w:val="21"/>
          <w:szCs w:val="21"/>
          <w:lang w:val="en-US"/>
        </w:rPr>
      </w:pPr>
      <w:r>
        <w:rPr>
          <w:rFonts w:hint="eastAsia" w:cs="Times New Roman"/>
          <w:b/>
          <w:bCs/>
          <w:kern w:val="2"/>
          <w:sz w:val="21"/>
          <w:szCs w:val="21"/>
          <w:lang w:val="en-US"/>
        </w:rPr>
        <w:t>充电运营管理平台技术要求</w:t>
      </w:r>
    </w:p>
    <w:p w14:paraId="4ACB9BB6">
      <w:pPr>
        <w:keepNext/>
        <w:keepLines/>
        <w:spacing w:line="400" w:lineRule="exact"/>
        <w:jc w:val="both"/>
        <w:outlineLvl w:val="2"/>
        <w:rPr>
          <w:rFonts w:cs="Times New Roman"/>
          <w:b/>
          <w:bCs/>
          <w:kern w:val="2"/>
          <w:sz w:val="21"/>
          <w:szCs w:val="21"/>
          <w:lang w:val="en-US"/>
        </w:rPr>
      </w:pPr>
      <w:r>
        <w:rPr>
          <w:rFonts w:hint="eastAsia" w:cs="Times New Roman"/>
          <w:b/>
          <w:bCs/>
          <w:kern w:val="2"/>
          <w:sz w:val="21"/>
          <w:szCs w:val="21"/>
          <w:lang w:val="en-US"/>
        </w:rPr>
        <w:t>总则</w:t>
      </w:r>
    </w:p>
    <w:p w14:paraId="6EC6F33A">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按业务需求</w:t>
      </w:r>
      <w:r>
        <w:rPr>
          <w:rFonts w:cs="Times New Roman"/>
          <w:kern w:val="2"/>
          <w:sz w:val="21"/>
          <w:szCs w:val="21"/>
          <w:lang w:val="en-US"/>
        </w:rPr>
        <w:t>交付</w:t>
      </w:r>
      <w:r>
        <w:rPr>
          <w:rFonts w:hint="eastAsia" w:cs="Times New Roman"/>
          <w:kern w:val="2"/>
          <w:sz w:val="21"/>
          <w:szCs w:val="21"/>
          <w:lang w:val="en-US"/>
        </w:rPr>
        <w:t>各功能模块</w:t>
      </w:r>
      <w:r>
        <w:rPr>
          <w:rFonts w:cs="Times New Roman"/>
          <w:kern w:val="2"/>
          <w:sz w:val="21"/>
          <w:szCs w:val="21"/>
          <w:lang w:val="en-US"/>
        </w:rPr>
        <w:t>服务，</w:t>
      </w:r>
      <w:r>
        <w:rPr>
          <w:rFonts w:hint="eastAsia" w:cs="Times New Roman"/>
          <w:kern w:val="2"/>
          <w:sz w:val="21"/>
          <w:szCs w:val="21"/>
          <w:lang w:val="en-US"/>
        </w:rPr>
        <w:t>满足运营、运维、财务管理需求；提供系统数据接口，实现与现有运行系统、未来规划系统的互联互通；提供充电桩与平台交互系统，实现接入多家充电桩设备；提供后期维护及需求迭代，能够根据新能源行业的发展，向上向下兼容新技术和新的业务场景；提供完善的数据分析能力，通过数字可视化技术实现业务数据的多维分析。</w:t>
      </w:r>
    </w:p>
    <w:p w14:paraId="6BE01EF7">
      <w:pPr>
        <w:keepNext/>
        <w:keepLines/>
        <w:spacing w:line="400" w:lineRule="exact"/>
        <w:jc w:val="both"/>
        <w:outlineLvl w:val="2"/>
        <w:rPr>
          <w:rFonts w:cs="Times New Roman"/>
          <w:b/>
          <w:bCs/>
          <w:kern w:val="2"/>
          <w:sz w:val="21"/>
          <w:szCs w:val="21"/>
          <w:lang w:val="en-US"/>
        </w:rPr>
      </w:pPr>
      <w:r>
        <w:rPr>
          <w:rFonts w:hint="eastAsia" w:cs="Times New Roman"/>
          <w:b/>
          <w:bCs/>
          <w:kern w:val="2"/>
          <w:sz w:val="21"/>
          <w:szCs w:val="21"/>
          <w:lang w:val="en-US"/>
        </w:rPr>
        <w:t>功能要求</w:t>
      </w:r>
    </w:p>
    <w:p w14:paraId="20FDDDFB">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投标方案必须包含充电桩日常运营管理、用户管理、财务管理、安全合规管理、服务管理、报表分析等模块，具体见下表清单。</w:t>
      </w:r>
    </w:p>
    <w:tbl>
      <w:tblPr>
        <w:tblStyle w:val="5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381"/>
        <w:gridCol w:w="6375"/>
      </w:tblGrid>
      <w:tr w14:paraId="3B6D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Align w:val="center"/>
          </w:tcPr>
          <w:p w14:paraId="17070544">
            <w:pPr>
              <w:jc w:val="center"/>
              <w:rPr>
                <w:rFonts w:cs="Times New Roman"/>
                <w:b/>
                <w:bCs/>
                <w:kern w:val="2"/>
                <w:sz w:val="21"/>
                <w:szCs w:val="21"/>
                <w:lang w:val="en-US"/>
              </w:rPr>
            </w:pPr>
            <w:r>
              <w:rPr>
                <w:rFonts w:hint="eastAsia" w:cs="Times New Roman"/>
                <w:b/>
                <w:bCs/>
                <w:kern w:val="2"/>
                <w:sz w:val="21"/>
                <w:szCs w:val="21"/>
                <w:lang w:val="en-US"/>
              </w:rPr>
              <w:t>功能模块</w:t>
            </w:r>
          </w:p>
        </w:tc>
        <w:tc>
          <w:tcPr>
            <w:tcW w:w="1381" w:type="dxa"/>
            <w:vAlign w:val="center"/>
          </w:tcPr>
          <w:p w14:paraId="030FDD8B">
            <w:pPr>
              <w:jc w:val="center"/>
              <w:rPr>
                <w:rFonts w:cs="Times New Roman"/>
                <w:b/>
                <w:bCs/>
                <w:kern w:val="2"/>
                <w:sz w:val="21"/>
                <w:szCs w:val="21"/>
                <w:lang w:val="en-US"/>
              </w:rPr>
            </w:pPr>
            <w:r>
              <w:rPr>
                <w:rFonts w:hint="eastAsia" w:cs="Times New Roman"/>
                <w:b/>
                <w:bCs/>
                <w:kern w:val="2"/>
                <w:sz w:val="21"/>
                <w:szCs w:val="21"/>
                <w:lang w:val="en-US"/>
              </w:rPr>
              <w:t>项目</w:t>
            </w:r>
          </w:p>
        </w:tc>
        <w:tc>
          <w:tcPr>
            <w:tcW w:w="6375" w:type="dxa"/>
            <w:vAlign w:val="center"/>
          </w:tcPr>
          <w:p w14:paraId="39DBF715">
            <w:pPr>
              <w:jc w:val="center"/>
              <w:rPr>
                <w:rFonts w:cs="Times New Roman"/>
                <w:b/>
                <w:bCs/>
                <w:kern w:val="2"/>
                <w:sz w:val="21"/>
                <w:szCs w:val="21"/>
                <w:lang w:val="en-US"/>
              </w:rPr>
            </w:pPr>
            <w:r>
              <w:rPr>
                <w:rFonts w:hint="eastAsia" w:cs="Times New Roman"/>
                <w:b/>
                <w:bCs/>
                <w:kern w:val="2"/>
                <w:sz w:val="21"/>
                <w:szCs w:val="21"/>
                <w:lang w:val="en-US"/>
              </w:rPr>
              <w:t>描述</w:t>
            </w:r>
          </w:p>
        </w:tc>
      </w:tr>
      <w:tr w14:paraId="5422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7ABBBE5D">
            <w:pPr>
              <w:jc w:val="center"/>
              <w:rPr>
                <w:rFonts w:cs="Times New Roman"/>
                <w:kern w:val="2"/>
                <w:sz w:val="21"/>
                <w:szCs w:val="21"/>
                <w:lang w:val="en-US"/>
              </w:rPr>
            </w:pPr>
            <w:r>
              <w:rPr>
                <w:rFonts w:hint="eastAsia" w:cs="Times New Roman"/>
                <w:kern w:val="2"/>
                <w:sz w:val="21"/>
                <w:szCs w:val="21"/>
                <w:lang w:val="en-US"/>
              </w:rPr>
              <w:t>运营管理</w:t>
            </w:r>
          </w:p>
        </w:tc>
        <w:tc>
          <w:tcPr>
            <w:tcW w:w="1381" w:type="dxa"/>
            <w:vAlign w:val="center"/>
          </w:tcPr>
          <w:p w14:paraId="71B7C81E">
            <w:pPr>
              <w:jc w:val="center"/>
              <w:rPr>
                <w:rFonts w:cs="Times New Roman"/>
                <w:kern w:val="2"/>
                <w:sz w:val="21"/>
                <w:szCs w:val="21"/>
                <w:lang w:val="en-US"/>
              </w:rPr>
            </w:pPr>
            <w:r>
              <w:rPr>
                <w:rFonts w:hint="eastAsia" w:cs="Times New Roman"/>
                <w:kern w:val="2"/>
                <w:sz w:val="21"/>
                <w:szCs w:val="21"/>
                <w:lang w:val="en-US"/>
              </w:rPr>
              <w:t>站点管理</w:t>
            </w:r>
          </w:p>
        </w:tc>
        <w:tc>
          <w:tcPr>
            <w:tcW w:w="6375" w:type="dxa"/>
            <w:vAlign w:val="center"/>
          </w:tcPr>
          <w:p w14:paraId="47021EFD">
            <w:pPr>
              <w:jc w:val="both"/>
              <w:rPr>
                <w:rFonts w:cs="Times New Roman"/>
                <w:kern w:val="2"/>
                <w:sz w:val="21"/>
                <w:szCs w:val="21"/>
                <w:lang w:val="en-US"/>
              </w:rPr>
            </w:pPr>
            <w:r>
              <w:rPr>
                <w:rFonts w:hint="eastAsia" w:cs="Times New Roman"/>
                <w:kern w:val="2"/>
                <w:sz w:val="21"/>
                <w:szCs w:val="21"/>
                <w:lang w:val="en-US"/>
              </w:rPr>
              <w:t>新增、编辑、删除充电站地址、图片、经纬度等基本资料，管理站点运营状态、服务项目等</w:t>
            </w:r>
          </w:p>
        </w:tc>
      </w:tr>
      <w:tr w14:paraId="3375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D3E75B1">
            <w:pPr>
              <w:jc w:val="center"/>
              <w:rPr>
                <w:rFonts w:cs="Times New Roman"/>
                <w:kern w:val="2"/>
                <w:sz w:val="21"/>
                <w:szCs w:val="21"/>
                <w:lang w:val="en-US"/>
              </w:rPr>
            </w:pPr>
          </w:p>
        </w:tc>
        <w:tc>
          <w:tcPr>
            <w:tcW w:w="1381" w:type="dxa"/>
            <w:vAlign w:val="center"/>
          </w:tcPr>
          <w:p w14:paraId="4C71CC7F">
            <w:pPr>
              <w:jc w:val="center"/>
              <w:rPr>
                <w:rFonts w:cs="Times New Roman"/>
                <w:kern w:val="2"/>
                <w:sz w:val="21"/>
                <w:szCs w:val="21"/>
                <w:lang w:val="en-US"/>
              </w:rPr>
            </w:pPr>
            <w:r>
              <w:rPr>
                <w:rFonts w:hint="eastAsia" w:cs="Times New Roman"/>
                <w:kern w:val="2"/>
                <w:sz w:val="21"/>
                <w:szCs w:val="21"/>
                <w:lang w:val="en-US"/>
              </w:rPr>
              <w:t>充电桩管理</w:t>
            </w:r>
          </w:p>
        </w:tc>
        <w:tc>
          <w:tcPr>
            <w:tcW w:w="6375" w:type="dxa"/>
            <w:vAlign w:val="center"/>
          </w:tcPr>
          <w:p w14:paraId="08084378">
            <w:pPr>
              <w:jc w:val="both"/>
              <w:rPr>
                <w:rFonts w:cs="Times New Roman"/>
                <w:kern w:val="2"/>
                <w:sz w:val="21"/>
                <w:szCs w:val="21"/>
                <w:lang w:val="en-US"/>
              </w:rPr>
            </w:pPr>
            <w:r>
              <w:rPr>
                <w:rFonts w:hint="eastAsia" w:cs="Times New Roman"/>
                <w:kern w:val="2"/>
                <w:sz w:val="21"/>
                <w:szCs w:val="21"/>
                <w:lang w:val="en-US"/>
              </w:rPr>
              <w:t>新增、编辑、删除充电桩配置，每个站点可配置不同的厂家硬件参数等</w:t>
            </w:r>
          </w:p>
        </w:tc>
      </w:tr>
      <w:tr w14:paraId="678B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280A1AB">
            <w:pPr>
              <w:jc w:val="center"/>
              <w:rPr>
                <w:rFonts w:cs="Times New Roman"/>
                <w:kern w:val="2"/>
                <w:sz w:val="21"/>
                <w:szCs w:val="21"/>
                <w:lang w:val="en-US"/>
              </w:rPr>
            </w:pPr>
          </w:p>
        </w:tc>
        <w:tc>
          <w:tcPr>
            <w:tcW w:w="1381" w:type="dxa"/>
            <w:vAlign w:val="center"/>
          </w:tcPr>
          <w:p w14:paraId="4619519C">
            <w:pPr>
              <w:jc w:val="center"/>
              <w:rPr>
                <w:rFonts w:cs="Times New Roman"/>
                <w:kern w:val="2"/>
                <w:sz w:val="21"/>
                <w:szCs w:val="21"/>
                <w:lang w:val="en-US"/>
              </w:rPr>
            </w:pPr>
            <w:r>
              <w:rPr>
                <w:rFonts w:hint="eastAsia" w:cs="Times New Roman"/>
                <w:kern w:val="2"/>
                <w:sz w:val="21"/>
                <w:szCs w:val="21"/>
                <w:lang w:val="en-US"/>
              </w:rPr>
              <w:t>充电卡管理</w:t>
            </w:r>
          </w:p>
        </w:tc>
        <w:tc>
          <w:tcPr>
            <w:tcW w:w="6375" w:type="dxa"/>
            <w:vAlign w:val="center"/>
          </w:tcPr>
          <w:p w14:paraId="7BFEFA94">
            <w:pPr>
              <w:jc w:val="both"/>
              <w:rPr>
                <w:rFonts w:cs="Times New Roman"/>
                <w:kern w:val="2"/>
                <w:sz w:val="21"/>
                <w:szCs w:val="21"/>
                <w:lang w:val="en-US"/>
              </w:rPr>
            </w:pPr>
            <w:r>
              <w:rPr>
                <w:rFonts w:hint="eastAsia" w:cs="Times New Roman"/>
                <w:kern w:val="2"/>
                <w:sz w:val="21"/>
                <w:szCs w:val="21"/>
                <w:lang w:val="en-US"/>
              </w:rPr>
              <w:t>新增、编辑、删除、冻结充电卡，支持与车辆、用户进行绑定</w:t>
            </w:r>
          </w:p>
        </w:tc>
      </w:tr>
      <w:tr w14:paraId="6642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A6D89AD">
            <w:pPr>
              <w:jc w:val="center"/>
              <w:rPr>
                <w:rFonts w:cs="Times New Roman"/>
                <w:kern w:val="2"/>
                <w:sz w:val="21"/>
                <w:szCs w:val="21"/>
                <w:lang w:val="en-US"/>
              </w:rPr>
            </w:pPr>
          </w:p>
        </w:tc>
        <w:tc>
          <w:tcPr>
            <w:tcW w:w="1381" w:type="dxa"/>
            <w:vAlign w:val="center"/>
          </w:tcPr>
          <w:p w14:paraId="1BC0F558">
            <w:pPr>
              <w:jc w:val="center"/>
              <w:rPr>
                <w:rFonts w:cs="Times New Roman"/>
                <w:kern w:val="2"/>
                <w:sz w:val="21"/>
                <w:szCs w:val="21"/>
                <w:lang w:val="en-US"/>
              </w:rPr>
            </w:pPr>
            <w:r>
              <w:rPr>
                <w:rFonts w:hint="eastAsia" w:cs="Times New Roman"/>
                <w:kern w:val="2"/>
                <w:sz w:val="21"/>
                <w:szCs w:val="21"/>
                <w:lang w:val="en-US"/>
              </w:rPr>
              <w:t>车辆管理</w:t>
            </w:r>
          </w:p>
        </w:tc>
        <w:tc>
          <w:tcPr>
            <w:tcW w:w="6375" w:type="dxa"/>
            <w:vAlign w:val="center"/>
          </w:tcPr>
          <w:p w14:paraId="0C09B080">
            <w:pPr>
              <w:jc w:val="both"/>
              <w:rPr>
                <w:rFonts w:cs="Times New Roman"/>
                <w:kern w:val="2"/>
                <w:sz w:val="21"/>
                <w:szCs w:val="21"/>
                <w:lang w:val="en-US"/>
              </w:rPr>
            </w:pPr>
            <w:r>
              <w:rPr>
                <w:rFonts w:hint="eastAsia" w:cs="Times New Roman"/>
                <w:kern w:val="2"/>
                <w:sz w:val="21"/>
                <w:szCs w:val="21"/>
                <w:lang w:val="en-US"/>
              </w:rPr>
              <w:t>新增、编辑、删除车辆，支持与V</w:t>
            </w:r>
            <w:r>
              <w:rPr>
                <w:rFonts w:cs="Times New Roman"/>
                <w:kern w:val="2"/>
                <w:sz w:val="21"/>
                <w:szCs w:val="21"/>
                <w:lang w:val="en-US"/>
              </w:rPr>
              <w:t>IN</w:t>
            </w:r>
            <w:r>
              <w:rPr>
                <w:rFonts w:hint="eastAsia" w:cs="Times New Roman"/>
                <w:kern w:val="2"/>
                <w:sz w:val="21"/>
                <w:szCs w:val="21"/>
                <w:lang w:val="en-US"/>
              </w:rPr>
              <w:t>、个人用户、企业进行绑定，提供车辆信息的导出功能</w:t>
            </w:r>
          </w:p>
        </w:tc>
      </w:tr>
      <w:tr w14:paraId="55F3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3BBFC7F1">
            <w:pPr>
              <w:jc w:val="center"/>
              <w:rPr>
                <w:rFonts w:cs="Times New Roman"/>
                <w:kern w:val="2"/>
                <w:sz w:val="21"/>
                <w:szCs w:val="21"/>
                <w:lang w:val="en-US"/>
              </w:rPr>
            </w:pPr>
          </w:p>
        </w:tc>
        <w:tc>
          <w:tcPr>
            <w:tcW w:w="1381" w:type="dxa"/>
            <w:vAlign w:val="center"/>
          </w:tcPr>
          <w:p w14:paraId="3DD59517">
            <w:pPr>
              <w:jc w:val="center"/>
              <w:rPr>
                <w:rFonts w:cs="Times New Roman"/>
                <w:kern w:val="2"/>
                <w:sz w:val="21"/>
                <w:szCs w:val="21"/>
                <w:lang w:val="en-US"/>
              </w:rPr>
            </w:pPr>
            <w:r>
              <w:rPr>
                <w:rFonts w:hint="eastAsia" w:cs="Times New Roman"/>
                <w:kern w:val="2"/>
                <w:sz w:val="21"/>
                <w:szCs w:val="21"/>
                <w:lang w:val="en-US"/>
              </w:rPr>
              <w:t>价格管理</w:t>
            </w:r>
          </w:p>
        </w:tc>
        <w:tc>
          <w:tcPr>
            <w:tcW w:w="6375" w:type="dxa"/>
            <w:vAlign w:val="center"/>
          </w:tcPr>
          <w:p w14:paraId="6E0B11F1">
            <w:pPr>
              <w:jc w:val="both"/>
              <w:rPr>
                <w:rFonts w:cs="Times New Roman"/>
                <w:kern w:val="2"/>
                <w:sz w:val="21"/>
                <w:szCs w:val="21"/>
                <w:lang w:val="en-US"/>
              </w:rPr>
            </w:pPr>
            <w:r>
              <w:rPr>
                <w:rFonts w:hint="eastAsia" w:cs="Times New Roman"/>
                <w:kern w:val="2"/>
                <w:sz w:val="21"/>
                <w:szCs w:val="21"/>
                <w:lang w:val="en-US"/>
              </w:rPr>
              <w:t>可根据需要，针对不同用户群制定价格策略，可定时、定站、定客户来定价。价格策略可绑定至电站</w:t>
            </w:r>
          </w:p>
        </w:tc>
      </w:tr>
      <w:tr w14:paraId="6626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66B3BB94">
            <w:pPr>
              <w:jc w:val="center"/>
              <w:rPr>
                <w:rFonts w:cs="Times New Roman"/>
                <w:kern w:val="2"/>
                <w:sz w:val="21"/>
                <w:szCs w:val="21"/>
                <w:lang w:val="en-US"/>
              </w:rPr>
            </w:pPr>
            <w:r>
              <w:rPr>
                <w:rFonts w:hint="eastAsia" w:cs="Times New Roman"/>
                <w:kern w:val="2"/>
                <w:sz w:val="21"/>
                <w:szCs w:val="21"/>
                <w:lang w:val="en-US"/>
              </w:rPr>
              <w:t>设备控制及监控</w:t>
            </w:r>
          </w:p>
        </w:tc>
        <w:tc>
          <w:tcPr>
            <w:tcW w:w="1381" w:type="dxa"/>
            <w:vAlign w:val="center"/>
          </w:tcPr>
          <w:p w14:paraId="38609E80">
            <w:pPr>
              <w:jc w:val="center"/>
              <w:rPr>
                <w:rFonts w:cs="Times New Roman"/>
                <w:kern w:val="2"/>
                <w:sz w:val="21"/>
                <w:szCs w:val="21"/>
                <w:lang w:val="en-US"/>
              </w:rPr>
            </w:pPr>
            <w:r>
              <w:rPr>
                <w:rFonts w:hint="eastAsia" w:cs="Times New Roman"/>
                <w:kern w:val="2"/>
                <w:sz w:val="21"/>
                <w:szCs w:val="21"/>
                <w:lang w:val="en-US"/>
              </w:rPr>
              <w:t>充电桩控制方式</w:t>
            </w:r>
          </w:p>
        </w:tc>
        <w:tc>
          <w:tcPr>
            <w:tcW w:w="6375" w:type="dxa"/>
            <w:vAlign w:val="center"/>
          </w:tcPr>
          <w:p w14:paraId="6FAD605F">
            <w:pPr>
              <w:jc w:val="both"/>
              <w:rPr>
                <w:rFonts w:cs="Times New Roman"/>
                <w:kern w:val="2"/>
                <w:sz w:val="21"/>
                <w:szCs w:val="21"/>
                <w:lang w:val="en-US"/>
              </w:rPr>
            </w:pPr>
            <w:r>
              <w:rPr>
                <w:rFonts w:hint="eastAsia" w:cs="Times New Roman"/>
                <w:kern w:val="2"/>
                <w:sz w:val="21"/>
                <w:szCs w:val="21"/>
                <w:lang w:val="en-US"/>
              </w:rPr>
              <w:t>支持</w:t>
            </w:r>
            <w:r>
              <w:rPr>
                <w:rFonts w:cs="Times New Roman"/>
                <w:kern w:val="2"/>
                <w:sz w:val="21"/>
                <w:szCs w:val="21"/>
                <w:lang w:val="en-US"/>
              </w:rPr>
              <w:t>APP</w:t>
            </w:r>
            <w:r>
              <w:rPr>
                <w:rFonts w:hint="eastAsia" w:cs="Times New Roman"/>
                <w:kern w:val="2"/>
                <w:sz w:val="21"/>
                <w:szCs w:val="21"/>
                <w:lang w:val="en-US"/>
              </w:rPr>
              <w:t>、小程序、V</w:t>
            </w:r>
            <w:r>
              <w:rPr>
                <w:rFonts w:cs="Times New Roman"/>
                <w:kern w:val="2"/>
                <w:sz w:val="21"/>
                <w:szCs w:val="21"/>
                <w:lang w:val="en-US"/>
              </w:rPr>
              <w:t>IN</w:t>
            </w:r>
            <w:r>
              <w:rPr>
                <w:rFonts w:hint="eastAsia" w:cs="Times New Roman"/>
                <w:kern w:val="2"/>
                <w:sz w:val="21"/>
                <w:szCs w:val="21"/>
                <w:lang w:val="en-US"/>
              </w:rPr>
              <w:t>、刷卡等方式实现控制充电</w:t>
            </w:r>
          </w:p>
        </w:tc>
      </w:tr>
      <w:tr w14:paraId="71D6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0CE47982">
            <w:pPr>
              <w:jc w:val="center"/>
              <w:rPr>
                <w:rFonts w:cs="Times New Roman"/>
                <w:kern w:val="2"/>
                <w:sz w:val="21"/>
                <w:szCs w:val="21"/>
                <w:lang w:val="en-US"/>
              </w:rPr>
            </w:pPr>
          </w:p>
        </w:tc>
        <w:tc>
          <w:tcPr>
            <w:tcW w:w="1381" w:type="dxa"/>
            <w:vAlign w:val="center"/>
          </w:tcPr>
          <w:p w14:paraId="20F5976F">
            <w:pPr>
              <w:jc w:val="center"/>
              <w:rPr>
                <w:rFonts w:cs="Times New Roman"/>
                <w:kern w:val="2"/>
                <w:sz w:val="21"/>
                <w:szCs w:val="21"/>
                <w:lang w:val="en-US"/>
              </w:rPr>
            </w:pPr>
            <w:r>
              <w:rPr>
                <w:rFonts w:hint="eastAsia" w:cs="Times New Roman"/>
                <w:kern w:val="2"/>
                <w:sz w:val="21"/>
                <w:szCs w:val="21"/>
                <w:lang w:val="en-US"/>
              </w:rPr>
              <w:t>充电桩状态监控</w:t>
            </w:r>
          </w:p>
        </w:tc>
        <w:tc>
          <w:tcPr>
            <w:tcW w:w="6375" w:type="dxa"/>
            <w:vAlign w:val="center"/>
          </w:tcPr>
          <w:p w14:paraId="092AB7F9">
            <w:pPr>
              <w:jc w:val="both"/>
              <w:rPr>
                <w:rFonts w:cs="Times New Roman"/>
                <w:kern w:val="2"/>
                <w:sz w:val="21"/>
                <w:szCs w:val="21"/>
                <w:lang w:val="en-US"/>
              </w:rPr>
            </w:pPr>
            <w:r>
              <w:rPr>
                <w:rFonts w:hint="eastAsia" w:cs="Times New Roman"/>
                <w:kern w:val="2"/>
                <w:sz w:val="21"/>
                <w:szCs w:val="21"/>
                <w:lang w:val="en-US"/>
              </w:rPr>
              <w:t>通过充电运营管理平台可实时查看充电中状态，如：实时电流、实时电压、实时功率、需求功率、车牌号等信息</w:t>
            </w:r>
          </w:p>
        </w:tc>
      </w:tr>
      <w:tr w14:paraId="7058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5F8FAD66">
            <w:pPr>
              <w:jc w:val="center"/>
              <w:rPr>
                <w:rFonts w:cs="Times New Roman"/>
                <w:kern w:val="2"/>
                <w:sz w:val="21"/>
                <w:szCs w:val="21"/>
                <w:lang w:val="en-US"/>
              </w:rPr>
            </w:pPr>
          </w:p>
        </w:tc>
        <w:tc>
          <w:tcPr>
            <w:tcW w:w="1381" w:type="dxa"/>
            <w:vAlign w:val="center"/>
          </w:tcPr>
          <w:p w14:paraId="6307D215">
            <w:pPr>
              <w:jc w:val="center"/>
              <w:rPr>
                <w:rFonts w:cs="Times New Roman"/>
                <w:kern w:val="2"/>
                <w:sz w:val="21"/>
                <w:szCs w:val="21"/>
                <w:lang w:val="en-US"/>
              </w:rPr>
            </w:pPr>
            <w:r>
              <w:rPr>
                <w:rFonts w:hint="eastAsia" w:cs="Times New Roman"/>
                <w:kern w:val="2"/>
                <w:sz w:val="21"/>
                <w:szCs w:val="21"/>
                <w:lang w:val="en-US"/>
              </w:rPr>
              <w:t>充电桩远程控制</w:t>
            </w:r>
          </w:p>
        </w:tc>
        <w:tc>
          <w:tcPr>
            <w:tcW w:w="6375" w:type="dxa"/>
            <w:vAlign w:val="center"/>
          </w:tcPr>
          <w:p w14:paraId="2344AC9E">
            <w:pPr>
              <w:jc w:val="both"/>
              <w:rPr>
                <w:rFonts w:cs="Times New Roman"/>
                <w:kern w:val="2"/>
                <w:sz w:val="21"/>
                <w:szCs w:val="21"/>
                <w:lang w:val="en-US"/>
              </w:rPr>
            </w:pPr>
            <w:r>
              <w:rPr>
                <w:rFonts w:hint="eastAsia" w:cs="Times New Roman"/>
                <w:kern w:val="2"/>
                <w:sz w:val="21"/>
                <w:szCs w:val="21"/>
                <w:lang w:val="en-US"/>
              </w:rPr>
              <w:t>通过后台w</w:t>
            </w:r>
            <w:r>
              <w:rPr>
                <w:rFonts w:cs="Times New Roman"/>
                <w:kern w:val="2"/>
                <w:sz w:val="21"/>
                <w:szCs w:val="21"/>
                <w:lang w:val="en-US"/>
              </w:rPr>
              <w:t>eb</w:t>
            </w:r>
            <w:r>
              <w:rPr>
                <w:rFonts w:hint="eastAsia" w:cs="Times New Roman"/>
                <w:kern w:val="2"/>
                <w:sz w:val="21"/>
                <w:szCs w:val="21"/>
                <w:lang w:val="en-US"/>
              </w:rPr>
              <w:t>系统远程控制充电桩启停、远程断电</w:t>
            </w:r>
          </w:p>
        </w:tc>
      </w:tr>
      <w:tr w14:paraId="1D9E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006B10AE">
            <w:pPr>
              <w:jc w:val="center"/>
              <w:rPr>
                <w:rFonts w:cs="Times New Roman"/>
                <w:kern w:val="2"/>
                <w:sz w:val="21"/>
                <w:szCs w:val="21"/>
                <w:lang w:val="en-US"/>
              </w:rPr>
            </w:pPr>
          </w:p>
        </w:tc>
        <w:tc>
          <w:tcPr>
            <w:tcW w:w="1381" w:type="dxa"/>
            <w:vAlign w:val="center"/>
          </w:tcPr>
          <w:p w14:paraId="34D48961">
            <w:pPr>
              <w:jc w:val="center"/>
              <w:rPr>
                <w:rFonts w:cs="Times New Roman"/>
                <w:kern w:val="2"/>
                <w:sz w:val="21"/>
                <w:szCs w:val="21"/>
                <w:lang w:val="en-US"/>
              </w:rPr>
            </w:pPr>
            <w:r>
              <w:rPr>
                <w:rFonts w:hint="eastAsia" w:cs="Times New Roman"/>
                <w:kern w:val="2"/>
                <w:sz w:val="21"/>
                <w:szCs w:val="21"/>
                <w:lang w:val="en-US"/>
              </w:rPr>
              <w:t>视频监控</w:t>
            </w:r>
          </w:p>
        </w:tc>
        <w:tc>
          <w:tcPr>
            <w:tcW w:w="6375" w:type="dxa"/>
            <w:vAlign w:val="center"/>
          </w:tcPr>
          <w:p w14:paraId="30040694">
            <w:pPr>
              <w:jc w:val="both"/>
              <w:rPr>
                <w:rFonts w:cs="Times New Roman"/>
                <w:kern w:val="2"/>
                <w:sz w:val="21"/>
                <w:szCs w:val="21"/>
                <w:lang w:val="en-US"/>
              </w:rPr>
            </w:pPr>
            <w:r>
              <w:rPr>
                <w:rFonts w:hint="eastAsia" w:cs="Times New Roman"/>
                <w:kern w:val="2"/>
                <w:sz w:val="21"/>
                <w:szCs w:val="21"/>
                <w:lang w:val="en-US"/>
              </w:rPr>
              <w:t>通过后台w</w:t>
            </w:r>
            <w:r>
              <w:rPr>
                <w:rFonts w:cs="Times New Roman"/>
                <w:kern w:val="2"/>
                <w:sz w:val="21"/>
                <w:szCs w:val="21"/>
                <w:lang w:val="en-US"/>
              </w:rPr>
              <w:t>eb</w:t>
            </w:r>
            <w:r>
              <w:rPr>
                <w:rFonts w:hint="eastAsia" w:cs="Times New Roman"/>
                <w:kern w:val="2"/>
                <w:sz w:val="21"/>
                <w:szCs w:val="21"/>
                <w:lang w:val="en-US"/>
              </w:rPr>
              <w:t>系统可远程实时监控充电站现场图片、视频信息</w:t>
            </w:r>
          </w:p>
        </w:tc>
      </w:tr>
      <w:tr w14:paraId="6CD2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C571139">
            <w:pPr>
              <w:jc w:val="center"/>
              <w:rPr>
                <w:rFonts w:cs="Times New Roman"/>
                <w:kern w:val="2"/>
                <w:sz w:val="21"/>
                <w:szCs w:val="21"/>
                <w:lang w:val="en-US"/>
              </w:rPr>
            </w:pPr>
          </w:p>
        </w:tc>
        <w:tc>
          <w:tcPr>
            <w:tcW w:w="1381" w:type="dxa"/>
            <w:vAlign w:val="center"/>
          </w:tcPr>
          <w:p w14:paraId="50A8CA45">
            <w:pPr>
              <w:jc w:val="center"/>
              <w:rPr>
                <w:rFonts w:cs="Times New Roman"/>
                <w:kern w:val="2"/>
                <w:sz w:val="21"/>
                <w:szCs w:val="21"/>
                <w:lang w:val="en-US"/>
              </w:rPr>
            </w:pPr>
            <w:r>
              <w:rPr>
                <w:rFonts w:hint="eastAsia" w:cs="Times New Roman"/>
                <w:kern w:val="2"/>
                <w:sz w:val="21"/>
                <w:szCs w:val="21"/>
                <w:lang w:val="en-US"/>
              </w:rPr>
              <w:t>监控地图</w:t>
            </w:r>
          </w:p>
        </w:tc>
        <w:tc>
          <w:tcPr>
            <w:tcW w:w="6375" w:type="dxa"/>
            <w:vAlign w:val="center"/>
          </w:tcPr>
          <w:p w14:paraId="58EAB38C">
            <w:pPr>
              <w:jc w:val="both"/>
              <w:rPr>
                <w:rFonts w:cs="Times New Roman"/>
                <w:kern w:val="2"/>
                <w:sz w:val="21"/>
                <w:szCs w:val="21"/>
                <w:lang w:val="en-US"/>
              </w:rPr>
            </w:pPr>
            <w:r>
              <w:rPr>
                <w:rFonts w:hint="eastAsia" w:cs="Times New Roman"/>
                <w:kern w:val="2"/>
                <w:sz w:val="21"/>
                <w:szCs w:val="21"/>
                <w:lang w:val="en-US"/>
              </w:rPr>
              <w:t>在w</w:t>
            </w:r>
            <w:r>
              <w:rPr>
                <w:rFonts w:cs="Times New Roman"/>
                <w:kern w:val="2"/>
                <w:sz w:val="21"/>
                <w:szCs w:val="21"/>
                <w:lang w:val="en-US"/>
              </w:rPr>
              <w:t>eb</w:t>
            </w:r>
            <w:r>
              <w:rPr>
                <w:rFonts w:hint="eastAsia" w:cs="Times New Roman"/>
                <w:kern w:val="2"/>
                <w:sz w:val="21"/>
                <w:szCs w:val="21"/>
                <w:lang w:val="en-US"/>
              </w:rPr>
              <w:t>系统以地图形式展现所有站点分布情况，可快速通过监控地图了解每个站点的基础信息。</w:t>
            </w:r>
          </w:p>
        </w:tc>
      </w:tr>
      <w:tr w14:paraId="0B4E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7791BC0">
            <w:pPr>
              <w:jc w:val="center"/>
              <w:rPr>
                <w:rFonts w:cs="Times New Roman"/>
                <w:kern w:val="2"/>
                <w:sz w:val="21"/>
                <w:szCs w:val="21"/>
                <w:lang w:val="en-US"/>
              </w:rPr>
            </w:pPr>
          </w:p>
        </w:tc>
        <w:tc>
          <w:tcPr>
            <w:tcW w:w="1381" w:type="dxa"/>
            <w:vAlign w:val="center"/>
          </w:tcPr>
          <w:p w14:paraId="34DA6BDC">
            <w:pPr>
              <w:jc w:val="center"/>
              <w:rPr>
                <w:rFonts w:cs="Times New Roman"/>
                <w:kern w:val="2"/>
                <w:sz w:val="21"/>
                <w:szCs w:val="21"/>
                <w:lang w:val="en-US"/>
              </w:rPr>
            </w:pPr>
            <w:r>
              <w:rPr>
                <w:rFonts w:hint="eastAsia" w:cs="Times New Roman"/>
                <w:kern w:val="2"/>
                <w:sz w:val="21"/>
                <w:szCs w:val="21"/>
                <w:lang w:val="en-US"/>
              </w:rPr>
              <w:t>单站点监控</w:t>
            </w:r>
          </w:p>
        </w:tc>
        <w:tc>
          <w:tcPr>
            <w:tcW w:w="6375" w:type="dxa"/>
            <w:vAlign w:val="center"/>
          </w:tcPr>
          <w:p w14:paraId="494107C3">
            <w:pPr>
              <w:jc w:val="both"/>
              <w:rPr>
                <w:rFonts w:cs="Times New Roman"/>
                <w:kern w:val="2"/>
                <w:sz w:val="21"/>
                <w:szCs w:val="21"/>
                <w:lang w:val="en-US"/>
              </w:rPr>
            </w:pPr>
            <w:r>
              <w:rPr>
                <w:rFonts w:hint="eastAsia" w:cs="Times New Roman"/>
                <w:kern w:val="2"/>
                <w:sz w:val="21"/>
                <w:szCs w:val="21"/>
                <w:lang w:val="en-US"/>
              </w:rPr>
              <w:t>在w</w:t>
            </w:r>
            <w:r>
              <w:rPr>
                <w:rFonts w:cs="Times New Roman"/>
                <w:kern w:val="2"/>
                <w:sz w:val="21"/>
                <w:szCs w:val="21"/>
                <w:lang w:val="en-US"/>
              </w:rPr>
              <w:t>eb</w:t>
            </w:r>
            <w:r>
              <w:rPr>
                <w:rFonts w:hint="eastAsia" w:cs="Times New Roman"/>
                <w:kern w:val="2"/>
                <w:sz w:val="21"/>
                <w:szCs w:val="21"/>
                <w:lang w:val="en-US"/>
              </w:rPr>
              <w:t>系统以地图形式展现单站点情况，可快速了解单站点的基础信息、充电桩实时状态数据等。</w:t>
            </w:r>
          </w:p>
        </w:tc>
      </w:tr>
      <w:tr w14:paraId="05A6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4DEBF27D">
            <w:pPr>
              <w:jc w:val="center"/>
              <w:rPr>
                <w:rFonts w:cs="Times New Roman"/>
                <w:kern w:val="2"/>
                <w:sz w:val="21"/>
                <w:szCs w:val="21"/>
                <w:lang w:val="en-US"/>
              </w:rPr>
            </w:pPr>
            <w:r>
              <w:rPr>
                <w:rFonts w:hint="eastAsia" w:cs="Times New Roman"/>
                <w:kern w:val="2"/>
                <w:sz w:val="21"/>
                <w:szCs w:val="21"/>
                <w:lang w:val="en-US"/>
              </w:rPr>
              <w:t>充电用户管理</w:t>
            </w:r>
          </w:p>
        </w:tc>
        <w:tc>
          <w:tcPr>
            <w:tcW w:w="1381" w:type="dxa"/>
            <w:vAlign w:val="center"/>
          </w:tcPr>
          <w:p w14:paraId="786D24F3">
            <w:pPr>
              <w:jc w:val="center"/>
              <w:rPr>
                <w:rFonts w:cs="Times New Roman"/>
                <w:kern w:val="2"/>
                <w:sz w:val="21"/>
                <w:szCs w:val="21"/>
                <w:lang w:val="en-US"/>
              </w:rPr>
            </w:pPr>
            <w:r>
              <w:rPr>
                <w:rFonts w:hint="eastAsia" w:cs="Times New Roman"/>
                <w:kern w:val="2"/>
                <w:sz w:val="21"/>
                <w:szCs w:val="21"/>
                <w:lang w:val="en-US"/>
              </w:rPr>
              <w:t>企业客户管理</w:t>
            </w:r>
          </w:p>
        </w:tc>
        <w:tc>
          <w:tcPr>
            <w:tcW w:w="6375" w:type="dxa"/>
            <w:vAlign w:val="center"/>
          </w:tcPr>
          <w:p w14:paraId="12DC0205">
            <w:pPr>
              <w:jc w:val="both"/>
              <w:rPr>
                <w:rFonts w:cs="Times New Roman"/>
                <w:kern w:val="2"/>
                <w:sz w:val="21"/>
                <w:szCs w:val="21"/>
                <w:lang w:val="en-US"/>
              </w:rPr>
            </w:pPr>
            <w:r>
              <w:rPr>
                <w:rFonts w:hint="eastAsia" w:cs="Times New Roman"/>
                <w:kern w:val="2"/>
                <w:sz w:val="21"/>
                <w:szCs w:val="21"/>
                <w:lang w:val="en-US"/>
              </w:rPr>
              <w:t>支持企业客户的新增、删除、人员管理；可对企业客户关联账户进行分类，分为现金账户和信用账户，现金账户可通过web系统实现充值退款，信用账户可通过web系统实现信用额度授权、调整、账单管理</w:t>
            </w:r>
          </w:p>
        </w:tc>
      </w:tr>
      <w:tr w14:paraId="48E2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05146373">
            <w:pPr>
              <w:jc w:val="center"/>
              <w:rPr>
                <w:rFonts w:cs="Times New Roman"/>
                <w:kern w:val="2"/>
                <w:sz w:val="21"/>
                <w:szCs w:val="21"/>
                <w:lang w:val="en-US"/>
              </w:rPr>
            </w:pPr>
          </w:p>
        </w:tc>
        <w:tc>
          <w:tcPr>
            <w:tcW w:w="1381" w:type="dxa"/>
            <w:vAlign w:val="center"/>
          </w:tcPr>
          <w:p w14:paraId="10B354FE">
            <w:pPr>
              <w:jc w:val="center"/>
              <w:rPr>
                <w:rFonts w:cs="Times New Roman"/>
                <w:kern w:val="2"/>
                <w:sz w:val="21"/>
                <w:szCs w:val="21"/>
                <w:lang w:val="en-US"/>
              </w:rPr>
            </w:pPr>
            <w:r>
              <w:rPr>
                <w:rFonts w:hint="eastAsia" w:cs="Times New Roman"/>
                <w:kern w:val="2"/>
                <w:sz w:val="21"/>
                <w:szCs w:val="21"/>
                <w:lang w:val="en-US"/>
              </w:rPr>
              <w:t>充电用户组管理</w:t>
            </w:r>
          </w:p>
        </w:tc>
        <w:tc>
          <w:tcPr>
            <w:tcW w:w="6375" w:type="dxa"/>
            <w:vAlign w:val="center"/>
          </w:tcPr>
          <w:p w14:paraId="7DF87BB2">
            <w:pPr>
              <w:jc w:val="both"/>
              <w:rPr>
                <w:rFonts w:cs="Times New Roman"/>
                <w:kern w:val="2"/>
                <w:sz w:val="21"/>
                <w:szCs w:val="21"/>
                <w:lang w:val="en-US"/>
              </w:rPr>
            </w:pPr>
            <w:r>
              <w:rPr>
                <w:rFonts w:hint="eastAsia" w:cs="Times New Roman"/>
                <w:kern w:val="2"/>
                <w:sz w:val="21"/>
                <w:szCs w:val="21"/>
                <w:lang w:val="en-US"/>
              </w:rPr>
              <w:t>支持将一类个人充电用户和企业用户设置为用户组，面向用户组可设置相应的收费策略</w:t>
            </w:r>
          </w:p>
        </w:tc>
      </w:tr>
      <w:tr w14:paraId="7FB4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171915C">
            <w:pPr>
              <w:jc w:val="center"/>
              <w:rPr>
                <w:rFonts w:cs="Times New Roman"/>
                <w:kern w:val="2"/>
                <w:sz w:val="21"/>
                <w:szCs w:val="21"/>
                <w:lang w:val="en-US"/>
              </w:rPr>
            </w:pPr>
          </w:p>
        </w:tc>
        <w:tc>
          <w:tcPr>
            <w:tcW w:w="1381" w:type="dxa"/>
            <w:vAlign w:val="center"/>
          </w:tcPr>
          <w:p w14:paraId="0FB18528">
            <w:pPr>
              <w:jc w:val="center"/>
              <w:rPr>
                <w:rFonts w:cs="Times New Roman"/>
                <w:kern w:val="2"/>
                <w:sz w:val="21"/>
                <w:szCs w:val="21"/>
                <w:lang w:val="en-US"/>
              </w:rPr>
            </w:pPr>
            <w:r>
              <w:rPr>
                <w:rFonts w:hint="eastAsia" w:cs="Times New Roman"/>
                <w:kern w:val="2"/>
                <w:sz w:val="21"/>
                <w:szCs w:val="21"/>
                <w:lang w:val="en-US"/>
              </w:rPr>
              <w:t>个人充电用户管理</w:t>
            </w:r>
          </w:p>
        </w:tc>
        <w:tc>
          <w:tcPr>
            <w:tcW w:w="6375" w:type="dxa"/>
            <w:vAlign w:val="center"/>
          </w:tcPr>
          <w:p w14:paraId="56A46454">
            <w:pPr>
              <w:jc w:val="both"/>
              <w:rPr>
                <w:rFonts w:cs="Times New Roman"/>
                <w:kern w:val="2"/>
                <w:sz w:val="21"/>
                <w:szCs w:val="21"/>
                <w:lang w:val="en-US"/>
              </w:rPr>
            </w:pPr>
            <w:r>
              <w:rPr>
                <w:rFonts w:hint="eastAsia" w:cs="Times New Roman"/>
                <w:kern w:val="2"/>
                <w:sz w:val="21"/>
                <w:szCs w:val="21"/>
                <w:lang w:val="en-US"/>
              </w:rPr>
              <w:t>可通过web系统实现充值退款的管理</w:t>
            </w:r>
          </w:p>
        </w:tc>
      </w:tr>
      <w:tr w14:paraId="77D3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2B1FD8F8">
            <w:pPr>
              <w:jc w:val="center"/>
              <w:rPr>
                <w:rFonts w:cs="Times New Roman"/>
                <w:kern w:val="2"/>
                <w:sz w:val="21"/>
                <w:szCs w:val="21"/>
                <w:lang w:val="en-US"/>
              </w:rPr>
            </w:pPr>
            <w:r>
              <w:rPr>
                <w:rFonts w:hint="eastAsia" w:cs="Times New Roman"/>
                <w:kern w:val="2"/>
                <w:sz w:val="21"/>
                <w:szCs w:val="21"/>
                <w:lang w:val="en-US"/>
              </w:rPr>
              <w:t>安全合规管理</w:t>
            </w:r>
          </w:p>
        </w:tc>
        <w:tc>
          <w:tcPr>
            <w:tcW w:w="1381" w:type="dxa"/>
            <w:vAlign w:val="center"/>
          </w:tcPr>
          <w:p w14:paraId="2E5B96A4">
            <w:pPr>
              <w:jc w:val="center"/>
              <w:rPr>
                <w:rFonts w:cs="Times New Roman"/>
                <w:kern w:val="2"/>
                <w:sz w:val="21"/>
                <w:szCs w:val="21"/>
                <w:lang w:val="en-US"/>
              </w:rPr>
            </w:pPr>
            <w:r>
              <w:rPr>
                <w:rFonts w:hint="eastAsia" w:cs="Times New Roman"/>
                <w:kern w:val="2"/>
                <w:sz w:val="21"/>
                <w:szCs w:val="21"/>
                <w:lang w:val="en-US"/>
              </w:rPr>
              <w:t>充电安全防护分析</w:t>
            </w:r>
          </w:p>
        </w:tc>
        <w:tc>
          <w:tcPr>
            <w:tcW w:w="6375" w:type="dxa"/>
            <w:vAlign w:val="center"/>
          </w:tcPr>
          <w:p w14:paraId="17BAFD2B">
            <w:pPr>
              <w:jc w:val="both"/>
              <w:rPr>
                <w:rFonts w:cs="Times New Roman"/>
                <w:kern w:val="2"/>
                <w:sz w:val="21"/>
                <w:szCs w:val="21"/>
                <w:lang w:val="en-US"/>
              </w:rPr>
            </w:pPr>
            <w:r>
              <w:rPr>
                <w:rFonts w:hint="eastAsia" w:cs="Times New Roman"/>
                <w:kern w:val="2"/>
                <w:sz w:val="21"/>
                <w:szCs w:val="21"/>
                <w:lang w:val="en-US"/>
              </w:rPr>
              <w:t>通过大数据技术，实现对所有充电订单、车型的充电安全防护分析，能够给出专业的分析报告，并依托线上工具（如钉钉）对异常情况进行实时提醒。</w:t>
            </w:r>
          </w:p>
        </w:tc>
      </w:tr>
      <w:tr w14:paraId="61FC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720C2B65">
            <w:pPr>
              <w:jc w:val="center"/>
              <w:rPr>
                <w:rFonts w:cs="Times New Roman"/>
                <w:kern w:val="2"/>
                <w:sz w:val="21"/>
                <w:szCs w:val="21"/>
                <w:lang w:val="en-US"/>
              </w:rPr>
            </w:pPr>
          </w:p>
        </w:tc>
        <w:tc>
          <w:tcPr>
            <w:tcW w:w="1381" w:type="dxa"/>
            <w:vAlign w:val="center"/>
          </w:tcPr>
          <w:p w14:paraId="09D51C9B">
            <w:pPr>
              <w:jc w:val="center"/>
              <w:rPr>
                <w:rFonts w:cs="Times New Roman"/>
                <w:kern w:val="2"/>
                <w:sz w:val="21"/>
                <w:szCs w:val="21"/>
                <w:lang w:val="en-US"/>
              </w:rPr>
            </w:pPr>
            <w:r>
              <w:rPr>
                <w:rFonts w:hint="eastAsia" w:cs="Times New Roman"/>
                <w:kern w:val="2"/>
                <w:sz w:val="21"/>
                <w:szCs w:val="21"/>
                <w:lang w:val="en-US"/>
              </w:rPr>
              <w:t>充电安全防护管理</w:t>
            </w:r>
          </w:p>
        </w:tc>
        <w:tc>
          <w:tcPr>
            <w:tcW w:w="6375" w:type="dxa"/>
            <w:vAlign w:val="center"/>
          </w:tcPr>
          <w:p w14:paraId="47B21CF1">
            <w:pPr>
              <w:jc w:val="both"/>
              <w:rPr>
                <w:rFonts w:cs="Times New Roman"/>
                <w:kern w:val="2"/>
                <w:sz w:val="21"/>
                <w:szCs w:val="21"/>
                <w:lang w:val="en-US"/>
              </w:rPr>
            </w:pPr>
            <w:r>
              <w:rPr>
                <w:rFonts w:hint="eastAsia" w:cs="Times New Roman"/>
                <w:kern w:val="2"/>
                <w:sz w:val="21"/>
                <w:szCs w:val="21"/>
                <w:lang w:val="en-US"/>
              </w:rPr>
              <w:t>支持按照电站、车辆、车型、客户等维度限制S</w:t>
            </w:r>
            <w:r>
              <w:rPr>
                <w:rFonts w:cs="Times New Roman"/>
                <w:kern w:val="2"/>
                <w:sz w:val="21"/>
                <w:szCs w:val="21"/>
                <w:lang w:val="en-US"/>
              </w:rPr>
              <w:t>OC</w:t>
            </w:r>
            <w:r>
              <w:rPr>
                <w:rFonts w:hint="eastAsia" w:cs="Times New Roman"/>
                <w:kern w:val="2"/>
                <w:sz w:val="21"/>
                <w:szCs w:val="21"/>
                <w:lang w:val="en-US"/>
              </w:rPr>
              <w:t>，或直接拉入黑名单，实现安全管控</w:t>
            </w:r>
          </w:p>
        </w:tc>
      </w:tr>
      <w:tr w14:paraId="3FCC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3C8C633E">
            <w:pPr>
              <w:jc w:val="center"/>
              <w:rPr>
                <w:rFonts w:cs="Times New Roman"/>
                <w:kern w:val="2"/>
                <w:sz w:val="21"/>
                <w:szCs w:val="21"/>
                <w:lang w:val="en-US"/>
              </w:rPr>
            </w:pPr>
            <w:r>
              <w:rPr>
                <w:rFonts w:hint="eastAsia" w:cs="Times New Roman"/>
                <w:kern w:val="2"/>
                <w:sz w:val="21"/>
                <w:szCs w:val="21"/>
                <w:lang w:val="en-US"/>
              </w:rPr>
              <w:t>服务管理</w:t>
            </w:r>
          </w:p>
        </w:tc>
        <w:tc>
          <w:tcPr>
            <w:tcW w:w="1381" w:type="dxa"/>
            <w:vAlign w:val="center"/>
          </w:tcPr>
          <w:p w14:paraId="66003875">
            <w:pPr>
              <w:jc w:val="center"/>
              <w:rPr>
                <w:rFonts w:cs="Times New Roman"/>
                <w:kern w:val="2"/>
                <w:sz w:val="21"/>
                <w:szCs w:val="21"/>
                <w:lang w:val="en-US"/>
              </w:rPr>
            </w:pPr>
            <w:r>
              <w:rPr>
                <w:rFonts w:hint="eastAsia" w:cs="Times New Roman"/>
                <w:kern w:val="2"/>
                <w:sz w:val="21"/>
                <w:szCs w:val="21"/>
                <w:lang w:val="en-US"/>
              </w:rPr>
              <w:t>故障预警</w:t>
            </w:r>
          </w:p>
        </w:tc>
        <w:tc>
          <w:tcPr>
            <w:tcW w:w="6375" w:type="dxa"/>
            <w:vAlign w:val="center"/>
          </w:tcPr>
          <w:p w14:paraId="2937C48E">
            <w:pPr>
              <w:jc w:val="both"/>
              <w:rPr>
                <w:rFonts w:cs="Times New Roman"/>
                <w:kern w:val="2"/>
                <w:sz w:val="21"/>
                <w:szCs w:val="21"/>
                <w:lang w:val="en-US"/>
              </w:rPr>
            </w:pPr>
            <w:r>
              <w:rPr>
                <w:rFonts w:hint="eastAsia" w:cs="Times New Roman"/>
                <w:kern w:val="2"/>
                <w:sz w:val="21"/>
                <w:szCs w:val="21"/>
                <w:lang w:val="en-US"/>
              </w:rPr>
              <w:t>通过web系统可实现对充电桩的故障、充电异常进行实时监控，并且支持弹窗、声音提醒</w:t>
            </w:r>
          </w:p>
        </w:tc>
      </w:tr>
      <w:tr w14:paraId="73CA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65457A2">
            <w:pPr>
              <w:jc w:val="center"/>
              <w:rPr>
                <w:rFonts w:cs="Times New Roman"/>
                <w:kern w:val="2"/>
                <w:sz w:val="21"/>
                <w:szCs w:val="21"/>
                <w:lang w:val="en-US"/>
              </w:rPr>
            </w:pPr>
          </w:p>
        </w:tc>
        <w:tc>
          <w:tcPr>
            <w:tcW w:w="1381" w:type="dxa"/>
            <w:vAlign w:val="center"/>
          </w:tcPr>
          <w:p w14:paraId="7F22614F">
            <w:pPr>
              <w:jc w:val="center"/>
              <w:rPr>
                <w:rFonts w:cs="Times New Roman"/>
                <w:kern w:val="2"/>
                <w:sz w:val="21"/>
                <w:szCs w:val="21"/>
                <w:lang w:val="en-US"/>
              </w:rPr>
            </w:pPr>
            <w:r>
              <w:rPr>
                <w:rFonts w:hint="eastAsia" w:cs="Times New Roman"/>
                <w:kern w:val="2"/>
                <w:sz w:val="21"/>
                <w:szCs w:val="21"/>
                <w:lang w:val="en-US"/>
              </w:rPr>
              <w:t>故障工单</w:t>
            </w:r>
          </w:p>
        </w:tc>
        <w:tc>
          <w:tcPr>
            <w:tcW w:w="6375" w:type="dxa"/>
            <w:vAlign w:val="center"/>
          </w:tcPr>
          <w:p w14:paraId="1832E7A8">
            <w:pPr>
              <w:jc w:val="both"/>
              <w:rPr>
                <w:rFonts w:cs="Times New Roman"/>
                <w:kern w:val="2"/>
                <w:sz w:val="21"/>
                <w:szCs w:val="21"/>
                <w:lang w:val="en-US"/>
              </w:rPr>
            </w:pPr>
            <w:r>
              <w:rPr>
                <w:rFonts w:hint="eastAsia" w:cs="Times New Roman"/>
                <w:kern w:val="2"/>
                <w:sz w:val="21"/>
                <w:szCs w:val="21"/>
                <w:lang w:val="en-US"/>
              </w:rPr>
              <w:t>当设备发送故障、充电发生故障时，生成工单，发送运维人员，实现闭环管理</w:t>
            </w:r>
          </w:p>
        </w:tc>
      </w:tr>
      <w:tr w14:paraId="6EFD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11D985C6">
            <w:pPr>
              <w:jc w:val="center"/>
              <w:rPr>
                <w:rFonts w:cs="Times New Roman"/>
                <w:kern w:val="2"/>
                <w:sz w:val="21"/>
                <w:szCs w:val="21"/>
                <w:lang w:val="en-US"/>
              </w:rPr>
            </w:pPr>
          </w:p>
        </w:tc>
        <w:tc>
          <w:tcPr>
            <w:tcW w:w="1381" w:type="dxa"/>
            <w:vAlign w:val="center"/>
          </w:tcPr>
          <w:p w14:paraId="0547A6E8">
            <w:pPr>
              <w:jc w:val="center"/>
              <w:rPr>
                <w:rFonts w:cs="Times New Roman"/>
                <w:kern w:val="2"/>
                <w:sz w:val="21"/>
                <w:szCs w:val="21"/>
                <w:lang w:val="en-US"/>
              </w:rPr>
            </w:pPr>
            <w:r>
              <w:rPr>
                <w:rFonts w:hint="eastAsia" w:cs="Times New Roman"/>
                <w:kern w:val="2"/>
                <w:sz w:val="21"/>
                <w:szCs w:val="21"/>
                <w:lang w:val="en-US"/>
              </w:rPr>
              <w:t>报文查看</w:t>
            </w:r>
          </w:p>
        </w:tc>
        <w:tc>
          <w:tcPr>
            <w:tcW w:w="6375" w:type="dxa"/>
            <w:vAlign w:val="center"/>
          </w:tcPr>
          <w:p w14:paraId="70B15D96">
            <w:pPr>
              <w:jc w:val="both"/>
              <w:rPr>
                <w:rFonts w:cs="Times New Roman"/>
                <w:kern w:val="2"/>
                <w:sz w:val="21"/>
                <w:szCs w:val="21"/>
                <w:lang w:val="en-US"/>
              </w:rPr>
            </w:pPr>
            <w:r>
              <w:rPr>
                <w:rFonts w:hint="eastAsia" w:cs="Times New Roman"/>
                <w:kern w:val="2"/>
                <w:sz w:val="21"/>
                <w:szCs w:val="21"/>
                <w:lang w:val="en-US"/>
              </w:rPr>
              <w:t>通过web系统可以查看设备运行报文，充电过程报文，运维人员可以通过报文，快速定位问题。</w:t>
            </w:r>
          </w:p>
        </w:tc>
      </w:tr>
      <w:tr w14:paraId="074E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2A2237ED">
            <w:pPr>
              <w:jc w:val="center"/>
              <w:rPr>
                <w:rFonts w:cs="Times New Roman"/>
                <w:kern w:val="2"/>
                <w:sz w:val="21"/>
                <w:szCs w:val="21"/>
                <w:lang w:val="en-US"/>
              </w:rPr>
            </w:pPr>
            <w:r>
              <w:rPr>
                <w:rFonts w:hint="eastAsia" w:cs="Times New Roman"/>
                <w:kern w:val="2"/>
                <w:sz w:val="21"/>
                <w:szCs w:val="21"/>
                <w:lang w:val="en-US"/>
              </w:rPr>
              <w:t>报表分析</w:t>
            </w:r>
          </w:p>
        </w:tc>
        <w:tc>
          <w:tcPr>
            <w:tcW w:w="1381" w:type="dxa"/>
            <w:vAlign w:val="center"/>
          </w:tcPr>
          <w:p w14:paraId="12CA8846">
            <w:pPr>
              <w:jc w:val="center"/>
              <w:rPr>
                <w:rFonts w:cs="Times New Roman"/>
                <w:kern w:val="2"/>
                <w:sz w:val="21"/>
                <w:szCs w:val="21"/>
                <w:lang w:val="en-US"/>
              </w:rPr>
            </w:pPr>
            <w:r>
              <w:rPr>
                <w:rFonts w:hint="eastAsia" w:cs="Times New Roman"/>
                <w:kern w:val="2"/>
                <w:sz w:val="21"/>
                <w:szCs w:val="21"/>
                <w:lang w:val="en-US"/>
              </w:rPr>
              <w:t>充电订单报表</w:t>
            </w:r>
          </w:p>
        </w:tc>
        <w:tc>
          <w:tcPr>
            <w:tcW w:w="6375" w:type="dxa"/>
            <w:vAlign w:val="center"/>
          </w:tcPr>
          <w:p w14:paraId="2167E9D1">
            <w:pPr>
              <w:jc w:val="both"/>
              <w:rPr>
                <w:rFonts w:cs="Times New Roman"/>
                <w:kern w:val="2"/>
                <w:sz w:val="21"/>
                <w:szCs w:val="21"/>
                <w:lang w:val="en-US"/>
              </w:rPr>
            </w:pPr>
            <w:r>
              <w:rPr>
                <w:rFonts w:hint="eastAsia" w:cs="Times New Roman"/>
                <w:kern w:val="2"/>
                <w:sz w:val="21"/>
                <w:szCs w:val="21"/>
                <w:lang w:val="en-US"/>
              </w:rPr>
              <w:t>通过web系统可以查询导出实际发生充电订单、失败订单情况报表，并能够按照尖峰平谷的价格策略分别进行统计车辆充电情况和单笔订单的充电情况。</w:t>
            </w:r>
          </w:p>
        </w:tc>
      </w:tr>
      <w:tr w14:paraId="703C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55546CB3">
            <w:pPr>
              <w:jc w:val="center"/>
              <w:rPr>
                <w:rFonts w:cs="Times New Roman"/>
                <w:kern w:val="2"/>
                <w:sz w:val="21"/>
                <w:szCs w:val="21"/>
                <w:lang w:val="en-US"/>
              </w:rPr>
            </w:pPr>
          </w:p>
        </w:tc>
        <w:tc>
          <w:tcPr>
            <w:tcW w:w="1381" w:type="dxa"/>
            <w:vAlign w:val="center"/>
          </w:tcPr>
          <w:p w14:paraId="5CA7AB7F">
            <w:pPr>
              <w:jc w:val="center"/>
              <w:rPr>
                <w:rFonts w:cs="Times New Roman"/>
                <w:kern w:val="2"/>
                <w:sz w:val="21"/>
                <w:szCs w:val="21"/>
                <w:lang w:val="en-US"/>
              </w:rPr>
            </w:pPr>
            <w:r>
              <w:rPr>
                <w:rFonts w:hint="eastAsia" w:cs="Times New Roman"/>
                <w:kern w:val="2"/>
                <w:sz w:val="21"/>
                <w:szCs w:val="21"/>
                <w:lang w:val="en-US"/>
              </w:rPr>
              <w:t>运营报表</w:t>
            </w:r>
          </w:p>
        </w:tc>
        <w:tc>
          <w:tcPr>
            <w:tcW w:w="6375" w:type="dxa"/>
            <w:vAlign w:val="center"/>
          </w:tcPr>
          <w:p w14:paraId="228E7CE9">
            <w:pPr>
              <w:jc w:val="both"/>
              <w:rPr>
                <w:rFonts w:cs="Times New Roman"/>
                <w:kern w:val="2"/>
                <w:sz w:val="21"/>
                <w:szCs w:val="21"/>
                <w:lang w:val="en-US"/>
              </w:rPr>
            </w:pPr>
            <w:r>
              <w:rPr>
                <w:rFonts w:hint="eastAsia" w:cs="Times New Roman"/>
                <w:kern w:val="2"/>
                <w:sz w:val="21"/>
                <w:szCs w:val="21"/>
                <w:lang w:val="en-US"/>
              </w:rPr>
              <w:t>通过web系统查询导出所有电站的基本信息报表，并在此基础上，进行运营状况、历史充电信息、电站利用率、终端利用率等分析，并提供报表查询导出功能。</w:t>
            </w:r>
          </w:p>
        </w:tc>
      </w:tr>
      <w:tr w14:paraId="7055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CEF0AD5">
            <w:pPr>
              <w:jc w:val="center"/>
              <w:rPr>
                <w:rFonts w:cs="Times New Roman"/>
                <w:kern w:val="2"/>
                <w:sz w:val="21"/>
                <w:szCs w:val="21"/>
                <w:lang w:val="en-US"/>
              </w:rPr>
            </w:pPr>
          </w:p>
        </w:tc>
        <w:tc>
          <w:tcPr>
            <w:tcW w:w="1381" w:type="dxa"/>
            <w:vAlign w:val="center"/>
          </w:tcPr>
          <w:p w14:paraId="28AE515D">
            <w:pPr>
              <w:jc w:val="center"/>
              <w:rPr>
                <w:rFonts w:cs="Times New Roman"/>
                <w:kern w:val="2"/>
                <w:sz w:val="21"/>
                <w:szCs w:val="21"/>
                <w:lang w:val="en-US"/>
              </w:rPr>
            </w:pPr>
            <w:r>
              <w:rPr>
                <w:rFonts w:hint="eastAsia" w:cs="Times New Roman"/>
                <w:kern w:val="2"/>
                <w:sz w:val="21"/>
                <w:szCs w:val="21"/>
                <w:lang w:val="en-US"/>
              </w:rPr>
              <w:t>运维报表</w:t>
            </w:r>
          </w:p>
        </w:tc>
        <w:tc>
          <w:tcPr>
            <w:tcW w:w="6375" w:type="dxa"/>
            <w:vAlign w:val="center"/>
          </w:tcPr>
          <w:p w14:paraId="70AD855D">
            <w:pPr>
              <w:jc w:val="both"/>
              <w:rPr>
                <w:rFonts w:cs="Times New Roman"/>
                <w:kern w:val="2"/>
                <w:sz w:val="21"/>
                <w:szCs w:val="21"/>
                <w:lang w:val="en-US"/>
              </w:rPr>
            </w:pPr>
            <w:r>
              <w:rPr>
                <w:rFonts w:hint="eastAsia" w:cs="Times New Roman"/>
                <w:kern w:val="2"/>
                <w:sz w:val="21"/>
                <w:szCs w:val="21"/>
                <w:lang w:val="en-US"/>
              </w:rPr>
              <w:t>通过web系统查询导出设备故障信息报表、电站失败率情况报表、离网信息报表等。</w:t>
            </w:r>
          </w:p>
        </w:tc>
      </w:tr>
      <w:tr w14:paraId="1514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5F36736">
            <w:pPr>
              <w:jc w:val="center"/>
              <w:rPr>
                <w:rFonts w:cs="Times New Roman"/>
                <w:kern w:val="2"/>
                <w:sz w:val="21"/>
                <w:szCs w:val="21"/>
                <w:lang w:val="en-US"/>
              </w:rPr>
            </w:pPr>
          </w:p>
        </w:tc>
        <w:tc>
          <w:tcPr>
            <w:tcW w:w="1381" w:type="dxa"/>
            <w:vAlign w:val="center"/>
          </w:tcPr>
          <w:p w14:paraId="7A555C6C">
            <w:pPr>
              <w:jc w:val="center"/>
              <w:rPr>
                <w:rFonts w:cs="Times New Roman"/>
                <w:kern w:val="2"/>
                <w:sz w:val="21"/>
                <w:szCs w:val="21"/>
                <w:lang w:val="en-US"/>
              </w:rPr>
            </w:pPr>
            <w:r>
              <w:rPr>
                <w:rFonts w:hint="eastAsia" w:cs="Times New Roman"/>
                <w:kern w:val="2"/>
                <w:sz w:val="21"/>
                <w:szCs w:val="21"/>
                <w:lang w:val="en-US"/>
              </w:rPr>
              <w:t>财务报表</w:t>
            </w:r>
          </w:p>
        </w:tc>
        <w:tc>
          <w:tcPr>
            <w:tcW w:w="6375" w:type="dxa"/>
            <w:vAlign w:val="center"/>
          </w:tcPr>
          <w:p w14:paraId="127E701D">
            <w:pPr>
              <w:jc w:val="both"/>
              <w:rPr>
                <w:rFonts w:cs="Times New Roman"/>
                <w:kern w:val="2"/>
                <w:sz w:val="21"/>
                <w:szCs w:val="21"/>
                <w:lang w:val="en-US"/>
              </w:rPr>
            </w:pPr>
            <w:r>
              <w:rPr>
                <w:rFonts w:hint="eastAsia" w:cs="Times New Roman"/>
                <w:kern w:val="2"/>
                <w:sz w:val="21"/>
                <w:szCs w:val="21"/>
                <w:lang w:val="en-US"/>
              </w:rPr>
              <w:t>通过web系统查询导出账户充值退款明细报表、充电订单结算报表、信用账单报表等。</w:t>
            </w:r>
          </w:p>
        </w:tc>
      </w:tr>
      <w:tr w14:paraId="6EE1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4B16AE6">
            <w:pPr>
              <w:jc w:val="center"/>
              <w:rPr>
                <w:rFonts w:cs="Times New Roman"/>
                <w:kern w:val="2"/>
                <w:sz w:val="21"/>
                <w:szCs w:val="21"/>
                <w:lang w:val="en-US"/>
              </w:rPr>
            </w:pPr>
          </w:p>
        </w:tc>
        <w:tc>
          <w:tcPr>
            <w:tcW w:w="1381" w:type="dxa"/>
            <w:vAlign w:val="center"/>
          </w:tcPr>
          <w:p w14:paraId="73F0E314">
            <w:pPr>
              <w:jc w:val="center"/>
              <w:rPr>
                <w:rFonts w:cs="Times New Roman"/>
                <w:kern w:val="2"/>
                <w:sz w:val="21"/>
                <w:szCs w:val="21"/>
                <w:lang w:val="en-US"/>
              </w:rPr>
            </w:pPr>
            <w:r>
              <w:rPr>
                <w:rFonts w:hint="eastAsia" w:cs="Times New Roman"/>
                <w:kern w:val="2"/>
                <w:sz w:val="21"/>
                <w:szCs w:val="21"/>
                <w:lang w:val="en-US"/>
              </w:rPr>
              <w:t>数据分析</w:t>
            </w:r>
          </w:p>
        </w:tc>
        <w:tc>
          <w:tcPr>
            <w:tcW w:w="6375" w:type="dxa"/>
            <w:vAlign w:val="center"/>
          </w:tcPr>
          <w:p w14:paraId="413FA72A">
            <w:pPr>
              <w:jc w:val="both"/>
              <w:rPr>
                <w:rFonts w:cs="Times New Roman"/>
                <w:kern w:val="2"/>
                <w:sz w:val="21"/>
                <w:szCs w:val="21"/>
                <w:lang w:val="en-US"/>
              </w:rPr>
            </w:pPr>
            <w:r>
              <w:rPr>
                <w:rFonts w:hint="eastAsia" w:cs="Times New Roman"/>
                <w:kern w:val="2"/>
                <w:sz w:val="21"/>
                <w:szCs w:val="21"/>
                <w:lang w:val="en-US"/>
              </w:rPr>
              <w:t>按照公司和单站，可视化查询运营、运维情况：例如：充电量、利用率、收费情况、运营能力、24小时功率分析情况、站点功率满足情况、可用率、失败率、工单情况、预警情况等。展现方式包括但不限于：饼状图、矩形图、条形图、折线图、面积图等。</w:t>
            </w:r>
          </w:p>
        </w:tc>
      </w:tr>
      <w:tr w14:paraId="1540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4C29F96A">
            <w:pPr>
              <w:jc w:val="center"/>
              <w:rPr>
                <w:rFonts w:cs="Times New Roman"/>
                <w:kern w:val="2"/>
                <w:sz w:val="21"/>
                <w:szCs w:val="21"/>
                <w:lang w:val="en-US"/>
              </w:rPr>
            </w:pPr>
            <w:r>
              <w:rPr>
                <w:rFonts w:hint="eastAsia" w:cs="Times New Roman"/>
                <w:kern w:val="2"/>
                <w:sz w:val="21"/>
                <w:szCs w:val="21"/>
                <w:lang w:val="en-US"/>
              </w:rPr>
              <w:t>系统管理</w:t>
            </w:r>
          </w:p>
        </w:tc>
        <w:tc>
          <w:tcPr>
            <w:tcW w:w="1381" w:type="dxa"/>
            <w:vAlign w:val="center"/>
          </w:tcPr>
          <w:p w14:paraId="32BAAD36">
            <w:pPr>
              <w:jc w:val="center"/>
              <w:rPr>
                <w:rFonts w:cs="Times New Roman"/>
                <w:kern w:val="2"/>
                <w:sz w:val="21"/>
                <w:szCs w:val="21"/>
                <w:lang w:val="en-US"/>
              </w:rPr>
            </w:pPr>
            <w:r>
              <w:rPr>
                <w:rFonts w:hint="eastAsia" w:cs="Times New Roman"/>
                <w:kern w:val="2"/>
                <w:sz w:val="21"/>
                <w:szCs w:val="21"/>
                <w:lang w:val="en-US"/>
              </w:rPr>
              <w:t>用户注册</w:t>
            </w:r>
          </w:p>
        </w:tc>
        <w:tc>
          <w:tcPr>
            <w:tcW w:w="6375" w:type="dxa"/>
            <w:vAlign w:val="center"/>
          </w:tcPr>
          <w:p w14:paraId="25852723">
            <w:pPr>
              <w:jc w:val="both"/>
              <w:rPr>
                <w:rFonts w:cs="Times New Roman"/>
                <w:kern w:val="2"/>
                <w:sz w:val="21"/>
                <w:szCs w:val="21"/>
                <w:lang w:val="en-US"/>
              </w:rPr>
            </w:pPr>
            <w:r>
              <w:rPr>
                <w:rFonts w:hint="eastAsia" w:cs="Times New Roman"/>
                <w:kern w:val="2"/>
                <w:sz w:val="21"/>
                <w:szCs w:val="21"/>
                <w:lang w:val="en-US"/>
              </w:rPr>
              <w:t>支持新用户通过web系统进行注册，完善个人信息</w:t>
            </w:r>
          </w:p>
        </w:tc>
      </w:tr>
      <w:tr w14:paraId="6E16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20" w:type="dxa"/>
            <w:vMerge w:val="continue"/>
            <w:vAlign w:val="center"/>
          </w:tcPr>
          <w:p w14:paraId="7101B260">
            <w:pPr>
              <w:jc w:val="center"/>
              <w:rPr>
                <w:rFonts w:cs="Times New Roman"/>
                <w:kern w:val="2"/>
                <w:sz w:val="21"/>
                <w:szCs w:val="21"/>
                <w:lang w:val="en-US"/>
              </w:rPr>
            </w:pPr>
          </w:p>
        </w:tc>
        <w:tc>
          <w:tcPr>
            <w:tcW w:w="1381" w:type="dxa"/>
            <w:vAlign w:val="center"/>
          </w:tcPr>
          <w:p w14:paraId="2ACFA130">
            <w:pPr>
              <w:jc w:val="center"/>
              <w:rPr>
                <w:rFonts w:cs="Times New Roman"/>
                <w:kern w:val="2"/>
                <w:sz w:val="21"/>
                <w:szCs w:val="21"/>
                <w:lang w:val="en-US"/>
              </w:rPr>
            </w:pPr>
            <w:r>
              <w:rPr>
                <w:rFonts w:hint="eastAsia" w:cs="Times New Roman"/>
                <w:kern w:val="2"/>
                <w:sz w:val="21"/>
                <w:szCs w:val="21"/>
                <w:lang w:val="en-US"/>
              </w:rPr>
              <w:t>用户授权</w:t>
            </w:r>
          </w:p>
        </w:tc>
        <w:tc>
          <w:tcPr>
            <w:tcW w:w="6375" w:type="dxa"/>
            <w:vAlign w:val="center"/>
          </w:tcPr>
          <w:p w14:paraId="45941F9E">
            <w:pPr>
              <w:jc w:val="both"/>
              <w:rPr>
                <w:rFonts w:cs="Times New Roman"/>
                <w:kern w:val="2"/>
                <w:sz w:val="21"/>
                <w:szCs w:val="21"/>
                <w:lang w:val="en-US"/>
              </w:rPr>
            </w:pPr>
            <w:r>
              <w:rPr>
                <w:rFonts w:hint="eastAsia" w:cs="Times New Roman"/>
                <w:kern w:val="2"/>
                <w:sz w:val="21"/>
                <w:szCs w:val="21"/>
                <w:lang w:val="en-US"/>
              </w:rPr>
              <w:t>支持通过web系统对用户进行数据权限、功能权限、按钮权限的自定义授权</w:t>
            </w:r>
          </w:p>
        </w:tc>
      </w:tr>
      <w:tr w14:paraId="0A06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705165FD">
            <w:pPr>
              <w:jc w:val="center"/>
              <w:rPr>
                <w:rFonts w:cs="Times New Roman"/>
                <w:kern w:val="2"/>
                <w:sz w:val="21"/>
                <w:szCs w:val="21"/>
                <w:lang w:val="en-US"/>
              </w:rPr>
            </w:pPr>
          </w:p>
        </w:tc>
        <w:tc>
          <w:tcPr>
            <w:tcW w:w="1381" w:type="dxa"/>
            <w:vAlign w:val="center"/>
          </w:tcPr>
          <w:p w14:paraId="543E07EA">
            <w:pPr>
              <w:jc w:val="center"/>
              <w:rPr>
                <w:rFonts w:cs="Times New Roman"/>
                <w:kern w:val="2"/>
                <w:sz w:val="21"/>
                <w:szCs w:val="21"/>
                <w:lang w:val="en-US"/>
              </w:rPr>
            </w:pPr>
            <w:r>
              <w:rPr>
                <w:rFonts w:hint="eastAsia" w:cs="Times New Roman"/>
                <w:kern w:val="2"/>
                <w:sz w:val="21"/>
                <w:szCs w:val="21"/>
                <w:lang w:val="en-US"/>
              </w:rPr>
              <w:t>系统界面自定义</w:t>
            </w:r>
          </w:p>
        </w:tc>
        <w:tc>
          <w:tcPr>
            <w:tcW w:w="6375" w:type="dxa"/>
            <w:vAlign w:val="center"/>
          </w:tcPr>
          <w:p w14:paraId="29B123EC">
            <w:pPr>
              <w:jc w:val="both"/>
              <w:rPr>
                <w:rFonts w:cs="Times New Roman"/>
                <w:kern w:val="2"/>
                <w:sz w:val="21"/>
                <w:szCs w:val="21"/>
                <w:lang w:val="en-US"/>
              </w:rPr>
            </w:pPr>
            <w:r>
              <w:rPr>
                <w:rFonts w:hint="eastAsia" w:cs="Times New Roman"/>
                <w:kern w:val="2"/>
                <w:sz w:val="21"/>
                <w:szCs w:val="21"/>
                <w:lang w:val="en-US"/>
              </w:rPr>
              <w:t>支持通过web系统自定义所展现的登陆界面图片、系统名称、系统图标、电站图标、首页界面图片等。</w:t>
            </w:r>
          </w:p>
        </w:tc>
      </w:tr>
      <w:tr w14:paraId="3E11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02ED852">
            <w:pPr>
              <w:jc w:val="center"/>
              <w:rPr>
                <w:rFonts w:cs="Times New Roman"/>
                <w:kern w:val="2"/>
                <w:sz w:val="21"/>
                <w:szCs w:val="21"/>
                <w:lang w:val="en-US"/>
              </w:rPr>
            </w:pPr>
          </w:p>
        </w:tc>
        <w:tc>
          <w:tcPr>
            <w:tcW w:w="1381" w:type="dxa"/>
            <w:vAlign w:val="center"/>
          </w:tcPr>
          <w:p w14:paraId="75B438BE">
            <w:pPr>
              <w:jc w:val="center"/>
              <w:rPr>
                <w:rFonts w:cs="Times New Roman"/>
                <w:kern w:val="2"/>
                <w:sz w:val="21"/>
                <w:szCs w:val="21"/>
                <w:lang w:val="en-US"/>
              </w:rPr>
            </w:pPr>
            <w:r>
              <w:rPr>
                <w:rFonts w:hint="eastAsia" w:cs="Times New Roman"/>
                <w:kern w:val="2"/>
                <w:sz w:val="21"/>
                <w:szCs w:val="21"/>
                <w:lang w:val="en-US"/>
              </w:rPr>
              <w:t>用户审计</w:t>
            </w:r>
          </w:p>
        </w:tc>
        <w:tc>
          <w:tcPr>
            <w:tcW w:w="6375" w:type="dxa"/>
            <w:vAlign w:val="center"/>
          </w:tcPr>
          <w:p w14:paraId="66940092">
            <w:pPr>
              <w:jc w:val="both"/>
              <w:rPr>
                <w:rFonts w:cs="Times New Roman"/>
                <w:kern w:val="2"/>
                <w:sz w:val="21"/>
                <w:szCs w:val="21"/>
                <w:lang w:val="en-US"/>
              </w:rPr>
            </w:pPr>
            <w:r>
              <w:rPr>
                <w:rFonts w:hint="eastAsia" w:cs="Times New Roman"/>
                <w:kern w:val="2"/>
                <w:sz w:val="21"/>
                <w:szCs w:val="21"/>
                <w:lang w:val="en-US"/>
              </w:rPr>
              <w:t>管理员可通过web系统查看其他用户访问情况，例如：用户名称、访问信息、访问系统功能名称、操作情况等。</w:t>
            </w:r>
          </w:p>
        </w:tc>
      </w:tr>
    </w:tbl>
    <w:p w14:paraId="4A0A75A3">
      <w:pPr>
        <w:keepNext/>
        <w:keepLines/>
        <w:spacing w:line="400" w:lineRule="exact"/>
        <w:jc w:val="both"/>
        <w:outlineLvl w:val="2"/>
        <w:rPr>
          <w:rFonts w:cs="Times New Roman"/>
          <w:b/>
          <w:bCs/>
          <w:kern w:val="2"/>
          <w:sz w:val="21"/>
          <w:szCs w:val="21"/>
          <w:lang w:val="en-US"/>
        </w:rPr>
      </w:pPr>
      <w:r>
        <w:rPr>
          <w:rFonts w:hint="eastAsia" w:cs="Times New Roman"/>
          <w:b/>
          <w:bCs/>
          <w:kern w:val="2"/>
          <w:sz w:val="21"/>
          <w:szCs w:val="21"/>
          <w:lang w:val="en-US"/>
        </w:rPr>
        <w:t>安全要求</w:t>
      </w:r>
    </w:p>
    <w:p w14:paraId="6F6FC4CA">
      <w:pPr>
        <w:adjustRightInd w:val="0"/>
        <w:snapToGrid w:val="0"/>
        <w:spacing w:line="400" w:lineRule="exact"/>
        <w:ind w:firstLine="420" w:firstLineChars="200"/>
        <w:jc w:val="both"/>
        <w:rPr>
          <w:rFonts w:cs="Times New Roman"/>
          <w:kern w:val="2"/>
          <w:sz w:val="21"/>
          <w:szCs w:val="21"/>
          <w:lang w:val="en-US"/>
        </w:rPr>
      </w:pPr>
      <w:r>
        <w:rPr>
          <w:rFonts w:cs="Times New Roman"/>
          <w:color w:val="000000"/>
          <w:kern w:val="2"/>
          <w:sz w:val="21"/>
          <w:szCs w:val="21"/>
          <w:lang w:val="en-US"/>
        </w:rPr>
        <w:t>▲</w:t>
      </w:r>
      <w:r>
        <w:rPr>
          <w:rFonts w:cs="Times New Roman"/>
          <w:kern w:val="2"/>
          <w:sz w:val="21"/>
          <w:szCs w:val="21"/>
          <w:lang w:val="en-US"/>
        </w:rPr>
        <w:t>可靠性：平台具备7*24小时连续无障碍运行的能力</w:t>
      </w:r>
    </w:p>
    <w:p w14:paraId="7461FCF3">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系统具有操作授权及权限控制，防止非法入侵；</w:t>
      </w:r>
    </w:p>
    <w:p w14:paraId="3ED10A25">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提供运行日志管理及审计功能；</w:t>
      </w:r>
    </w:p>
    <w:p w14:paraId="5247275D">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要求系统具备数据在线和离线备份及数据恢复能力，确保数据安全可靠；</w:t>
      </w:r>
    </w:p>
    <w:p w14:paraId="1C88AD19">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系统须通过第三方进行的系统漏洞扫描与信息安全相关检测；</w:t>
      </w:r>
    </w:p>
    <w:p w14:paraId="17B0F3D0">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提供较强的系统安全性和灾难恢复能力，系统具有安全审计功能及其他强有力的安全保障措施；</w:t>
      </w:r>
    </w:p>
    <w:p w14:paraId="468AD848">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保证终端上下载的业务数据下载前在服务器端有合法性审核记录并记录操作过程必要信息。</w:t>
      </w:r>
    </w:p>
    <w:p w14:paraId="5F6B4B39">
      <w:pPr>
        <w:keepNext/>
        <w:keepLines/>
        <w:spacing w:line="400" w:lineRule="exact"/>
        <w:jc w:val="both"/>
        <w:outlineLvl w:val="2"/>
        <w:rPr>
          <w:rFonts w:cs="Times New Roman"/>
          <w:b/>
          <w:bCs/>
          <w:kern w:val="2"/>
          <w:sz w:val="21"/>
          <w:szCs w:val="21"/>
          <w:lang w:val="en-US"/>
        </w:rPr>
      </w:pPr>
      <w:r>
        <w:rPr>
          <w:rFonts w:hint="eastAsia" w:cs="Times New Roman"/>
          <w:b/>
          <w:bCs/>
          <w:kern w:val="2"/>
          <w:sz w:val="21"/>
          <w:szCs w:val="21"/>
          <w:lang w:val="en-US"/>
        </w:rPr>
        <w:t>服务要求</w:t>
      </w:r>
    </w:p>
    <w:p w14:paraId="27EB62F8">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（1）数据承诺</w:t>
      </w:r>
    </w:p>
    <w:p w14:paraId="46075EAE">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该平台所有数据包括客户数据产权归招标方所有。</w:t>
      </w:r>
    </w:p>
    <w:p w14:paraId="263EA2C0">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（2）功能升级要求</w:t>
      </w:r>
    </w:p>
    <w:p w14:paraId="3342EF93">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如投标人产品发生功能升级，需向招标人提供同步升级服务。</w:t>
      </w:r>
    </w:p>
    <w:p w14:paraId="23FB1C5C">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（3）运维期内监控要求</w:t>
      </w:r>
    </w:p>
    <w:p w14:paraId="27C5BC57">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运维期间投标人需重点做好对接入系统的各软、硬件的工作状态的稳定性、业务数据正确性的监控、分析工作，随时做好故障的分析和排查工作，必须做到每日监控，重点作好对以下内容的监控：</w:t>
      </w:r>
    </w:p>
    <w:p w14:paraId="71736B7E">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①对网络的监控：监控重要网络运行状态，保障服务正常。</w:t>
      </w:r>
    </w:p>
    <w:p w14:paraId="4A967DDA">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②对服务器系统的监控：监控各类应用服务的服务器主机的运行状态，尤其是主机系统的</w:t>
      </w:r>
      <w:r>
        <w:rPr>
          <w:rFonts w:cs="Times New Roman"/>
          <w:kern w:val="2"/>
          <w:sz w:val="21"/>
          <w:szCs w:val="21"/>
          <w:lang w:val="en-US"/>
        </w:rPr>
        <w:t>CPU</w:t>
      </w:r>
      <w:r>
        <w:rPr>
          <w:rFonts w:hint="eastAsia" w:cs="Times New Roman"/>
          <w:kern w:val="2"/>
          <w:sz w:val="21"/>
          <w:szCs w:val="21"/>
          <w:lang w:val="en-US"/>
        </w:rPr>
        <w:t>、内存、硬盘、网卡的运行情况。</w:t>
      </w:r>
    </w:p>
    <w:p w14:paraId="68A4F4B8">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③对应用程序的监控：需监控应用子程序的各子系统、模块是否工作正常，数据处理响应速度是否及时，与子系统间的数据协同处理是否正常。</w:t>
      </w:r>
    </w:p>
    <w:p w14:paraId="191E63A4">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④对业务数据监控：分析应用系统中的业务数据，看是否传输、转换、解析、显示正常。</w:t>
      </w:r>
    </w:p>
    <w:p w14:paraId="768E696B">
      <w:pPr>
        <w:adjustRightInd w:val="0"/>
        <w:snapToGrid w:val="0"/>
        <w:spacing w:line="360" w:lineRule="exact"/>
        <w:ind w:firstLine="420" w:firstLineChars="200"/>
        <w:jc w:val="both"/>
        <w:rPr>
          <w:rFonts w:cs="Times New Roman"/>
          <w:kern w:val="2"/>
          <w:sz w:val="21"/>
          <w:szCs w:val="21"/>
          <w:lang w:val="en-US"/>
        </w:rPr>
      </w:pPr>
      <w:r>
        <w:rPr>
          <w:rFonts w:cs="Times New Roman"/>
          <w:color w:val="000000"/>
          <w:kern w:val="2"/>
          <w:sz w:val="21"/>
          <w:szCs w:val="21"/>
          <w:lang w:val="en-US"/>
        </w:rPr>
        <w:t>▲</w:t>
      </w:r>
      <w:r>
        <w:rPr>
          <w:rFonts w:hint="eastAsia" w:cs="Times New Roman"/>
          <w:kern w:val="2"/>
          <w:sz w:val="21"/>
          <w:szCs w:val="21"/>
          <w:lang w:val="en-US"/>
        </w:rPr>
        <w:t>（</w:t>
      </w:r>
      <w:r>
        <w:rPr>
          <w:rFonts w:cs="Times New Roman"/>
          <w:kern w:val="2"/>
          <w:sz w:val="21"/>
          <w:szCs w:val="21"/>
          <w:lang w:val="en-US"/>
        </w:rPr>
        <w:t>4</w:t>
      </w:r>
      <w:r>
        <w:rPr>
          <w:rFonts w:hint="eastAsia" w:cs="Times New Roman"/>
          <w:kern w:val="2"/>
          <w:sz w:val="21"/>
          <w:szCs w:val="21"/>
          <w:lang w:val="en-US"/>
        </w:rPr>
        <w:t>）</w:t>
      </w:r>
      <w:r>
        <w:rPr>
          <w:rFonts w:cs="Times New Roman"/>
          <w:kern w:val="2"/>
          <w:sz w:val="21"/>
          <w:szCs w:val="21"/>
          <w:lang w:val="en-US"/>
        </w:rPr>
        <w:t>平台</w:t>
      </w:r>
      <w:r>
        <w:rPr>
          <w:rFonts w:hint="eastAsia" w:cs="Times New Roman"/>
          <w:kern w:val="2"/>
          <w:sz w:val="21"/>
          <w:szCs w:val="21"/>
          <w:lang w:val="en-US"/>
        </w:rPr>
        <w:t>应</w:t>
      </w:r>
      <w:r>
        <w:rPr>
          <w:rFonts w:cs="Times New Roman"/>
          <w:kern w:val="2"/>
          <w:sz w:val="21"/>
          <w:szCs w:val="21"/>
          <w:lang w:val="en-US"/>
        </w:rPr>
        <w:t>能支持100万新能源车数据和200万用户数据。</w:t>
      </w:r>
    </w:p>
    <w:p w14:paraId="7CB6C3EC">
      <w:pPr>
        <w:keepNext/>
        <w:keepLines/>
        <w:spacing w:line="360" w:lineRule="exact"/>
        <w:jc w:val="both"/>
        <w:outlineLvl w:val="2"/>
        <w:rPr>
          <w:rFonts w:cs="Times New Roman"/>
          <w:b/>
          <w:bCs/>
          <w:kern w:val="2"/>
          <w:sz w:val="21"/>
          <w:szCs w:val="21"/>
          <w:lang w:val="en-US"/>
        </w:rPr>
      </w:pPr>
      <w:r>
        <w:rPr>
          <w:rFonts w:hint="eastAsia" w:cs="Times New Roman"/>
          <w:b/>
          <w:bCs/>
          <w:kern w:val="2"/>
          <w:sz w:val="21"/>
          <w:szCs w:val="21"/>
          <w:lang w:val="en-US"/>
        </w:rPr>
        <w:t>其他要求</w:t>
      </w:r>
    </w:p>
    <w:p w14:paraId="406241DA">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系统须留有接口，方便对接其他系统。</w:t>
      </w:r>
    </w:p>
    <w:p w14:paraId="63FB8E28">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功能页面操作、查询，报表查询、导出等常用操作，响应迅速，方便业务人员操作。</w:t>
      </w:r>
    </w:p>
    <w:p w14:paraId="617C3599">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系统须支持不同类型的充电设备接入平台。</w:t>
      </w:r>
    </w:p>
    <w:p w14:paraId="55332B57">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系统查询、分析、统计流程可后台定制化，统计报表可通过低代码平台自定义、无需重新编程，维护方便，能够方便快速的利用已有基础数据。</w:t>
      </w:r>
    </w:p>
    <w:p w14:paraId="128A3D41">
      <w:pPr>
        <w:adjustRightInd w:val="0"/>
        <w:snapToGrid w:val="0"/>
        <w:spacing w:line="360" w:lineRule="exact"/>
        <w:ind w:firstLine="420" w:firstLineChars="200"/>
        <w:jc w:val="both"/>
        <w:rPr>
          <w:rFonts w:cs="Times New Roman"/>
          <w:kern w:val="2"/>
          <w:sz w:val="21"/>
          <w:szCs w:val="21"/>
          <w:lang w:val="en-US"/>
        </w:rPr>
      </w:pPr>
      <w:r>
        <w:rPr>
          <w:rFonts w:hint="eastAsia" w:cs="Times New Roman"/>
          <w:kern w:val="2"/>
          <w:sz w:val="21"/>
          <w:szCs w:val="21"/>
          <w:lang w:val="en-US"/>
        </w:rPr>
        <w:t>投标人须确保提供具有自主知识产权的充电运营管理平台。我方有权随时对投标方所提供的上述系统的自有知识产权进行验证核查，如发现非自有产权的，有权做废标处理或终止合同。由此造成的产权纠纷及其他损失由投标人承担，我方不承担任何责任。</w:t>
      </w:r>
    </w:p>
    <w:p w14:paraId="2485514A">
      <w:pPr>
        <w:keepNext/>
        <w:keepLines/>
        <w:spacing w:line="360" w:lineRule="exact"/>
        <w:jc w:val="both"/>
        <w:outlineLvl w:val="1"/>
        <w:rPr>
          <w:rFonts w:cs="Times New Roman"/>
          <w:b/>
          <w:bCs/>
          <w:color w:val="000000"/>
          <w:kern w:val="2"/>
          <w:sz w:val="21"/>
          <w:szCs w:val="21"/>
          <w:lang w:val="en-US"/>
        </w:rPr>
      </w:pPr>
      <w:r>
        <w:rPr>
          <w:rFonts w:hint="eastAsia" w:cs="Times New Roman"/>
          <w:b/>
          <w:bCs/>
          <w:color w:val="000000"/>
          <w:kern w:val="2"/>
          <w:sz w:val="21"/>
          <w:szCs w:val="21"/>
          <w:lang w:val="en-US"/>
        </w:rPr>
        <w:t>电缆要求</w:t>
      </w:r>
    </w:p>
    <w:p w14:paraId="359847E1">
      <w:pPr>
        <w:adjustRightInd w:val="0"/>
        <w:snapToGrid w:val="0"/>
        <w:spacing w:line="360" w:lineRule="exact"/>
        <w:ind w:firstLine="420" w:firstLineChars="200"/>
        <w:jc w:val="both"/>
        <w:rPr>
          <w:rFonts w:cs="Times New Roman"/>
          <w:caps/>
          <w:color w:val="000000"/>
          <w:sz w:val="21"/>
          <w:szCs w:val="21"/>
          <w:lang w:val="en-US"/>
        </w:rPr>
      </w:pPr>
      <w:r>
        <w:rPr>
          <w:rFonts w:hint="eastAsia" w:cs="Times New Roman"/>
          <w:caps/>
          <w:color w:val="000000"/>
          <w:sz w:val="21"/>
          <w:szCs w:val="21"/>
          <w:lang w:val="en-US"/>
        </w:rPr>
        <w:t>（1）项目电缆包含充电机主进线电缆等；</w:t>
      </w:r>
    </w:p>
    <w:p w14:paraId="5D9C2EA4">
      <w:pPr>
        <w:adjustRightInd w:val="0"/>
        <w:snapToGrid w:val="0"/>
        <w:spacing w:line="360" w:lineRule="exact"/>
        <w:ind w:firstLine="420" w:firstLineChars="200"/>
        <w:jc w:val="both"/>
        <w:rPr>
          <w:rFonts w:cs="Times New Roman"/>
          <w:caps/>
          <w:color w:val="000000"/>
          <w:sz w:val="21"/>
          <w:szCs w:val="21"/>
          <w:lang w:val="en-US"/>
        </w:rPr>
      </w:pPr>
      <w:r>
        <w:rPr>
          <w:rFonts w:hint="eastAsia" w:cs="Times New Roman"/>
          <w:caps/>
          <w:color w:val="000000"/>
          <w:sz w:val="21"/>
          <w:szCs w:val="21"/>
          <w:lang w:val="en-US"/>
        </w:rPr>
        <w:t>（2）所有额定电压450/750V及以下聚氯乙烯绝缘电缆必须符合标准GB/T 5023的规定或JB/T 8734的规定；</w:t>
      </w:r>
    </w:p>
    <w:p w14:paraId="492A311F">
      <w:pPr>
        <w:adjustRightInd w:val="0"/>
        <w:snapToGrid w:val="0"/>
        <w:spacing w:line="360" w:lineRule="exact"/>
        <w:ind w:firstLine="420" w:firstLineChars="200"/>
        <w:jc w:val="both"/>
        <w:rPr>
          <w:rFonts w:cs="Times New Roman"/>
          <w:caps/>
          <w:color w:val="000000"/>
          <w:sz w:val="21"/>
          <w:szCs w:val="21"/>
          <w:lang w:val="en-US"/>
        </w:rPr>
      </w:pPr>
      <w:r>
        <w:rPr>
          <w:rFonts w:hint="eastAsia" w:cs="Times New Roman"/>
          <w:caps/>
          <w:color w:val="000000"/>
          <w:sz w:val="21"/>
          <w:szCs w:val="21"/>
          <w:lang w:val="en-US"/>
        </w:rPr>
        <w:t>（3）所有额定电压1kV~35kV的电缆须符合标准GB/T 12706的规定；</w:t>
      </w:r>
    </w:p>
    <w:p w14:paraId="583EBE47">
      <w:pPr>
        <w:adjustRightInd w:val="0"/>
        <w:snapToGrid w:val="0"/>
        <w:spacing w:line="360" w:lineRule="exact"/>
        <w:ind w:firstLine="420" w:firstLineChars="200"/>
        <w:jc w:val="both"/>
        <w:rPr>
          <w:rFonts w:cs="Times New Roman"/>
          <w:caps/>
          <w:color w:val="000000"/>
          <w:sz w:val="21"/>
          <w:szCs w:val="21"/>
          <w:lang w:val="en-US"/>
        </w:rPr>
      </w:pPr>
      <w:r>
        <w:rPr>
          <w:rFonts w:hint="eastAsia" w:cs="Times New Roman"/>
          <w:caps/>
          <w:color w:val="000000"/>
          <w:sz w:val="21"/>
          <w:szCs w:val="21"/>
          <w:lang w:val="en-US"/>
        </w:rPr>
        <w:t>（4）所有型号的电缆须满足《电线电缆产品许可证可实施细则》的规定。</w:t>
      </w:r>
    </w:p>
    <w:p w14:paraId="097ACA26">
      <w:pPr>
        <w:adjustRightInd w:val="0"/>
        <w:snapToGrid w:val="0"/>
        <w:spacing w:line="360" w:lineRule="exact"/>
        <w:ind w:firstLine="420" w:firstLineChars="200"/>
        <w:jc w:val="both"/>
        <w:rPr>
          <w:rFonts w:cs="Times New Roman"/>
          <w:caps/>
          <w:color w:val="000000"/>
          <w:sz w:val="21"/>
          <w:szCs w:val="21"/>
          <w:lang w:val="en-US"/>
        </w:rPr>
      </w:pPr>
      <w:r>
        <w:rPr>
          <w:rFonts w:hint="eastAsia" w:cs="Times New Roman"/>
          <w:caps/>
          <w:color w:val="000000"/>
          <w:sz w:val="21"/>
          <w:szCs w:val="21"/>
          <w:lang w:val="en-US"/>
        </w:rPr>
        <w:t>（5）项目所需电缆型号与长度由投标人根据现场实际安装环境自行选择确认，同时需满足当地供电局验收标准规范。</w:t>
      </w:r>
    </w:p>
    <w:p w14:paraId="7D40F801">
      <w:pPr>
        <w:keepNext/>
        <w:keepLines/>
        <w:spacing w:line="360" w:lineRule="exact"/>
        <w:jc w:val="both"/>
        <w:outlineLvl w:val="1"/>
        <w:rPr>
          <w:rFonts w:cs="Times New Roman"/>
          <w:b/>
          <w:bCs/>
          <w:color w:val="000000"/>
          <w:kern w:val="2"/>
          <w:sz w:val="21"/>
          <w:szCs w:val="21"/>
          <w:lang w:val="en-US"/>
        </w:rPr>
      </w:pPr>
      <w:r>
        <w:rPr>
          <w:rFonts w:hint="eastAsia" w:cs="Times New Roman"/>
          <w:b/>
          <w:bCs/>
          <w:color w:val="000000"/>
          <w:kern w:val="2"/>
          <w:sz w:val="21"/>
          <w:szCs w:val="21"/>
          <w:lang w:val="en-US"/>
        </w:rPr>
        <w:t>安装服务要求</w:t>
      </w:r>
    </w:p>
    <w:p w14:paraId="27348431">
      <w:pPr>
        <w:adjustRightInd w:val="0"/>
        <w:snapToGrid w:val="0"/>
        <w:spacing w:line="360" w:lineRule="exact"/>
        <w:ind w:firstLine="420" w:firstLineChars="200"/>
        <w:rPr>
          <w:rFonts w:cs="Times New Roman"/>
          <w:caps/>
          <w:color w:val="000000"/>
          <w:sz w:val="21"/>
          <w:szCs w:val="21"/>
          <w:lang w:val="en-US"/>
        </w:rPr>
      </w:pPr>
      <w:r>
        <w:rPr>
          <w:rFonts w:hint="eastAsia" w:cs="Times New Roman"/>
          <w:caps/>
          <w:color w:val="000000"/>
          <w:sz w:val="21"/>
          <w:szCs w:val="21"/>
          <w:lang w:val="en-US"/>
        </w:rPr>
        <w:t>项目安装包含设备基础制作、接线安装及调试通电等，采用包干制，供应商自行前往现场进行踏勘设计，投标时工程价款的计算规则按照单价合同据实结算，招标人接受中标</w:t>
      </w:r>
      <w:r>
        <w:rPr>
          <w:rFonts w:hint="eastAsia" w:cs="Times New Roman"/>
          <w:caps/>
          <w:color w:val="000000"/>
          <w:sz w:val="21"/>
          <w:szCs w:val="21"/>
          <w:highlight w:val="yellow"/>
          <w:lang w:val="en-US"/>
        </w:rPr>
        <w:t>人因工程量增减要求支付额外的费用</w:t>
      </w:r>
      <w:r>
        <w:rPr>
          <w:rFonts w:hint="eastAsia" w:cs="Times New Roman"/>
          <w:caps/>
          <w:color w:val="000000"/>
          <w:sz w:val="21"/>
          <w:szCs w:val="21"/>
          <w:lang w:val="en-US"/>
        </w:rPr>
        <w:t>，供应商最终成果必须满足国家行政主管部门的施工及安全要求，同时确保项目设施设备正常运行，场站建设需配套必要的照明等设施。</w:t>
      </w:r>
    </w:p>
    <w:p w14:paraId="67B94363">
      <w:pPr>
        <w:keepNext/>
        <w:keepLines/>
        <w:spacing w:line="360" w:lineRule="exact"/>
        <w:jc w:val="both"/>
        <w:outlineLvl w:val="1"/>
        <w:rPr>
          <w:rFonts w:cs="Times New Roman"/>
          <w:b/>
          <w:bCs/>
          <w:color w:val="000000"/>
          <w:kern w:val="2"/>
          <w:sz w:val="21"/>
          <w:szCs w:val="21"/>
          <w:lang w:val="en-US"/>
        </w:rPr>
      </w:pPr>
      <w:r>
        <w:rPr>
          <w:rFonts w:hint="eastAsia" w:cs="Times New Roman"/>
          <w:b/>
          <w:bCs/>
          <w:color w:val="000000"/>
          <w:kern w:val="2"/>
          <w:sz w:val="21"/>
          <w:szCs w:val="21"/>
          <w:lang w:val="en-US"/>
        </w:rPr>
        <w:t>施工及其配套设施要求</w:t>
      </w:r>
    </w:p>
    <w:p w14:paraId="26D39C49">
      <w:pPr>
        <w:spacing w:line="360" w:lineRule="exact"/>
        <w:ind w:firstLine="480"/>
        <w:jc w:val="both"/>
        <w:rPr>
          <w:rFonts w:cs="Times New Roman"/>
          <w:caps/>
          <w:color w:val="000000"/>
          <w:sz w:val="21"/>
          <w:szCs w:val="21"/>
          <w:lang w:val="en-US"/>
        </w:rPr>
      </w:pPr>
      <w:r>
        <w:rPr>
          <w:rFonts w:hint="eastAsia" w:cs="Times New Roman"/>
          <w:caps/>
          <w:color w:val="000000"/>
          <w:sz w:val="21"/>
          <w:szCs w:val="21"/>
          <w:lang w:val="en-US"/>
        </w:rPr>
        <w:t>（1）接地施工要求</w:t>
      </w:r>
    </w:p>
    <w:p w14:paraId="1698FA0F">
      <w:pPr>
        <w:spacing w:line="360" w:lineRule="exact"/>
        <w:ind w:firstLine="480"/>
        <w:jc w:val="both"/>
        <w:rPr>
          <w:rFonts w:cs="Times New Roman"/>
          <w:caps/>
          <w:color w:val="000000"/>
          <w:sz w:val="21"/>
          <w:szCs w:val="21"/>
          <w:lang w:val="en-US"/>
        </w:rPr>
      </w:pPr>
      <w:r>
        <w:rPr>
          <w:rFonts w:hint="eastAsia" w:cs="Times New Roman"/>
          <w:caps/>
          <w:color w:val="000000"/>
          <w:sz w:val="21"/>
          <w:szCs w:val="21"/>
          <w:lang w:val="en-US"/>
        </w:rPr>
        <w:t>1）接地极施工：接地极可采用热镀锌角钢、圆钢、钢管，垂直打入地面，埋设深度距地表≥2500mm。</w:t>
      </w:r>
    </w:p>
    <w:p w14:paraId="599A17C1">
      <w:pPr>
        <w:spacing w:line="360" w:lineRule="exact"/>
        <w:ind w:firstLine="480"/>
        <w:jc w:val="both"/>
        <w:rPr>
          <w:rFonts w:cs="Times New Roman"/>
          <w:caps/>
          <w:color w:val="000000"/>
          <w:sz w:val="21"/>
          <w:szCs w:val="21"/>
          <w:lang w:val="en-US"/>
        </w:rPr>
      </w:pPr>
      <w:r>
        <w:rPr>
          <w:rFonts w:cs="Times New Roman"/>
          <w:caps/>
          <w:color w:val="000000"/>
          <w:sz w:val="21"/>
          <w:szCs w:val="21"/>
          <w:lang w:val="en-US"/>
        </w:rPr>
        <w:t>2</w:t>
      </w:r>
      <w:r>
        <w:rPr>
          <w:rFonts w:hint="eastAsia" w:cs="Times New Roman"/>
          <w:caps/>
          <w:color w:val="000000"/>
          <w:sz w:val="21"/>
          <w:szCs w:val="21"/>
          <w:lang w:val="en-US"/>
        </w:rPr>
        <w:t>）接地体核验：接地焊接处焊口、焊面，不得有夹渣、咬肉、裂纹、气孔、药皮，且已做防腐处理。</w:t>
      </w:r>
    </w:p>
    <w:p w14:paraId="7732DE57">
      <w:pPr>
        <w:spacing w:line="360" w:lineRule="exact"/>
        <w:ind w:firstLine="480"/>
        <w:jc w:val="both"/>
        <w:rPr>
          <w:rFonts w:cs="Times New Roman"/>
          <w:caps/>
          <w:color w:val="000000"/>
          <w:sz w:val="21"/>
          <w:szCs w:val="21"/>
          <w:lang w:val="en-US"/>
        </w:rPr>
      </w:pPr>
      <w:r>
        <w:rPr>
          <w:rFonts w:hint="eastAsia" w:cs="Times New Roman"/>
          <w:caps/>
          <w:color w:val="000000"/>
          <w:sz w:val="21"/>
          <w:szCs w:val="21"/>
          <w:lang w:val="en-US"/>
        </w:rPr>
        <w:t>（2）充电设备基础施工要求</w:t>
      </w:r>
    </w:p>
    <w:p w14:paraId="68A2ACFA">
      <w:pPr>
        <w:spacing w:line="360" w:lineRule="exact"/>
        <w:ind w:firstLine="480"/>
        <w:jc w:val="both"/>
        <w:rPr>
          <w:rFonts w:cs="Times New Roman"/>
          <w:caps/>
          <w:color w:val="000000"/>
          <w:sz w:val="21"/>
          <w:szCs w:val="21"/>
          <w:lang w:val="en-US"/>
        </w:rPr>
      </w:pPr>
      <w:r>
        <w:rPr>
          <w:rFonts w:hint="eastAsia" w:cs="Times New Roman"/>
          <w:caps/>
          <w:color w:val="000000"/>
          <w:sz w:val="21"/>
          <w:szCs w:val="21"/>
          <w:lang w:val="en-US"/>
        </w:rPr>
        <w:t>1）在基础开挖前应根据充电设备的安装位置和设备尺寸进行放线定位，需要拆除的绿化植被必须征得相关管理部同意后才能拆除。若充电设备采用砖砌结构，所用砖块为烧结页岩砖，不得使用水泥沙砖。</w:t>
      </w:r>
    </w:p>
    <w:p w14:paraId="4B69A707">
      <w:pPr>
        <w:spacing w:line="360" w:lineRule="exact"/>
        <w:ind w:firstLine="480"/>
        <w:jc w:val="both"/>
        <w:rPr>
          <w:rFonts w:cs="Times New Roman"/>
          <w:caps/>
          <w:color w:val="000000"/>
          <w:sz w:val="21"/>
          <w:szCs w:val="21"/>
          <w:lang w:val="en-US"/>
        </w:rPr>
      </w:pPr>
      <w:r>
        <w:rPr>
          <w:rFonts w:hint="eastAsia" w:cs="Times New Roman"/>
          <w:caps/>
          <w:color w:val="000000"/>
          <w:sz w:val="21"/>
          <w:szCs w:val="21"/>
          <w:lang w:val="en-US"/>
        </w:rPr>
        <w:t>2）砖砌充电设备基础的灰缝应横平竖直厚薄均匀，竖向灰缝砂浆需填充饱满，不得出现透明缝、瞎缝和假缝。充电设备基础施工临时间断处补砌时，必须将接处表面清理干净，浇水湿润，并填实砂浆保持灰缝平直。</w:t>
      </w:r>
    </w:p>
    <w:p w14:paraId="1B3190F6">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w:t>
      </w:r>
      <w:r>
        <w:rPr>
          <w:rFonts w:cs="Times New Roman"/>
          <w:caps/>
          <w:color w:val="000000"/>
          <w:sz w:val="21"/>
          <w:szCs w:val="21"/>
          <w:lang w:val="en-US"/>
        </w:rPr>
        <w:t>3</w:t>
      </w:r>
      <w:r>
        <w:rPr>
          <w:rFonts w:hint="eastAsia" w:cs="Times New Roman"/>
          <w:caps/>
          <w:color w:val="000000"/>
          <w:sz w:val="21"/>
          <w:szCs w:val="21"/>
          <w:lang w:val="en-US"/>
        </w:rPr>
        <w:t>）电缆敷设施工要求</w:t>
      </w:r>
    </w:p>
    <w:p w14:paraId="16784473">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1）电缆沟负挖深度现场满足要求，电缆敷设前应对整盘电缆进行绝缘测试，测试合格后方能进行电缆敷设；</w:t>
      </w:r>
    </w:p>
    <w:p w14:paraId="6F0774F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2）电缆敷设完成后在箱变及接线井悬挂电缆标识牌，标明电缆规格型号、长度、起端和终端；</w:t>
      </w:r>
    </w:p>
    <w:p w14:paraId="3D3060B1">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3）埋地电缆在拐弯、接头、交叉，进出建筑物等地段应设明显的方位标桩，标桩应牢固，标志应清晰，标桩露出地面以15-20cm为宜。</w:t>
      </w:r>
    </w:p>
    <w:p w14:paraId="1CC32AFC">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w:t>
      </w:r>
      <w:r>
        <w:rPr>
          <w:rFonts w:cs="Times New Roman"/>
          <w:caps/>
          <w:color w:val="000000"/>
          <w:sz w:val="21"/>
          <w:szCs w:val="21"/>
          <w:lang w:val="en-US"/>
        </w:rPr>
        <w:t>4</w:t>
      </w:r>
      <w:r>
        <w:rPr>
          <w:rFonts w:hint="eastAsia" w:cs="Times New Roman"/>
          <w:caps/>
          <w:color w:val="000000"/>
          <w:sz w:val="21"/>
          <w:szCs w:val="21"/>
          <w:lang w:val="en-US"/>
        </w:rPr>
        <w:t>）电缆端接施工要求</w:t>
      </w:r>
    </w:p>
    <w:p w14:paraId="0729DBEB">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1）根据线鼻子腔深度确定绝缘层剥切长度（绝缘层剥切长度=线鼻子腔深度+2mm），用剥线钳环切将绝缘层剥掉，剥切过程中应避免用力过大伤及线芯导体部分；</w:t>
      </w:r>
    </w:p>
    <w:p w14:paraId="6E747C5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2）选择与电缆型号相等，并与元器件或铜排配套的线鼻子进行压接，压接时须使用液压钳及配套模具，不得使用铁锤砸击的方式进行压接；</w:t>
      </w:r>
    </w:p>
    <w:p w14:paraId="2DAD57F9">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3）铜鼻压接结束以后，对绝缘皮与线鼻子用PVC胶带缠绕保护至少2圈后加绝缘软护套（信号线除外），对于压接后的端子有压接不牢或虚接情况时，须使用裸导线对线芯进行填充后再压接或重新制作端子。</w:t>
      </w:r>
    </w:p>
    <w:p w14:paraId="366221B9">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w:t>
      </w:r>
      <w:r>
        <w:rPr>
          <w:rFonts w:cs="Times New Roman"/>
          <w:caps/>
          <w:color w:val="000000"/>
          <w:sz w:val="21"/>
          <w:szCs w:val="21"/>
          <w:lang w:val="en-US"/>
        </w:rPr>
        <w:t>5</w:t>
      </w:r>
      <w:r>
        <w:rPr>
          <w:rFonts w:hint="eastAsia" w:cs="Times New Roman"/>
          <w:caps/>
          <w:color w:val="000000"/>
          <w:sz w:val="21"/>
          <w:szCs w:val="21"/>
          <w:lang w:val="en-US"/>
        </w:rPr>
        <w:t>）安全文明施工要求</w:t>
      </w:r>
    </w:p>
    <w:p w14:paraId="20918EC6">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1）施工单位在施工过程中应设立统一的安全施工围挡，以区分作业区和非作业区。</w:t>
      </w:r>
    </w:p>
    <w:p w14:paraId="25A0F257">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2）施工单位在施工过程中，应在施工现场设置统一的施工指示牌。</w:t>
      </w:r>
    </w:p>
    <w:p w14:paraId="44906205">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3）施工单位的施工现场应保持整洁，合理规划，设置作业区、材料堆放区，垃圾或废料应集中堆放、及时清除，做到“工完、 料尽、场地清”。</w:t>
      </w:r>
    </w:p>
    <w:p w14:paraId="4246FD09">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4）施工单位施工完成后应对施工过程中对场地造成的无可避免的污染和损坏进行原样恢复，其中进行混凝土及砂浆搅拌时应垫三防布或采取其它措施进行防护避免对施工场地原有地面造成污染。</w:t>
      </w:r>
    </w:p>
    <w:p w14:paraId="1D55808E">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5）施工单位进行低压电源接入操作的施工人员必须是有合格操作证的电工，同时应采取有效的防护措施和机具。</w:t>
      </w:r>
    </w:p>
    <w:p w14:paraId="065C0F39">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6）施工单位进行高空和危险作业时，施工人员须采取有效的防护措施，并佩戴相应的个人安全防护用品。</w:t>
      </w:r>
    </w:p>
    <w:p w14:paraId="76A87769">
      <w:pPr>
        <w:spacing w:line="400" w:lineRule="exact"/>
        <w:ind w:firstLine="480"/>
        <w:jc w:val="both"/>
        <w:rPr>
          <w:rFonts w:cs="Times New Roman"/>
          <w:b/>
          <w:bCs/>
          <w:caps/>
          <w:color w:val="000000"/>
          <w:sz w:val="21"/>
          <w:szCs w:val="21"/>
          <w:lang w:val="en-US"/>
        </w:rPr>
      </w:pPr>
      <w:r>
        <w:rPr>
          <w:rFonts w:hint="eastAsia" w:cs="Times New Roman"/>
          <w:b/>
          <w:bCs/>
          <w:caps/>
          <w:color w:val="000000"/>
          <w:sz w:val="21"/>
          <w:szCs w:val="21"/>
          <w:lang w:val="en-US"/>
        </w:rPr>
        <w:t>参考标准N</w:t>
      </w:r>
      <w:r>
        <w:rPr>
          <w:rFonts w:cs="Times New Roman"/>
          <w:b/>
          <w:bCs/>
          <w:caps/>
          <w:color w:val="000000"/>
          <w:sz w:val="21"/>
          <w:szCs w:val="21"/>
          <w:lang w:val="en-US"/>
        </w:rPr>
        <w:t>B/T33004</w:t>
      </w:r>
      <w:r>
        <w:rPr>
          <w:rFonts w:hint="eastAsia" w:cs="Times New Roman"/>
          <w:b/>
          <w:bCs/>
          <w:caps/>
          <w:color w:val="000000"/>
          <w:sz w:val="21"/>
          <w:szCs w:val="21"/>
          <w:lang w:val="en-US"/>
        </w:rPr>
        <w:t>-</w:t>
      </w:r>
      <w:r>
        <w:rPr>
          <w:rFonts w:cs="Times New Roman"/>
          <w:b/>
          <w:bCs/>
          <w:caps/>
          <w:color w:val="000000"/>
          <w:sz w:val="21"/>
          <w:szCs w:val="21"/>
          <w:lang w:val="en-US"/>
        </w:rPr>
        <w:t>2020</w:t>
      </w:r>
      <w:r>
        <w:rPr>
          <w:rFonts w:hint="eastAsia" w:cs="Times New Roman"/>
          <w:b/>
          <w:bCs/>
          <w:caps/>
          <w:color w:val="000000"/>
          <w:sz w:val="21"/>
          <w:szCs w:val="21"/>
          <w:lang w:val="en-US"/>
        </w:rPr>
        <w:t>电动汽车充换电设施工程施工和竣工验收规范。</w:t>
      </w:r>
    </w:p>
    <w:p w14:paraId="1D2FDA67">
      <w:pPr>
        <w:tabs>
          <w:tab w:val="left" w:pos="1166"/>
        </w:tabs>
        <w:spacing w:line="360" w:lineRule="auto"/>
        <w:ind w:firstLine="442" w:firstLineChars="200"/>
        <w:jc w:val="both"/>
        <w:rPr>
          <w:rFonts w:ascii="Times New Roman" w:hAnsi="Times New Roman" w:cs="Times New Roman"/>
          <w:b/>
          <w:sz w:val="21"/>
        </w:rPr>
      </w:pPr>
      <w:r>
        <w:rPr>
          <w:rFonts w:hint="eastAsia" w:ascii="Times New Roman" w:hAnsi="Times New Roman" w:cs="Times New Roman"/>
          <w:b/>
          <w:lang w:val="en-US"/>
        </w:rPr>
        <w:t>四</w:t>
      </w:r>
      <w:r>
        <w:rPr>
          <w:rFonts w:ascii="Times New Roman" w:hAnsi="Times New Roman" w:cs="Times New Roman"/>
          <w:b/>
        </w:rPr>
        <w:t>、商务要求表</w:t>
      </w:r>
    </w:p>
    <w:tbl>
      <w:tblPr>
        <w:tblStyle w:val="50"/>
        <w:tblW w:w="888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6"/>
        <w:gridCol w:w="7264"/>
      </w:tblGrid>
      <w:tr w14:paraId="24918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616" w:type="dxa"/>
            <w:vAlign w:val="center"/>
          </w:tcPr>
          <w:p w14:paraId="57160925">
            <w:pPr>
              <w:pStyle w:val="62"/>
              <w:spacing w:line="360" w:lineRule="exact"/>
              <w:ind w:left="49" w:right="42"/>
              <w:jc w:val="center"/>
              <w:rPr>
                <w:rFonts w:ascii="Times New Roman" w:hAnsi="Times New Roman" w:cs="Times New Roman"/>
                <w:sz w:val="21"/>
              </w:rPr>
            </w:pPr>
            <w:r>
              <w:rPr>
                <w:rFonts w:ascii="Times New Roman" w:hAnsi="Times New Roman" w:cs="Times New Roman"/>
                <w:sz w:val="21"/>
              </w:rPr>
              <w:t>质保期</w:t>
            </w:r>
          </w:p>
        </w:tc>
        <w:tc>
          <w:tcPr>
            <w:tcW w:w="7264" w:type="dxa"/>
            <w:vAlign w:val="center"/>
          </w:tcPr>
          <w:p w14:paraId="0E411C46">
            <w:pPr>
              <w:pStyle w:val="62"/>
              <w:spacing w:before="56" w:line="360" w:lineRule="exact"/>
              <w:ind w:left="107" w:right="93"/>
              <w:rPr>
                <w:rFonts w:ascii="Times New Roman" w:hAnsi="Times New Roman" w:cs="Times New Roman"/>
                <w:sz w:val="21"/>
              </w:rPr>
            </w:pPr>
            <w:r>
              <w:rPr>
                <w:rFonts w:hint="eastAsia" w:cs="Times New Roman"/>
                <w:caps/>
                <w:color w:val="000000"/>
                <w:sz w:val="21"/>
                <w:szCs w:val="21"/>
                <w:lang w:val="en-US"/>
              </w:rPr>
              <w:t>合同设备（含配套软件）质保期为</w:t>
            </w:r>
            <w:r>
              <w:rPr>
                <w:rFonts w:cs="Times New Roman"/>
                <w:caps/>
                <w:color w:val="000000"/>
                <w:sz w:val="21"/>
                <w:szCs w:val="21"/>
                <w:lang w:val="en-US"/>
              </w:rPr>
              <w:t>2年（自验收合格）</w:t>
            </w:r>
          </w:p>
        </w:tc>
      </w:tr>
      <w:tr w14:paraId="38E22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616" w:type="dxa"/>
            <w:vAlign w:val="center"/>
          </w:tcPr>
          <w:p w14:paraId="79E250EC">
            <w:pPr>
              <w:pStyle w:val="62"/>
              <w:spacing w:before="1" w:line="360" w:lineRule="exact"/>
              <w:ind w:left="53" w:right="42"/>
              <w:jc w:val="center"/>
              <w:rPr>
                <w:rFonts w:ascii="Times New Roman" w:hAnsi="Times New Roman" w:cs="Times New Roman"/>
                <w:sz w:val="21"/>
              </w:rPr>
            </w:pPr>
            <w:r>
              <w:rPr>
                <w:rFonts w:ascii="Times New Roman" w:hAnsi="Times New Roman" w:cs="Times New Roman"/>
                <w:sz w:val="21"/>
              </w:rPr>
              <w:t>交付（服务）时</w:t>
            </w:r>
          </w:p>
          <w:p w14:paraId="0D1A1D2D">
            <w:pPr>
              <w:pStyle w:val="62"/>
              <w:spacing w:before="139" w:line="360" w:lineRule="exact"/>
              <w:ind w:left="51" w:right="42"/>
              <w:jc w:val="center"/>
              <w:rPr>
                <w:rFonts w:ascii="Times New Roman" w:hAnsi="Times New Roman" w:cs="Times New Roman"/>
                <w:sz w:val="21"/>
              </w:rPr>
            </w:pPr>
            <w:r>
              <w:rPr>
                <w:rFonts w:ascii="Times New Roman" w:hAnsi="Times New Roman" w:cs="Times New Roman"/>
                <w:sz w:val="21"/>
              </w:rPr>
              <w:t>间及地点</w:t>
            </w:r>
          </w:p>
        </w:tc>
        <w:tc>
          <w:tcPr>
            <w:tcW w:w="7264" w:type="dxa"/>
            <w:vAlign w:val="center"/>
          </w:tcPr>
          <w:p w14:paraId="3A51C21A">
            <w:pPr>
              <w:pStyle w:val="62"/>
              <w:spacing w:before="137" w:line="360" w:lineRule="exact"/>
              <w:ind w:left="107" w:right="-15"/>
              <w:rPr>
                <w:rFonts w:ascii="Times New Roman" w:hAnsi="Times New Roman" w:cs="Times New Roman"/>
                <w:sz w:val="21"/>
              </w:rPr>
            </w:pPr>
            <w:r>
              <w:rPr>
                <w:rFonts w:ascii="Times New Roman" w:hAnsi="Times New Roman" w:cs="Times New Roman"/>
                <w:spacing w:val="-5"/>
                <w:sz w:val="21"/>
              </w:rPr>
              <w:t xml:space="preserve">时间: </w:t>
            </w:r>
            <w:r>
              <w:rPr>
                <w:rFonts w:hint="eastAsia" w:ascii="Times New Roman" w:hAnsi="Times New Roman" w:cs="Times New Roman"/>
                <w:spacing w:val="-5"/>
                <w:sz w:val="21"/>
              </w:rPr>
              <w:t>60日历天</w:t>
            </w:r>
            <w:r>
              <w:rPr>
                <w:rFonts w:ascii="Times New Roman" w:hAnsi="Times New Roman" w:cs="Times New Roman"/>
                <w:spacing w:val="-10"/>
                <w:sz w:val="21"/>
              </w:rPr>
              <w:t>完成安装调试并通过验收交付</w:t>
            </w:r>
            <w:r>
              <w:rPr>
                <w:rFonts w:ascii="Times New Roman" w:hAnsi="Times New Roman" w:cs="Times New Roman"/>
                <w:sz w:val="21"/>
              </w:rPr>
              <w:t>。</w:t>
            </w:r>
          </w:p>
          <w:p w14:paraId="6BC448C0">
            <w:pPr>
              <w:pStyle w:val="62"/>
              <w:spacing w:before="137" w:line="360" w:lineRule="exact"/>
              <w:ind w:left="107" w:right="-15"/>
              <w:rPr>
                <w:rFonts w:ascii="Times New Roman" w:hAnsi="Times New Roman" w:cs="Times New Roman"/>
                <w:sz w:val="21"/>
              </w:rPr>
            </w:pPr>
            <w:r>
              <w:rPr>
                <w:rFonts w:ascii="Times New Roman" w:hAnsi="Times New Roman" w:cs="Times New Roman"/>
                <w:spacing w:val="-3"/>
                <w:sz w:val="21"/>
              </w:rPr>
              <w:t>地点：采购人指定地点。</w:t>
            </w:r>
          </w:p>
        </w:tc>
      </w:tr>
      <w:tr w14:paraId="42705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616" w:type="dxa"/>
            <w:vAlign w:val="center"/>
          </w:tcPr>
          <w:p w14:paraId="185E8FDC">
            <w:pPr>
              <w:pStyle w:val="62"/>
              <w:spacing w:before="152" w:line="360" w:lineRule="exact"/>
              <w:ind w:left="49" w:right="42"/>
              <w:jc w:val="center"/>
              <w:rPr>
                <w:rFonts w:ascii="Times New Roman" w:hAnsi="Times New Roman" w:cs="Times New Roman"/>
                <w:sz w:val="21"/>
              </w:rPr>
            </w:pPr>
            <w:r>
              <w:rPr>
                <w:rFonts w:ascii="Times New Roman" w:hAnsi="Times New Roman" w:cs="Times New Roman"/>
                <w:sz w:val="21"/>
              </w:rPr>
              <w:t>安全</w:t>
            </w:r>
          </w:p>
        </w:tc>
        <w:tc>
          <w:tcPr>
            <w:tcW w:w="7264" w:type="dxa"/>
            <w:vAlign w:val="center"/>
          </w:tcPr>
          <w:p w14:paraId="4F8D437B">
            <w:pPr>
              <w:pStyle w:val="62"/>
              <w:spacing w:before="82" w:line="360" w:lineRule="exact"/>
              <w:ind w:left="107" w:right="93"/>
              <w:rPr>
                <w:rFonts w:ascii="Times New Roman" w:hAnsi="Times New Roman" w:cs="Times New Roman"/>
                <w:sz w:val="21"/>
              </w:rPr>
            </w:pPr>
            <w:r>
              <w:rPr>
                <w:rFonts w:ascii="Times New Roman" w:hAnsi="Times New Roman" w:cs="Times New Roman"/>
                <w:sz w:val="21"/>
              </w:rPr>
              <w:t>中标人在项目实施过程中应保障生产作业安全，加强对职工的安全教育及采取安全生产措施，参加工伤和意外伤害险，如发生安全事故，均由中标人承担责任后果。</w:t>
            </w:r>
          </w:p>
        </w:tc>
      </w:tr>
      <w:tr w14:paraId="74A75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616" w:type="dxa"/>
            <w:vAlign w:val="center"/>
          </w:tcPr>
          <w:p w14:paraId="39F739A9">
            <w:pPr>
              <w:pStyle w:val="62"/>
              <w:spacing w:before="1" w:line="360" w:lineRule="auto"/>
              <w:ind w:left="49" w:right="42"/>
              <w:jc w:val="center"/>
              <w:rPr>
                <w:rFonts w:ascii="Times New Roman" w:hAnsi="Times New Roman" w:cs="Times New Roman"/>
                <w:sz w:val="21"/>
              </w:rPr>
            </w:pPr>
            <w:r>
              <w:rPr>
                <w:rFonts w:ascii="Times New Roman" w:hAnsi="Times New Roman" w:cs="Times New Roman"/>
                <w:sz w:val="21"/>
              </w:rPr>
              <w:t>付款方式和条件</w:t>
            </w:r>
          </w:p>
        </w:tc>
        <w:tc>
          <w:tcPr>
            <w:tcW w:w="7264" w:type="dxa"/>
            <w:vAlign w:val="center"/>
          </w:tcPr>
          <w:p w14:paraId="17DB6360">
            <w:pPr>
              <w:pStyle w:val="62"/>
              <w:spacing w:line="360" w:lineRule="auto"/>
              <w:ind w:left="107"/>
              <w:rPr>
                <w:rFonts w:ascii="Times New Roman" w:hAnsi="Times New Roman" w:cs="Times New Roman"/>
                <w:sz w:val="21"/>
              </w:rPr>
            </w:pPr>
            <w:r>
              <w:rPr>
                <w:rFonts w:ascii="Times New Roman" w:hAnsi="Times New Roman" w:cs="Times New Roman"/>
                <w:sz w:val="21"/>
              </w:rPr>
              <w:t>详见采购合同</w:t>
            </w:r>
          </w:p>
        </w:tc>
      </w:tr>
    </w:tbl>
    <w:p w14:paraId="29732469">
      <w:pPr>
        <w:pStyle w:val="18"/>
        <w:spacing w:before="12" w:line="360" w:lineRule="auto"/>
        <w:rPr>
          <w:rFonts w:ascii="Times New Roman" w:hAnsi="Times New Roman" w:cs="Times New Roman"/>
          <w:b/>
        </w:rPr>
      </w:pPr>
    </w:p>
    <w:p w14:paraId="0A4A9039">
      <w:pPr>
        <w:rPr>
          <w:lang w:val="en-US"/>
        </w:rPr>
      </w:pPr>
      <w:bookmarkStart w:id="2" w:name="_Toc108100433"/>
    </w:p>
    <w:p w14:paraId="25BEC1DB">
      <w:pPr>
        <w:rPr>
          <w:lang w:val="en-US"/>
        </w:rPr>
      </w:pPr>
    </w:p>
    <w:p w14:paraId="5AD0C623">
      <w:pPr>
        <w:rPr>
          <w:lang w:val="en-US"/>
        </w:rPr>
      </w:pPr>
    </w:p>
    <w:p w14:paraId="25556F43">
      <w:pPr>
        <w:keepLines/>
        <w:spacing w:before="240" w:after="240" w:line="500" w:lineRule="exact"/>
        <w:jc w:val="center"/>
        <w:outlineLvl w:val="0"/>
        <w:rPr>
          <w:rFonts w:ascii="Times New Roman" w:hAnsi="Times New Roman" w:cs="Times New Roman"/>
          <w:b/>
          <w:kern w:val="2"/>
          <w:sz w:val="28"/>
          <w:szCs w:val="20"/>
          <w:lang w:val="en-US"/>
        </w:rPr>
      </w:pPr>
      <w:r>
        <w:rPr>
          <w:rFonts w:ascii="Times New Roman" w:hAnsi="Times New Roman" w:cs="Times New Roman"/>
          <w:b/>
          <w:kern w:val="2"/>
          <w:sz w:val="28"/>
          <w:szCs w:val="20"/>
          <w:lang w:val="en-US"/>
        </w:rPr>
        <w:t>第三章</w:t>
      </w:r>
      <w:r>
        <w:rPr>
          <w:rFonts w:ascii="Times New Roman" w:hAnsi="Times New Roman" w:cs="Times New Roman"/>
          <w:b/>
          <w:kern w:val="2"/>
          <w:sz w:val="28"/>
          <w:szCs w:val="20"/>
          <w:lang w:val="en-US"/>
        </w:rPr>
        <w:tab/>
      </w:r>
      <w:r>
        <w:rPr>
          <w:rFonts w:ascii="Times New Roman" w:hAnsi="Times New Roman" w:cs="Times New Roman"/>
          <w:b/>
          <w:kern w:val="2"/>
          <w:sz w:val="28"/>
          <w:szCs w:val="20"/>
          <w:lang w:val="en-US"/>
        </w:rPr>
        <w:t>投标人须知</w:t>
      </w:r>
      <w:bookmarkEnd w:id="2"/>
    </w:p>
    <w:p w14:paraId="0D8444A6">
      <w:pPr>
        <w:spacing w:after="2" w:line="360" w:lineRule="auto"/>
        <w:ind w:left="716" w:right="335"/>
        <w:jc w:val="center"/>
        <w:rPr>
          <w:rFonts w:ascii="Times New Roman" w:hAnsi="Times New Roman" w:cs="Times New Roman"/>
          <w:b/>
          <w:sz w:val="24"/>
        </w:rPr>
      </w:pPr>
      <w:r>
        <w:rPr>
          <w:rFonts w:ascii="Times New Roman" w:hAnsi="Times New Roman" w:cs="Times New Roman"/>
          <w:b/>
          <w:sz w:val="24"/>
        </w:rPr>
        <w:t>前附表</w:t>
      </w:r>
    </w:p>
    <w:tbl>
      <w:tblPr>
        <w:tblStyle w:val="50"/>
        <w:tblW w:w="9359"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162"/>
        <w:gridCol w:w="6477"/>
      </w:tblGrid>
      <w:tr w14:paraId="7231E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55292832">
            <w:pPr>
              <w:pStyle w:val="62"/>
              <w:spacing w:before="63"/>
              <w:jc w:val="center"/>
              <w:rPr>
                <w:rFonts w:ascii="Times New Roman" w:hAnsi="Times New Roman" w:cs="Times New Roman"/>
                <w:sz w:val="21"/>
              </w:rPr>
            </w:pPr>
            <w:r>
              <w:rPr>
                <w:rFonts w:ascii="Times New Roman" w:hAnsi="Times New Roman" w:cs="Times New Roman"/>
                <w:sz w:val="21"/>
              </w:rPr>
              <w:t>序号</w:t>
            </w:r>
          </w:p>
        </w:tc>
        <w:tc>
          <w:tcPr>
            <w:tcW w:w="2162" w:type="dxa"/>
            <w:vAlign w:val="center"/>
          </w:tcPr>
          <w:p w14:paraId="4905F392">
            <w:pPr>
              <w:pStyle w:val="62"/>
              <w:tabs>
                <w:tab w:val="left" w:pos="641"/>
              </w:tabs>
              <w:ind w:left="110" w:leftChars="50"/>
              <w:jc w:val="center"/>
              <w:rPr>
                <w:rFonts w:ascii="Times New Roman" w:hAnsi="Times New Roman" w:cs="Times New Roman"/>
                <w:sz w:val="21"/>
              </w:rPr>
            </w:pPr>
            <w:r>
              <w:rPr>
                <w:rFonts w:ascii="Times New Roman" w:hAnsi="Times New Roman" w:cs="Times New Roman"/>
                <w:sz w:val="21"/>
              </w:rPr>
              <w:t>名</w:t>
            </w:r>
            <w:r>
              <w:rPr>
                <w:rFonts w:ascii="Times New Roman" w:hAnsi="Times New Roman" w:cs="Times New Roman"/>
                <w:sz w:val="21"/>
              </w:rPr>
              <w:tab/>
            </w:r>
            <w:r>
              <w:rPr>
                <w:rFonts w:ascii="Times New Roman" w:hAnsi="Times New Roman" w:cs="Times New Roman"/>
                <w:sz w:val="21"/>
              </w:rPr>
              <w:t>称</w:t>
            </w:r>
          </w:p>
        </w:tc>
        <w:tc>
          <w:tcPr>
            <w:tcW w:w="6477" w:type="dxa"/>
            <w:vAlign w:val="center"/>
          </w:tcPr>
          <w:p w14:paraId="4F09C3B6">
            <w:pPr>
              <w:pStyle w:val="62"/>
              <w:tabs>
                <w:tab w:val="left" w:pos="747"/>
              </w:tabs>
              <w:spacing w:before="63"/>
              <w:ind w:left="110" w:leftChars="50" w:right="110" w:rightChars="50"/>
              <w:jc w:val="center"/>
              <w:rPr>
                <w:rFonts w:ascii="Times New Roman" w:hAnsi="Times New Roman" w:cs="Times New Roman"/>
                <w:sz w:val="21"/>
              </w:rPr>
            </w:pPr>
            <w:r>
              <w:rPr>
                <w:rFonts w:ascii="Times New Roman" w:hAnsi="Times New Roman" w:cs="Times New Roman"/>
                <w:sz w:val="21"/>
              </w:rPr>
              <w:t>内</w:t>
            </w:r>
            <w:r>
              <w:rPr>
                <w:rFonts w:ascii="Times New Roman" w:hAnsi="Times New Roman" w:cs="Times New Roman"/>
                <w:sz w:val="21"/>
              </w:rPr>
              <w:tab/>
            </w:r>
            <w:r>
              <w:rPr>
                <w:rFonts w:ascii="Times New Roman" w:hAnsi="Times New Roman" w:cs="Times New Roman"/>
                <w:sz w:val="21"/>
              </w:rPr>
              <w:t>容</w:t>
            </w:r>
          </w:p>
        </w:tc>
      </w:tr>
      <w:tr w14:paraId="372B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Align w:val="center"/>
          </w:tcPr>
          <w:p w14:paraId="03662D0E">
            <w:pPr>
              <w:pStyle w:val="62"/>
              <w:jc w:val="center"/>
              <w:rPr>
                <w:rFonts w:ascii="Times New Roman" w:hAnsi="Times New Roman" w:cs="Times New Roman"/>
                <w:sz w:val="21"/>
              </w:rPr>
            </w:pPr>
            <w:r>
              <w:rPr>
                <w:rFonts w:ascii="Times New Roman" w:hAnsi="Times New Roman" w:cs="Times New Roman"/>
                <w:sz w:val="21"/>
              </w:rPr>
              <w:t>1</w:t>
            </w:r>
          </w:p>
        </w:tc>
        <w:tc>
          <w:tcPr>
            <w:tcW w:w="2162" w:type="dxa"/>
            <w:vAlign w:val="center"/>
          </w:tcPr>
          <w:p w14:paraId="604B203B">
            <w:pPr>
              <w:pStyle w:val="62"/>
              <w:ind w:left="110" w:leftChars="50"/>
              <w:jc w:val="center"/>
              <w:rPr>
                <w:rFonts w:ascii="Times New Roman" w:hAnsi="Times New Roman" w:cs="Times New Roman"/>
                <w:sz w:val="21"/>
              </w:rPr>
            </w:pPr>
            <w:r>
              <w:rPr>
                <w:rFonts w:ascii="Times New Roman" w:hAnsi="Times New Roman" w:cs="Times New Roman"/>
                <w:sz w:val="21"/>
              </w:rPr>
              <w:t>采购人</w:t>
            </w:r>
          </w:p>
        </w:tc>
        <w:tc>
          <w:tcPr>
            <w:tcW w:w="6477" w:type="dxa"/>
            <w:vAlign w:val="center"/>
          </w:tcPr>
          <w:p w14:paraId="0CD4B510">
            <w:pPr>
              <w:pStyle w:val="62"/>
              <w:spacing w:before="1"/>
              <w:ind w:left="110" w:leftChars="50" w:right="110" w:rightChars="50"/>
              <w:rPr>
                <w:rFonts w:ascii="Times New Roman" w:hAnsi="Times New Roman" w:cs="Times New Roman"/>
                <w:sz w:val="21"/>
              </w:rPr>
            </w:pPr>
            <w:r>
              <w:rPr>
                <w:rFonts w:ascii="Times New Roman" w:hAnsi="Times New Roman" w:cs="Times New Roman"/>
                <w:sz w:val="21"/>
              </w:rPr>
              <w:t>名称：</w:t>
            </w:r>
            <w:r>
              <w:rPr>
                <w:rFonts w:hint="eastAsia" w:ascii="Times New Roman" w:hAnsi="Times New Roman" w:cs="Times New Roman"/>
                <w:sz w:val="21"/>
              </w:rPr>
              <w:t>海宁市合创开发建设有限公司、海宁经开产业园区开发建设有限公司</w:t>
            </w:r>
          </w:p>
          <w:p w14:paraId="45DBFD0E">
            <w:pPr>
              <w:pStyle w:val="62"/>
              <w:spacing w:before="1"/>
              <w:ind w:left="110" w:leftChars="50" w:right="110" w:rightChars="50"/>
              <w:rPr>
                <w:rFonts w:ascii="Times New Roman" w:hAnsi="Times New Roman" w:cs="Times New Roman"/>
                <w:sz w:val="21"/>
              </w:rPr>
            </w:pPr>
            <w:r>
              <w:rPr>
                <w:rFonts w:ascii="Times New Roman" w:hAnsi="Times New Roman" w:cs="Times New Roman"/>
                <w:sz w:val="21"/>
              </w:rPr>
              <w:t>地址：海宁市</w:t>
            </w:r>
            <w:r>
              <w:rPr>
                <w:rFonts w:hint="eastAsia" w:ascii="Times New Roman" w:hAnsi="Times New Roman" w:cs="Times New Roman"/>
                <w:sz w:val="21"/>
              </w:rPr>
              <w:t>海昌街道胜利社区</w:t>
            </w:r>
          </w:p>
          <w:p w14:paraId="5047B2A1">
            <w:pPr>
              <w:pStyle w:val="62"/>
              <w:tabs>
                <w:tab w:val="left" w:pos="2104"/>
              </w:tabs>
              <w:spacing w:before="1"/>
              <w:ind w:left="110" w:leftChars="50" w:right="110" w:rightChars="50"/>
              <w:rPr>
                <w:rFonts w:ascii="Times New Roman" w:hAnsi="Times New Roman" w:cs="Times New Roman"/>
                <w:sz w:val="21"/>
              </w:rPr>
            </w:pPr>
            <w:r>
              <w:rPr>
                <w:rFonts w:ascii="Times New Roman" w:hAnsi="Times New Roman" w:cs="Times New Roman"/>
                <w:sz w:val="21"/>
              </w:rPr>
              <w:t>联系</w:t>
            </w:r>
            <w:r>
              <w:rPr>
                <w:rFonts w:ascii="Times New Roman" w:hAnsi="Times New Roman" w:cs="Times New Roman"/>
                <w:spacing w:val="-3"/>
                <w:sz w:val="21"/>
              </w:rPr>
              <w:t>人</w:t>
            </w:r>
            <w:r>
              <w:rPr>
                <w:rFonts w:ascii="Times New Roman" w:hAnsi="Times New Roman" w:cs="Times New Roman"/>
                <w:sz w:val="21"/>
              </w:rPr>
              <w:t>：</w:t>
            </w:r>
            <w:r>
              <w:rPr>
                <w:rFonts w:ascii="Times New Roman" w:hAnsi="Times New Roman" w:cs="Times New Roman"/>
                <w:spacing w:val="-3"/>
                <w:sz w:val="21"/>
              </w:rPr>
              <w:t xml:space="preserve"> </w:t>
            </w:r>
            <w:r>
              <w:rPr>
                <w:rFonts w:hint="eastAsia" w:ascii="Times New Roman" w:hAnsi="Times New Roman" w:cs="Times New Roman"/>
                <w:spacing w:val="-3"/>
                <w:sz w:val="21"/>
              </w:rPr>
              <w:t>马先生</w:t>
            </w:r>
            <w:r>
              <w:rPr>
                <w:rFonts w:ascii="Times New Roman" w:hAnsi="Times New Roman" w:cs="Times New Roman"/>
                <w:sz w:val="21"/>
              </w:rPr>
              <w:tab/>
            </w:r>
            <w:r>
              <w:rPr>
                <w:rFonts w:ascii="Times New Roman" w:hAnsi="Times New Roman" w:cs="Times New Roman"/>
                <w:spacing w:val="-3"/>
                <w:sz w:val="21"/>
              </w:rPr>
              <w:t>联系</w:t>
            </w:r>
            <w:r>
              <w:rPr>
                <w:rFonts w:ascii="Times New Roman" w:hAnsi="Times New Roman" w:cs="Times New Roman"/>
                <w:sz w:val="21"/>
              </w:rPr>
              <w:t>电话：0573-87262007</w:t>
            </w:r>
          </w:p>
        </w:tc>
      </w:tr>
      <w:tr w14:paraId="5DD9A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trPr>
        <w:tc>
          <w:tcPr>
            <w:tcW w:w="720" w:type="dxa"/>
            <w:vAlign w:val="center"/>
          </w:tcPr>
          <w:p w14:paraId="2FBD42E2">
            <w:pPr>
              <w:pStyle w:val="62"/>
              <w:spacing w:before="1"/>
              <w:jc w:val="center"/>
              <w:rPr>
                <w:rFonts w:ascii="Times New Roman" w:hAnsi="Times New Roman" w:cs="Times New Roman"/>
                <w:sz w:val="21"/>
              </w:rPr>
            </w:pPr>
            <w:r>
              <w:rPr>
                <w:rFonts w:ascii="Times New Roman" w:hAnsi="Times New Roman" w:cs="Times New Roman"/>
                <w:sz w:val="21"/>
              </w:rPr>
              <w:t>2</w:t>
            </w:r>
          </w:p>
        </w:tc>
        <w:tc>
          <w:tcPr>
            <w:tcW w:w="2162" w:type="dxa"/>
            <w:vAlign w:val="center"/>
          </w:tcPr>
          <w:p w14:paraId="75424AAF">
            <w:pPr>
              <w:pStyle w:val="62"/>
              <w:ind w:left="110" w:leftChars="50"/>
              <w:jc w:val="center"/>
              <w:rPr>
                <w:rFonts w:ascii="Times New Roman" w:hAnsi="Times New Roman" w:cs="Times New Roman"/>
                <w:sz w:val="21"/>
              </w:rPr>
            </w:pPr>
            <w:r>
              <w:rPr>
                <w:rFonts w:ascii="Times New Roman" w:hAnsi="Times New Roman" w:cs="Times New Roman"/>
                <w:sz w:val="21"/>
              </w:rPr>
              <w:t>采购代理机构</w:t>
            </w:r>
          </w:p>
        </w:tc>
        <w:tc>
          <w:tcPr>
            <w:tcW w:w="6477" w:type="dxa"/>
            <w:vAlign w:val="center"/>
          </w:tcPr>
          <w:p w14:paraId="4E011C9E">
            <w:pPr>
              <w:pStyle w:val="62"/>
              <w:spacing w:before="3"/>
              <w:ind w:left="110" w:leftChars="50" w:right="110" w:rightChars="50"/>
              <w:rPr>
                <w:rFonts w:ascii="Times New Roman" w:hAnsi="Times New Roman" w:cs="Times New Roman"/>
                <w:sz w:val="21"/>
              </w:rPr>
            </w:pPr>
            <w:r>
              <w:rPr>
                <w:rFonts w:ascii="Times New Roman" w:hAnsi="Times New Roman" w:cs="Times New Roman"/>
                <w:sz w:val="21"/>
              </w:rPr>
              <w:t>名称：</w:t>
            </w:r>
            <w:r>
              <w:rPr>
                <w:rFonts w:hint="eastAsia" w:ascii="Times New Roman" w:hAnsi="Times New Roman" w:cs="Times New Roman"/>
                <w:sz w:val="21"/>
              </w:rPr>
              <w:t>浙江信益工程管理有限公司</w:t>
            </w:r>
          </w:p>
          <w:p w14:paraId="48960A26">
            <w:pPr>
              <w:pStyle w:val="62"/>
              <w:spacing w:before="2"/>
              <w:ind w:left="110" w:leftChars="50" w:right="110" w:rightChars="50"/>
              <w:rPr>
                <w:rFonts w:ascii="Times New Roman" w:hAnsi="Times New Roman" w:cs="Times New Roman"/>
                <w:sz w:val="21"/>
              </w:rPr>
            </w:pPr>
            <w:r>
              <w:rPr>
                <w:rFonts w:ascii="Times New Roman" w:hAnsi="Times New Roman" w:cs="Times New Roman"/>
                <w:sz w:val="21"/>
              </w:rPr>
              <w:t>地址：海宁市</w:t>
            </w:r>
            <w:r>
              <w:rPr>
                <w:rFonts w:hint="eastAsia" w:ascii="Times New Roman" w:hAnsi="Times New Roman" w:cs="Times New Roman"/>
                <w:sz w:val="21"/>
                <w:lang w:val="en-US"/>
              </w:rPr>
              <w:t>吉恩仕大厦5</w:t>
            </w:r>
            <w:r>
              <w:rPr>
                <w:rFonts w:ascii="Times New Roman" w:hAnsi="Times New Roman" w:cs="Times New Roman"/>
                <w:sz w:val="21"/>
              </w:rPr>
              <w:t>楼</w:t>
            </w:r>
          </w:p>
          <w:p w14:paraId="2C00C1F8">
            <w:pPr>
              <w:pStyle w:val="62"/>
              <w:tabs>
                <w:tab w:val="left" w:pos="2210"/>
                <w:tab w:val="left" w:pos="3575"/>
              </w:tabs>
              <w:spacing w:before="5"/>
              <w:ind w:left="110" w:leftChars="50" w:right="110" w:rightChars="50"/>
              <w:rPr>
                <w:rFonts w:ascii="Times New Roman" w:hAnsi="Times New Roman" w:cs="Times New Roman"/>
                <w:sz w:val="21"/>
                <w:lang w:val="en-US"/>
              </w:rPr>
            </w:pPr>
            <w:r>
              <w:rPr>
                <w:rFonts w:ascii="Times New Roman" w:hAnsi="Times New Roman" w:cs="Times New Roman"/>
                <w:sz w:val="21"/>
              </w:rPr>
              <w:t>联系</w:t>
            </w:r>
            <w:r>
              <w:rPr>
                <w:rFonts w:ascii="Times New Roman" w:hAnsi="Times New Roman" w:cs="Times New Roman"/>
                <w:spacing w:val="-3"/>
                <w:sz w:val="21"/>
              </w:rPr>
              <w:t>人</w:t>
            </w:r>
            <w:r>
              <w:rPr>
                <w:rFonts w:ascii="Times New Roman" w:hAnsi="Times New Roman" w:cs="Times New Roman"/>
                <w:sz w:val="21"/>
              </w:rPr>
              <w:t>：</w:t>
            </w:r>
            <w:r>
              <w:rPr>
                <w:rFonts w:hint="eastAsia" w:ascii="Times New Roman" w:hAnsi="Times New Roman" w:cs="Times New Roman"/>
                <w:spacing w:val="-3"/>
                <w:sz w:val="21"/>
                <w:lang w:val="en-US"/>
              </w:rPr>
              <w:t>朱先生</w:t>
            </w:r>
            <w:r>
              <w:rPr>
                <w:rFonts w:ascii="Times New Roman" w:hAnsi="Times New Roman" w:cs="Times New Roman"/>
                <w:sz w:val="21"/>
              </w:rPr>
              <w:tab/>
            </w:r>
            <w:r>
              <w:rPr>
                <w:rFonts w:ascii="Times New Roman" w:hAnsi="Times New Roman" w:cs="Times New Roman"/>
                <w:spacing w:val="-3"/>
                <w:sz w:val="21"/>
              </w:rPr>
              <w:t>联</w:t>
            </w:r>
            <w:r>
              <w:rPr>
                <w:rFonts w:ascii="Times New Roman" w:hAnsi="Times New Roman" w:cs="Times New Roman"/>
                <w:sz w:val="21"/>
              </w:rPr>
              <w:t>系电</w:t>
            </w:r>
            <w:r>
              <w:rPr>
                <w:rFonts w:ascii="Times New Roman" w:hAnsi="Times New Roman" w:cs="Times New Roman"/>
                <w:spacing w:val="-3"/>
                <w:sz w:val="21"/>
              </w:rPr>
              <w:t>话</w:t>
            </w:r>
            <w:r>
              <w:rPr>
                <w:rFonts w:ascii="Times New Roman" w:hAnsi="Times New Roman" w:cs="Times New Roman"/>
                <w:sz w:val="21"/>
              </w:rPr>
              <w:t>：0573-87</w:t>
            </w:r>
            <w:r>
              <w:rPr>
                <w:rFonts w:hint="eastAsia" w:ascii="Times New Roman" w:hAnsi="Times New Roman" w:cs="Times New Roman"/>
                <w:sz w:val="21"/>
                <w:lang w:val="en-US"/>
              </w:rPr>
              <w:t>318570</w:t>
            </w:r>
          </w:p>
        </w:tc>
      </w:tr>
      <w:tr w14:paraId="40C9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42E4FC5C">
            <w:pPr>
              <w:pStyle w:val="62"/>
              <w:spacing w:before="157"/>
              <w:jc w:val="center"/>
              <w:rPr>
                <w:rFonts w:ascii="Times New Roman" w:hAnsi="Times New Roman" w:cs="Times New Roman"/>
                <w:sz w:val="21"/>
              </w:rPr>
            </w:pPr>
            <w:r>
              <w:rPr>
                <w:rFonts w:ascii="Times New Roman" w:hAnsi="Times New Roman" w:cs="Times New Roman"/>
                <w:sz w:val="21"/>
              </w:rPr>
              <w:t>3</w:t>
            </w:r>
          </w:p>
        </w:tc>
        <w:tc>
          <w:tcPr>
            <w:tcW w:w="2162" w:type="dxa"/>
            <w:vAlign w:val="center"/>
          </w:tcPr>
          <w:p w14:paraId="798A695E">
            <w:pPr>
              <w:pStyle w:val="62"/>
              <w:ind w:left="110" w:leftChars="50"/>
              <w:jc w:val="center"/>
              <w:rPr>
                <w:rFonts w:ascii="Times New Roman" w:hAnsi="Times New Roman" w:cs="Times New Roman"/>
                <w:sz w:val="21"/>
              </w:rPr>
            </w:pPr>
            <w:r>
              <w:rPr>
                <w:rFonts w:ascii="Times New Roman" w:hAnsi="Times New Roman" w:cs="Times New Roman"/>
                <w:sz w:val="21"/>
              </w:rPr>
              <w:t>项目名称及编号</w:t>
            </w:r>
          </w:p>
        </w:tc>
        <w:tc>
          <w:tcPr>
            <w:tcW w:w="6477" w:type="dxa"/>
            <w:vAlign w:val="center"/>
          </w:tcPr>
          <w:p w14:paraId="50E7710A">
            <w:pPr>
              <w:pStyle w:val="62"/>
              <w:spacing w:before="22"/>
              <w:ind w:left="110" w:leftChars="50" w:right="110" w:rightChars="50"/>
              <w:rPr>
                <w:rFonts w:ascii="Times New Roman" w:hAnsi="Times New Roman" w:cs="Times New Roman"/>
                <w:sz w:val="21"/>
              </w:rPr>
            </w:pPr>
            <w:r>
              <w:rPr>
                <w:rFonts w:hint="eastAsia" w:ascii="Times New Roman" w:hAnsi="Times New Roman" w:cs="Times New Roman"/>
                <w:sz w:val="21"/>
              </w:rPr>
              <w:t>泛半导体产业园二、四期园区安装充电桩采购</w:t>
            </w:r>
          </w:p>
          <w:p w14:paraId="58D7DD72">
            <w:pPr>
              <w:pStyle w:val="62"/>
              <w:spacing w:before="3"/>
              <w:ind w:left="110" w:leftChars="50" w:right="110" w:rightChars="50"/>
              <w:rPr>
                <w:rFonts w:ascii="Times New Roman" w:hAnsi="Times New Roman" w:cs="Times New Roman"/>
                <w:sz w:val="21"/>
              </w:rPr>
            </w:pPr>
            <w:r>
              <w:rPr>
                <w:rFonts w:ascii="Times New Roman" w:hAnsi="Times New Roman" w:cs="Times New Roman"/>
                <w:sz w:val="21"/>
              </w:rPr>
              <w:t>（</w:t>
            </w:r>
            <w:r>
              <w:rPr>
                <w:rFonts w:hint="eastAsia" w:ascii="Times New Roman" w:hAnsi="Times New Roman" w:cs="Times New Roman"/>
                <w:sz w:val="21"/>
              </w:rPr>
              <w:t>XYCG2025009</w:t>
            </w:r>
            <w:r>
              <w:rPr>
                <w:rFonts w:ascii="Times New Roman" w:hAnsi="Times New Roman" w:cs="Times New Roman"/>
                <w:sz w:val="21"/>
              </w:rPr>
              <w:t>）</w:t>
            </w:r>
          </w:p>
        </w:tc>
      </w:tr>
      <w:tr w14:paraId="5EAC9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66533139">
            <w:pPr>
              <w:pStyle w:val="62"/>
              <w:spacing w:before="152"/>
              <w:jc w:val="center"/>
              <w:rPr>
                <w:rFonts w:ascii="Times New Roman" w:hAnsi="Times New Roman" w:cs="Times New Roman"/>
                <w:sz w:val="21"/>
              </w:rPr>
            </w:pPr>
            <w:r>
              <w:rPr>
                <w:rFonts w:ascii="Times New Roman" w:hAnsi="Times New Roman" w:cs="Times New Roman"/>
                <w:sz w:val="21"/>
              </w:rPr>
              <w:t>4</w:t>
            </w:r>
          </w:p>
        </w:tc>
        <w:tc>
          <w:tcPr>
            <w:tcW w:w="2162" w:type="dxa"/>
            <w:vAlign w:val="center"/>
          </w:tcPr>
          <w:p w14:paraId="1E8D5926">
            <w:pPr>
              <w:pStyle w:val="62"/>
              <w:ind w:left="110" w:leftChars="50" w:right="110" w:rightChars="50"/>
              <w:jc w:val="center"/>
              <w:rPr>
                <w:rFonts w:ascii="Times New Roman" w:hAnsi="Times New Roman" w:cs="Times New Roman"/>
                <w:sz w:val="21"/>
              </w:rPr>
            </w:pPr>
            <w:r>
              <w:rPr>
                <w:rFonts w:ascii="Times New Roman" w:hAnsi="Times New Roman" w:cs="Times New Roman"/>
                <w:sz w:val="21"/>
              </w:rPr>
              <w:t>预算金额</w:t>
            </w:r>
          </w:p>
        </w:tc>
        <w:tc>
          <w:tcPr>
            <w:tcW w:w="6477" w:type="dxa"/>
            <w:vAlign w:val="center"/>
          </w:tcPr>
          <w:p w14:paraId="7A0729C8">
            <w:pPr>
              <w:pStyle w:val="62"/>
              <w:spacing w:before="152"/>
              <w:ind w:left="110" w:leftChars="50" w:right="110" w:rightChars="50"/>
              <w:rPr>
                <w:rFonts w:ascii="Times New Roman" w:hAnsi="Times New Roman" w:cs="Times New Roman"/>
                <w:color w:val="FF0000"/>
                <w:sz w:val="21"/>
              </w:rPr>
            </w:pPr>
            <w:r>
              <w:rPr>
                <w:rFonts w:hint="eastAsia" w:ascii="Times New Roman" w:hAnsi="Times New Roman" w:cs="Times New Roman"/>
                <w:color w:val="FF0000"/>
                <w:sz w:val="21"/>
                <w:lang w:val="en-US" w:eastAsia="zh-CN"/>
              </w:rPr>
              <w:t>286852</w:t>
            </w:r>
            <w:r>
              <w:rPr>
                <w:rFonts w:ascii="Times New Roman" w:hAnsi="Times New Roman" w:cs="Times New Roman"/>
                <w:color w:val="FF0000"/>
                <w:sz w:val="21"/>
              </w:rPr>
              <w:t>元</w:t>
            </w:r>
          </w:p>
        </w:tc>
      </w:tr>
      <w:tr w14:paraId="3E1A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05DD9B95">
            <w:pPr>
              <w:pStyle w:val="62"/>
              <w:spacing w:before="152"/>
              <w:jc w:val="center"/>
              <w:rPr>
                <w:rFonts w:ascii="Times New Roman" w:hAnsi="Times New Roman" w:cs="Times New Roman"/>
                <w:sz w:val="21"/>
              </w:rPr>
            </w:pPr>
            <w:r>
              <w:rPr>
                <w:rFonts w:ascii="Times New Roman" w:hAnsi="Times New Roman" w:cs="Times New Roman"/>
                <w:sz w:val="21"/>
              </w:rPr>
              <w:t>5</w:t>
            </w:r>
          </w:p>
        </w:tc>
        <w:tc>
          <w:tcPr>
            <w:tcW w:w="2162" w:type="dxa"/>
            <w:vAlign w:val="center"/>
          </w:tcPr>
          <w:p w14:paraId="016853B6">
            <w:pPr>
              <w:pStyle w:val="62"/>
              <w:ind w:left="110" w:leftChars="50" w:right="110" w:rightChars="50"/>
              <w:jc w:val="center"/>
              <w:rPr>
                <w:rFonts w:ascii="Times New Roman" w:hAnsi="Times New Roman" w:cs="Times New Roman"/>
                <w:sz w:val="21"/>
              </w:rPr>
            </w:pPr>
            <w:r>
              <w:rPr>
                <w:rFonts w:ascii="Times New Roman" w:hAnsi="Times New Roman" w:cs="Times New Roman"/>
                <w:sz w:val="21"/>
              </w:rPr>
              <w:t>交付时间</w:t>
            </w:r>
          </w:p>
        </w:tc>
        <w:tc>
          <w:tcPr>
            <w:tcW w:w="6477" w:type="dxa"/>
            <w:vAlign w:val="center"/>
          </w:tcPr>
          <w:p w14:paraId="07D64070">
            <w:pPr>
              <w:pStyle w:val="62"/>
              <w:spacing w:before="14"/>
              <w:ind w:left="110" w:leftChars="50" w:right="110" w:rightChars="50"/>
              <w:rPr>
                <w:rFonts w:ascii="Times New Roman" w:hAnsi="Times New Roman" w:cs="Times New Roman"/>
                <w:sz w:val="21"/>
              </w:rPr>
            </w:pPr>
            <w:r>
              <w:rPr>
                <w:rFonts w:hint="eastAsia" w:ascii="Times New Roman" w:hAnsi="Times New Roman" w:cs="Times New Roman"/>
                <w:spacing w:val="-5"/>
                <w:sz w:val="21"/>
              </w:rPr>
              <w:t>60日历天</w:t>
            </w:r>
            <w:r>
              <w:rPr>
                <w:rFonts w:ascii="Times New Roman" w:hAnsi="Times New Roman" w:cs="Times New Roman"/>
                <w:spacing w:val="-10"/>
                <w:sz w:val="21"/>
              </w:rPr>
              <w:t>完成安装调试并通过验收交付</w:t>
            </w:r>
            <w:r>
              <w:rPr>
                <w:rFonts w:ascii="Times New Roman" w:hAnsi="Times New Roman" w:cs="Times New Roman"/>
                <w:sz w:val="21"/>
              </w:rPr>
              <w:t>。</w:t>
            </w:r>
          </w:p>
        </w:tc>
      </w:tr>
      <w:tr w14:paraId="44C54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2DE5E754">
            <w:pPr>
              <w:pStyle w:val="62"/>
              <w:spacing w:before="109"/>
              <w:jc w:val="center"/>
              <w:rPr>
                <w:rFonts w:ascii="Times New Roman" w:hAnsi="Times New Roman" w:cs="Times New Roman"/>
                <w:sz w:val="21"/>
              </w:rPr>
            </w:pPr>
            <w:r>
              <w:rPr>
                <w:rFonts w:ascii="Times New Roman" w:hAnsi="Times New Roman" w:cs="Times New Roman"/>
                <w:sz w:val="21"/>
              </w:rPr>
              <w:t>6</w:t>
            </w:r>
          </w:p>
        </w:tc>
        <w:tc>
          <w:tcPr>
            <w:tcW w:w="2162" w:type="dxa"/>
            <w:vAlign w:val="center"/>
          </w:tcPr>
          <w:p w14:paraId="3E24BB9E">
            <w:pPr>
              <w:pStyle w:val="62"/>
              <w:ind w:left="110" w:leftChars="50" w:right="110" w:rightChars="50"/>
              <w:jc w:val="center"/>
              <w:rPr>
                <w:rFonts w:ascii="Times New Roman" w:hAnsi="Times New Roman" w:cs="Times New Roman"/>
                <w:sz w:val="21"/>
              </w:rPr>
            </w:pPr>
            <w:r>
              <w:rPr>
                <w:rFonts w:ascii="Times New Roman" w:hAnsi="Times New Roman" w:cs="Times New Roman"/>
                <w:sz w:val="21"/>
              </w:rPr>
              <w:t>是否接受联合体</w:t>
            </w:r>
          </w:p>
        </w:tc>
        <w:tc>
          <w:tcPr>
            <w:tcW w:w="6477" w:type="dxa"/>
            <w:vAlign w:val="center"/>
          </w:tcPr>
          <w:p w14:paraId="0C54B081">
            <w:pPr>
              <w:pStyle w:val="62"/>
              <w:spacing w:before="109"/>
              <w:ind w:left="110" w:leftChars="50" w:right="110" w:rightChars="50"/>
              <w:rPr>
                <w:rFonts w:ascii="Times New Roman" w:hAnsi="Times New Roman" w:cs="Times New Roman"/>
                <w:sz w:val="21"/>
              </w:rPr>
            </w:pPr>
            <w:r>
              <w:rPr>
                <w:rFonts w:hint="eastAsia" w:ascii="Times New Roman" w:hAnsi="Times New Roman" w:cs="Times New Roman"/>
                <w:sz w:val="21"/>
              </w:rPr>
              <w:t>不</w:t>
            </w:r>
            <w:r>
              <w:rPr>
                <w:rFonts w:ascii="Times New Roman" w:hAnsi="Times New Roman" w:cs="Times New Roman"/>
                <w:sz w:val="21"/>
              </w:rPr>
              <w:t>接受</w:t>
            </w:r>
          </w:p>
        </w:tc>
      </w:tr>
      <w:tr w14:paraId="3867F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20" w:type="dxa"/>
            <w:vAlign w:val="center"/>
          </w:tcPr>
          <w:p w14:paraId="36048751">
            <w:pPr>
              <w:pStyle w:val="62"/>
              <w:spacing w:before="1"/>
              <w:jc w:val="center"/>
              <w:rPr>
                <w:rFonts w:ascii="Times New Roman" w:hAnsi="Times New Roman" w:cs="Times New Roman"/>
                <w:sz w:val="21"/>
              </w:rPr>
            </w:pPr>
            <w:r>
              <w:rPr>
                <w:rFonts w:ascii="Times New Roman" w:hAnsi="Times New Roman" w:cs="Times New Roman"/>
                <w:sz w:val="21"/>
              </w:rPr>
              <w:t>7</w:t>
            </w:r>
          </w:p>
        </w:tc>
        <w:tc>
          <w:tcPr>
            <w:tcW w:w="2162" w:type="dxa"/>
            <w:vAlign w:val="center"/>
          </w:tcPr>
          <w:p w14:paraId="5307E04C">
            <w:pPr>
              <w:pStyle w:val="62"/>
              <w:ind w:left="110" w:leftChars="50" w:right="110" w:rightChars="50"/>
              <w:jc w:val="center"/>
              <w:rPr>
                <w:rFonts w:ascii="Times New Roman" w:hAnsi="Times New Roman" w:cs="Times New Roman"/>
                <w:sz w:val="21"/>
              </w:rPr>
            </w:pPr>
            <w:r>
              <w:rPr>
                <w:rFonts w:ascii="Times New Roman" w:hAnsi="Times New Roman" w:cs="Times New Roman"/>
                <w:sz w:val="21"/>
              </w:rPr>
              <w:t>现场踏勘</w:t>
            </w:r>
          </w:p>
        </w:tc>
        <w:tc>
          <w:tcPr>
            <w:tcW w:w="6477" w:type="dxa"/>
            <w:vAlign w:val="center"/>
          </w:tcPr>
          <w:p w14:paraId="3E223CCC">
            <w:pPr>
              <w:pStyle w:val="62"/>
              <w:spacing w:before="32"/>
              <w:ind w:left="110" w:leftChars="50" w:right="110" w:rightChars="50"/>
              <w:jc w:val="both"/>
              <w:rPr>
                <w:rFonts w:ascii="Times New Roman" w:hAnsi="Times New Roman" w:cs="Times New Roman"/>
                <w:sz w:val="21"/>
              </w:rPr>
            </w:pPr>
            <w:r>
              <w:rPr>
                <w:rFonts w:ascii="Times New Roman" w:hAnsi="Times New Roman" w:cs="Times New Roman"/>
                <w:sz w:val="21"/>
              </w:rPr>
              <w:t>投标人可自行组织对现场及周围环境进行踏勘，以便投标人获取须自己负责的有关编制投标文件和签署合同所需的所有资料。踏勘现场所发生的费用由投标人自己承担。</w:t>
            </w:r>
          </w:p>
          <w:p w14:paraId="2CBB4374">
            <w:pPr>
              <w:pStyle w:val="62"/>
              <w:spacing w:before="3"/>
              <w:ind w:left="110" w:leftChars="50" w:right="110" w:rightChars="50"/>
              <w:jc w:val="both"/>
              <w:rPr>
                <w:rFonts w:ascii="Times New Roman" w:hAnsi="Times New Roman" w:cs="Times New Roman"/>
                <w:sz w:val="21"/>
              </w:rPr>
            </w:pPr>
            <w:r>
              <w:rPr>
                <w:rFonts w:ascii="Times New Roman" w:hAnsi="Times New Roman" w:cs="Times New Roman"/>
                <w:sz w:val="21"/>
              </w:rPr>
              <w:t>采购代理机构向投标人提供的有关现场的资料数据，是采购代理机构现有的能使投标人利用的资料。采购代理机构对投标人由此而做出的推论、理解和结论概不负责。</w:t>
            </w:r>
          </w:p>
          <w:p w14:paraId="44C01CF4">
            <w:pPr>
              <w:pStyle w:val="62"/>
              <w:spacing w:before="1"/>
              <w:ind w:left="110" w:leftChars="50" w:right="110" w:rightChars="50"/>
              <w:rPr>
                <w:rFonts w:ascii="Times New Roman" w:hAnsi="Times New Roman" w:cs="Times New Roman"/>
                <w:sz w:val="21"/>
              </w:rPr>
            </w:pPr>
            <w:r>
              <w:rPr>
                <w:rFonts w:ascii="Times New Roman" w:hAnsi="Times New Roman" w:cs="Times New Roman"/>
                <w:spacing w:val="-6"/>
                <w:sz w:val="21"/>
              </w:rPr>
              <w:t>投标人及其人员经过采购代理机构的允许，可为踏勘目的进入现场， 但投标人及其人员不得因此使采购人及其人员承担有关的责任和蒙受损失。投标人应对由此次踏勘现场而造成的包括人身伤害、财产</w:t>
            </w:r>
            <w:r>
              <w:rPr>
                <w:rFonts w:ascii="Times New Roman" w:hAnsi="Times New Roman" w:cs="Times New Roman"/>
                <w:spacing w:val="-10"/>
                <w:sz w:val="21"/>
              </w:rPr>
              <w:t>损失、损害以及任何其它损失、损害和引起的费用和开支承担责任。</w:t>
            </w:r>
          </w:p>
        </w:tc>
      </w:tr>
      <w:tr w14:paraId="7BB86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374D47BB">
            <w:pPr>
              <w:pStyle w:val="62"/>
              <w:jc w:val="center"/>
              <w:rPr>
                <w:rFonts w:ascii="Times New Roman" w:hAnsi="Times New Roman" w:cs="Times New Roman"/>
                <w:sz w:val="21"/>
                <w:highlight w:val="yellow"/>
              </w:rPr>
            </w:pPr>
            <w:r>
              <w:rPr>
                <w:rFonts w:ascii="Times New Roman" w:hAnsi="Times New Roman" w:cs="Times New Roman"/>
                <w:sz w:val="21"/>
                <w:highlight w:val="yellow"/>
              </w:rPr>
              <w:t>8</w:t>
            </w:r>
          </w:p>
        </w:tc>
        <w:tc>
          <w:tcPr>
            <w:tcW w:w="2162" w:type="dxa"/>
            <w:vAlign w:val="center"/>
          </w:tcPr>
          <w:p w14:paraId="099120FB">
            <w:pPr>
              <w:pStyle w:val="62"/>
              <w:spacing w:before="1"/>
              <w:ind w:left="110" w:leftChars="50" w:right="110" w:rightChars="50"/>
              <w:jc w:val="center"/>
              <w:rPr>
                <w:rFonts w:ascii="Times New Roman" w:hAnsi="Times New Roman" w:cs="Times New Roman"/>
                <w:spacing w:val="-10"/>
                <w:sz w:val="21"/>
                <w:highlight w:val="yellow"/>
              </w:rPr>
            </w:pPr>
            <w:r>
              <w:rPr>
                <w:rFonts w:hint="eastAsia" w:ascii="Times New Roman" w:hAnsi="Times New Roman" w:cs="Times New Roman"/>
                <w:spacing w:val="-10"/>
                <w:sz w:val="21"/>
                <w:highlight w:val="yellow"/>
              </w:rPr>
              <w:t>投标截止时间和开标时间</w:t>
            </w:r>
          </w:p>
        </w:tc>
        <w:tc>
          <w:tcPr>
            <w:tcW w:w="6477" w:type="dxa"/>
            <w:vAlign w:val="center"/>
          </w:tcPr>
          <w:p w14:paraId="4FB57B4F">
            <w:pPr>
              <w:pStyle w:val="62"/>
              <w:spacing w:before="1"/>
              <w:ind w:left="110" w:leftChars="50" w:right="110" w:rightChars="50"/>
              <w:rPr>
                <w:rFonts w:ascii="Times New Roman" w:hAnsi="Times New Roman" w:cs="Times New Roman"/>
                <w:spacing w:val="-10"/>
                <w:sz w:val="21"/>
                <w:highlight w:val="yellow"/>
              </w:rPr>
            </w:pPr>
            <w:r>
              <w:rPr>
                <w:rFonts w:hint="eastAsia" w:ascii="Times New Roman" w:hAnsi="Times New Roman" w:cs="Times New Roman"/>
                <w:spacing w:val="-10"/>
                <w:sz w:val="21"/>
                <w:highlight w:val="yellow"/>
                <w:lang w:eastAsia="zh-CN"/>
              </w:rPr>
              <w:t>2025年7月3日</w:t>
            </w:r>
            <w:r>
              <w:rPr>
                <w:rFonts w:hint="eastAsia" w:ascii="Times New Roman" w:hAnsi="Times New Roman" w:cs="Times New Roman"/>
                <w:spacing w:val="-10"/>
                <w:sz w:val="21"/>
                <w:highlight w:val="yellow"/>
                <w:lang w:val="en-US"/>
              </w:rPr>
              <w:t>14</w:t>
            </w:r>
            <w:r>
              <w:rPr>
                <w:rFonts w:hint="eastAsia" w:ascii="Times New Roman" w:hAnsi="Times New Roman" w:cs="Times New Roman"/>
                <w:spacing w:val="-10"/>
                <w:sz w:val="21"/>
                <w:highlight w:val="yellow"/>
              </w:rPr>
              <w:t>时</w:t>
            </w:r>
            <w:r>
              <w:rPr>
                <w:rFonts w:hint="eastAsia" w:ascii="Times New Roman" w:hAnsi="Times New Roman" w:cs="Times New Roman"/>
                <w:spacing w:val="-10"/>
                <w:sz w:val="21"/>
                <w:highlight w:val="yellow"/>
                <w:lang w:val="en-US" w:eastAsia="zh-CN"/>
              </w:rPr>
              <w:t>30</w:t>
            </w:r>
            <w:r>
              <w:rPr>
                <w:rFonts w:hint="eastAsia" w:ascii="Times New Roman" w:hAnsi="Times New Roman" w:cs="Times New Roman"/>
                <w:spacing w:val="-10"/>
                <w:sz w:val="21"/>
                <w:highlight w:val="yellow"/>
              </w:rPr>
              <w:t>分</w:t>
            </w:r>
          </w:p>
          <w:p w14:paraId="7EDC2E79">
            <w:pPr>
              <w:pStyle w:val="62"/>
              <w:spacing w:before="1"/>
              <w:ind w:left="110" w:leftChars="50" w:right="110" w:rightChars="50"/>
              <w:rPr>
                <w:rFonts w:ascii="Times New Roman" w:hAnsi="Times New Roman" w:cs="Times New Roman"/>
                <w:spacing w:val="-10"/>
                <w:sz w:val="21"/>
                <w:highlight w:val="yellow"/>
              </w:rPr>
            </w:pPr>
            <w:r>
              <w:rPr>
                <w:rFonts w:hint="eastAsia" w:ascii="Times New Roman" w:hAnsi="Times New Roman" w:cs="Times New Roman"/>
                <w:spacing w:val="-10"/>
                <w:sz w:val="21"/>
                <w:highlight w:val="yellow"/>
              </w:rPr>
              <w:t>本项目有关投标、开标时间以平台服务器时间为准。</w:t>
            </w:r>
          </w:p>
        </w:tc>
      </w:tr>
      <w:tr w14:paraId="45E7C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30BFD923">
            <w:pPr>
              <w:pStyle w:val="62"/>
              <w:spacing w:before="159"/>
              <w:jc w:val="center"/>
              <w:rPr>
                <w:rFonts w:ascii="Times New Roman" w:hAnsi="Times New Roman" w:cs="Times New Roman"/>
                <w:sz w:val="21"/>
                <w:highlight w:val="yellow"/>
              </w:rPr>
            </w:pPr>
            <w:r>
              <w:rPr>
                <w:rFonts w:ascii="Times New Roman" w:hAnsi="Times New Roman" w:cs="Times New Roman"/>
                <w:sz w:val="21"/>
                <w:highlight w:val="yellow"/>
              </w:rPr>
              <w:t>9</w:t>
            </w:r>
          </w:p>
        </w:tc>
        <w:tc>
          <w:tcPr>
            <w:tcW w:w="2162" w:type="dxa"/>
            <w:shd w:val="clear" w:color="auto" w:fill="auto"/>
            <w:vAlign w:val="center"/>
          </w:tcPr>
          <w:p w14:paraId="79C63C55">
            <w:pPr>
              <w:pStyle w:val="62"/>
              <w:ind w:left="110" w:leftChars="50" w:right="110" w:rightChars="50"/>
              <w:jc w:val="center"/>
              <w:rPr>
                <w:rFonts w:ascii="Times New Roman" w:hAnsi="Times New Roman" w:eastAsia="宋体" w:cs="Times New Roman"/>
                <w:sz w:val="21"/>
                <w:szCs w:val="22"/>
                <w:lang w:val="zh-CN" w:eastAsia="zh-CN" w:bidi="ar-SA"/>
              </w:rPr>
            </w:pPr>
            <w:r>
              <w:rPr>
                <w:rFonts w:ascii="Times New Roman" w:hAnsi="Times New Roman" w:cs="Times New Roman"/>
                <w:sz w:val="21"/>
              </w:rPr>
              <w:t>投标保证金额及交纳截止时间</w:t>
            </w:r>
          </w:p>
        </w:tc>
        <w:tc>
          <w:tcPr>
            <w:tcW w:w="6477" w:type="dxa"/>
            <w:shd w:val="clear" w:color="auto" w:fill="auto"/>
            <w:vAlign w:val="center"/>
          </w:tcPr>
          <w:p w14:paraId="6A5485AF">
            <w:pPr>
              <w:pStyle w:val="62"/>
              <w:spacing w:before="157"/>
              <w:ind w:left="110" w:leftChars="50" w:right="110" w:rightChars="50"/>
              <w:rPr>
                <w:rFonts w:ascii="Times New Roman" w:hAnsi="Times New Roman" w:eastAsia="宋体" w:cs="Times New Roman"/>
                <w:sz w:val="21"/>
                <w:szCs w:val="22"/>
                <w:lang w:val="zh-CN" w:eastAsia="zh-CN" w:bidi="ar-SA"/>
              </w:rPr>
            </w:pPr>
            <w:r>
              <w:rPr>
                <w:rFonts w:ascii="Times New Roman" w:hAnsi="Times New Roman" w:cs="Times New Roman"/>
                <w:sz w:val="21"/>
              </w:rPr>
              <w:t>投标保证金：无</w:t>
            </w:r>
          </w:p>
        </w:tc>
      </w:tr>
      <w:tr w14:paraId="11AB7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0426DEA7">
            <w:pPr>
              <w:pStyle w:val="62"/>
              <w:spacing w:before="157"/>
              <w:jc w:val="center"/>
              <w:rPr>
                <w:rFonts w:ascii="Times New Roman" w:hAnsi="Times New Roman" w:cs="Times New Roman"/>
                <w:sz w:val="21"/>
              </w:rPr>
            </w:pPr>
            <w:r>
              <w:rPr>
                <w:rFonts w:ascii="Times New Roman" w:hAnsi="Times New Roman" w:cs="Times New Roman"/>
                <w:sz w:val="21"/>
              </w:rPr>
              <w:t>10</w:t>
            </w:r>
          </w:p>
        </w:tc>
        <w:tc>
          <w:tcPr>
            <w:tcW w:w="2162" w:type="dxa"/>
            <w:shd w:val="clear" w:color="auto" w:fill="auto"/>
            <w:vAlign w:val="center"/>
          </w:tcPr>
          <w:p w14:paraId="2FFF3445">
            <w:pPr>
              <w:pStyle w:val="62"/>
              <w:ind w:left="110" w:leftChars="50" w:right="110" w:rightChars="50"/>
              <w:jc w:val="center"/>
              <w:rPr>
                <w:rFonts w:ascii="Times New Roman" w:hAnsi="Times New Roman" w:eastAsia="宋体" w:cs="Times New Roman"/>
                <w:sz w:val="21"/>
                <w:szCs w:val="22"/>
                <w:lang w:val="zh-CN" w:eastAsia="zh-CN" w:bidi="ar-SA"/>
              </w:rPr>
            </w:pPr>
            <w:r>
              <w:rPr>
                <w:rFonts w:hint="eastAsia" w:ascii="Times New Roman" w:hAnsi="Times New Roman" w:cs="Times New Roman"/>
                <w:sz w:val="21"/>
              </w:rPr>
              <w:t>电子投标文件的制作、加密、传输递交</w:t>
            </w:r>
          </w:p>
        </w:tc>
        <w:tc>
          <w:tcPr>
            <w:tcW w:w="6477" w:type="dxa"/>
            <w:shd w:val="clear" w:color="auto" w:fill="auto"/>
            <w:vAlign w:val="center"/>
          </w:tcPr>
          <w:p w14:paraId="452B8C2B">
            <w:pPr>
              <w:pStyle w:val="62"/>
              <w:ind w:left="110" w:leftChars="50" w:right="110" w:rightChars="50"/>
              <w:rPr>
                <w:rFonts w:ascii="Times New Roman" w:hAnsi="Times New Roman" w:eastAsia="宋体" w:cs="Times New Roman"/>
                <w:sz w:val="21"/>
                <w:szCs w:val="22"/>
                <w:lang w:val="zh-CN" w:eastAsia="zh-CN" w:bidi="ar-SA"/>
              </w:rPr>
            </w:pPr>
            <w:r>
              <w:rPr>
                <w:rFonts w:hint="eastAsia" w:ascii="Times New Roman" w:hAnsi="Times New Roman" w:cs="Times New Roman"/>
                <w:sz w:val="21"/>
              </w:rPr>
              <w:t>按本招标文件要求制作、加密，电子投标文件中所须加盖公章部分均采用CA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tc>
      </w:tr>
      <w:tr w14:paraId="06329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720" w:type="dxa"/>
            <w:vAlign w:val="center"/>
          </w:tcPr>
          <w:p w14:paraId="7F2A3BE0">
            <w:pPr>
              <w:pStyle w:val="62"/>
              <w:jc w:val="center"/>
              <w:rPr>
                <w:rFonts w:ascii="Times New Roman" w:hAnsi="Times New Roman" w:cs="Times New Roman"/>
                <w:sz w:val="21"/>
              </w:rPr>
            </w:pPr>
            <w:r>
              <w:rPr>
                <w:rFonts w:ascii="Times New Roman" w:hAnsi="Times New Roman" w:cs="Times New Roman"/>
                <w:sz w:val="21"/>
              </w:rPr>
              <w:t>11</w:t>
            </w:r>
          </w:p>
        </w:tc>
        <w:tc>
          <w:tcPr>
            <w:tcW w:w="2162" w:type="dxa"/>
            <w:shd w:val="clear" w:color="auto" w:fill="auto"/>
            <w:vAlign w:val="center"/>
          </w:tcPr>
          <w:p w14:paraId="253A3F1E">
            <w:pPr>
              <w:pStyle w:val="62"/>
              <w:ind w:left="110" w:leftChars="50" w:right="110" w:rightChars="50"/>
              <w:jc w:val="center"/>
              <w:rPr>
                <w:rFonts w:ascii="Times New Roman" w:hAnsi="Times New Roman" w:eastAsia="宋体" w:cs="Times New Roman"/>
                <w:sz w:val="21"/>
                <w:szCs w:val="22"/>
                <w:lang w:val="zh-CN" w:eastAsia="zh-CN" w:bidi="ar-SA"/>
              </w:rPr>
            </w:pPr>
            <w:r>
              <w:rPr>
                <w:rFonts w:ascii="Times New Roman" w:hAnsi="Times New Roman" w:cs="Times New Roman"/>
                <w:sz w:val="21"/>
              </w:rPr>
              <w:t>投标有效期</w:t>
            </w:r>
          </w:p>
        </w:tc>
        <w:tc>
          <w:tcPr>
            <w:tcW w:w="6477" w:type="dxa"/>
            <w:shd w:val="clear" w:color="auto" w:fill="auto"/>
            <w:vAlign w:val="center"/>
          </w:tcPr>
          <w:p w14:paraId="40F35D8F">
            <w:pPr>
              <w:pStyle w:val="62"/>
              <w:spacing w:before="80"/>
              <w:ind w:left="110" w:leftChars="50" w:right="110" w:rightChars="50"/>
              <w:rPr>
                <w:rFonts w:ascii="Times New Roman" w:hAnsi="Times New Roman" w:eastAsia="宋体" w:cs="Times New Roman"/>
                <w:sz w:val="21"/>
                <w:szCs w:val="22"/>
                <w:lang w:val="zh-CN" w:eastAsia="zh-CN" w:bidi="ar-SA"/>
              </w:rPr>
            </w:pPr>
            <w:r>
              <w:rPr>
                <w:rFonts w:ascii="Times New Roman" w:hAnsi="Times New Roman" w:cs="Times New Roman"/>
                <w:sz w:val="21"/>
              </w:rPr>
              <w:t xml:space="preserve">自投标截止日起 </w:t>
            </w:r>
            <w:r>
              <w:rPr>
                <w:rFonts w:ascii="Times New Roman" w:hAnsi="Times New Roman" w:eastAsia="Times New Roman" w:cs="Times New Roman"/>
                <w:sz w:val="21"/>
              </w:rPr>
              <w:t xml:space="preserve">90 </w:t>
            </w:r>
            <w:r>
              <w:rPr>
                <w:rFonts w:ascii="Times New Roman" w:hAnsi="Times New Roman" w:cs="Times New Roman"/>
                <w:sz w:val="21"/>
              </w:rPr>
              <w:t>日历天</w:t>
            </w:r>
          </w:p>
        </w:tc>
      </w:tr>
      <w:tr w14:paraId="0CC19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6AD5952A">
            <w:pPr>
              <w:pStyle w:val="62"/>
              <w:spacing w:before="80"/>
              <w:jc w:val="center"/>
              <w:rPr>
                <w:rFonts w:ascii="Times New Roman" w:hAnsi="Times New Roman" w:cs="Times New Roman"/>
                <w:sz w:val="21"/>
              </w:rPr>
            </w:pPr>
            <w:r>
              <w:rPr>
                <w:rFonts w:ascii="Times New Roman" w:hAnsi="Times New Roman" w:cs="Times New Roman"/>
                <w:sz w:val="21"/>
              </w:rPr>
              <w:t>12</w:t>
            </w:r>
          </w:p>
        </w:tc>
        <w:tc>
          <w:tcPr>
            <w:tcW w:w="2162" w:type="dxa"/>
            <w:shd w:val="clear" w:color="auto" w:fill="auto"/>
            <w:vAlign w:val="center"/>
          </w:tcPr>
          <w:p w14:paraId="776E1DD1">
            <w:pPr>
              <w:pStyle w:val="62"/>
              <w:ind w:left="110" w:leftChars="50" w:right="110" w:rightChars="50"/>
              <w:jc w:val="center"/>
              <w:rPr>
                <w:rFonts w:ascii="Times New Roman" w:hAnsi="Times New Roman" w:eastAsia="宋体" w:cs="Times New Roman"/>
                <w:sz w:val="21"/>
                <w:szCs w:val="22"/>
                <w:lang w:val="zh-CN" w:eastAsia="zh-CN" w:bidi="ar-SA"/>
              </w:rPr>
            </w:pPr>
            <w:r>
              <w:rPr>
                <w:rFonts w:ascii="Times New Roman" w:hAnsi="Times New Roman" w:cs="Times New Roman"/>
                <w:sz w:val="21"/>
              </w:rPr>
              <w:t>参加开标人员和携带资料</w:t>
            </w:r>
          </w:p>
        </w:tc>
        <w:tc>
          <w:tcPr>
            <w:tcW w:w="6477" w:type="dxa"/>
            <w:shd w:val="clear" w:color="auto" w:fill="auto"/>
            <w:vAlign w:val="center"/>
          </w:tcPr>
          <w:p w14:paraId="746FDCC3">
            <w:pPr>
              <w:pStyle w:val="62"/>
              <w:spacing w:before="2"/>
              <w:ind w:left="110" w:leftChars="50" w:right="110" w:rightChars="50"/>
              <w:rPr>
                <w:rFonts w:ascii="Times New Roman" w:hAnsi="Times New Roman" w:eastAsia="宋体" w:cs="Times New Roman"/>
                <w:sz w:val="21"/>
                <w:szCs w:val="22"/>
                <w:lang w:val="en-US" w:eastAsia="zh-CN" w:bidi="ar-SA"/>
              </w:rPr>
            </w:pPr>
            <w:r>
              <w:rPr>
                <w:rFonts w:hint="eastAsia" w:ascii="Times New Roman" w:hAnsi="Times New Roman" w:cs="Times New Roman"/>
                <w:sz w:val="21"/>
                <w:lang w:val="en-US"/>
              </w:rPr>
              <w:t>无</w:t>
            </w:r>
          </w:p>
        </w:tc>
      </w:tr>
      <w:tr w14:paraId="32F47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 w:hRule="atLeast"/>
        </w:trPr>
        <w:tc>
          <w:tcPr>
            <w:tcW w:w="720" w:type="dxa"/>
            <w:vAlign w:val="center"/>
          </w:tcPr>
          <w:p w14:paraId="03750CD4">
            <w:pPr>
              <w:pStyle w:val="62"/>
              <w:jc w:val="center"/>
              <w:rPr>
                <w:rFonts w:ascii="Times New Roman" w:hAnsi="Times New Roman" w:cs="Times New Roman"/>
                <w:sz w:val="21"/>
              </w:rPr>
            </w:pPr>
            <w:r>
              <w:rPr>
                <w:rFonts w:ascii="Times New Roman" w:hAnsi="Times New Roman" w:cs="Times New Roman"/>
                <w:sz w:val="21"/>
              </w:rPr>
              <w:t>13</w:t>
            </w:r>
          </w:p>
        </w:tc>
        <w:tc>
          <w:tcPr>
            <w:tcW w:w="2162" w:type="dxa"/>
            <w:shd w:val="clear" w:color="auto" w:fill="auto"/>
            <w:vAlign w:val="center"/>
          </w:tcPr>
          <w:p w14:paraId="39BA873D">
            <w:pPr>
              <w:pStyle w:val="62"/>
              <w:ind w:left="110" w:leftChars="50" w:right="110" w:rightChars="50"/>
              <w:jc w:val="center"/>
              <w:rPr>
                <w:rFonts w:ascii="Times New Roman" w:hAnsi="Times New Roman" w:eastAsia="宋体" w:cs="Times New Roman"/>
                <w:sz w:val="21"/>
                <w:szCs w:val="22"/>
                <w:lang w:val="zh-CN" w:eastAsia="zh-CN" w:bidi="ar-SA"/>
              </w:rPr>
            </w:pPr>
            <w:r>
              <w:rPr>
                <w:rFonts w:ascii="Times New Roman" w:hAnsi="Times New Roman" w:cs="Times New Roman"/>
                <w:sz w:val="21"/>
              </w:rPr>
              <w:t>评标办法及评分标准</w:t>
            </w:r>
          </w:p>
        </w:tc>
        <w:tc>
          <w:tcPr>
            <w:tcW w:w="6477" w:type="dxa"/>
            <w:shd w:val="clear" w:color="auto" w:fill="auto"/>
            <w:vAlign w:val="center"/>
          </w:tcPr>
          <w:p w14:paraId="4C0E5E5F">
            <w:pPr>
              <w:pStyle w:val="62"/>
              <w:spacing w:before="146"/>
              <w:ind w:left="110" w:leftChars="50" w:right="110" w:rightChars="50"/>
              <w:rPr>
                <w:rFonts w:ascii="Times New Roman" w:hAnsi="Times New Roman" w:eastAsia="宋体" w:cs="Times New Roman"/>
                <w:sz w:val="21"/>
                <w:szCs w:val="22"/>
                <w:lang w:val="en-US" w:eastAsia="zh-CN" w:bidi="ar-SA"/>
              </w:rPr>
            </w:pPr>
            <w:r>
              <w:rPr>
                <w:rFonts w:ascii="Times New Roman" w:hAnsi="Times New Roman" w:cs="Times New Roman"/>
                <w:sz w:val="21"/>
              </w:rPr>
              <w:t>综合评分法，详见第四章</w:t>
            </w:r>
          </w:p>
        </w:tc>
      </w:tr>
      <w:tr w14:paraId="67F6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29DA713A">
            <w:pPr>
              <w:pStyle w:val="62"/>
              <w:spacing w:before="146"/>
              <w:jc w:val="center"/>
              <w:rPr>
                <w:rFonts w:ascii="Times New Roman" w:hAnsi="Times New Roman" w:cs="Times New Roman"/>
                <w:sz w:val="21"/>
              </w:rPr>
            </w:pPr>
            <w:r>
              <w:rPr>
                <w:rFonts w:ascii="Times New Roman" w:hAnsi="Times New Roman" w:cs="Times New Roman"/>
                <w:sz w:val="21"/>
              </w:rPr>
              <w:t>14</w:t>
            </w:r>
          </w:p>
        </w:tc>
        <w:tc>
          <w:tcPr>
            <w:tcW w:w="2162" w:type="dxa"/>
            <w:shd w:val="clear" w:color="auto" w:fill="auto"/>
            <w:vAlign w:val="center"/>
          </w:tcPr>
          <w:p w14:paraId="0108EACC">
            <w:pPr>
              <w:pStyle w:val="62"/>
              <w:ind w:left="110" w:leftChars="50" w:right="110" w:rightChars="50"/>
              <w:jc w:val="center"/>
              <w:rPr>
                <w:rFonts w:ascii="Times New Roman" w:hAnsi="Times New Roman" w:eastAsia="宋体" w:cs="Times New Roman"/>
                <w:sz w:val="21"/>
                <w:szCs w:val="22"/>
                <w:lang w:val="zh-CN" w:eastAsia="zh-CN" w:bidi="ar-SA"/>
              </w:rPr>
            </w:pPr>
            <w:r>
              <w:rPr>
                <w:rFonts w:ascii="Times New Roman" w:hAnsi="Times New Roman" w:cs="Times New Roman"/>
                <w:sz w:val="21"/>
              </w:rPr>
              <w:t>履约保证金</w:t>
            </w:r>
          </w:p>
        </w:tc>
        <w:tc>
          <w:tcPr>
            <w:tcW w:w="6477" w:type="dxa"/>
            <w:shd w:val="clear" w:color="auto" w:fill="auto"/>
            <w:vAlign w:val="center"/>
          </w:tcPr>
          <w:p w14:paraId="53F11420">
            <w:pPr>
              <w:pStyle w:val="62"/>
              <w:spacing w:before="146"/>
              <w:ind w:left="110" w:leftChars="50" w:right="110" w:rightChars="50"/>
              <w:rPr>
                <w:rFonts w:ascii="Times New Roman" w:hAnsi="Times New Roman" w:eastAsia="宋体" w:cs="Times New Roman"/>
                <w:sz w:val="21"/>
                <w:szCs w:val="22"/>
                <w:lang w:val="zh-CN" w:eastAsia="zh-CN" w:bidi="ar-SA"/>
              </w:rPr>
            </w:pPr>
            <w:r>
              <w:rPr>
                <w:rFonts w:ascii="Times New Roman" w:hAnsi="Times New Roman" w:cs="Times New Roman"/>
                <w:sz w:val="21"/>
              </w:rPr>
              <w:t>中标金额的 2%</w:t>
            </w:r>
          </w:p>
        </w:tc>
      </w:tr>
      <w:tr w14:paraId="7B027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4FBC1E60">
            <w:pPr>
              <w:pStyle w:val="62"/>
              <w:jc w:val="center"/>
              <w:rPr>
                <w:rFonts w:ascii="Times New Roman" w:hAnsi="Times New Roman" w:cs="Times New Roman"/>
                <w:sz w:val="21"/>
              </w:rPr>
            </w:pPr>
            <w:r>
              <w:rPr>
                <w:rFonts w:ascii="Times New Roman" w:hAnsi="Times New Roman" w:cs="Times New Roman"/>
                <w:sz w:val="21"/>
              </w:rPr>
              <w:t>15</w:t>
            </w:r>
          </w:p>
        </w:tc>
        <w:tc>
          <w:tcPr>
            <w:tcW w:w="2162" w:type="dxa"/>
            <w:shd w:val="clear" w:color="auto" w:fill="auto"/>
            <w:vAlign w:val="center"/>
          </w:tcPr>
          <w:p w14:paraId="1CA48AB1">
            <w:pPr>
              <w:pStyle w:val="62"/>
              <w:ind w:left="110" w:leftChars="50" w:right="110" w:rightChars="50"/>
              <w:jc w:val="center"/>
              <w:rPr>
                <w:rFonts w:ascii="Times New Roman" w:hAnsi="Times New Roman" w:eastAsia="宋体" w:cs="Times New Roman"/>
                <w:sz w:val="21"/>
                <w:szCs w:val="22"/>
                <w:lang w:val="zh-CN" w:eastAsia="zh-CN" w:bidi="ar-SA"/>
              </w:rPr>
            </w:pPr>
            <w:r>
              <w:rPr>
                <w:rFonts w:ascii="Times New Roman" w:hAnsi="Times New Roman" w:cs="Times New Roman"/>
                <w:sz w:val="21"/>
              </w:rPr>
              <w:t>采购信息发布媒体</w:t>
            </w:r>
          </w:p>
        </w:tc>
        <w:tc>
          <w:tcPr>
            <w:tcW w:w="6477" w:type="dxa"/>
            <w:shd w:val="clear" w:color="auto" w:fill="auto"/>
            <w:vAlign w:val="top"/>
          </w:tcPr>
          <w:p w14:paraId="1E4BB6F3">
            <w:pPr>
              <w:pStyle w:val="62"/>
              <w:spacing w:before="146"/>
              <w:ind w:left="110" w:leftChars="50" w:right="110" w:rightChars="50"/>
              <w:rPr>
                <w:rFonts w:ascii="Times New Roman" w:hAnsi="Times New Roman" w:cs="Times New Roman"/>
                <w:sz w:val="21"/>
              </w:rPr>
            </w:pPr>
            <w:r>
              <w:rPr>
                <w:rFonts w:hint="eastAsia" w:ascii="Times New Roman" w:hAnsi="Times New Roman" w:cs="Times New Roman"/>
                <w:sz w:val="21"/>
              </w:rPr>
              <w:t>浙江政府采购网（http://zfcg.czt.zj.gov.cn/）、浙江江南要素交易中心网站[嘉兴市公共资源交易网（海宁）]（https://jxszwsjb.jiaxing.gov.cn/col/col1229743950/index.html）。</w:t>
            </w:r>
          </w:p>
          <w:p w14:paraId="29AB52C2">
            <w:pPr>
              <w:pStyle w:val="62"/>
              <w:spacing w:before="146"/>
              <w:ind w:left="110" w:leftChars="50" w:right="110" w:rightChars="50"/>
              <w:rPr>
                <w:rFonts w:ascii="Times New Roman" w:hAnsi="Times New Roman" w:eastAsia="宋体" w:cs="Times New Roman"/>
                <w:sz w:val="21"/>
                <w:szCs w:val="22"/>
                <w:lang w:val="zh-CN" w:eastAsia="zh-CN" w:bidi="ar-SA"/>
              </w:rPr>
            </w:pPr>
            <w:r>
              <w:rPr>
                <w:rFonts w:hint="eastAsia" w:ascii="Times New Roman" w:hAnsi="Times New Roman" w:cs="Times New Roman"/>
                <w:sz w:val="21"/>
              </w:rPr>
              <w:t>如有变更公告，请及时了解和变更。</w:t>
            </w:r>
          </w:p>
        </w:tc>
      </w:tr>
      <w:tr w14:paraId="3821D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1A3B2868">
            <w:pPr>
              <w:pStyle w:val="62"/>
              <w:jc w:val="center"/>
              <w:rPr>
                <w:rFonts w:ascii="Times New Roman" w:hAnsi="Times New Roman" w:cs="Times New Roman"/>
                <w:sz w:val="21"/>
              </w:rPr>
            </w:pPr>
            <w:r>
              <w:rPr>
                <w:rFonts w:ascii="Times New Roman" w:hAnsi="Times New Roman" w:cs="Times New Roman"/>
                <w:sz w:val="21"/>
              </w:rPr>
              <w:t>16</w:t>
            </w:r>
          </w:p>
        </w:tc>
        <w:tc>
          <w:tcPr>
            <w:tcW w:w="2162" w:type="dxa"/>
            <w:shd w:val="clear" w:color="auto" w:fill="auto"/>
            <w:vAlign w:val="center"/>
          </w:tcPr>
          <w:p w14:paraId="5116F90E">
            <w:pPr>
              <w:pStyle w:val="62"/>
              <w:ind w:left="110" w:leftChars="50" w:right="110" w:rightChars="50"/>
              <w:jc w:val="center"/>
              <w:rPr>
                <w:rFonts w:ascii="Times New Roman" w:hAnsi="Times New Roman" w:eastAsia="宋体" w:cs="Times New Roman"/>
                <w:sz w:val="21"/>
                <w:szCs w:val="22"/>
                <w:lang w:val="zh-CN" w:eastAsia="zh-CN" w:bidi="ar-SA"/>
              </w:rPr>
            </w:pPr>
            <w:r>
              <w:rPr>
                <w:rFonts w:ascii="Times New Roman" w:hAnsi="Times New Roman" w:cs="Times New Roman"/>
                <w:sz w:val="21"/>
              </w:rPr>
              <w:t>是否提供样品</w:t>
            </w:r>
          </w:p>
        </w:tc>
        <w:tc>
          <w:tcPr>
            <w:tcW w:w="6477" w:type="dxa"/>
            <w:shd w:val="clear" w:color="auto" w:fill="auto"/>
            <w:vAlign w:val="center"/>
          </w:tcPr>
          <w:p w14:paraId="6809CC77">
            <w:pPr>
              <w:pStyle w:val="62"/>
              <w:spacing w:before="140"/>
              <w:ind w:left="110" w:leftChars="50" w:right="110" w:rightChars="50"/>
              <w:rPr>
                <w:rFonts w:ascii="Times New Roman" w:hAnsi="Times New Roman" w:eastAsia="宋体" w:cs="Times New Roman"/>
                <w:b/>
                <w:color w:val="FF0000"/>
                <w:sz w:val="21"/>
                <w:szCs w:val="22"/>
                <w:lang w:val="zh-CN" w:eastAsia="zh-CN" w:bidi="ar-SA"/>
              </w:rPr>
            </w:pPr>
            <w:r>
              <w:rPr>
                <w:rFonts w:hint="eastAsia" w:ascii="Times New Roman" w:hAnsi="Times New Roman" w:cs="Times New Roman"/>
                <w:b/>
                <w:color w:val="FF0000"/>
                <w:sz w:val="21"/>
              </w:rPr>
              <w:t>否</w:t>
            </w:r>
          </w:p>
        </w:tc>
      </w:tr>
      <w:tr w14:paraId="206C3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7FD04ADE">
            <w:pPr>
              <w:pStyle w:val="62"/>
              <w:spacing w:before="140"/>
              <w:jc w:val="center"/>
              <w:rPr>
                <w:rFonts w:ascii="Times New Roman" w:hAnsi="Times New Roman" w:cs="Times New Roman"/>
                <w:sz w:val="21"/>
              </w:rPr>
            </w:pPr>
            <w:r>
              <w:rPr>
                <w:rFonts w:ascii="Times New Roman" w:hAnsi="Times New Roman" w:cs="Times New Roman"/>
                <w:sz w:val="21"/>
              </w:rPr>
              <w:t>17</w:t>
            </w:r>
          </w:p>
        </w:tc>
        <w:tc>
          <w:tcPr>
            <w:tcW w:w="2162" w:type="dxa"/>
            <w:shd w:val="clear" w:color="auto" w:fill="auto"/>
            <w:vAlign w:val="center"/>
          </w:tcPr>
          <w:p w14:paraId="332B0D9D">
            <w:pPr>
              <w:pStyle w:val="62"/>
              <w:ind w:left="110" w:leftChars="50" w:right="110" w:rightChars="50"/>
              <w:jc w:val="center"/>
              <w:rPr>
                <w:rFonts w:ascii="Times New Roman" w:hAnsi="Times New Roman" w:eastAsia="宋体" w:cs="Times New Roman"/>
                <w:sz w:val="21"/>
                <w:szCs w:val="22"/>
                <w:lang w:val="zh-CN" w:eastAsia="zh-CN" w:bidi="ar-SA"/>
              </w:rPr>
            </w:pPr>
            <w:r>
              <w:rPr>
                <w:rFonts w:ascii="Times New Roman" w:hAnsi="Times New Roman" w:cs="Times New Roman"/>
                <w:sz w:val="21"/>
              </w:rPr>
              <w:t>付款手续和付款时间</w:t>
            </w:r>
          </w:p>
        </w:tc>
        <w:tc>
          <w:tcPr>
            <w:tcW w:w="6477" w:type="dxa"/>
            <w:shd w:val="clear" w:color="auto" w:fill="auto"/>
            <w:vAlign w:val="center"/>
          </w:tcPr>
          <w:p w14:paraId="75E5740B">
            <w:pPr>
              <w:pStyle w:val="62"/>
              <w:spacing w:before="137"/>
              <w:ind w:left="110" w:leftChars="50" w:right="110" w:rightChars="50"/>
              <w:rPr>
                <w:rFonts w:ascii="Times New Roman" w:hAnsi="Times New Roman" w:eastAsia="宋体" w:cs="Times New Roman"/>
                <w:sz w:val="21"/>
                <w:szCs w:val="22"/>
                <w:lang w:val="zh-CN" w:eastAsia="zh-CN" w:bidi="ar-SA"/>
              </w:rPr>
            </w:pPr>
            <w:r>
              <w:rPr>
                <w:rFonts w:ascii="Times New Roman" w:hAnsi="Times New Roman" w:cs="Times New Roman"/>
                <w:sz w:val="21"/>
              </w:rPr>
              <w:t>详见第五章。</w:t>
            </w:r>
          </w:p>
        </w:tc>
      </w:tr>
      <w:tr w14:paraId="33FD1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Align w:val="center"/>
          </w:tcPr>
          <w:p w14:paraId="6F207F61">
            <w:pPr>
              <w:pStyle w:val="62"/>
              <w:spacing w:before="137"/>
              <w:jc w:val="center"/>
              <w:rPr>
                <w:rFonts w:ascii="Times New Roman" w:hAnsi="Times New Roman" w:cs="Times New Roman"/>
                <w:sz w:val="21"/>
              </w:rPr>
            </w:pPr>
            <w:r>
              <w:rPr>
                <w:rFonts w:ascii="Times New Roman" w:hAnsi="Times New Roman" w:cs="Times New Roman"/>
                <w:sz w:val="21"/>
              </w:rPr>
              <w:t>18</w:t>
            </w:r>
          </w:p>
        </w:tc>
        <w:tc>
          <w:tcPr>
            <w:tcW w:w="2162" w:type="dxa"/>
            <w:shd w:val="clear" w:color="auto" w:fill="auto"/>
            <w:vAlign w:val="center"/>
          </w:tcPr>
          <w:p w14:paraId="5360C885">
            <w:pPr>
              <w:pStyle w:val="62"/>
              <w:ind w:left="110" w:leftChars="50" w:right="110" w:rightChars="50"/>
              <w:jc w:val="center"/>
              <w:rPr>
                <w:rFonts w:ascii="Times New Roman" w:hAnsi="Times New Roman" w:eastAsia="宋体" w:cs="Times New Roman"/>
                <w:sz w:val="21"/>
                <w:szCs w:val="22"/>
                <w:lang w:val="zh-CN" w:eastAsia="zh-CN" w:bidi="ar-SA"/>
              </w:rPr>
            </w:pPr>
            <w:r>
              <w:rPr>
                <w:rFonts w:ascii="Times New Roman" w:hAnsi="Times New Roman" w:cs="Times New Roman"/>
                <w:sz w:val="21"/>
              </w:rPr>
              <w:t>信用记录</w:t>
            </w:r>
          </w:p>
        </w:tc>
        <w:tc>
          <w:tcPr>
            <w:tcW w:w="6477" w:type="dxa"/>
            <w:shd w:val="clear" w:color="auto" w:fill="auto"/>
            <w:vAlign w:val="center"/>
          </w:tcPr>
          <w:p w14:paraId="6E01998C">
            <w:pPr>
              <w:pStyle w:val="62"/>
              <w:spacing w:before="102"/>
              <w:ind w:left="110" w:leftChars="50" w:right="110" w:rightChars="50"/>
              <w:rPr>
                <w:rFonts w:ascii="Times New Roman" w:hAnsi="Times New Roman" w:cs="Times New Roman"/>
                <w:sz w:val="21"/>
              </w:rPr>
            </w:pPr>
            <w:r>
              <w:rPr>
                <w:rFonts w:ascii="Times New Roman" w:hAnsi="Times New Roman" w:cs="Times New Roman"/>
                <w:spacing w:val="-15"/>
                <w:sz w:val="21"/>
              </w:rPr>
              <w:t xml:space="preserve">根 据 财 库 </w:t>
            </w:r>
            <w:r>
              <w:rPr>
                <w:rFonts w:ascii="Times New Roman" w:hAnsi="Times New Roman" w:cs="Times New Roman"/>
                <w:sz w:val="21"/>
              </w:rPr>
              <w:t>[2016]125</w:t>
            </w:r>
            <w:r>
              <w:rPr>
                <w:rFonts w:ascii="Times New Roman" w:hAnsi="Times New Roman" w:cs="Times New Roman"/>
                <w:spacing w:val="-22"/>
                <w:sz w:val="21"/>
              </w:rPr>
              <w:t xml:space="preserve"> 号 文 件 ， 通 过 “ 信 用 中 国 ” 网 站</w:t>
            </w:r>
          </w:p>
          <w:p w14:paraId="5C6E5EC3">
            <w:pPr>
              <w:pStyle w:val="62"/>
              <w:spacing w:before="2"/>
              <w:ind w:left="110" w:leftChars="50" w:right="110" w:rightChars="50"/>
              <w:rPr>
                <w:rFonts w:ascii="Times New Roman" w:hAnsi="Times New Roman" w:eastAsia="宋体" w:cs="Times New Roman"/>
                <w:sz w:val="21"/>
                <w:szCs w:val="22"/>
                <w:lang w:val="zh-CN" w:eastAsia="zh-CN" w:bidi="ar-SA"/>
              </w:rPr>
            </w:pPr>
            <w:r>
              <w:fldChar w:fldCharType="begin"/>
            </w:r>
            <w:r>
              <w:instrText xml:space="preserve"> HYPERLINK "http://www.creditchina.gov.cn/" </w:instrText>
            </w:r>
            <w:r>
              <w:fldChar w:fldCharType="separate"/>
            </w:r>
            <w:r>
              <w:rPr>
                <w:rFonts w:ascii="Times New Roman" w:hAnsi="Times New Roman" w:cs="Times New Roman"/>
                <w:sz w:val="21"/>
              </w:rPr>
              <w:t>（www</w:t>
            </w:r>
            <w:r>
              <w:rPr>
                <w:rFonts w:ascii="Times New Roman" w:hAnsi="Times New Roman" w:cs="Times New Roman"/>
                <w:spacing w:val="-3"/>
                <w:sz w:val="21"/>
              </w:rPr>
              <w:t>.</w:t>
            </w:r>
            <w:r>
              <w:rPr>
                <w:rFonts w:ascii="Times New Roman" w:hAnsi="Times New Roman" w:cs="Times New Roman"/>
                <w:sz w:val="21"/>
              </w:rPr>
              <w:t>cre</w:t>
            </w:r>
            <w:r>
              <w:rPr>
                <w:rFonts w:ascii="Times New Roman" w:hAnsi="Times New Roman" w:cs="Times New Roman"/>
                <w:spacing w:val="-3"/>
                <w:sz w:val="21"/>
              </w:rPr>
              <w:t>d</w:t>
            </w:r>
            <w:r>
              <w:rPr>
                <w:rFonts w:ascii="Times New Roman" w:hAnsi="Times New Roman" w:cs="Times New Roman"/>
                <w:sz w:val="21"/>
              </w:rPr>
              <w:t>itc</w:t>
            </w:r>
            <w:r>
              <w:rPr>
                <w:rFonts w:ascii="Times New Roman" w:hAnsi="Times New Roman" w:cs="Times New Roman"/>
                <w:spacing w:val="-3"/>
                <w:sz w:val="21"/>
              </w:rPr>
              <w:t>h</w:t>
            </w:r>
            <w:r>
              <w:rPr>
                <w:rFonts w:ascii="Times New Roman" w:hAnsi="Times New Roman" w:cs="Times New Roman"/>
                <w:sz w:val="21"/>
              </w:rPr>
              <w:t>ina</w:t>
            </w:r>
            <w:r>
              <w:rPr>
                <w:rFonts w:ascii="Times New Roman" w:hAnsi="Times New Roman" w:cs="Times New Roman"/>
                <w:spacing w:val="-3"/>
                <w:sz w:val="21"/>
              </w:rPr>
              <w:t>.</w:t>
            </w:r>
            <w:r>
              <w:rPr>
                <w:rFonts w:ascii="Times New Roman" w:hAnsi="Times New Roman" w:cs="Times New Roman"/>
                <w:sz w:val="21"/>
              </w:rPr>
              <w:t>gov</w:t>
            </w:r>
            <w:r>
              <w:rPr>
                <w:rFonts w:ascii="Times New Roman" w:hAnsi="Times New Roman" w:cs="Times New Roman"/>
                <w:spacing w:val="-3"/>
                <w:sz w:val="21"/>
              </w:rPr>
              <w:t>.c</w:t>
            </w:r>
            <w:r>
              <w:rPr>
                <w:rFonts w:ascii="Times New Roman" w:hAnsi="Times New Roman" w:cs="Times New Roman"/>
                <w:spacing w:val="-1"/>
                <w:sz w:val="21"/>
              </w:rPr>
              <w:t>n</w:t>
            </w:r>
            <w:r>
              <w:rPr>
                <w:rFonts w:ascii="Times New Roman" w:hAnsi="Times New Roman" w:cs="Times New Roman"/>
                <w:spacing w:val="-1"/>
                <w:sz w:val="21"/>
              </w:rPr>
              <w:fldChar w:fldCharType="end"/>
            </w:r>
            <w:r>
              <w:rPr>
                <w:rFonts w:ascii="Times New Roman" w:hAnsi="Times New Roman" w:cs="Times New Roman"/>
                <w:spacing w:val="-92"/>
                <w:sz w:val="21"/>
              </w:rPr>
              <w:t>）</w:t>
            </w:r>
            <w:r>
              <w:rPr>
                <w:rFonts w:ascii="Times New Roman" w:hAnsi="Times New Roman" w:cs="Times New Roman"/>
                <w:spacing w:val="-26"/>
                <w:sz w:val="21"/>
              </w:rPr>
              <w:t>、中国政府采购网</w:t>
            </w:r>
            <w:r>
              <w:rPr>
                <w:rFonts w:ascii="Times New Roman" w:hAnsi="Times New Roman" w:cs="Times New Roman"/>
                <w:spacing w:val="-1"/>
                <w:sz w:val="21"/>
              </w:rPr>
              <w:t>（</w:t>
            </w:r>
            <w:r>
              <w:fldChar w:fldCharType="begin"/>
            </w:r>
            <w:r>
              <w:instrText xml:space="preserve"> HYPERLINK "http://www.ccgp.gov.cn/" </w:instrText>
            </w:r>
            <w:r>
              <w:fldChar w:fldCharType="separate"/>
            </w:r>
            <w:r>
              <w:rPr>
                <w:rFonts w:ascii="Times New Roman" w:hAnsi="Times New Roman" w:cs="Times New Roman"/>
                <w:sz w:val="21"/>
              </w:rPr>
              <w:t>ww</w:t>
            </w:r>
            <w:r>
              <w:rPr>
                <w:rFonts w:ascii="Times New Roman" w:hAnsi="Times New Roman" w:cs="Times New Roman"/>
                <w:spacing w:val="-3"/>
                <w:sz w:val="21"/>
              </w:rPr>
              <w:t>w</w:t>
            </w:r>
            <w:r>
              <w:rPr>
                <w:rFonts w:ascii="Times New Roman" w:hAnsi="Times New Roman" w:cs="Times New Roman"/>
                <w:sz w:val="21"/>
              </w:rPr>
              <w:t>.</w:t>
            </w:r>
            <w:r>
              <w:rPr>
                <w:rFonts w:ascii="Times New Roman" w:hAnsi="Times New Roman" w:cs="Times New Roman"/>
                <w:spacing w:val="-3"/>
                <w:sz w:val="21"/>
              </w:rPr>
              <w:t>c</w:t>
            </w:r>
            <w:r>
              <w:rPr>
                <w:rFonts w:ascii="Times New Roman" w:hAnsi="Times New Roman" w:cs="Times New Roman"/>
                <w:sz w:val="21"/>
              </w:rPr>
              <w:t>cgp.g</w:t>
            </w:r>
            <w:r>
              <w:rPr>
                <w:rFonts w:ascii="Times New Roman" w:hAnsi="Times New Roman" w:cs="Times New Roman"/>
                <w:spacing w:val="-3"/>
                <w:sz w:val="21"/>
              </w:rPr>
              <w:t>o</w:t>
            </w:r>
            <w:r>
              <w:rPr>
                <w:rFonts w:ascii="Times New Roman" w:hAnsi="Times New Roman" w:cs="Times New Roman"/>
                <w:sz w:val="21"/>
              </w:rPr>
              <w:t>v.c</w:t>
            </w:r>
            <w:r>
              <w:rPr>
                <w:rFonts w:ascii="Times New Roman" w:hAnsi="Times New Roman" w:cs="Times New Roman"/>
                <w:spacing w:val="-3"/>
                <w:sz w:val="21"/>
              </w:rPr>
              <w:t>n</w:t>
            </w:r>
            <w:r>
              <w:rPr>
                <w:rFonts w:ascii="Times New Roman" w:hAnsi="Times New Roman" w:cs="Times New Roman"/>
                <w:spacing w:val="-3"/>
                <w:sz w:val="21"/>
              </w:rPr>
              <w:fldChar w:fldCharType="end"/>
            </w:r>
            <w:r>
              <w:rPr>
                <w:rFonts w:ascii="Times New Roman" w:hAnsi="Times New Roman" w:cs="Times New Roman"/>
                <w:spacing w:val="-92"/>
                <w:sz w:val="21"/>
              </w:rPr>
              <w:t>），</w:t>
            </w:r>
            <w:r>
              <w:rPr>
                <w:rFonts w:ascii="Times New Roman" w:hAnsi="Times New Roman" w:cs="Times New Roman"/>
                <w:sz w:val="21"/>
              </w:rPr>
              <w:t>以开标当日网页查询记录为准。对列入失信被执行人、重大税收违</w:t>
            </w:r>
            <w:r>
              <w:rPr>
                <w:rFonts w:ascii="Times New Roman" w:hAnsi="Times New Roman" w:cs="Times New Roman"/>
                <w:spacing w:val="-9"/>
                <w:sz w:val="21"/>
              </w:rPr>
              <w:t xml:space="preserve">法案件当事人名单、政府采购严重违法失信行为记录名单的供应商， </w:t>
            </w:r>
            <w:r>
              <w:rPr>
                <w:rFonts w:ascii="Times New Roman" w:hAnsi="Times New Roman" w:cs="Times New Roman"/>
                <w:spacing w:val="-5"/>
                <w:sz w:val="21"/>
              </w:rPr>
              <w:t>其作为资格审查不通过处理。</w:t>
            </w:r>
          </w:p>
        </w:tc>
      </w:tr>
      <w:tr w14:paraId="28D2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 w:hRule="atLeast"/>
        </w:trPr>
        <w:tc>
          <w:tcPr>
            <w:tcW w:w="720" w:type="dxa"/>
            <w:vAlign w:val="center"/>
          </w:tcPr>
          <w:p w14:paraId="1280C1DB">
            <w:pPr>
              <w:pStyle w:val="62"/>
              <w:spacing w:before="134"/>
              <w:jc w:val="center"/>
              <w:rPr>
                <w:rFonts w:ascii="Times New Roman" w:hAnsi="Times New Roman" w:cs="Times New Roman"/>
                <w:sz w:val="21"/>
              </w:rPr>
            </w:pPr>
            <w:r>
              <w:rPr>
                <w:rFonts w:ascii="Times New Roman" w:hAnsi="Times New Roman" w:cs="Times New Roman"/>
                <w:sz w:val="21"/>
              </w:rPr>
              <w:t>19</w:t>
            </w:r>
          </w:p>
        </w:tc>
        <w:tc>
          <w:tcPr>
            <w:tcW w:w="2162" w:type="dxa"/>
            <w:shd w:val="clear" w:color="auto" w:fill="auto"/>
            <w:vAlign w:val="center"/>
          </w:tcPr>
          <w:p w14:paraId="47838A74">
            <w:pPr>
              <w:pStyle w:val="62"/>
              <w:ind w:left="110" w:leftChars="50" w:right="110" w:rightChars="50"/>
              <w:jc w:val="center"/>
              <w:rPr>
                <w:rFonts w:ascii="Times New Roman" w:hAnsi="Times New Roman" w:eastAsia="宋体" w:cs="Times New Roman"/>
                <w:sz w:val="21"/>
                <w:szCs w:val="22"/>
                <w:lang w:val="zh-CN" w:eastAsia="zh-CN" w:bidi="ar-SA"/>
              </w:rPr>
            </w:pPr>
            <w:r>
              <w:rPr>
                <w:rFonts w:ascii="Times New Roman" w:hAnsi="Times New Roman" w:cs="Times New Roman"/>
                <w:sz w:val="21"/>
              </w:rPr>
              <w:t>招标文件解释权</w:t>
            </w:r>
          </w:p>
        </w:tc>
        <w:tc>
          <w:tcPr>
            <w:tcW w:w="6477" w:type="dxa"/>
            <w:shd w:val="clear" w:color="auto" w:fill="auto"/>
            <w:vAlign w:val="center"/>
          </w:tcPr>
          <w:p w14:paraId="67C1F39F">
            <w:pPr>
              <w:pStyle w:val="62"/>
              <w:spacing w:before="142"/>
              <w:ind w:left="110" w:leftChars="50" w:right="110" w:rightChars="50"/>
              <w:rPr>
                <w:rFonts w:ascii="Times New Roman" w:hAnsi="Times New Roman" w:eastAsia="宋体" w:cs="Times New Roman"/>
                <w:sz w:val="21"/>
                <w:szCs w:val="22"/>
                <w:lang w:val="zh-CN" w:eastAsia="zh-CN" w:bidi="ar-SA"/>
              </w:rPr>
            </w:pPr>
            <w:r>
              <w:rPr>
                <w:rFonts w:ascii="Times New Roman" w:hAnsi="Times New Roman" w:cs="Times New Roman"/>
                <w:sz w:val="21"/>
              </w:rPr>
              <w:t>属于采购人和</w:t>
            </w:r>
            <w:r>
              <w:rPr>
                <w:rFonts w:hint="eastAsia" w:ascii="Times New Roman" w:hAnsi="Times New Roman" w:cs="Times New Roman"/>
                <w:sz w:val="21"/>
              </w:rPr>
              <w:t>浙江信益工程管理有限公司</w:t>
            </w:r>
            <w:r>
              <w:rPr>
                <w:rFonts w:ascii="Times New Roman" w:hAnsi="Times New Roman" w:cs="Times New Roman"/>
                <w:sz w:val="21"/>
              </w:rPr>
              <w:t>。</w:t>
            </w:r>
          </w:p>
        </w:tc>
      </w:tr>
    </w:tbl>
    <w:p w14:paraId="28464394">
      <w:pPr>
        <w:pStyle w:val="18"/>
        <w:spacing w:before="4" w:line="360" w:lineRule="auto"/>
        <w:rPr>
          <w:rFonts w:ascii="Times New Roman" w:hAnsi="Times New Roman" w:cs="Times New Roman"/>
          <w:b/>
          <w:sz w:val="3"/>
        </w:rPr>
      </w:pPr>
    </w:p>
    <w:p w14:paraId="787414A7">
      <w:pPr>
        <w:pStyle w:val="18"/>
        <w:spacing w:before="4" w:line="360" w:lineRule="auto"/>
        <w:rPr>
          <w:rFonts w:ascii="Times New Roman" w:hAnsi="Times New Roman" w:cs="Times New Roman"/>
          <w:b/>
          <w:sz w:val="3"/>
        </w:rPr>
      </w:pPr>
    </w:p>
    <w:p w14:paraId="587457B6">
      <w:pPr>
        <w:pStyle w:val="18"/>
        <w:spacing w:line="360" w:lineRule="auto"/>
        <w:rPr>
          <w:rFonts w:ascii="Times New Roman" w:hAnsi="Times New Roman" w:cs="Times New Roman"/>
          <w:b/>
          <w:sz w:val="18"/>
          <w:szCs w:val="18"/>
        </w:rPr>
      </w:pPr>
    </w:p>
    <w:p w14:paraId="79F89E54">
      <w:pPr>
        <w:tabs>
          <w:tab w:val="left" w:pos="1125"/>
        </w:tabs>
        <w:spacing w:before="61" w:line="360" w:lineRule="auto"/>
        <w:ind w:right="98"/>
        <w:jc w:val="center"/>
        <w:rPr>
          <w:rFonts w:ascii="Times New Roman" w:hAnsi="Times New Roman" w:cs="Times New Roman"/>
          <w:b/>
          <w:sz w:val="28"/>
        </w:rPr>
      </w:pPr>
      <w:r>
        <w:rPr>
          <w:rFonts w:ascii="Times New Roman" w:hAnsi="Times New Roman" w:cs="Times New Roman"/>
          <w:b/>
          <w:sz w:val="28"/>
        </w:rPr>
        <w:t>一、总</w:t>
      </w:r>
      <w:r>
        <w:rPr>
          <w:rFonts w:ascii="Times New Roman" w:hAnsi="Times New Roman" w:cs="Times New Roman"/>
          <w:b/>
          <w:sz w:val="28"/>
        </w:rPr>
        <w:tab/>
      </w:r>
      <w:r>
        <w:rPr>
          <w:rFonts w:ascii="Times New Roman" w:hAnsi="Times New Roman" w:cs="Times New Roman"/>
          <w:b/>
          <w:sz w:val="28"/>
        </w:rPr>
        <w:t>则</w:t>
      </w:r>
    </w:p>
    <w:p w14:paraId="185E5569">
      <w:pPr>
        <w:pStyle w:val="5"/>
        <w:spacing w:line="360" w:lineRule="auto"/>
        <w:ind w:left="0" w:firstLine="422" w:firstLineChars="200"/>
        <w:rPr>
          <w:rFonts w:ascii="Times New Roman" w:hAnsi="Times New Roman" w:cs="Times New Roman"/>
        </w:rPr>
      </w:pPr>
      <w:r>
        <w:rPr>
          <w:rFonts w:ascii="Times New Roman" w:hAnsi="Times New Roman" w:cs="Times New Roman"/>
        </w:rPr>
        <w:t>（一） 适用范围</w:t>
      </w:r>
    </w:p>
    <w:p w14:paraId="07EB2072">
      <w:pPr>
        <w:pStyle w:val="18"/>
        <w:spacing w:line="360" w:lineRule="auto"/>
        <w:ind w:firstLine="420" w:firstLineChars="200"/>
        <w:rPr>
          <w:rFonts w:ascii="Times New Roman" w:hAnsi="Times New Roman" w:cs="Times New Roman"/>
        </w:rPr>
      </w:pPr>
      <w:r>
        <w:rPr>
          <w:rFonts w:ascii="Times New Roman" w:hAnsi="Times New Roman" w:cs="Times New Roman"/>
        </w:rPr>
        <w:t>本招标文件适用于该项目的招标、投标、评标、定标、验收、合同履约、付款等行为（法律、法规另有规定的，从其规定）。</w:t>
      </w:r>
    </w:p>
    <w:p w14:paraId="4F6C268E">
      <w:pPr>
        <w:pStyle w:val="5"/>
        <w:spacing w:line="360" w:lineRule="auto"/>
        <w:ind w:left="0" w:firstLine="422" w:firstLineChars="200"/>
        <w:rPr>
          <w:rFonts w:ascii="Times New Roman" w:hAnsi="Times New Roman" w:cs="Times New Roman"/>
        </w:rPr>
      </w:pPr>
      <w:r>
        <w:rPr>
          <w:rFonts w:ascii="Times New Roman" w:hAnsi="Times New Roman" w:cs="Times New Roman"/>
        </w:rPr>
        <w:t>（二）定义</w:t>
      </w:r>
    </w:p>
    <w:p w14:paraId="69293FE7">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w:t>
      </w:r>
      <w:r>
        <w:rPr>
          <w:rFonts w:ascii="Times New Roman" w:hAnsi="Times New Roman" w:cs="Times New Roman"/>
          <w:spacing w:val="-3"/>
          <w:sz w:val="21"/>
        </w:rPr>
        <w:t>采购代理机构</w:t>
      </w:r>
      <w:r>
        <w:rPr>
          <w:rFonts w:ascii="Times New Roman" w:hAnsi="Times New Roman" w:cs="Times New Roman"/>
          <w:kern w:val="2"/>
          <w:sz w:val="21"/>
          <w:szCs w:val="21"/>
          <w:lang w:val="en-US"/>
        </w:rPr>
        <w:t>”指组织本次招标活动的</w:t>
      </w:r>
      <w:r>
        <w:rPr>
          <w:rFonts w:hint="eastAsia" w:ascii="Times New Roman" w:hAnsi="Times New Roman" w:cs="Times New Roman"/>
          <w:kern w:val="2"/>
          <w:sz w:val="21"/>
          <w:szCs w:val="21"/>
          <w:lang w:val="en-US"/>
        </w:rPr>
        <w:t>浙江信益工程管理有限公司</w:t>
      </w:r>
      <w:r>
        <w:rPr>
          <w:rFonts w:ascii="Times New Roman" w:hAnsi="Times New Roman" w:cs="Times New Roman"/>
          <w:kern w:val="2"/>
          <w:sz w:val="21"/>
          <w:szCs w:val="21"/>
          <w:lang w:val="en-US"/>
        </w:rPr>
        <w:t>；</w:t>
      </w:r>
    </w:p>
    <w:p w14:paraId="22B0B28D">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2.“采购人”指</w:t>
      </w:r>
      <w:r>
        <w:rPr>
          <w:rFonts w:hint="eastAsia" w:ascii="Times New Roman" w:hAnsi="Times New Roman" w:cs="Times New Roman"/>
          <w:kern w:val="2"/>
          <w:sz w:val="21"/>
          <w:szCs w:val="21"/>
          <w:lang w:val="en-US"/>
        </w:rPr>
        <w:t>海宁市合创开发建设有限公司</w:t>
      </w:r>
      <w:r>
        <w:rPr>
          <w:rFonts w:ascii="Times New Roman" w:hAnsi="Times New Roman" w:cs="Times New Roman"/>
          <w:kern w:val="2"/>
          <w:sz w:val="21"/>
          <w:szCs w:val="21"/>
          <w:lang w:val="en-US"/>
        </w:rPr>
        <w:t>。</w:t>
      </w:r>
    </w:p>
    <w:p w14:paraId="4BF493AD">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3.“投标人”系指向招标方提交投标文件的单位或个人。</w:t>
      </w:r>
    </w:p>
    <w:p w14:paraId="5426B96C">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4. “产品”系指招标文件规定投标人须向采购人提供的一切材料、设备、机械、仪器仪表、工具及其它有关技术资料和文字材料。</w:t>
      </w:r>
    </w:p>
    <w:p w14:paraId="1EDD5FF0">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5.“服务”系指招标文件规定投标人须承担的劳务以及其他类似的义务。</w:t>
      </w:r>
    </w:p>
    <w:p w14:paraId="66BB1C07">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6.“项目”系指投标人按招标文件规定向采购人提供的需求总称。</w:t>
      </w:r>
    </w:p>
    <w:p w14:paraId="71549A66">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7.“书面形式”包括信函、传真、电报等。</w:t>
      </w:r>
    </w:p>
    <w:p w14:paraId="353617B2">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8.</w:t>
      </w:r>
      <w:r>
        <w:rPr>
          <w:rFonts w:ascii="Times New Roman" w:hAnsi="Times New Roman" w:cs="Times New Roman"/>
          <w:spacing w:val="-3"/>
          <w:sz w:val="21"/>
        </w:rPr>
        <w:t xml:space="preserve"> “</w:t>
      </w:r>
      <w:r>
        <w:rPr>
          <w:rFonts w:hAnsi="Times New Roman" w:cs="Times New Roman"/>
          <w:spacing w:val="-3"/>
          <w:sz w:val="21"/>
        </w:rPr>
        <w:t>★</w:t>
      </w:r>
      <w:r>
        <w:rPr>
          <w:rFonts w:ascii="Times New Roman" w:hAnsi="Times New Roman" w:cs="Times New Roman"/>
          <w:spacing w:val="-3"/>
          <w:sz w:val="21"/>
        </w:rPr>
        <w:t>”系指核心产品。</w:t>
      </w:r>
    </w:p>
    <w:p w14:paraId="1CF03CD6">
      <w:pPr>
        <w:pStyle w:val="5"/>
        <w:spacing w:line="360" w:lineRule="auto"/>
        <w:ind w:left="0" w:firstLine="422" w:firstLineChars="200"/>
        <w:rPr>
          <w:rFonts w:ascii="Times New Roman" w:hAnsi="Times New Roman" w:cs="Times New Roman"/>
        </w:rPr>
      </w:pPr>
      <w:r>
        <w:rPr>
          <w:rFonts w:ascii="Times New Roman" w:hAnsi="Times New Roman" w:cs="Times New Roman"/>
        </w:rPr>
        <w:t>（三）招标方式</w:t>
      </w:r>
    </w:p>
    <w:p w14:paraId="74B9CBE9">
      <w:pPr>
        <w:pStyle w:val="18"/>
        <w:spacing w:line="360" w:lineRule="auto"/>
        <w:ind w:firstLine="40" w:firstLineChars="200"/>
        <w:rPr>
          <w:rFonts w:ascii="Times New Roman" w:hAnsi="Times New Roman" w:cs="Times New Roman"/>
          <w:b/>
          <w:sz w:val="2"/>
        </w:rPr>
      </w:pPr>
    </w:p>
    <w:p w14:paraId="5117907C">
      <w:pPr>
        <w:pStyle w:val="18"/>
        <w:spacing w:line="360" w:lineRule="auto"/>
        <w:ind w:firstLine="40" w:firstLineChars="200"/>
        <w:rPr>
          <w:rFonts w:ascii="Times New Roman" w:hAnsi="Times New Roman" w:cs="Times New Roman"/>
          <w:sz w:val="2"/>
        </w:rPr>
      </w:pPr>
    </w:p>
    <w:p w14:paraId="593D0DAA">
      <w:pPr>
        <w:pStyle w:val="18"/>
        <w:spacing w:line="360" w:lineRule="auto"/>
        <w:ind w:firstLine="420" w:firstLineChars="200"/>
        <w:rPr>
          <w:rFonts w:ascii="Times New Roman" w:hAnsi="Times New Roman" w:cs="Times New Roman"/>
        </w:rPr>
      </w:pPr>
      <w:r>
        <w:rPr>
          <w:rFonts w:ascii="Times New Roman" w:hAnsi="Times New Roman" w:cs="Times New Roman"/>
        </w:rPr>
        <w:t>本次招标采用公开招标方式进行。</w:t>
      </w:r>
    </w:p>
    <w:p w14:paraId="391B3653">
      <w:pPr>
        <w:pStyle w:val="5"/>
        <w:spacing w:line="360" w:lineRule="auto"/>
        <w:ind w:left="0" w:firstLine="422" w:firstLineChars="200"/>
        <w:rPr>
          <w:rFonts w:ascii="Times New Roman" w:hAnsi="Times New Roman" w:cs="Times New Roman"/>
          <w:b w:val="0"/>
        </w:rPr>
      </w:pPr>
      <w:r>
        <w:rPr>
          <w:rFonts w:ascii="Times New Roman" w:hAnsi="Times New Roman" w:cs="Times New Roman"/>
        </w:rPr>
        <w:t>（四）投标委托</w:t>
      </w:r>
      <w:r>
        <w:rPr>
          <w:rFonts w:ascii="Times New Roman" w:hAnsi="Times New Roman" w:cs="Times New Roman"/>
          <w:b w:val="0"/>
        </w:rPr>
        <w:t>无</w:t>
      </w:r>
    </w:p>
    <w:p w14:paraId="64CB145E">
      <w:pPr>
        <w:pStyle w:val="5"/>
        <w:spacing w:line="360" w:lineRule="auto"/>
        <w:ind w:left="0" w:firstLine="422" w:firstLineChars="200"/>
        <w:rPr>
          <w:rFonts w:ascii="Times New Roman" w:hAnsi="Times New Roman" w:cs="Times New Roman"/>
        </w:rPr>
      </w:pPr>
      <w:r>
        <w:rPr>
          <w:rFonts w:ascii="Times New Roman" w:hAnsi="Times New Roman" w:cs="Times New Roman"/>
        </w:rPr>
        <w:t>（五）投标费用</w:t>
      </w:r>
    </w:p>
    <w:p w14:paraId="46E399B3">
      <w:pPr>
        <w:pStyle w:val="18"/>
        <w:spacing w:line="360" w:lineRule="auto"/>
        <w:ind w:firstLine="420" w:firstLineChars="200"/>
        <w:rPr>
          <w:rFonts w:ascii="Times New Roman" w:hAnsi="Times New Roman" w:cs="Times New Roman"/>
        </w:rPr>
      </w:pPr>
      <w:r>
        <w:rPr>
          <w:rFonts w:ascii="Times New Roman" w:hAnsi="Times New Roman" w:cs="Times New Roman"/>
        </w:rPr>
        <w:t>不论投标结果如何，投标人均应自行承担所有与投标有关的全部费用（招标文件有相反规定除外）。</w:t>
      </w:r>
    </w:p>
    <w:p w14:paraId="7C873C62">
      <w:pPr>
        <w:pStyle w:val="5"/>
        <w:spacing w:line="360" w:lineRule="auto"/>
        <w:ind w:left="0" w:firstLine="422" w:firstLineChars="200"/>
        <w:rPr>
          <w:rFonts w:ascii="Times New Roman" w:hAnsi="Times New Roman" w:cs="Times New Roman"/>
        </w:rPr>
      </w:pPr>
      <w:r>
        <w:rPr>
          <w:rFonts w:ascii="Times New Roman" w:hAnsi="Times New Roman" w:cs="Times New Roman"/>
        </w:rPr>
        <w:t>（六）联合体投标</w:t>
      </w:r>
    </w:p>
    <w:p w14:paraId="35AC6D10">
      <w:pPr>
        <w:pStyle w:val="18"/>
        <w:spacing w:line="360" w:lineRule="auto"/>
        <w:ind w:firstLine="420" w:firstLineChars="200"/>
        <w:rPr>
          <w:rFonts w:ascii="Times New Roman" w:hAnsi="Times New Roman" w:cs="Times New Roman"/>
        </w:rPr>
      </w:pPr>
      <w:r>
        <w:rPr>
          <w:rFonts w:ascii="Times New Roman" w:hAnsi="Times New Roman" w:cs="Times New Roman"/>
        </w:rPr>
        <w:t>本项目</w:t>
      </w:r>
      <w:r>
        <w:rPr>
          <w:rFonts w:hint="eastAsia" w:ascii="Times New Roman" w:hAnsi="Times New Roman" w:cs="Times New Roman"/>
        </w:rPr>
        <w:t>不</w:t>
      </w:r>
      <w:r>
        <w:rPr>
          <w:rFonts w:ascii="Times New Roman" w:hAnsi="Times New Roman" w:cs="Times New Roman"/>
        </w:rPr>
        <w:t>接受联合体投标。</w:t>
      </w:r>
    </w:p>
    <w:p w14:paraId="043E4BBC">
      <w:pPr>
        <w:pStyle w:val="5"/>
        <w:spacing w:line="360" w:lineRule="auto"/>
        <w:ind w:left="0" w:firstLine="422" w:firstLineChars="200"/>
        <w:rPr>
          <w:rFonts w:ascii="Times New Roman" w:hAnsi="Times New Roman" w:cs="Times New Roman"/>
        </w:rPr>
      </w:pPr>
      <w:r>
        <w:rPr>
          <w:rFonts w:ascii="Times New Roman" w:hAnsi="Times New Roman" w:cs="Times New Roman"/>
        </w:rPr>
        <w:t>（七）转让与分包</w:t>
      </w:r>
    </w:p>
    <w:p w14:paraId="6D8F25DD">
      <w:pPr>
        <w:spacing w:line="400" w:lineRule="exact"/>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1.本项目不允许转包。</w:t>
      </w:r>
    </w:p>
    <w:p w14:paraId="0184923D">
      <w:pPr>
        <w:spacing w:line="400" w:lineRule="exact"/>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2.本项目允许劳务分包。</w:t>
      </w:r>
    </w:p>
    <w:p w14:paraId="009BE923">
      <w:pPr>
        <w:pStyle w:val="5"/>
        <w:spacing w:line="360" w:lineRule="auto"/>
        <w:ind w:left="0" w:firstLine="422" w:firstLineChars="200"/>
        <w:rPr>
          <w:rFonts w:ascii="Times New Roman" w:hAnsi="Times New Roman" w:cs="Times New Roman"/>
        </w:rPr>
      </w:pPr>
      <w:r>
        <w:rPr>
          <w:rFonts w:ascii="Times New Roman" w:hAnsi="Times New Roman" w:cs="Times New Roman"/>
        </w:rPr>
        <w:t>（八）特别说明：</w:t>
      </w:r>
    </w:p>
    <w:p w14:paraId="70F5EAEE">
      <w:pPr>
        <w:pStyle w:val="61"/>
        <w:tabs>
          <w:tab w:val="left" w:pos="1054"/>
        </w:tabs>
        <w:spacing w:before="0" w:line="360" w:lineRule="auto"/>
        <w:ind w:left="0" w:firstLine="476" w:firstLineChars="229"/>
        <w:jc w:val="both"/>
        <w:rPr>
          <w:rFonts w:ascii="Times New Roman" w:hAnsi="Times New Roman" w:cs="Times New Roman"/>
          <w:sz w:val="21"/>
        </w:rPr>
      </w:pPr>
      <w:r>
        <w:rPr>
          <w:rFonts w:ascii="Times New Roman" w:hAnsi="Times New Roman" w:cs="Times New Roman"/>
          <w:spacing w:val="-1"/>
          <w:sz w:val="21"/>
        </w:rPr>
        <w:t>1.采用最低评标价法的采购项目，提供相同品牌产品的不同投标人参加同一合同项下投标的，以其</w:t>
      </w:r>
      <w:r>
        <w:rPr>
          <w:rFonts w:ascii="Times New Roman" w:hAnsi="Times New Roman" w:cs="Times New Roman"/>
          <w:spacing w:val="-7"/>
          <w:sz w:val="21"/>
        </w:rPr>
        <w:t>中通过资格审查、符合性审查且报价最低的参加评标；报价相同的，采取随机抽取方式确定，其他投标无效。</w:t>
      </w:r>
    </w:p>
    <w:p w14:paraId="59081ADF">
      <w:pPr>
        <w:pStyle w:val="18"/>
        <w:spacing w:line="360" w:lineRule="auto"/>
        <w:ind w:firstLine="400" w:firstLineChars="200"/>
        <w:jc w:val="both"/>
        <w:rPr>
          <w:rFonts w:ascii="Times New Roman" w:hAnsi="Times New Roman" w:cs="Times New Roman"/>
        </w:rPr>
      </w:pPr>
      <w:r>
        <w:rPr>
          <w:rFonts w:ascii="Times New Roman" w:hAnsi="Times New Roman" w:cs="Times New Roman"/>
          <w:spacing w:val="-5"/>
        </w:rPr>
        <w:t>使用综合评分法的采购项目，提供相同品牌产品且通过资格审查、符合性审查的不同投标人参加同一</w:t>
      </w:r>
      <w:r>
        <w:rPr>
          <w:rFonts w:ascii="Times New Roman" w:hAnsi="Times New Roman" w:cs="Times New Roman"/>
          <w:spacing w:val="-7"/>
        </w:rPr>
        <w:t>合同项下投标的，按一家投标人计算，评审后得分最高的同品牌投标人获得中标人推荐资格；评审得分相</w:t>
      </w:r>
      <w:r>
        <w:rPr>
          <w:rFonts w:ascii="Times New Roman" w:hAnsi="Times New Roman" w:cs="Times New Roman"/>
          <w:spacing w:val="-5"/>
        </w:rPr>
        <w:t>同的，采取随机抽取方式确定，其他同品牌投标人不作为中标候选人。</w:t>
      </w:r>
    </w:p>
    <w:p w14:paraId="4AD08B76">
      <w:pPr>
        <w:pStyle w:val="18"/>
        <w:spacing w:line="360" w:lineRule="auto"/>
        <w:ind w:firstLine="396" w:firstLineChars="200"/>
        <w:rPr>
          <w:rFonts w:ascii="Times New Roman" w:hAnsi="Times New Roman" w:cs="Times New Roman"/>
          <w:spacing w:val="-4"/>
        </w:rPr>
      </w:pPr>
      <w:r>
        <w:rPr>
          <w:rFonts w:ascii="Times New Roman" w:hAnsi="Times New Roman" w:cs="Times New Roman"/>
          <w:spacing w:val="-6"/>
        </w:rPr>
        <w:t>非单一产品采购项目，采购人应当根据采购项目技术构成、产品价格比重等合理确定核心产品，并在</w:t>
      </w:r>
      <w:r>
        <w:rPr>
          <w:rFonts w:ascii="Times New Roman" w:hAnsi="Times New Roman" w:cs="Times New Roman"/>
          <w:spacing w:val="-4"/>
        </w:rPr>
        <w:t>招标文件中载明。多家投标人提供的核心产品品牌相同的，按前两款规定处理。</w:t>
      </w:r>
    </w:p>
    <w:p w14:paraId="368D754A">
      <w:pPr>
        <w:pStyle w:val="18"/>
        <w:spacing w:line="360" w:lineRule="auto"/>
        <w:ind w:firstLine="400" w:firstLineChars="200"/>
        <w:rPr>
          <w:rFonts w:ascii="Times New Roman" w:hAnsi="Times New Roman" w:cs="Times New Roman"/>
        </w:rPr>
      </w:pPr>
      <w:r>
        <w:rPr>
          <w:rFonts w:ascii="Times New Roman" w:hAnsi="Times New Roman" w:cs="Times New Roman"/>
          <w:spacing w:val="-5"/>
        </w:rPr>
        <w:t>2.投标人投标所使用的资格、信誉、荣誉、业绩与企业认证必须为本法人所拥有。投标人投标所使用</w:t>
      </w:r>
      <w:r>
        <w:rPr>
          <w:rFonts w:ascii="Times New Roman" w:hAnsi="Times New Roman" w:cs="Times New Roman"/>
          <w:spacing w:val="-4"/>
        </w:rPr>
        <w:t>的采购项目实施人员必须为本法人员工</w:t>
      </w:r>
      <w:r>
        <w:rPr>
          <w:rFonts w:ascii="Times New Roman" w:hAnsi="Times New Roman" w:cs="Times New Roman"/>
          <w:spacing w:val="-3"/>
        </w:rPr>
        <w:t>（或必须为本法人或控股公司正式员工</w:t>
      </w:r>
      <w:r>
        <w:rPr>
          <w:rFonts w:ascii="Times New Roman" w:hAnsi="Times New Roman" w:cs="Times New Roman"/>
        </w:rPr>
        <w:t>）。</w:t>
      </w:r>
    </w:p>
    <w:p w14:paraId="558FE72D">
      <w:pPr>
        <w:pStyle w:val="18"/>
        <w:spacing w:line="360" w:lineRule="auto"/>
        <w:ind w:firstLine="400" w:firstLineChars="200"/>
        <w:rPr>
          <w:rFonts w:ascii="Times New Roman" w:hAnsi="Times New Roman" w:cs="Times New Roman"/>
          <w:spacing w:val="-4"/>
        </w:rPr>
      </w:pPr>
      <w:r>
        <w:rPr>
          <w:rFonts w:ascii="Times New Roman" w:hAnsi="Times New Roman" w:cs="Times New Roman"/>
          <w:spacing w:val="-5"/>
        </w:rPr>
        <w:t>3.以联合体形式参加政府采购活动的，联合体各方不得再单独参加或者与其他供应商另外组成联合体</w:t>
      </w:r>
      <w:r>
        <w:rPr>
          <w:rFonts w:ascii="Times New Roman" w:hAnsi="Times New Roman" w:cs="Times New Roman"/>
          <w:spacing w:val="-4"/>
        </w:rPr>
        <w:t>参加同一合同项下的政府采购活动。</w:t>
      </w:r>
    </w:p>
    <w:p w14:paraId="37A645F4">
      <w:pPr>
        <w:pStyle w:val="18"/>
        <w:spacing w:line="360" w:lineRule="auto"/>
        <w:ind w:firstLine="400" w:firstLineChars="200"/>
        <w:rPr>
          <w:rFonts w:ascii="Times New Roman" w:hAnsi="Times New Roman" w:cs="Times New Roman"/>
          <w:spacing w:val="-4"/>
        </w:rPr>
      </w:pPr>
      <w:r>
        <w:rPr>
          <w:rFonts w:ascii="Times New Roman" w:hAnsi="Times New Roman" w:cs="Times New Roman"/>
          <w:spacing w:val="-5"/>
        </w:rPr>
        <w:t>4.单位负责人为同一人或者存在直接控股、管理关系的不同供应商，不得参加同一合同项下的政府采</w:t>
      </w:r>
      <w:r>
        <w:rPr>
          <w:rFonts w:ascii="Times New Roman" w:hAnsi="Times New Roman" w:cs="Times New Roman"/>
          <w:spacing w:val="-4"/>
        </w:rPr>
        <w:t>购活动。</w:t>
      </w:r>
    </w:p>
    <w:p w14:paraId="2F6B228A">
      <w:pPr>
        <w:pStyle w:val="18"/>
        <w:spacing w:line="360" w:lineRule="auto"/>
        <w:ind w:firstLine="400" w:firstLineChars="200"/>
        <w:rPr>
          <w:rFonts w:ascii="Times New Roman" w:hAnsi="Times New Roman" w:cs="Times New Roman"/>
          <w:spacing w:val="-4"/>
        </w:rPr>
      </w:pPr>
      <w:r>
        <w:rPr>
          <w:rFonts w:ascii="Times New Roman" w:hAnsi="Times New Roman" w:cs="Times New Roman"/>
          <w:spacing w:val="-5"/>
        </w:rPr>
        <w:t>5.投标人应仔细阅读招标文件的所有内容，按照招标文件的要求提交投标文件，并对所提供的全部资</w:t>
      </w:r>
      <w:r>
        <w:rPr>
          <w:rFonts w:ascii="Times New Roman" w:hAnsi="Times New Roman" w:cs="Times New Roman"/>
          <w:spacing w:val="-4"/>
        </w:rPr>
        <w:t>料的真实性承担法律责任。</w:t>
      </w:r>
    </w:p>
    <w:p w14:paraId="75ACAD2F">
      <w:pPr>
        <w:pStyle w:val="18"/>
        <w:spacing w:line="360" w:lineRule="auto"/>
        <w:ind w:firstLine="400" w:firstLineChars="200"/>
        <w:rPr>
          <w:rFonts w:ascii="Times New Roman" w:hAnsi="Times New Roman" w:cs="Times New Roman"/>
        </w:rPr>
      </w:pPr>
      <w:r>
        <w:rPr>
          <w:rFonts w:ascii="Times New Roman" w:hAnsi="Times New Roman" w:cs="Times New Roman"/>
          <w:spacing w:val="-5"/>
        </w:rPr>
        <w:t>6.投标人在投标活动中提供任何虚假材料,其投标无效，并报监管部门查处；中标后发现的,中标人须</w:t>
      </w:r>
      <w:r>
        <w:rPr>
          <w:rFonts w:ascii="Times New Roman" w:hAnsi="Times New Roman" w:cs="Times New Roman"/>
          <w:spacing w:val="-4"/>
        </w:rPr>
        <w:t xml:space="preserve">依照《中华人民共和国消费者权益保护法》第 </w:t>
      </w:r>
      <w:r>
        <w:rPr>
          <w:rFonts w:ascii="Times New Roman" w:hAnsi="Times New Roman" w:cs="Times New Roman"/>
        </w:rPr>
        <w:t>49</w:t>
      </w:r>
      <w:r>
        <w:rPr>
          <w:rFonts w:ascii="Times New Roman" w:hAnsi="Times New Roman" w:cs="Times New Roman"/>
          <w:spacing w:val="-3"/>
        </w:rPr>
        <w:t xml:space="preserve"> 条之规定双倍赔偿采购人，且民事赔偿并不免除违法投标人的行政与刑事责任。</w:t>
      </w:r>
    </w:p>
    <w:p w14:paraId="250E3C8B">
      <w:pPr>
        <w:pStyle w:val="5"/>
        <w:spacing w:line="360" w:lineRule="auto"/>
        <w:ind w:left="0" w:firstLine="422" w:firstLineChars="200"/>
        <w:rPr>
          <w:rFonts w:ascii="Times New Roman" w:hAnsi="Times New Roman" w:cs="Times New Roman"/>
        </w:rPr>
      </w:pPr>
      <w:r>
        <w:rPr>
          <w:rFonts w:ascii="Times New Roman" w:hAnsi="Times New Roman" w:cs="Times New Roman"/>
        </w:rPr>
        <w:t>（九）质疑和投诉</w:t>
      </w:r>
    </w:p>
    <w:p w14:paraId="262B832A">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投标人认为招标文件、招标过程或中标结果使自己的合法权益受到损害的，应当在知道或者应知其权益受到损害之日起七个工作日内，以书面形式向采购人、招标人提出质疑。投标人对招标采购人的质疑答复不满意或者招标采购人未在规定时间内作出答复的，可以在答复期满后十五个工作日内向主管部门投诉。</w:t>
      </w:r>
    </w:p>
    <w:p w14:paraId="6E54B38F">
      <w:pPr>
        <w:pStyle w:val="5"/>
        <w:spacing w:line="360" w:lineRule="auto"/>
        <w:ind w:left="0" w:firstLine="420" w:firstLineChars="200"/>
        <w:rPr>
          <w:rFonts w:ascii="Times New Roman" w:hAnsi="Times New Roman" w:cs="Times New Roman"/>
          <w:b w:val="0"/>
        </w:rPr>
      </w:pPr>
      <w:r>
        <w:rPr>
          <w:rFonts w:ascii="Times New Roman" w:hAnsi="Times New Roman" w:cs="Times New Roman"/>
          <w:b w:val="0"/>
          <w:bCs w:val="0"/>
          <w:kern w:val="2"/>
          <w:lang w:val="en-US"/>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C7333CF">
      <w:pPr>
        <w:rPr>
          <w:rFonts w:ascii="Times New Roman" w:hAnsi="Times New Roman" w:cs="Times New Roman"/>
        </w:rPr>
      </w:pPr>
    </w:p>
    <w:p w14:paraId="7A2F1793">
      <w:pPr>
        <w:spacing w:line="360" w:lineRule="auto"/>
        <w:jc w:val="center"/>
        <w:rPr>
          <w:rFonts w:ascii="Times New Roman" w:hAnsi="Times New Roman" w:cs="Times New Roman"/>
          <w:b/>
          <w:sz w:val="28"/>
        </w:rPr>
      </w:pPr>
      <w:r>
        <w:rPr>
          <w:rFonts w:ascii="Times New Roman" w:hAnsi="Times New Roman" w:cs="Times New Roman"/>
          <w:b/>
          <w:sz w:val="28"/>
        </w:rPr>
        <w:t>二、招标文件</w:t>
      </w:r>
    </w:p>
    <w:p w14:paraId="2C1270E3">
      <w:pPr>
        <w:spacing w:line="360" w:lineRule="auto"/>
        <w:ind w:firstLine="422" w:firstLineChars="200"/>
        <w:rPr>
          <w:rFonts w:ascii="Times New Roman" w:hAnsi="Times New Roman" w:cs="Times New Roman"/>
          <w:b/>
          <w:sz w:val="21"/>
        </w:rPr>
      </w:pPr>
      <w:r>
        <w:rPr>
          <w:rFonts w:ascii="Times New Roman" w:hAnsi="Times New Roman" w:cs="Times New Roman"/>
          <w:b/>
          <w:sz w:val="21"/>
        </w:rPr>
        <w:t>（一）招标文件的构成。本招标文件由以下部份组成：</w:t>
      </w:r>
    </w:p>
    <w:p w14:paraId="5689A025">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1.招标公告</w:t>
      </w:r>
    </w:p>
    <w:p w14:paraId="64CE794C">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2.招标需求</w:t>
      </w:r>
    </w:p>
    <w:p w14:paraId="4281961B">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3.投标人须知</w:t>
      </w:r>
    </w:p>
    <w:p w14:paraId="2B16856E">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4.评标办法及标准</w:t>
      </w:r>
    </w:p>
    <w:p w14:paraId="6012CB6D">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5.合同主要条款</w:t>
      </w:r>
    </w:p>
    <w:p w14:paraId="773F7DDE">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6.投标文件格式</w:t>
      </w:r>
    </w:p>
    <w:p w14:paraId="2E5A32DB">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7.本项目招标文件的澄清、答复、修改、补充的内容</w:t>
      </w:r>
    </w:p>
    <w:p w14:paraId="76D62949">
      <w:pPr>
        <w:pStyle w:val="5"/>
        <w:spacing w:line="360" w:lineRule="auto"/>
        <w:ind w:left="0" w:firstLine="422" w:firstLineChars="200"/>
        <w:rPr>
          <w:rFonts w:ascii="Times New Roman" w:hAnsi="Times New Roman" w:cs="Times New Roman"/>
        </w:rPr>
      </w:pPr>
      <w:r>
        <w:rPr>
          <w:rFonts w:ascii="Times New Roman" w:hAnsi="Times New Roman" w:cs="Times New Roman"/>
        </w:rPr>
        <w:t>（二）投标人的风险</w:t>
      </w:r>
    </w:p>
    <w:p w14:paraId="105F416D">
      <w:pPr>
        <w:pStyle w:val="18"/>
        <w:spacing w:line="360" w:lineRule="auto"/>
        <w:ind w:firstLine="400" w:firstLineChars="200"/>
        <w:rPr>
          <w:rFonts w:ascii="Times New Roman" w:hAnsi="Times New Roman" w:cs="Times New Roman"/>
        </w:rPr>
      </w:pPr>
      <w:r>
        <w:rPr>
          <w:rFonts w:ascii="Times New Roman" w:hAnsi="Times New Roman" w:cs="Times New Roman"/>
          <w:spacing w:val="-5"/>
        </w:rPr>
        <w:t>投标人没有按照招标文件要求提供全部资料，或者投标人没有对招标文件在各方面作出实质性响应是</w:t>
      </w:r>
      <w:r>
        <w:rPr>
          <w:rFonts w:ascii="Times New Roman" w:hAnsi="Times New Roman" w:cs="Times New Roman"/>
          <w:spacing w:val="-3"/>
        </w:rPr>
        <w:t>投标人的风险，并可能导致其投标为无效标。</w:t>
      </w:r>
    </w:p>
    <w:p w14:paraId="4CD3D741">
      <w:pPr>
        <w:pStyle w:val="5"/>
        <w:spacing w:line="360" w:lineRule="auto"/>
        <w:ind w:left="0" w:firstLine="422" w:firstLineChars="200"/>
        <w:rPr>
          <w:rFonts w:ascii="Times New Roman" w:hAnsi="Times New Roman" w:cs="Times New Roman"/>
        </w:rPr>
      </w:pPr>
      <w:r>
        <w:rPr>
          <w:rFonts w:ascii="Times New Roman" w:hAnsi="Times New Roman" w:cs="Times New Roman"/>
        </w:rPr>
        <w:t>（三）招标文件的澄清与修改</w:t>
      </w:r>
    </w:p>
    <w:p w14:paraId="38F53611">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投标人应认真阅读本招标文件，发现其中有误或有不合理要求的，可要求招标人或采购人澄清。招标人或采购人对已发出的招标文件进行必要澄清或者修改的，应当在招标文件要求提交投标文件截止日前，在发布公告的网站上发布更正公告，该公告作为书面形式通知所有投标人。</w:t>
      </w:r>
    </w:p>
    <w:p w14:paraId="745CB9E7">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2.招标文件澄清或者修改的内容为招标文件的组成部分。当招标文件与澄清或者修改就同一内容的表述不一致时，以最后发出的公告为准。</w:t>
      </w:r>
    </w:p>
    <w:p w14:paraId="5F85C43A">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3.对招标文件的澄清、答复、修改或补充都应该通过招标人以法定形式发布，采购人非通过招标人，不得擅自澄清、答复、修改或补充招标文件。</w:t>
      </w:r>
    </w:p>
    <w:p w14:paraId="10D6BBC5">
      <w:pPr>
        <w:pStyle w:val="18"/>
        <w:spacing w:line="360" w:lineRule="auto"/>
        <w:ind w:firstLine="440" w:firstLineChars="200"/>
        <w:rPr>
          <w:rFonts w:ascii="Times New Roman" w:hAnsi="Times New Roman" w:cs="Times New Roman"/>
          <w:sz w:val="22"/>
        </w:rPr>
      </w:pPr>
    </w:p>
    <w:p w14:paraId="3CE6BC68">
      <w:pPr>
        <w:spacing w:line="360" w:lineRule="auto"/>
        <w:ind w:firstLine="118" w:firstLineChars="42"/>
        <w:jc w:val="center"/>
        <w:rPr>
          <w:rFonts w:ascii="Times New Roman" w:hAnsi="Times New Roman" w:cs="Times New Roman"/>
          <w:b/>
          <w:sz w:val="28"/>
        </w:rPr>
      </w:pPr>
      <w:r>
        <w:rPr>
          <w:rFonts w:ascii="Times New Roman" w:hAnsi="Times New Roman" w:cs="Times New Roman"/>
          <w:b/>
          <w:sz w:val="28"/>
        </w:rPr>
        <w:t>三、投标文件的编制</w:t>
      </w:r>
    </w:p>
    <w:p w14:paraId="21F2A9C7">
      <w:pPr>
        <w:pStyle w:val="5"/>
        <w:spacing w:line="360" w:lineRule="auto"/>
        <w:ind w:left="0" w:firstLine="402" w:firstLineChars="200"/>
        <w:rPr>
          <w:rFonts w:ascii="Times New Roman" w:hAnsi="Times New Roman" w:cs="Times New Roman"/>
        </w:rPr>
      </w:pPr>
      <w:r>
        <w:rPr>
          <w:rFonts w:ascii="Times New Roman" w:hAnsi="Times New Roman" w:cs="Times New Roman"/>
          <w:spacing w:val="-5"/>
        </w:rPr>
        <w:t>本项目所涉投标文件格式请详见第六章，未给出的格式请自拟。技术商务文件中不得出现报价，否则投标文件将被视为无效</w:t>
      </w:r>
    </w:p>
    <w:p w14:paraId="2AE3D0B5">
      <w:pPr>
        <w:pStyle w:val="5"/>
        <w:spacing w:line="360" w:lineRule="auto"/>
        <w:ind w:left="0" w:firstLine="422" w:firstLineChars="200"/>
        <w:rPr>
          <w:rFonts w:ascii="Times New Roman" w:hAnsi="Times New Roman" w:cs="Times New Roman"/>
        </w:rPr>
      </w:pPr>
      <w:r>
        <w:rPr>
          <w:rFonts w:ascii="Times New Roman" w:hAnsi="Times New Roman" w:cs="Times New Roman"/>
        </w:rPr>
        <w:t>（一）投标文件的组成</w:t>
      </w:r>
    </w:p>
    <w:p w14:paraId="74A9C25B">
      <w:pPr>
        <w:spacing w:line="360" w:lineRule="auto"/>
        <w:ind w:firstLine="420" w:firstLineChars="200"/>
        <w:rPr>
          <w:rFonts w:ascii="Times New Roman" w:hAnsi="Times New Roman" w:cs="Times New Roman"/>
          <w:sz w:val="21"/>
        </w:rPr>
      </w:pPr>
      <w:r>
        <w:rPr>
          <w:rFonts w:ascii="Times New Roman" w:hAnsi="Times New Roman" w:cs="Times New Roman"/>
          <w:sz w:val="21"/>
        </w:rPr>
        <w:t>投标文件由资格文件、技术商务文件和报价文件三部份组成。</w:t>
      </w:r>
    </w:p>
    <w:p w14:paraId="5F80293A">
      <w:pPr>
        <w:spacing w:line="360" w:lineRule="auto"/>
        <w:ind w:firstLine="422" w:firstLineChars="200"/>
        <w:rPr>
          <w:rFonts w:ascii="Times New Roman" w:hAnsi="Times New Roman" w:cs="Times New Roman"/>
          <w:b/>
          <w:sz w:val="21"/>
        </w:rPr>
      </w:pPr>
      <w:r>
        <w:rPr>
          <w:rFonts w:ascii="Times New Roman" w:hAnsi="Times New Roman" w:cs="Times New Roman"/>
          <w:b/>
          <w:sz w:val="21"/>
        </w:rPr>
        <w:t>1.资格文件：</w:t>
      </w:r>
    </w:p>
    <w:p w14:paraId="05F59422">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1.1资格文件封面及目录（附件1）；</w:t>
      </w:r>
    </w:p>
    <w:p w14:paraId="49EBBB69">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1.2投标人声明书（附件2）；</w:t>
      </w:r>
    </w:p>
    <w:p w14:paraId="408EC5A1">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1.3营业(经营)执照正本或副本复印件（盖单位公章）（事业单位投标的则提供有效的《事业单位法人证书》副本复印件并加盖单位公章；自然人的，则提供有效的身份证复印件并签字）；</w:t>
      </w:r>
    </w:p>
    <w:p w14:paraId="7765FAC3">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1.4法定代表人、负责人、经营者（以下统称法定代表人）有效身份证件复印件；</w:t>
      </w:r>
    </w:p>
    <w:p w14:paraId="6D1687C9">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w:t>
      </w:r>
      <w:r>
        <w:rPr>
          <w:rFonts w:hint="eastAsia" w:ascii="Times New Roman" w:hAnsi="Times New Roman" w:cs="Times New Roman"/>
          <w:kern w:val="2"/>
          <w:sz w:val="21"/>
          <w:szCs w:val="21"/>
          <w:lang w:val="en-US"/>
        </w:rPr>
        <w:t>5</w:t>
      </w:r>
      <w:r>
        <w:rPr>
          <w:rFonts w:ascii="Times New Roman" w:hAnsi="Times New Roman" w:cs="Times New Roman"/>
          <w:kern w:val="2"/>
          <w:sz w:val="21"/>
          <w:szCs w:val="21"/>
          <w:lang w:val="en-US"/>
        </w:rPr>
        <w:t>法定代表人授权委托书（附件3）及授权代表有效身份证件复印件（授权代表参加开标的须提供）；</w:t>
      </w:r>
    </w:p>
    <w:p w14:paraId="79AF9A94">
      <w:pPr>
        <w:spacing w:line="360" w:lineRule="auto"/>
        <w:ind w:firstLine="388" w:firstLineChars="200"/>
        <w:jc w:val="both"/>
        <w:rPr>
          <w:rFonts w:ascii="Times New Roman" w:hAnsi="Times New Roman" w:cs="Times New Roman"/>
          <w:color w:val="FF0000"/>
          <w:sz w:val="21"/>
        </w:rPr>
      </w:pPr>
      <w:r>
        <w:rPr>
          <w:rFonts w:ascii="Times New Roman" w:hAnsi="Times New Roman" w:cs="Times New Roman"/>
          <w:color w:val="FF0000"/>
          <w:spacing w:val="-8"/>
          <w:sz w:val="21"/>
        </w:rPr>
        <w:t>1.</w:t>
      </w:r>
      <w:r>
        <w:rPr>
          <w:rFonts w:hint="eastAsia" w:ascii="Times New Roman" w:hAnsi="Times New Roman" w:cs="Times New Roman"/>
          <w:color w:val="FF0000"/>
          <w:spacing w:val="-8"/>
          <w:sz w:val="21"/>
          <w:lang w:val="en-US"/>
        </w:rPr>
        <w:t>6</w:t>
      </w:r>
      <w:r>
        <w:rPr>
          <w:rFonts w:ascii="Times New Roman" w:hAnsi="Times New Roman" w:cs="Times New Roman"/>
          <w:color w:val="FF0000"/>
          <w:spacing w:val="-8"/>
          <w:sz w:val="21"/>
        </w:rPr>
        <w:t>提供最近一个季度内依法缴纳税收的证明</w:t>
      </w:r>
      <w:r>
        <w:rPr>
          <w:rFonts w:ascii="Times New Roman" w:hAnsi="Times New Roman" w:cs="Times New Roman"/>
          <w:color w:val="FF0000"/>
          <w:sz w:val="21"/>
        </w:rPr>
        <w:t>（</w:t>
      </w:r>
      <w:r>
        <w:rPr>
          <w:rFonts w:ascii="Times New Roman" w:hAnsi="Times New Roman" w:cs="Times New Roman"/>
          <w:color w:val="FF0000"/>
          <w:spacing w:val="-3"/>
          <w:sz w:val="21"/>
        </w:rPr>
        <w:t>税费凭证复印件,如依法免缴税费的提供加盖单位公章的零申报申报表</w:t>
      </w:r>
      <w:r>
        <w:rPr>
          <w:rFonts w:ascii="Times New Roman" w:hAnsi="Times New Roman" w:cs="Times New Roman"/>
          <w:color w:val="FF0000"/>
          <w:sz w:val="21"/>
        </w:rPr>
        <w:t>）</w:t>
      </w:r>
    </w:p>
    <w:p w14:paraId="4A644F48">
      <w:pPr>
        <w:spacing w:line="360" w:lineRule="auto"/>
        <w:ind w:firstLine="408" w:firstLineChars="200"/>
        <w:jc w:val="both"/>
        <w:rPr>
          <w:rFonts w:ascii="Times New Roman" w:hAnsi="Times New Roman" w:cs="Times New Roman"/>
          <w:color w:val="FF0000"/>
          <w:sz w:val="21"/>
        </w:rPr>
      </w:pPr>
      <w:r>
        <w:rPr>
          <w:rFonts w:ascii="Times New Roman" w:hAnsi="Times New Roman" w:cs="Times New Roman"/>
          <w:color w:val="FF0000"/>
          <w:spacing w:val="-3"/>
          <w:sz w:val="21"/>
        </w:rPr>
        <w:t>1.</w:t>
      </w:r>
      <w:r>
        <w:rPr>
          <w:rFonts w:hint="eastAsia" w:ascii="Times New Roman" w:hAnsi="Times New Roman" w:cs="Times New Roman"/>
          <w:color w:val="FF0000"/>
          <w:spacing w:val="-3"/>
          <w:sz w:val="21"/>
          <w:lang w:val="en-US"/>
        </w:rPr>
        <w:t>7</w:t>
      </w:r>
      <w:r>
        <w:rPr>
          <w:rFonts w:ascii="Times New Roman" w:hAnsi="Times New Roman" w:cs="Times New Roman"/>
          <w:color w:val="FF0000"/>
          <w:spacing w:val="-3"/>
          <w:sz w:val="21"/>
        </w:rPr>
        <w:t>提供最近一个季度内依法缴纳社会保障资金证明</w:t>
      </w:r>
      <w:r>
        <w:rPr>
          <w:rFonts w:ascii="Times New Roman" w:hAnsi="Times New Roman" w:cs="Times New Roman"/>
          <w:color w:val="FF0000"/>
          <w:sz w:val="21"/>
        </w:rPr>
        <w:t>（</w:t>
      </w:r>
      <w:r>
        <w:rPr>
          <w:rFonts w:ascii="Times New Roman" w:hAnsi="Times New Roman" w:cs="Times New Roman"/>
          <w:color w:val="FF0000"/>
          <w:spacing w:val="-3"/>
          <w:sz w:val="21"/>
        </w:rPr>
        <w:t>缴纳凭证或人社部门出具的证明</w:t>
      </w:r>
      <w:r>
        <w:rPr>
          <w:rFonts w:ascii="Times New Roman" w:hAnsi="Times New Roman" w:cs="Times New Roman"/>
          <w:color w:val="FF0000"/>
          <w:sz w:val="21"/>
        </w:rPr>
        <w:t>）</w:t>
      </w:r>
    </w:p>
    <w:p w14:paraId="05AD0D46">
      <w:pPr>
        <w:spacing w:line="360" w:lineRule="auto"/>
        <w:ind w:firstLine="420" w:firstLineChars="200"/>
        <w:jc w:val="both"/>
        <w:rPr>
          <w:rFonts w:ascii="Times New Roman" w:hAnsi="Times New Roman" w:cs="Times New Roman"/>
          <w:color w:val="FF0000"/>
          <w:kern w:val="2"/>
          <w:sz w:val="21"/>
          <w:szCs w:val="21"/>
          <w:lang w:val="en-US"/>
        </w:rPr>
      </w:pPr>
      <w:r>
        <w:rPr>
          <w:rFonts w:ascii="Times New Roman" w:hAnsi="Times New Roman" w:cs="Times New Roman"/>
          <w:color w:val="FF0000"/>
          <w:kern w:val="2"/>
          <w:sz w:val="21"/>
          <w:szCs w:val="21"/>
          <w:lang w:val="en-US"/>
        </w:rPr>
        <w:t>1.</w:t>
      </w:r>
      <w:r>
        <w:rPr>
          <w:rFonts w:hint="eastAsia" w:ascii="Times New Roman" w:hAnsi="Times New Roman" w:cs="Times New Roman"/>
          <w:color w:val="FF0000"/>
          <w:kern w:val="2"/>
          <w:sz w:val="21"/>
          <w:szCs w:val="21"/>
          <w:lang w:val="en-US"/>
        </w:rPr>
        <w:t>8</w:t>
      </w:r>
      <w:r>
        <w:rPr>
          <w:rFonts w:ascii="Times New Roman" w:hAnsi="Times New Roman" w:cs="Times New Roman"/>
          <w:color w:val="FF0000"/>
          <w:spacing w:val="-3"/>
          <w:sz w:val="21"/>
        </w:rPr>
        <w:t>投标人认为需要提供的其他资料</w:t>
      </w:r>
      <w:r>
        <w:rPr>
          <w:rFonts w:ascii="Times New Roman" w:hAnsi="Times New Roman" w:cs="Times New Roman"/>
          <w:color w:val="FF0000"/>
          <w:kern w:val="2"/>
          <w:sz w:val="21"/>
          <w:szCs w:val="21"/>
          <w:lang w:val="en-US"/>
        </w:rPr>
        <w:t>。</w:t>
      </w:r>
    </w:p>
    <w:p w14:paraId="2FD1A0A7">
      <w:pPr>
        <w:spacing w:line="360" w:lineRule="auto"/>
        <w:ind w:firstLine="410" w:firstLineChars="200"/>
        <w:jc w:val="both"/>
        <w:rPr>
          <w:rFonts w:ascii="Times New Roman" w:hAnsi="Times New Roman" w:cs="Times New Roman"/>
          <w:b/>
          <w:spacing w:val="-15"/>
          <w:sz w:val="21"/>
        </w:rPr>
      </w:pPr>
      <w:r>
        <w:rPr>
          <w:rFonts w:ascii="Times New Roman" w:hAnsi="Times New Roman" w:cs="Times New Roman"/>
          <w:b/>
          <w:spacing w:val="-3"/>
          <w:sz w:val="21"/>
        </w:rPr>
        <w:t>2．技术商务文件：</w:t>
      </w:r>
    </w:p>
    <w:p w14:paraId="26211D72">
      <w:pPr>
        <w:spacing w:line="400" w:lineRule="exact"/>
        <w:ind w:firstLine="420" w:firstLineChars="200"/>
        <w:jc w:val="both"/>
        <w:rPr>
          <w:rFonts w:ascii="Times New Roman" w:hAnsi="Times New Roman" w:cs="Times New Roman"/>
          <w:kern w:val="2"/>
          <w:sz w:val="21"/>
          <w:szCs w:val="21"/>
          <w:lang w:val="en-US"/>
        </w:rPr>
      </w:pPr>
      <w:r>
        <w:rPr>
          <w:rFonts w:ascii="Times New Roman" w:hAnsi="Times New Roman" w:cs="Times New Roman"/>
          <w:color w:val="000000"/>
          <w:kern w:val="2"/>
          <w:sz w:val="21"/>
          <w:szCs w:val="21"/>
          <w:lang w:val="en-US"/>
        </w:rPr>
        <w:t>2.1资信商务技术文件封面及目录（附件4）；</w:t>
      </w:r>
    </w:p>
    <w:p w14:paraId="3FAF8313">
      <w:pPr>
        <w:spacing w:line="400" w:lineRule="exact"/>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2.2投标人基本情况表（附件5）；</w:t>
      </w:r>
    </w:p>
    <w:p w14:paraId="6D0376D1">
      <w:pPr>
        <w:spacing w:line="400" w:lineRule="exact"/>
        <w:ind w:firstLine="408" w:firstLineChars="200"/>
        <w:jc w:val="both"/>
        <w:rPr>
          <w:rFonts w:ascii="Times New Roman" w:hAnsi="Times New Roman" w:cs="Times New Roman"/>
          <w:color w:val="000000"/>
          <w:kern w:val="2"/>
          <w:sz w:val="21"/>
          <w:szCs w:val="21"/>
          <w:lang w:val="en-US"/>
        </w:rPr>
      </w:pPr>
      <w:r>
        <w:rPr>
          <w:rFonts w:ascii="Times New Roman" w:hAnsi="Times New Roman" w:cs="Times New Roman"/>
          <w:spacing w:val="-3"/>
          <w:sz w:val="21"/>
        </w:rPr>
        <w:t>2.3商务响应表</w:t>
      </w:r>
      <w:r>
        <w:rPr>
          <w:rFonts w:ascii="Times New Roman" w:hAnsi="Times New Roman" w:cs="Times New Roman"/>
          <w:sz w:val="21"/>
        </w:rPr>
        <w:t>（</w:t>
      </w:r>
      <w:r>
        <w:rPr>
          <w:rFonts w:ascii="Times New Roman" w:hAnsi="Times New Roman" w:cs="Times New Roman"/>
          <w:spacing w:val="-15"/>
          <w:sz w:val="21"/>
        </w:rPr>
        <w:t xml:space="preserve">附件 </w:t>
      </w:r>
      <w:r>
        <w:rPr>
          <w:rFonts w:hint="eastAsia" w:ascii="Times New Roman" w:hAnsi="Times New Roman" w:cs="Times New Roman"/>
          <w:spacing w:val="-3"/>
          <w:sz w:val="21"/>
        </w:rPr>
        <w:t>6</w:t>
      </w:r>
      <w:r>
        <w:rPr>
          <w:rFonts w:ascii="Times New Roman" w:hAnsi="Times New Roman" w:cs="Times New Roman"/>
          <w:spacing w:val="-3"/>
          <w:sz w:val="21"/>
        </w:rPr>
        <w:t>）</w:t>
      </w:r>
    </w:p>
    <w:p w14:paraId="1EFE8DBB">
      <w:pPr>
        <w:spacing w:line="400" w:lineRule="exact"/>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2.4</w:t>
      </w:r>
      <w:r>
        <w:rPr>
          <w:rFonts w:ascii="Times New Roman" w:hAnsi="Times New Roman" w:cs="Times New Roman"/>
          <w:spacing w:val="-3"/>
          <w:sz w:val="21"/>
        </w:rPr>
        <w:t>各类资质证书、荣誉证书、认证证书等复印件（盖单位公章</w:t>
      </w:r>
      <w:r>
        <w:rPr>
          <w:rFonts w:ascii="Times New Roman" w:hAnsi="Times New Roman" w:cs="Times New Roman"/>
          <w:sz w:val="21"/>
        </w:rPr>
        <w:t>）</w:t>
      </w:r>
      <w:r>
        <w:rPr>
          <w:rFonts w:hint="eastAsia" w:ascii="Times New Roman" w:hAnsi="Times New Roman" w:cs="Times New Roman"/>
          <w:sz w:val="21"/>
        </w:rPr>
        <w:t>；</w:t>
      </w:r>
    </w:p>
    <w:p w14:paraId="75188FB5">
      <w:pPr>
        <w:spacing w:line="400" w:lineRule="exact"/>
        <w:ind w:firstLine="408" w:firstLineChars="200"/>
        <w:jc w:val="both"/>
        <w:rPr>
          <w:rFonts w:ascii="Times New Roman" w:hAnsi="Times New Roman" w:cs="Times New Roman"/>
          <w:kern w:val="2"/>
          <w:sz w:val="21"/>
          <w:szCs w:val="21"/>
          <w:lang w:val="en-US"/>
        </w:rPr>
      </w:pPr>
      <w:r>
        <w:rPr>
          <w:rFonts w:ascii="Times New Roman" w:hAnsi="Times New Roman" w:cs="Times New Roman"/>
          <w:spacing w:val="-3"/>
          <w:sz w:val="21"/>
          <w:lang w:val="en-US"/>
        </w:rPr>
        <w:t>2.5</w:t>
      </w:r>
      <w:r>
        <w:rPr>
          <w:rFonts w:hint="eastAsia" w:cs="Times New Roman"/>
          <w:color w:val="000000"/>
          <w:sz w:val="21"/>
          <w:szCs w:val="21"/>
        </w:rPr>
        <w:t>技术方案及组织措施</w:t>
      </w:r>
      <w:r>
        <w:rPr>
          <w:rFonts w:hint="eastAsia" w:ascii="Times New Roman" w:hAnsi="Times New Roman" w:cs="Times New Roman"/>
          <w:kern w:val="2"/>
          <w:sz w:val="21"/>
          <w:szCs w:val="21"/>
          <w:lang w:val="en-US"/>
        </w:rPr>
        <w:t>；</w:t>
      </w:r>
    </w:p>
    <w:p w14:paraId="42BEA7C0">
      <w:pPr>
        <w:spacing w:line="400" w:lineRule="exact"/>
        <w:ind w:firstLine="408" w:firstLineChars="200"/>
        <w:jc w:val="both"/>
        <w:rPr>
          <w:rFonts w:ascii="Times New Roman" w:hAnsi="Times New Roman" w:cs="Times New Roman"/>
          <w:spacing w:val="-3"/>
          <w:sz w:val="21"/>
        </w:rPr>
      </w:pPr>
      <w:r>
        <w:rPr>
          <w:rFonts w:ascii="Times New Roman" w:hAnsi="Times New Roman" w:cs="Times New Roman"/>
          <w:spacing w:val="-3"/>
          <w:sz w:val="21"/>
        </w:rPr>
        <w:t>2</w:t>
      </w:r>
      <w:r>
        <w:rPr>
          <w:rFonts w:hint="eastAsia" w:ascii="Times New Roman" w:hAnsi="Times New Roman" w:cs="Times New Roman"/>
          <w:spacing w:val="-3"/>
          <w:sz w:val="21"/>
        </w:rPr>
        <w:t>.6</w:t>
      </w:r>
      <w:r>
        <w:rPr>
          <w:rFonts w:ascii="Times New Roman" w:hAnsi="Times New Roman" w:cs="Times New Roman"/>
          <w:kern w:val="2"/>
          <w:sz w:val="21"/>
          <w:szCs w:val="21"/>
          <w:lang w:val="en-US"/>
        </w:rPr>
        <w:t>同类项目业绩证明材料复印件；</w:t>
      </w:r>
    </w:p>
    <w:p w14:paraId="59660F62">
      <w:pPr>
        <w:spacing w:line="400" w:lineRule="exact"/>
        <w:ind w:firstLine="408" w:firstLineChars="200"/>
        <w:jc w:val="both"/>
        <w:rPr>
          <w:rFonts w:ascii="Times New Roman" w:hAnsi="Times New Roman" w:cs="Times New Roman"/>
          <w:spacing w:val="-3"/>
          <w:sz w:val="21"/>
        </w:rPr>
      </w:pPr>
      <w:r>
        <w:rPr>
          <w:rFonts w:ascii="Times New Roman" w:hAnsi="Times New Roman" w:cs="Times New Roman"/>
          <w:spacing w:val="-3"/>
          <w:sz w:val="21"/>
        </w:rPr>
        <w:t>2.</w:t>
      </w:r>
      <w:r>
        <w:rPr>
          <w:rFonts w:hint="eastAsia" w:ascii="Times New Roman" w:hAnsi="Times New Roman" w:cs="Times New Roman"/>
          <w:spacing w:val="-3"/>
          <w:sz w:val="21"/>
        </w:rPr>
        <w:t>7</w:t>
      </w:r>
      <w:r>
        <w:rPr>
          <w:rFonts w:ascii="Times New Roman" w:hAnsi="Times New Roman" w:cs="Times New Roman"/>
          <w:color w:val="000000"/>
          <w:kern w:val="2"/>
          <w:sz w:val="21"/>
          <w:szCs w:val="21"/>
          <w:lang w:val="en-US"/>
        </w:rPr>
        <w:t>服务承诺（附件</w:t>
      </w:r>
      <w:r>
        <w:rPr>
          <w:rFonts w:hint="eastAsia" w:ascii="Times New Roman" w:hAnsi="Times New Roman" w:cs="Times New Roman"/>
          <w:color w:val="000000"/>
          <w:kern w:val="2"/>
          <w:sz w:val="21"/>
          <w:szCs w:val="21"/>
          <w:lang w:val="en-US"/>
        </w:rPr>
        <w:t>8</w:t>
      </w:r>
      <w:r>
        <w:rPr>
          <w:rFonts w:ascii="Times New Roman" w:hAnsi="Times New Roman" w:cs="Times New Roman"/>
          <w:color w:val="000000"/>
          <w:kern w:val="2"/>
          <w:sz w:val="21"/>
          <w:szCs w:val="21"/>
          <w:lang w:val="en-US"/>
        </w:rPr>
        <w:t>） ；</w:t>
      </w:r>
    </w:p>
    <w:p w14:paraId="032D27F4">
      <w:pPr>
        <w:spacing w:line="400" w:lineRule="exact"/>
        <w:ind w:firstLine="408" w:firstLineChars="200"/>
        <w:jc w:val="both"/>
        <w:rPr>
          <w:rFonts w:ascii="Times New Roman" w:hAnsi="Times New Roman" w:cs="Times New Roman"/>
          <w:sz w:val="21"/>
        </w:rPr>
      </w:pPr>
      <w:r>
        <w:rPr>
          <w:rFonts w:ascii="Times New Roman" w:hAnsi="Times New Roman" w:cs="Times New Roman"/>
          <w:spacing w:val="-3"/>
          <w:sz w:val="21"/>
        </w:rPr>
        <w:t>2.</w:t>
      </w:r>
      <w:r>
        <w:rPr>
          <w:rFonts w:hint="eastAsia" w:ascii="Times New Roman" w:hAnsi="Times New Roman" w:cs="Times New Roman"/>
          <w:spacing w:val="-3"/>
          <w:sz w:val="21"/>
        </w:rPr>
        <w:t>8</w:t>
      </w:r>
      <w:r>
        <w:rPr>
          <w:rFonts w:ascii="Times New Roman" w:hAnsi="Times New Roman" w:cs="Times New Roman"/>
          <w:color w:val="000000"/>
          <w:kern w:val="2"/>
          <w:sz w:val="21"/>
          <w:szCs w:val="21"/>
          <w:lang w:val="en-US"/>
        </w:rPr>
        <w:t>招标文件需要的其他资料及投标人认为需要提供的其他内容。</w:t>
      </w:r>
    </w:p>
    <w:p w14:paraId="361F486C">
      <w:pPr>
        <w:pStyle w:val="61"/>
        <w:tabs>
          <w:tab w:val="left" w:pos="1206"/>
        </w:tabs>
        <w:spacing w:before="0" w:line="360" w:lineRule="auto"/>
        <w:ind w:left="416" w:firstLine="0"/>
        <w:rPr>
          <w:rFonts w:ascii="Times New Roman" w:hAnsi="Times New Roman" w:cs="Times New Roman"/>
          <w:b/>
          <w:sz w:val="21"/>
        </w:rPr>
      </w:pPr>
      <w:r>
        <w:rPr>
          <w:rFonts w:ascii="Times New Roman" w:hAnsi="Times New Roman" w:cs="Times New Roman"/>
          <w:b/>
          <w:spacing w:val="-3"/>
          <w:sz w:val="21"/>
        </w:rPr>
        <w:t>3．报价文件：</w:t>
      </w:r>
    </w:p>
    <w:p w14:paraId="26B5218C">
      <w:pPr>
        <w:pStyle w:val="61"/>
        <w:tabs>
          <w:tab w:val="left" w:pos="1103"/>
        </w:tabs>
        <w:spacing w:before="0" w:line="360" w:lineRule="auto"/>
        <w:ind w:left="414" w:firstLine="0"/>
        <w:rPr>
          <w:rFonts w:ascii="Times New Roman" w:hAnsi="Times New Roman" w:cs="Times New Roman"/>
          <w:sz w:val="21"/>
        </w:rPr>
      </w:pPr>
      <w:r>
        <w:rPr>
          <w:rFonts w:ascii="Times New Roman" w:hAnsi="Times New Roman" w:cs="Times New Roman"/>
          <w:spacing w:val="-3"/>
          <w:sz w:val="21"/>
        </w:rPr>
        <w:t>3.1报价文件封面格式及目录（</w:t>
      </w:r>
      <w:r>
        <w:rPr>
          <w:rFonts w:ascii="Times New Roman" w:hAnsi="Times New Roman" w:cs="Times New Roman"/>
          <w:spacing w:val="-19"/>
          <w:sz w:val="21"/>
        </w:rPr>
        <w:t xml:space="preserve">附件 </w:t>
      </w:r>
      <w:r>
        <w:rPr>
          <w:rFonts w:hint="eastAsia" w:ascii="Times New Roman" w:hAnsi="Times New Roman" w:cs="Times New Roman"/>
          <w:sz w:val="21"/>
        </w:rPr>
        <w:t>9</w:t>
      </w:r>
      <w:r>
        <w:rPr>
          <w:rFonts w:ascii="Times New Roman" w:hAnsi="Times New Roman" w:cs="Times New Roman"/>
          <w:sz w:val="21"/>
        </w:rPr>
        <w:t>）；</w:t>
      </w:r>
    </w:p>
    <w:p w14:paraId="4994CC72">
      <w:pPr>
        <w:pStyle w:val="61"/>
        <w:tabs>
          <w:tab w:val="left" w:pos="1103"/>
        </w:tabs>
        <w:spacing w:before="0" w:line="360" w:lineRule="auto"/>
        <w:ind w:left="414" w:firstLine="0"/>
        <w:rPr>
          <w:rFonts w:ascii="Times New Roman" w:hAnsi="Times New Roman" w:cs="Times New Roman"/>
          <w:sz w:val="21"/>
        </w:rPr>
      </w:pPr>
      <w:r>
        <w:rPr>
          <w:rFonts w:ascii="Times New Roman" w:hAnsi="Times New Roman" w:cs="Times New Roman"/>
          <w:spacing w:val="-3"/>
          <w:sz w:val="21"/>
        </w:rPr>
        <w:t>3.2报价一览表</w:t>
      </w:r>
      <w:r>
        <w:rPr>
          <w:rFonts w:ascii="Times New Roman" w:hAnsi="Times New Roman" w:cs="Times New Roman"/>
          <w:sz w:val="21"/>
        </w:rPr>
        <w:t>（</w:t>
      </w:r>
      <w:r>
        <w:rPr>
          <w:rFonts w:ascii="Times New Roman" w:hAnsi="Times New Roman" w:cs="Times New Roman"/>
          <w:spacing w:val="-16"/>
          <w:sz w:val="21"/>
        </w:rPr>
        <w:t xml:space="preserve">附件 </w:t>
      </w:r>
      <w:r>
        <w:rPr>
          <w:rFonts w:ascii="Times New Roman" w:hAnsi="Times New Roman" w:cs="Times New Roman"/>
          <w:sz w:val="21"/>
        </w:rPr>
        <w:t>1</w:t>
      </w:r>
      <w:r>
        <w:rPr>
          <w:rFonts w:hint="eastAsia" w:ascii="Times New Roman" w:hAnsi="Times New Roman" w:cs="Times New Roman"/>
          <w:sz w:val="21"/>
        </w:rPr>
        <w:t>0</w:t>
      </w:r>
      <w:r>
        <w:rPr>
          <w:rFonts w:ascii="Times New Roman" w:hAnsi="Times New Roman" w:cs="Times New Roman"/>
          <w:sz w:val="21"/>
        </w:rPr>
        <w:t>）；</w:t>
      </w:r>
    </w:p>
    <w:p w14:paraId="79D7EB8A">
      <w:pPr>
        <w:pStyle w:val="61"/>
        <w:tabs>
          <w:tab w:val="left" w:pos="1103"/>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 xml:space="preserve">3.3报价明细表（附件 </w:t>
      </w:r>
      <w:r>
        <w:rPr>
          <w:rFonts w:hint="eastAsia" w:ascii="Times New Roman" w:hAnsi="Times New Roman" w:cs="Times New Roman"/>
          <w:spacing w:val="-3"/>
          <w:sz w:val="21"/>
        </w:rPr>
        <w:t>11</w:t>
      </w:r>
      <w:r>
        <w:rPr>
          <w:rFonts w:ascii="Times New Roman" w:hAnsi="Times New Roman" w:cs="Times New Roman"/>
          <w:spacing w:val="-3"/>
          <w:sz w:val="21"/>
        </w:rPr>
        <w:t>）；</w:t>
      </w:r>
    </w:p>
    <w:p w14:paraId="0AD4DCF1">
      <w:pPr>
        <w:pStyle w:val="61"/>
        <w:tabs>
          <w:tab w:val="left" w:pos="1103"/>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3.</w:t>
      </w:r>
      <w:r>
        <w:rPr>
          <w:rFonts w:hint="eastAsia" w:ascii="Times New Roman" w:hAnsi="Times New Roman" w:cs="Times New Roman"/>
          <w:spacing w:val="-3"/>
          <w:sz w:val="21"/>
        </w:rPr>
        <w:t>4</w:t>
      </w:r>
      <w:r>
        <w:rPr>
          <w:rFonts w:ascii="Times New Roman" w:hAnsi="Times New Roman" w:cs="Times New Roman"/>
          <w:spacing w:val="-3"/>
          <w:sz w:val="21"/>
        </w:rPr>
        <w:t>投标人针对报价需要说明的其他文件和说明（格式自拟）。</w:t>
      </w:r>
    </w:p>
    <w:p w14:paraId="7772A390">
      <w:pPr>
        <w:pStyle w:val="5"/>
        <w:spacing w:line="360" w:lineRule="auto"/>
        <w:ind w:left="0" w:firstLine="422" w:firstLineChars="200"/>
        <w:rPr>
          <w:rFonts w:ascii="Times New Roman" w:hAnsi="Times New Roman" w:cs="Times New Roman"/>
        </w:rPr>
      </w:pPr>
      <w:r>
        <w:rPr>
          <w:rFonts w:ascii="Times New Roman" w:hAnsi="Times New Roman" w:cs="Times New Roman"/>
        </w:rPr>
        <w:t>（二）投标文件的语言及计量</w:t>
      </w:r>
    </w:p>
    <w:p w14:paraId="7DE18291">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1．投标文件以及投标人与招标人就有关投标事宜的所有来往函电，均应以中文汉语书写。除签名、盖章、专用名称等特殊情形外，以中文汉语以外的文字表述的投标文件视同未提供。</w:t>
      </w:r>
    </w:p>
    <w:p w14:paraId="7A98C85F">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2．投标计量单位，招标文件已有明确规定的，使用招标文件规定的计量单位；招标文件没有规定的，应采用中华人民共和国法定计量单位（货币单位：人民币元），否则视同未响应。</w:t>
      </w:r>
    </w:p>
    <w:p w14:paraId="2E04BC17">
      <w:pPr>
        <w:pStyle w:val="5"/>
        <w:spacing w:line="360" w:lineRule="auto"/>
        <w:ind w:left="0" w:firstLine="422" w:firstLineChars="200"/>
        <w:rPr>
          <w:rFonts w:ascii="Times New Roman" w:hAnsi="Times New Roman" w:cs="Times New Roman"/>
        </w:rPr>
      </w:pPr>
      <w:r>
        <w:rPr>
          <w:rFonts w:ascii="Times New Roman" w:hAnsi="Times New Roman" w:cs="Times New Roman"/>
        </w:rPr>
        <w:t>（三）投标报价</w:t>
      </w:r>
    </w:p>
    <w:p w14:paraId="778EBD7A">
      <w:pPr>
        <w:pStyle w:val="5"/>
        <w:spacing w:line="360" w:lineRule="auto"/>
        <w:ind w:left="0" w:firstLine="408" w:firstLineChars="200"/>
        <w:rPr>
          <w:rFonts w:ascii="Times New Roman" w:hAnsi="Times New Roman" w:cs="Times New Roman"/>
          <w:b w:val="0"/>
          <w:spacing w:val="-3"/>
        </w:rPr>
      </w:pPr>
      <w:r>
        <w:rPr>
          <w:rFonts w:ascii="Times New Roman" w:hAnsi="Times New Roman" w:cs="Times New Roman"/>
          <w:b w:val="0"/>
          <w:spacing w:val="-3"/>
        </w:rPr>
        <w:t>1.投标报价应按招标文件中相关附表格式填写。</w:t>
      </w:r>
    </w:p>
    <w:p w14:paraId="39471428">
      <w:pPr>
        <w:pStyle w:val="5"/>
        <w:spacing w:line="360" w:lineRule="auto"/>
        <w:ind w:left="0" w:firstLine="400" w:firstLineChars="200"/>
        <w:rPr>
          <w:rFonts w:ascii="Times New Roman" w:hAnsi="Times New Roman" w:cs="Times New Roman"/>
          <w:b w:val="0"/>
          <w:spacing w:val="-4"/>
        </w:rPr>
      </w:pPr>
      <w:r>
        <w:rPr>
          <w:rFonts w:ascii="Times New Roman" w:hAnsi="Times New Roman" w:cs="Times New Roman"/>
          <w:b w:val="0"/>
          <w:spacing w:val="-5"/>
        </w:rPr>
        <w:t>2.投标报价是履行合同的最终价格，应包括货款、标准附件、备品备件、专用工具、包装、运输、装</w:t>
      </w:r>
      <w:r>
        <w:rPr>
          <w:rFonts w:ascii="Times New Roman" w:hAnsi="Times New Roman" w:cs="Times New Roman"/>
          <w:b w:val="0"/>
          <w:spacing w:val="-4"/>
        </w:rPr>
        <w:t>卸、保险、货到就位以及安装、调试、培训、保修、招标代理费等一切税金和费用。</w:t>
      </w:r>
    </w:p>
    <w:p w14:paraId="0B06F23A">
      <w:pPr>
        <w:pStyle w:val="5"/>
        <w:spacing w:line="360" w:lineRule="auto"/>
        <w:ind w:left="0" w:firstLine="396" w:firstLineChars="200"/>
        <w:rPr>
          <w:rFonts w:ascii="Times New Roman" w:hAnsi="Times New Roman" w:cs="Times New Roman"/>
          <w:b w:val="0"/>
        </w:rPr>
      </w:pPr>
      <w:r>
        <w:rPr>
          <w:rFonts w:ascii="Times New Roman" w:hAnsi="Times New Roman" w:cs="Times New Roman"/>
          <w:b w:val="0"/>
          <w:spacing w:val="-6"/>
        </w:rPr>
        <w:t>3.本项目共一个标项，投标人须对标项内的所有内容进行投标，且所投的内容只允许有一个报价，有</w:t>
      </w:r>
      <w:r>
        <w:rPr>
          <w:rFonts w:ascii="Times New Roman" w:hAnsi="Times New Roman" w:cs="Times New Roman"/>
          <w:b w:val="0"/>
          <w:spacing w:val="-5"/>
        </w:rPr>
        <w:t>选择的或有条件的报价将不予接受。</w:t>
      </w:r>
    </w:p>
    <w:p w14:paraId="32C0B53E">
      <w:pPr>
        <w:pStyle w:val="5"/>
        <w:spacing w:line="360" w:lineRule="auto"/>
        <w:ind w:left="0" w:firstLine="422" w:firstLineChars="200"/>
        <w:rPr>
          <w:rFonts w:ascii="Times New Roman" w:hAnsi="Times New Roman" w:cs="Times New Roman"/>
        </w:rPr>
      </w:pPr>
      <w:r>
        <w:rPr>
          <w:rFonts w:ascii="Times New Roman" w:hAnsi="Times New Roman" w:cs="Times New Roman"/>
        </w:rPr>
        <w:t>（四）投标文件的有效期</w:t>
      </w:r>
    </w:p>
    <w:p w14:paraId="3E8759CC">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1.自投标截止日起</w:t>
      </w:r>
      <w:r>
        <w:rPr>
          <w:rFonts w:ascii="Times New Roman" w:hAnsi="Times New Roman" w:cs="Times New Roman"/>
          <w:kern w:val="2"/>
          <w:sz w:val="21"/>
          <w:szCs w:val="21"/>
          <w:u w:val="single"/>
          <w:lang w:val="en-US"/>
        </w:rPr>
        <w:t>90</w:t>
      </w:r>
      <w:r>
        <w:rPr>
          <w:rFonts w:ascii="Times New Roman" w:hAnsi="Times New Roman" w:cs="Times New Roman"/>
          <w:kern w:val="2"/>
          <w:sz w:val="21"/>
          <w:szCs w:val="21"/>
          <w:lang w:val="en-US"/>
        </w:rPr>
        <w:t>天投标文件应保持有效。有效期不足的投标文件将被拒绝。</w:t>
      </w:r>
    </w:p>
    <w:p w14:paraId="125CC005">
      <w:pPr>
        <w:spacing w:line="360" w:lineRule="auto"/>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2.在特殊情况下，招标人可与投标人协商延长投标书的有效期，这种要求和答复均以书面形式进行。</w:t>
      </w:r>
    </w:p>
    <w:p w14:paraId="5615BE3B">
      <w:pPr>
        <w:spacing w:line="360" w:lineRule="auto"/>
        <w:ind w:firstLine="420" w:firstLineChars="200"/>
        <w:jc w:val="both"/>
        <w:rPr>
          <w:rFonts w:ascii="Times New Roman" w:hAnsi="Times New Roman" w:cs="Times New Roman"/>
          <w:kern w:val="2"/>
          <w:sz w:val="21"/>
          <w:szCs w:val="21"/>
          <w:lang w:val="en-US"/>
        </w:rPr>
      </w:pPr>
      <w:bookmarkStart w:id="3" w:name="_Toc406402992"/>
      <w:bookmarkStart w:id="4" w:name="_Toc385854148"/>
      <w:bookmarkStart w:id="5" w:name="_Toc385854102"/>
      <w:bookmarkStart w:id="6" w:name="_Toc406402948"/>
      <w:bookmarkStart w:id="7" w:name="_Toc402963119"/>
      <w:bookmarkStart w:id="8" w:name="_Toc402963086"/>
      <w:r>
        <w:rPr>
          <w:rFonts w:ascii="Times New Roman" w:hAnsi="Times New Roman" w:cs="Times New Roman"/>
          <w:kern w:val="2"/>
          <w:sz w:val="21"/>
          <w:szCs w:val="21"/>
          <w:lang w:val="en-US"/>
        </w:rPr>
        <w:t>3.投标人可拒绝接受延期要求而不会导致投标保证金被没收。同意延长有效期的投标人需要相应延长投标保证金的有效期，但不能修改投标文件。</w:t>
      </w:r>
      <w:bookmarkEnd w:id="3"/>
      <w:bookmarkEnd w:id="4"/>
      <w:bookmarkEnd w:id="5"/>
      <w:bookmarkEnd w:id="6"/>
      <w:bookmarkEnd w:id="7"/>
      <w:bookmarkEnd w:id="8"/>
      <w:r>
        <w:rPr>
          <w:rFonts w:ascii="Times New Roman" w:hAnsi="Times New Roman" w:cs="Times New Roman"/>
          <w:kern w:val="2"/>
          <w:sz w:val="21"/>
          <w:szCs w:val="21"/>
          <w:lang w:val="en-US"/>
        </w:rPr>
        <w:t xml:space="preserve"> </w:t>
      </w:r>
    </w:p>
    <w:p w14:paraId="3DE6BBA1">
      <w:pPr>
        <w:spacing w:line="360" w:lineRule="auto"/>
        <w:ind w:firstLine="420" w:firstLineChars="200"/>
        <w:jc w:val="both"/>
        <w:rPr>
          <w:rFonts w:ascii="Times New Roman" w:hAnsi="Times New Roman" w:cs="Times New Roman"/>
          <w:kern w:val="2"/>
          <w:sz w:val="21"/>
          <w:szCs w:val="21"/>
          <w:lang w:val="en-US"/>
        </w:rPr>
      </w:pPr>
      <w:bookmarkStart w:id="9" w:name="_Toc385854149"/>
      <w:bookmarkStart w:id="10" w:name="_Toc406402949"/>
      <w:bookmarkStart w:id="11" w:name="_Toc385854103"/>
      <w:bookmarkStart w:id="12" w:name="_Toc402963120"/>
      <w:bookmarkStart w:id="13" w:name="_Toc402963087"/>
      <w:bookmarkStart w:id="14" w:name="_Toc406402993"/>
      <w:r>
        <w:rPr>
          <w:rFonts w:ascii="Times New Roman" w:hAnsi="Times New Roman" w:cs="Times New Roman"/>
          <w:kern w:val="2"/>
          <w:sz w:val="21"/>
          <w:szCs w:val="21"/>
          <w:lang w:val="en-US"/>
        </w:rPr>
        <w:t>4.中标人的投标文件自开标之日起至合同履行完毕止均应保持有效。</w:t>
      </w:r>
      <w:bookmarkEnd w:id="9"/>
      <w:bookmarkEnd w:id="10"/>
      <w:bookmarkEnd w:id="11"/>
      <w:bookmarkEnd w:id="12"/>
      <w:bookmarkEnd w:id="13"/>
      <w:bookmarkEnd w:id="14"/>
    </w:p>
    <w:p w14:paraId="79EA8A0E">
      <w:pPr>
        <w:spacing w:line="440" w:lineRule="exact"/>
        <w:ind w:firstLine="422" w:firstLineChars="200"/>
        <w:rPr>
          <w:b/>
          <w:color w:val="000000"/>
          <w:sz w:val="21"/>
          <w:szCs w:val="21"/>
        </w:rPr>
      </w:pPr>
      <w:bookmarkStart w:id="15" w:name="_Toc385854151"/>
      <w:bookmarkStart w:id="16" w:name="_Toc402963122"/>
      <w:bookmarkStart w:id="17" w:name="_Toc402963089"/>
      <w:bookmarkStart w:id="18" w:name="_Toc385854105"/>
      <w:bookmarkStart w:id="19" w:name="_Toc406402995"/>
      <w:bookmarkStart w:id="20" w:name="_Toc406402951"/>
      <w:r>
        <w:rPr>
          <w:rFonts w:hint="eastAsia"/>
          <w:b/>
          <w:sz w:val="21"/>
          <w:szCs w:val="21"/>
        </w:rPr>
        <w:t>（五）</w:t>
      </w:r>
      <w:bookmarkEnd w:id="15"/>
      <w:bookmarkEnd w:id="16"/>
      <w:bookmarkEnd w:id="17"/>
      <w:bookmarkEnd w:id="18"/>
      <w:bookmarkEnd w:id="19"/>
      <w:bookmarkEnd w:id="20"/>
      <w:r>
        <w:rPr>
          <w:rFonts w:hint="eastAsia"/>
          <w:b/>
          <w:color w:val="000000"/>
          <w:sz w:val="21"/>
          <w:szCs w:val="21"/>
        </w:rPr>
        <w:t>投标文件的编制和要求</w:t>
      </w:r>
    </w:p>
    <w:p w14:paraId="3C7707CE">
      <w:pPr>
        <w:spacing w:line="440" w:lineRule="exact"/>
        <w:ind w:firstLine="420" w:firstLineChars="200"/>
        <w:rPr>
          <w:sz w:val="21"/>
          <w:szCs w:val="21"/>
        </w:rPr>
      </w:pPr>
      <w:r>
        <w:rPr>
          <w:rFonts w:hint="eastAsia"/>
          <w:sz w:val="21"/>
          <w:szCs w:val="21"/>
        </w:rPr>
        <w:t>投标人应在认真阅读招标文件所有内容的基础上，按照招标文件的要求编制完整的投标文件，投标文件应按照招标文件中规定的统一格式编制，包含电子投标文件、电子备份投标文件。具体要求如下：</w:t>
      </w:r>
    </w:p>
    <w:p w14:paraId="2CC477C3">
      <w:pPr>
        <w:spacing w:line="440" w:lineRule="exact"/>
        <w:ind w:firstLine="420" w:firstLineChars="200"/>
        <w:rPr>
          <w:sz w:val="21"/>
          <w:szCs w:val="21"/>
        </w:rPr>
      </w:pPr>
      <w:r>
        <w:rPr>
          <w:rFonts w:hint="eastAsia"/>
          <w:sz w:val="21"/>
          <w:szCs w:val="21"/>
        </w:rPr>
        <w:t>1.电子投标文件：按本招标文件要求制作、加密，电子投标文件中所须加盖公章部分均采用CA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p w14:paraId="2C719081">
      <w:pPr>
        <w:spacing w:line="440" w:lineRule="exact"/>
        <w:ind w:firstLine="420" w:firstLineChars="200"/>
        <w:rPr>
          <w:sz w:val="21"/>
          <w:szCs w:val="21"/>
        </w:rPr>
      </w:pPr>
      <w:r>
        <w:rPr>
          <w:rFonts w:hint="eastAsia"/>
          <w:sz w:val="21"/>
          <w:szCs w:val="21"/>
        </w:rPr>
        <w:t>2.电子备份投标文件：政采云平台生成的电子投标文件1份。</w:t>
      </w:r>
    </w:p>
    <w:p w14:paraId="25CB359D">
      <w:pPr>
        <w:spacing w:line="440" w:lineRule="exact"/>
        <w:ind w:firstLine="420" w:firstLineChars="200"/>
        <w:rPr>
          <w:sz w:val="21"/>
          <w:szCs w:val="21"/>
        </w:rPr>
      </w:pPr>
      <w:r>
        <w:rPr>
          <w:rFonts w:hint="eastAsia"/>
          <w:sz w:val="21"/>
          <w:szCs w:val="21"/>
        </w:rPr>
        <w:t>3.如投标人未在投标截止时间前完成电子投标文件的传输递交，其电子备份投标文件也将予以拒收。</w:t>
      </w:r>
    </w:p>
    <w:p w14:paraId="45CA156C">
      <w:pPr>
        <w:spacing w:line="440" w:lineRule="exact"/>
        <w:ind w:firstLine="422" w:firstLineChars="200"/>
        <w:rPr>
          <w:color w:val="000000"/>
          <w:sz w:val="21"/>
          <w:szCs w:val="21"/>
        </w:rPr>
      </w:pPr>
      <w:r>
        <w:rPr>
          <w:rFonts w:hint="eastAsia"/>
          <w:b/>
          <w:sz w:val="21"/>
          <w:szCs w:val="21"/>
        </w:rPr>
        <w:t>（六）</w:t>
      </w:r>
      <w:r>
        <w:rPr>
          <w:rFonts w:hint="eastAsia"/>
          <w:b/>
          <w:bCs/>
          <w:color w:val="000000"/>
          <w:sz w:val="21"/>
          <w:szCs w:val="21"/>
        </w:rPr>
        <w:t>采购过程中的</w:t>
      </w:r>
      <w:r>
        <w:rPr>
          <w:rFonts w:hint="eastAsia"/>
          <w:b/>
          <w:color w:val="000000"/>
          <w:sz w:val="21"/>
          <w:szCs w:val="21"/>
        </w:rPr>
        <w:t>异常</w:t>
      </w:r>
      <w:r>
        <w:rPr>
          <w:rFonts w:hint="eastAsia"/>
          <w:b/>
          <w:bCs/>
          <w:color w:val="000000"/>
          <w:sz w:val="21"/>
          <w:szCs w:val="21"/>
        </w:rPr>
        <w:t>情况及处理措施</w:t>
      </w:r>
    </w:p>
    <w:p w14:paraId="6C347BEA">
      <w:pPr>
        <w:spacing w:line="440" w:lineRule="exact"/>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616035F1">
      <w:pPr>
        <w:spacing w:line="440" w:lineRule="exact"/>
        <w:ind w:firstLine="420" w:firstLineChars="200"/>
        <w:rPr>
          <w:sz w:val="21"/>
          <w:szCs w:val="21"/>
        </w:rPr>
      </w:pPr>
      <w:r>
        <w:rPr>
          <w:rFonts w:hint="eastAsia"/>
          <w:sz w:val="21"/>
          <w:szCs w:val="21"/>
        </w:rPr>
        <w:t>1.电子交易平台发生故障而无法登录访问的；</w:t>
      </w:r>
    </w:p>
    <w:p w14:paraId="013C6B54">
      <w:pPr>
        <w:spacing w:line="440" w:lineRule="exact"/>
        <w:ind w:firstLine="420" w:firstLineChars="200"/>
        <w:rPr>
          <w:sz w:val="21"/>
          <w:szCs w:val="21"/>
        </w:rPr>
      </w:pPr>
      <w:r>
        <w:rPr>
          <w:rFonts w:hint="eastAsia"/>
          <w:sz w:val="21"/>
          <w:szCs w:val="21"/>
        </w:rPr>
        <w:t>2.电子交易平台应用或数据库出现错误，不能进行正常操作的；</w:t>
      </w:r>
    </w:p>
    <w:p w14:paraId="19EFCA01">
      <w:pPr>
        <w:spacing w:line="440" w:lineRule="exact"/>
        <w:ind w:firstLine="420" w:firstLineChars="200"/>
        <w:rPr>
          <w:sz w:val="21"/>
          <w:szCs w:val="21"/>
        </w:rPr>
      </w:pPr>
      <w:r>
        <w:rPr>
          <w:rFonts w:hint="eastAsia"/>
          <w:sz w:val="21"/>
          <w:szCs w:val="21"/>
        </w:rPr>
        <w:t>3.电子交易平台发现严重安全漏洞，有潜在泄密危险的；</w:t>
      </w:r>
    </w:p>
    <w:p w14:paraId="080D648F">
      <w:pPr>
        <w:spacing w:line="440" w:lineRule="exact"/>
        <w:ind w:firstLine="420" w:firstLineChars="200"/>
        <w:rPr>
          <w:sz w:val="21"/>
          <w:szCs w:val="21"/>
        </w:rPr>
      </w:pPr>
      <w:r>
        <w:rPr>
          <w:rFonts w:hint="eastAsia"/>
          <w:sz w:val="21"/>
          <w:szCs w:val="21"/>
        </w:rPr>
        <w:t>4.电子交易平台因病毒发作导致不能进行正常操作的；</w:t>
      </w:r>
    </w:p>
    <w:p w14:paraId="38DA2CD9">
      <w:pPr>
        <w:spacing w:line="440" w:lineRule="exact"/>
        <w:ind w:firstLine="420" w:firstLineChars="200"/>
        <w:rPr>
          <w:sz w:val="21"/>
          <w:szCs w:val="21"/>
        </w:rPr>
      </w:pPr>
      <w:r>
        <w:rPr>
          <w:rFonts w:hint="eastAsia"/>
          <w:sz w:val="21"/>
          <w:szCs w:val="21"/>
        </w:rPr>
        <w:t>5.其他无法保证电子交易的公平、公正和安全的情况。</w:t>
      </w:r>
    </w:p>
    <w:p w14:paraId="363EE70A">
      <w:pPr>
        <w:spacing w:line="440" w:lineRule="exact"/>
        <w:ind w:firstLine="420" w:firstLineChars="200"/>
        <w:rPr>
          <w:sz w:val="21"/>
          <w:szCs w:val="21"/>
        </w:rPr>
      </w:pPr>
      <w:r>
        <w:rPr>
          <w:rFonts w:hint="eastAsia"/>
          <w:sz w:val="21"/>
          <w:szCs w:val="21"/>
        </w:rPr>
        <w:t>出现前款规定情形，不影响采购公平、公正性的，采购代理机构可以待上述情形消除后继续组织电子交易活动，也可以决定某些环节以纸质形式进行；影响或可能影响采购公平、公正性的，应当重新采购。</w:t>
      </w:r>
    </w:p>
    <w:p w14:paraId="21E1D7B3">
      <w:pPr>
        <w:spacing w:line="360" w:lineRule="auto"/>
        <w:ind w:firstLine="422" w:firstLineChars="200"/>
        <w:rPr>
          <w:b/>
          <w:sz w:val="21"/>
          <w:szCs w:val="21"/>
        </w:rPr>
      </w:pPr>
      <w:r>
        <w:rPr>
          <w:rFonts w:hint="eastAsia"/>
          <w:b/>
          <w:sz w:val="21"/>
          <w:szCs w:val="21"/>
        </w:rPr>
        <w:t>（七）投标无效的情形</w:t>
      </w:r>
    </w:p>
    <w:p w14:paraId="54BB1055">
      <w:pPr>
        <w:spacing w:line="360" w:lineRule="auto"/>
        <w:ind w:firstLine="422" w:firstLineChars="200"/>
        <w:rPr>
          <w:b/>
          <w:bCs/>
          <w:sz w:val="21"/>
          <w:szCs w:val="21"/>
        </w:rPr>
      </w:pPr>
      <w:r>
        <w:rPr>
          <w:rFonts w:hint="eastAsia"/>
          <w:b/>
          <w:bCs/>
          <w:sz w:val="21"/>
          <w:szCs w:val="21"/>
        </w:rPr>
        <w:t>参照《政府采购货物和服务招标投标管理办法》有下列情形之一的，视为投标人串通投标：</w:t>
      </w:r>
    </w:p>
    <w:p w14:paraId="3E0FBBD4">
      <w:pPr>
        <w:spacing w:line="360" w:lineRule="auto"/>
        <w:ind w:firstLine="420" w:firstLineChars="200"/>
        <w:rPr>
          <w:sz w:val="21"/>
          <w:szCs w:val="21"/>
        </w:rPr>
      </w:pPr>
      <w:r>
        <w:rPr>
          <w:rFonts w:hint="eastAsia"/>
          <w:sz w:val="21"/>
          <w:szCs w:val="21"/>
        </w:rPr>
        <w:t>1不同投标人的投标文件由同一单位或者个人编制；</w:t>
      </w:r>
    </w:p>
    <w:p w14:paraId="26D6803C">
      <w:pPr>
        <w:spacing w:line="360" w:lineRule="auto"/>
        <w:ind w:firstLine="420" w:firstLineChars="200"/>
        <w:rPr>
          <w:sz w:val="21"/>
          <w:szCs w:val="21"/>
        </w:rPr>
      </w:pPr>
      <w:r>
        <w:rPr>
          <w:rFonts w:hint="eastAsia"/>
          <w:sz w:val="21"/>
          <w:szCs w:val="21"/>
        </w:rPr>
        <w:t>2不同投标人委托同一单位或者个人办理投标事宜；</w:t>
      </w:r>
    </w:p>
    <w:p w14:paraId="65BB00B1">
      <w:pPr>
        <w:spacing w:line="360" w:lineRule="auto"/>
        <w:ind w:firstLine="420" w:firstLineChars="200"/>
        <w:rPr>
          <w:sz w:val="21"/>
          <w:szCs w:val="21"/>
        </w:rPr>
      </w:pPr>
      <w:r>
        <w:rPr>
          <w:rFonts w:hint="eastAsia"/>
          <w:sz w:val="21"/>
          <w:szCs w:val="21"/>
        </w:rPr>
        <w:t>3不同投标人的投标文件载明的项目管理成员或者联系人员为同一人；</w:t>
      </w:r>
    </w:p>
    <w:p w14:paraId="4ED73889">
      <w:pPr>
        <w:spacing w:line="360" w:lineRule="auto"/>
        <w:ind w:firstLine="420" w:firstLineChars="200"/>
        <w:rPr>
          <w:sz w:val="21"/>
          <w:szCs w:val="21"/>
        </w:rPr>
      </w:pPr>
      <w:r>
        <w:rPr>
          <w:rFonts w:hint="eastAsia"/>
          <w:sz w:val="21"/>
          <w:szCs w:val="21"/>
        </w:rPr>
        <w:t>4不同投标人的投标文件异常一致或者投标报价呈规律性差异；</w:t>
      </w:r>
    </w:p>
    <w:p w14:paraId="76E825F1">
      <w:pPr>
        <w:spacing w:line="360" w:lineRule="auto"/>
        <w:ind w:firstLine="420" w:firstLineChars="200"/>
        <w:rPr>
          <w:sz w:val="21"/>
          <w:szCs w:val="21"/>
        </w:rPr>
      </w:pPr>
      <w:r>
        <w:rPr>
          <w:rFonts w:hint="eastAsia"/>
          <w:sz w:val="21"/>
          <w:szCs w:val="21"/>
        </w:rPr>
        <w:t>5不同投标人的投标文件相互混装；</w:t>
      </w:r>
    </w:p>
    <w:p w14:paraId="56516E8B">
      <w:pPr>
        <w:spacing w:line="360" w:lineRule="auto"/>
        <w:ind w:firstLine="422" w:firstLineChars="200"/>
        <w:rPr>
          <w:b/>
          <w:sz w:val="21"/>
          <w:szCs w:val="21"/>
        </w:rPr>
      </w:pPr>
      <w:r>
        <w:rPr>
          <w:rFonts w:hint="eastAsia"/>
          <w:b/>
          <w:bCs/>
          <w:sz w:val="21"/>
          <w:szCs w:val="21"/>
        </w:rPr>
        <w:t>1.</w:t>
      </w:r>
      <w:r>
        <w:rPr>
          <w:rFonts w:hint="eastAsia"/>
          <w:b/>
          <w:sz w:val="21"/>
          <w:szCs w:val="21"/>
        </w:rPr>
        <w:t>采购人或招标人按照投标人提供的资格文件按以下原则对投标人的资格符合性进行审查，</w:t>
      </w:r>
      <w:r>
        <w:rPr>
          <w:b/>
          <w:bCs/>
          <w:sz w:val="21"/>
          <w:szCs w:val="21"/>
        </w:rPr>
        <w:t>如发现下列情形之一的，投标文件将被视为无效：</w:t>
      </w:r>
    </w:p>
    <w:p w14:paraId="411C66EE">
      <w:pPr>
        <w:spacing w:line="360" w:lineRule="auto"/>
        <w:ind w:firstLine="420" w:firstLineChars="200"/>
        <w:rPr>
          <w:sz w:val="21"/>
          <w:szCs w:val="21"/>
        </w:rPr>
      </w:pPr>
      <w:r>
        <w:rPr>
          <w:rFonts w:hint="eastAsia"/>
          <w:sz w:val="21"/>
          <w:szCs w:val="21"/>
        </w:rPr>
        <w:t>1.1资格文件缺少规定份数或缺少招标文件中资格文件第1.2条至第1.</w:t>
      </w:r>
      <w:r>
        <w:rPr>
          <w:rFonts w:hint="eastAsia"/>
          <w:sz w:val="21"/>
          <w:szCs w:val="21"/>
          <w:lang w:val="en-US"/>
        </w:rPr>
        <w:t>7</w:t>
      </w:r>
      <w:r>
        <w:rPr>
          <w:rFonts w:hint="eastAsia"/>
          <w:sz w:val="21"/>
          <w:szCs w:val="21"/>
        </w:rPr>
        <w:t>条所列内容之一的；</w:t>
      </w:r>
    </w:p>
    <w:p w14:paraId="32EC2A2A">
      <w:pPr>
        <w:spacing w:line="360" w:lineRule="auto"/>
        <w:ind w:firstLine="420" w:firstLineChars="200"/>
        <w:rPr>
          <w:sz w:val="21"/>
          <w:szCs w:val="21"/>
        </w:rPr>
      </w:pPr>
      <w:r>
        <w:rPr>
          <w:rFonts w:hint="eastAsia"/>
          <w:sz w:val="21"/>
          <w:szCs w:val="21"/>
        </w:rPr>
        <w:t>1.2投标人提供的有关资料被确认是不真实的；</w:t>
      </w:r>
    </w:p>
    <w:p w14:paraId="39CAB0A3">
      <w:pPr>
        <w:spacing w:line="360" w:lineRule="auto"/>
        <w:ind w:firstLine="420" w:firstLineChars="200"/>
        <w:rPr>
          <w:sz w:val="21"/>
          <w:szCs w:val="21"/>
        </w:rPr>
      </w:pPr>
      <w:r>
        <w:rPr>
          <w:rFonts w:hint="eastAsia"/>
          <w:sz w:val="21"/>
          <w:szCs w:val="21"/>
        </w:rPr>
        <w:t>1.3投标人的资格文件有串通投标情形之一的；</w:t>
      </w:r>
    </w:p>
    <w:p w14:paraId="37C2EF5F">
      <w:pPr>
        <w:spacing w:line="360" w:lineRule="auto"/>
        <w:ind w:firstLine="420" w:firstLineChars="200"/>
        <w:rPr>
          <w:sz w:val="21"/>
          <w:szCs w:val="21"/>
        </w:rPr>
      </w:pPr>
      <w:r>
        <w:rPr>
          <w:rFonts w:hint="eastAsia"/>
          <w:sz w:val="21"/>
          <w:szCs w:val="21"/>
        </w:rPr>
        <w:t>1.4资格文件未按招标文件规定要求进行装订、签字或盖章的；</w:t>
      </w:r>
    </w:p>
    <w:p w14:paraId="27AD6549">
      <w:pPr>
        <w:spacing w:line="360" w:lineRule="auto"/>
        <w:ind w:firstLine="420" w:firstLineChars="200"/>
        <w:rPr>
          <w:sz w:val="21"/>
          <w:szCs w:val="21"/>
        </w:rPr>
      </w:pPr>
      <w:r>
        <w:rPr>
          <w:rFonts w:hint="eastAsia"/>
          <w:sz w:val="21"/>
          <w:szCs w:val="21"/>
        </w:rPr>
        <w:t>1.5投标人有违法、违规行为影响本次采购公平、公正的；</w:t>
      </w:r>
    </w:p>
    <w:p w14:paraId="6C2A017E">
      <w:pPr>
        <w:spacing w:line="360" w:lineRule="auto"/>
        <w:ind w:firstLine="420" w:firstLineChars="200"/>
        <w:rPr>
          <w:sz w:val="21"/>
          <w:szCs w:val="21"/>
        </w:rPr>
      </w:pPr>
      <w:r>
        <w:rPr>
          <w:rFonts w:hint="eastAsia"/>
          <w:sz w:val="21"/>
          <w:szCs w:val="21"/>
        </w:rPr>
        <w:t>1.6按照 “信用中国”网站（</w:t>
      </w:r>
      <w:r>
        <w:fldChar w:fldCharType="begin"/>
      </w:r>
      <w:r>
        <w:instrText xml:space="preserve"> HYPERLINK "http://www.creditchina.gov.cn/" </w:instrText>
      </w:r>
      <w:r>
        <w:fldChar w:fldCharType="separate"/>
      </w:r>
      <w:r>
        <w:rPr>
          <w:rFonts w:hint="eastAsia"/>
          <w:sz w:val="21"/>
          <w:szCs w:val="21"/>
        </w:rPr>
        <w:t>www.creditchina.gov.cn</w:t>
      </w:r>
      <w:r>
        <w:rPr>
          <w:rFonts w:hint="eastAsia"/>
          <w:sz w:val="21"/>
          <w:szCs w:val="21"/>
        </w:rPr>
        <w:fldChar w:fldCharType="end"/>
      </w:r>
      <w:r>
        <w:rPr>
          <w:rFonts w:hint="eastAsia"/>
          <w:sz w:val="21"/>
          <w:szCs w:val="21"/>
        </w:rPr>
        <w:t>）、中国政府采购网（</w:t>
      </w:r>
      <w:r>
        <w:fldChar w:fldCharType="begin"/>
      </w:r>
      <w:r>
        <w:instrText xml:space="preserve"> HYPERLINK "http://www.ccgp.gov.cn/" </w:instrText>
      </w:r>
      <w:r>
        <w:fldChar w:fldCharType="separate"/>
      </w:r>
      <w:r>
        <w:rPr>
          <w:rFonts w:hint="eastAsia"/>
          <w:sz w:val="21"/>
          <w:szCs w:val="21"/>
        </w:rPr>
        <w:t>www.ccgp.gov.cn</w:t>
      </w:r>
      <w:r>
        <w:rPr>
          <w:rFonts w:hint="eastAsia"/>
          <w:sz w:val="21"/>
          <w:szCs w:val="21"/>
        </w:rPr>
        <w:fldChar w:fldCharType="end"/>
      </w:r>
      <w:r>
        <w:rPr>
          <w:rFonts w:hint="eastAsia"/>
          <w:sz w:val="21"/>
          <w:szCs w:val="21"/>
        </w:rPr>
        <w:t>）两个网站信用信息记录查询，投标人有列入失信被执行人、重大税收违法案件当事人名单、政府采购严重违法失信行为记录名单情况的。</w:t>
      </w:r>
    </w:p>
    <w:p w14:paraId="5149A6F9">
      <w:pPr>
        <w:spacing w:line="360" w:lineRule="auto"/>
        <w:ind w:firstLine="422" w:firstLineChars="200"/>
        <w:rPr>
          <w:b/>
          <w:bCs/>
          <w:sz w:val="21"/>
          <w:szCs w:val="21"/>
        </w:rPr>
      </w:pPr>
      <w:r>
        <w:rPr>
          <w:rFonts w:hint="eastAsia"/>
          <w:b/>
          <w:bCs/>
          <w:sz w:val="21"/>
          <w:szCs w:val="21"/>
        </w:rPr>
        <w:t>2.</w:t>
      </w:r>
      <w:r>
        <w:rPr>
          <w:b/>
          <w:bCs/>
          <w:sz w:val="21"/>
          <w:szCs w:val="21"/>
        </w:rPr>
        <w:t>在符合性审查和</w:t>
      </w:r>
      <w:r>
        <w:rPr>
          <w:rFonts w:hint="eastAsia"/>
          <w:b/>
          <w:bCs/>
          <w:sz w:val="21"/>
          <w:szCs w:val="21"/>
        </w:rPr>
        <w:t>技术</w:t>
      </w:r>
      <w:r>
        <w:rPr>
          <w:b/>
          <w:bCs/>
          <w:sz w:val="21"/>
          <w:szCs w:val="21"/>
        </w:rPr>
        <w:t>商务评审时，如发现下列情形之一的，投标文件将被视为无效：</w:t>
      </w:r>
    </w:p>
    <w:p w14:paraId="70903E40">
      <w:pPr>
        <w:spacing w:line="360" w:lineRule="auto"/>
        <w:ind w:firstLine="420" w:firstLineChars="200"/>
        <w:rPr>
          <w:sz w:val="21"/>
          <w:szCs w:val="21"/>
        </w:rPr>
      </w:pPr>
      <w:r>
        <w:rPr>
          <w:rFonts w:hint="eastAsia"/>
          <w:sz w:val="21"/>
          <w:szCs w:val="21"/>
        </w:rPr>
        <w:t>2.1技术商务文件缺少《投标人基本情况表》</w:t>
      </w:r>
      <w:r>
        <w:rPr>
          <w:rFonts w:hint="eastAsia"/>
          <w:bCs/>
          <w:sz w:val="21"/>
          <w:szCs w:val="21"/>
        </w:rPr>
        <w:t>或</w:t>
      </w:r>
      <w:r>
        <w:rPr>
          <w:rFonts w:hint="eastAsia"/>
          <w:sz w:val="21"/>
          <w:szCs w:val="21"/>
        </w:rPr>
        <w:t>《技术响应表》的；</w:t>
      </w:r>
    </w:p>
    <w:p w14:paraId="2A30E8D0">
      <w:pPr>
        <w:spacing w:line="360" w:lineRule="auto"/>
        <w:ind w:firstLine="420" w:firstLineChars="200"/>
        <w:rPr>
          <w:sz w:val="21"/>
          <w:szCs w:val="21"/>
        </w:rPr>
      </w:pPr>
      <w:r>
        <w:rPr>
          <w:rFonts w:hint="eastAsia"/>
          <w:sz w:val="21"/>
          <w:szCs w:val="21"/>
        </w:rPr>
        <w:t>2.2在技术商务文件中出现报价的；</w:t>
      </w:r>
    </w:p>
    <w:p w14:paraId="18F83B83">
      <w:pPr>
        <w:spacing w:line="360" w:lineRule="auto"/>
        <w:ind w:firstLine="420" w:firstLineChars="200"/>
        <w:rPr>
          <w:sz w:val="21"/>
          <w:szCs w:val="21"/>
        </w:rPr>
      </w:pPr>
      <w:r>
        <w:rPr>
          <w:rFonts w:hint="eastAsia"/>
          <w:sz w:val="21"/>
          <w:szCs w:val="21"/>
        </w:rPr>
        <w:t>2.3技术商务文件缺少规定份数的；</w:t>
      </w:r>
    </w:p>
    <w:p w14:paraId="18ACE4EC">
      <w:pPr>
        <w:spacing w:line="360" w:lineRule="auto"/>
        <w:ind w:firstLine="420" w:firstLineChars="200"/>
        <w:rPr>
          <w:sz w:val="21"/>
          <w:szCs w:val="21"/>
        </w:rPr>
      </w:pPr>
      <w:r>
        <w:rPr>
          <w:rFonts w:hint="eastAsia"/>
          <w:sz w:val="21"/>
          <w:szCs w:val="21"/>
        </w:rPr>
        <w:t>2.4投标人提供的有关资料被确认是不真实的；</w:t>
      </w:r>
    </w:p>
    <w:p w14:paraId="47D8CBCA">
      <w:pPr>
        <w:spacing w:line="360" w:lineRule="auto"/>
        <w:ind w:firstLine="420" w:firstLineChars="200"/>
        <w:rPr>
          <w:sz w:val="21"/>
          <w:szCs w:val="21"/>
        </w:rPr>
      </w:pPr>
      <w:r>
        <w:rPr>
          <w:rFonts w:hint="eastAsia"/>
          <w:sz w:val="21"/>
          <w:szCs w:val="21"/>
        </w:rPr>
        <w:t>2.5投标人的技术商务文件有串通投标情形之一的；</w:t>
      </w:r>
    </w:p>
    <w:p w14:paraId="23DE6AD6">
      <w:pPr>
        <w:spacing w:line="360" w:lineRule="auto"/>
        <w:ind w:firstLine="420" w:firstLineChars="200"/>
        <w:rPr>
          <w:sz w:val="21"/>
          <w:szCs w:val="21"/>
        </w:rPr>
      </w:pPr>
      <w:r>
        <w:rPr>
          <w:rFonts w:hint="eastAsia"/>
          <w:sz w:val="21"/>
          <w:szCs w:val="21"/>
        </w:rPr>
        <w:t>2.6投标人未对标项内的所有内容进行投标的；</w:t>
      </w:r>
    </w:p>
    <w:p w14:paraId="27C88577">
      <w:pPr>
        <w:spacing w:line="360" w:lineRule="auto"/>
        <w:ind w:firstLine="420" w:firstLineChars="200"/>
        <w:rPr>
          <w:sz w:val="21"/>
          <w:szCs w:val="21"/>
        </w:rPr>
      </w:pPr>
      <w:r>
        <w:rPr>
          <w:rFonts w:hint="eastAsia"/>
          <w:sz w:val="21"/>
          <w:szCs w:val="21"/>
        </w:rPr>
        <w:t>2.7技术商务文件未按招标文件规定要求进行装订、签字或盖章的；</w:t>
      </w:r>
    </w:p>
    <w:p w14:paraId="784E1B6A">
      <w:pPr>
        <w:spacing w:line="360" w:lineRule="auto"/>
        <w:ind w:firstLine="420" w:firstLineChars="200"/>
        <w:rPr>
          <w:sz w:val="21"/>
          <w:szCs w:val="21"/>
        </w:rPr>
      </w:pPr>
      <w:r>
        <w:rPr>
          <w:rFonts w:hint="eastAsia"/>
          <w:sz w:val="21"/>
          <w:szCs w:val="21"/>
        </w:rPr>
        <w:t>2.8投标人未按招标文件更正公告编制投标文件的；</w:t>
      </w:r>
    </w:p>
    <w:p w14:paraId="331BE700">
      <w:pPr>
        <w:spacing w:line="360" w:lineRule="auto"/>
        <w:ind w:firstLine="420" w:firstLineChars="200"/>
        <w:rPr>
          <w:sz w:val="21"/>
          <w:szCs w:val="21"/>
        </w:rPr>
      </w:pPr>
      <w:r>
        <w:rPr>
          <w:rFonts w:hint="eastAsia"/>
          <w:sz w:val="21"/>
          <w:szCs w:val="21"/>
        </w:rPr>
        <w:t>2.9经评标委员会审核，投标人所投内容不符合实质性采购要求的；</w:t>
      </w:r>
    </w:p>
    <w:p w14:paraId="329F63DC">
      <w:pPr>
        <w:spacing w:line="360" w:lineRule="auto"/>
        <w:ind w:firstLine="420" w:firstLineChars="200"/>
        <w:rPr>
          <w:sz w:val="21"/>
          <w:szCs w:val="21"/>
        </w:rPr>
      </w:pPr>
      <w:r>
        <w:rPr>
          <w:rFonts w:hint="eastAsia"/>
          <w:sz w:val="21"/>
          <w:szCs w:val="21"/>
        </w:rPr>
        <w:t>2.1</w:t>
      </w:r>
      <w:r>
        <w:rPr>
          <w:sz w:val="21"/>
          <w:szCs w:val="21"/>
        </w:rPr>
        <w:t>0未提供或未如实提供投标</w:t>
      </w:r>
      <w:r>
        <w:rPr>
          <w:rFonts w:hint="eastAsia"/>
          <w:sz w:val="21"/>
          <w:szCs w:val="21"/>
        </w:rPr>
        <w:t>内容</w:t>
      </w:r>
      <w:r>
        <w:rPr>
          <w:sz w:val="21"/>
          <w:szCs w:val="21"/>
        </w:rPr>
        <w:t>的技术参数，或者投标文件标明的响应或偏离与事实不符或虚假投标的；</w:t>
      </w:r>
    </w:p>
    <w:p w14:paraId="5549E9A7">
      <w:pPr>
        <w:spacing w:line="360" w:lineRule="auto"/>
        <w:ind w:firstLine="420" w:firstLineChars="200"/>
        <w:rPr>
          <w:sz w:val="21"/>
          <w:szCs w:val="21"/>
        </w:rPr>
      </w:pPr>
      <w:r>
        <w:rPr>
          <w:rFonts w:hint="eastAsia"/>
          <w:sz w:val="21"/>
          <w:szCs w:val="21"/>
        </w:rPr>
        <w:t>2.1</w:t>
      </w:r>
      <w:r>
        <w:rPr>
          <w:sz w:val="21"/>
          <w:szCs w:val="21"/>
        </w:rPr>
        <w:t>1投标技术方案不明确，存在一个或一个以上备选（替代）投标方案的</w:t>
      </w:r>
      <w:r>
        <w:rPr>
          <w:rFonts w:hint="eastAsia"/>
          <w:sz w:val="21"/>
          <w:szCs w:val="21"/>
        </w:rPr>
        <w:t>。</w:t>
      </w:r>
    </w:p>
    <w:p w14:paraId="72D81C49">
      <w:pPr>
        <w:spacing w:line="360" w:lineRule="auto"/>
        <w:ind w:firstLine="422" w:firstLineChars="200"/>
        <w:rPr>
          <w:b/>
          <w:bCs/>
          <w:sz w:val="21"/>
          <w:szCs w:val="21"/>
        </w:rPr>
      </w:pPr>
      <w:r>
        <w:rPr>
          <w:rFonts w:hint="eastAsia"/>
          <w:b/>
          <w:bCs/>
          <w:sz w:val="21"/>
          <w:szCs w:val="21"/>
        </w:rPr>
        <w:t>3.在报价评审时，如发现下列情形之一的，投标文件将被视为无效：</w:t>
      </w:r>
    </w:p>
    <w:p w14:paraId="427B2BBD">
      <w:pPr>
        <w:spacing w:line="400" w:lineRule="exact"/>
        <w:ind w:firstLine="420" w:firstLineChars="200"/>
        <w:rPr>
          <w:sz w:val="21"/>
          <w:szCs w:val="21"/>
        </w:rPr>
      </w:pPr>
      <w:r>
        <w:rPr>
          <w:rFonts w:hint="eastAsia"/>
          <w:sz w:val="21"/>
          <w:szCs w:val="21"/>
        </w:rPr>
        <w:t>3.1未采用人民币报价或者未按照招标文件标明的币种报价的；</w:t>
      </w:r>
    </w:p>
    <w:p w14:paraId="3FC941CC">
      <w:pPr>
        <w:spacing w:line="400" w:lineRule="exact"/>
        <w:ind w:firstLine="420" w:firstLineChars="200"/>
        <w:rPr>
          <w:sz w:val="21"/>
          <w:szCs w:val="21"/>
        </w:rPr>
      </w:pPr>
      <w:r>
        <w:rPr>
          <w:rFonts w:hint="eastAsia"/>
          <w:sz w:val="21"/>
          <w:szCs w:val="21"/>
        </w:rPr>
        <w:t>3.2报价文件缺少规定份数的；</w:t>
      </w:r>
    </w:p>
    <w:p w14:paraId="65889773">
      <w:pPr>
        <w:spacing w:line="400" w:lineRule="exact"/>
        <w:ind w:firstLine="420" w:firstLineChars="200"/>
        <w:rPr>
          <w:sz w:val="21"/>
          <w:szCs w:val="21"/>
        </w:rPr>
      </w:pPr>
      <w:r>
        <w:rPr>
          <w:rFonts w:hint="eastAsia"/>
          <w:sz w:val="21"/>
          <w:szCs w:val="21"/>
        </w:rPr>
        <w:t>3.3投标人的报价文件有串通投标情形之一的。</w:t>
      </w:r>
    </w:p>
    <w:p w14:paraId="51C8F052">
      <w:pPr>
        <w:spacing w:line="400" w:lineRule="exact"/>
        <w:ind w:firstLine="420" w:firstLineChars="200"/>
        <w:rPr>
          <w:sz w:val="21"/>
          <w:szCs w:val="21"/>
        </w:rPr>
      </w:pPr>
      <w:r>
        <w:rPr>
          <w:rFonts w:hint="eastAsia"/>
          <w:sz w:val="21"/>
          <w:szCs w:val="21"/>
        </w:rPr>
        <w:t>3.4报价文件缺少《报价一览表》的；</w:t>
      </w:r>
    </w:p>
    <w:p w14:paraId="4004ECD8">
      <w:pPr>
        <w:spacing w:line="400" w:lineRule="exact"/>
        <w:ind w:firstLine="420" w:firstLineChars="200"/>
        <w:rPr>
          <w:sz w:val="21"/>
          <w:szCs w:val="21"/>
        </w:rPr>
      </w:pPr>
      <w:r>
        <w:rPr>
          <w:rFonts w:hint="eastAsia"/>
          <w:sz w:val="21"/>
          <w:szCs w:val="21"/>
        </w:rPr>
        <w:t>3.5《报价一览表》填写不完整或字迹不能辨认的；</w:t>
      </w:r>
    </w:p>
    <w:p w14:paraId="672428B3">
      <w:pPr>
        <w:spacing w:line="400" w:lineRule="exact"/>
        <w:ind w:firstLine="420" w:firstLineChars="200"/>
        <w:rPr>
          <w:sz w:val="21"/>
          <w:szCs w:val="21"/>
        </w:rPr>
      </w:pPr>
      <w:r>
        <w:rPr>
          <w:rFonts w:hint="eastAsia"/>
          <w:sz w:val="21"/>
          <w:szCs w:val="21"/>
        </w:rPr>
        <w:t>3.6报价文件未按招标文件规定要求进行签字或盖章的；</w:t>
      </w:r>
    </w:p>
    <w:p w14:paraId="747BF8D6">
      <w:pPr>
        <w:spacing w:line="400" w:lineRule="exact"/>
        <w:ind w:firstLine="420" w:firstLineChars="200"/>
        <w:rPr>
          <w:sz w:val="21"/>
          <w:szCs w:val="21"/>
        </w:rPr>
      </w:pPr>
      <w:r>
        <w:rPr>
          <w:rFonts w:hint="eastAsia"/>
          <w:sz w:val="21"/>
          <w:szCs w:val="21"/>
        </w:rPr>
        <w:t>3.7经评标委员会审核，投标报价明显高于市场价或低于成本价，且不能提供证明材料说明原因的；</w:t>
      </w:r>
    </w:p>
    <w:p w14:paraId="70D9F89E">
      <w:pPr>
        <w:spacing w:line="400" w:lineRule="exact"/>
        <w:ind w:firstLine="422" w:firstLineChars="200"/>
        <w:rPr>
          <w:b/>
          <w:sz w:val="21"/>
          <w:szCs w:val="21"/>
        </w:rPr>
      </w:pPr>
      <w:r>
        <w:rPr>
          <w:rFonts w:hint="eastAsia"/>
          <w:b/>
          <w:sz w:val="21"/>
          <w:szCs w:val="21"/>
        </w:rPr>
        <w:t>3.8投标人报价超过预算金额或最高限价的；</w:t>
      </w:r>
    </w:p>
    <w:p w14:paraId="1E1919D4">
      <w:pPr>
        <w:spacing w:line="400" w:lineRule="exact"/>
        <w:ind w:firstLine="420" w:firstLineChars="200"/>
        <w:rPr>
          <w:sz w:val="21"/>
          <w:szCs w:val="21"/>
        </w:rPr>
      </w:pPr>
      <w:r>
        <w:rPr>
          <w:rFonts w:hint="eastAsia"/>
          <w:sz w:val="21"/>
          <w:szCs w:val="21"/>
        </w:rPr>
        <w:t>3.9经评标委员会审核，投标人所投内容不符合实质性采购要求的；</w:t>
      </w:r>
    </w:p>
    <w:p w14:paraId="7E86E9E5">
      <w:pPr>
        <w:spacing w:line="400" w:lineRule="exact"/>
        <w:ind w:firstLine="420" w:firstLineChars="200"/>
        <w:rPr>
          <w:sz w:val="21"/>
          <w:szCs w:val="21"/>
        </w:rPr>
      </w:pPr>
      <w:r>
        <w:rPr>
          <w:rFonts w:hint="eastAsia"/>
          <w:sz w:val="21"/>
          <w:szCs w:val="21"/>
        </w:rPr>
        <w:t>3.10投标人拒绝按招标文件错误修正原则对投标文件进行修改的。</w:t>
      </w:r>
    </w:p>
    <w:p w14:paraId="66419BAB">
      <w:pPr>
        <w:pStyle w:val="61"/>
        <w:tabs>
          <w:tab w:val="left" w:pos="1206"/>
        </w:tabs>
        <w:spacing w:before="0" w:line="360" w:lineRule="auto"/>
        <w:ind w:left="0" w:firstLine="422" w:firstLineChars="200"/>
        <w:rPr>
          <w:rFonts w:ascii="Times New Roman" w:hAnsi="Times New Roman" w:cs="Times New Roman"/>
          <w:kern w:val="2"/>
          <w:sz w:val="21"/>
          <w:szCs w:val="24"/>
          <w:lang w:val="en-US"/>
        </w:rPr>
      </w:pPr>
      <w:r>
        <w:rPr>
          <w:rFonts w:hint="eastAsia"/>
          <w:b/>
          <w:sz w:val="21"/>
          <w:szCs w:val="21"/>
        </w:rPr>
        <w:t>4.被拒绝的投标文件为无效。</w:t>
      </w:r>
    </w:p>
    <w:p w14:paraId="24AA0268">
      <w:pPr>
        <w:spacing w:line="360" w:lineRule="auto"/>
        <w:jc w:val="center"/>
        <w:rPr>
          <w:rFonts w:ascii="Times New Roman" w:hAnsi="Times New Roman" w:cs="Times New Roman"/>
          <w:b/>
          <w:sz w:val="28"/>
        </w:rPr>
      </w:pPr>
      <w:r>
        <w:rPr>
          <w:rFonts w:ascii="Times New Roman" w:hAnsi="Times New Roman" w:cs="Times New Roman"/>
          <w:b/>
          <w:sz w:val="28"/>
        </w:rPr>
        <w:t>四、开标</w:t>
      </w:r>
    </w:p>
    <w:p w14:paraId="50EA1BB0">
      <w:pPr>
        <w:spacing w:line="336" w:lineRule="auto"/>
        <w:ind w:firstLine="310" w:firstLineChars="147"/>
        <w:rPr>
          <w:b/>
          <w:sz w:val="21"/>
          <w:szCs w:val="21"/>
        </w:rPr>
      </w:pPr>
      <w:r>
        <w:rPr>
          <w:b/>
          <w:sz w:val="21"/>
          <w:szCs w:val="21"/>
        </w:rPr>
        <w:t>（一）开标准备</w:t>
      </w:r>
    </w:p>
    <w:p w14:paraId="73FD0091">
      <w:pPr>
        <w:spacing w:line="336" w:lineRule="auto"/>
        <w:ind w:firstLine="420" w:firstLineChars="200"/>
        <w:rPr>
          <w:bCs/>
          <w:sz w:val="21"/>
          <w:szCs w:val="21"/>
        </w:rPr>
      </w:pPr>
      <w:r>
        <w:rPr>
          <w:color w:val="000000"/>
          <w:sz w:val="21"/>
          <w:szCs w:val="21"/>
        </w:rPr>
        <w:t>采购代理机构将在规定的时间和地点进行开标，同时所有供应商均应当</w:t>
      </w:r>
      <w:r>
        <w:rPr>
          <w:rFonts w:hint="eastAsia"/>
          <w:color w:val="000000"/>
          <w:sz w:val="21"/>
          <w:szCs w:val="21"/>
        </w:rPr>
        <w:t>安</w:t>
      </w:r>
      <w:r>
        <w:rPr>
          <w:color w:val="000000"/>
          <w:sz w:val="21"/>
          <w:szCs w:val="21"/>
        </w:rPr>
        <w:t>排技术人员准时在线参加</w:t>
      </w:r>
      <w:r>
        <w:rPr>
          <w:rFonts w:hint="eastAsia"/>
          <w:color w:val="000000"/>
          <w:sz w:val="21"/>
          <w:szCs w:val="21"/>
        </w:rPr>
        <w:t>，</w:t>
      </w:r>
      <w:r>
        <w:rPr>
          <w:b/>
          <w:bCs/>
          <w:sz w:val="21"/>
          <w:szCs w:val="21"/>
        </w:rPr>
        <w:t>投标人的法定代表人或其授权代表</w:t>
      </w:r>
      <w:r>
        <w:rPr>
          <w:rFonts w:hint="eastAsia"/>
          <w:b/>
          <w:bCs/>
          <w:sz w:val="21"/>
          <w:szCs w:val="21"/>
        </w:rPr>
        <w:t>须准备好可</w:t>
      </w:r>
      <w:r>
        <w:rPr>
          <w:b/>
          <w:bCs/>
          <w:sz w:val="21"/>
          <w:szCs w:val="21"/>
        </w:rPr>
        <w:t>上网</w:t>
      </w:r>
      <w:r>
        <w:rPr>
          <w:rFonts w:hint="eastAsia"/>
          <w:b/>
          <w:bCs/>
          <w:sz w:val="21"/>
          <w:szCs w:val="21"/>
        </w:rPr>
        <w:t>的</w:t>
      </w:r>
      <w:r>
        <w:rPr>
          <w:b/>
          <w:bCs/>
          <w:sz w:val="21"/>
          <w:szCs w:val="21"/>
        </w:rPr>
        <w:t>电脑</w:t>
      </w:r>
      <w:r>
        <w:rPr>
          <w:rFonts w:hint="eastAsia"/>
          <w:b/>
          <w:bCs/>
          <w:sz w:val="21"/>
          <w:szCs w:val="21"/>
        </w:rPr>
        <w:t>及CA（无须到现场）。</w:t>
      </w:r>
    </w:p>
    <w:p w14:paraId="75C6585C">
      <w:pPr>
        <w:spacing w:line="336" w:lineRule="auto"/>
        <w:ind w:firstLine="422" w:firstLineChars="200"/>
        <w:rPr>
          <w:b/>
          <w:sz w:val="21"/>
          <w:szCs w:val="21"/>
        </w:rPr>
      </w:pPr>
      <w:r>
        <w:rPr>
          <w:rFonts w:hint="eastAsia"/>
          <w:b/>
          <w:sz w:val="21"/>
          <w:szCs w:val="21"/>
        </w:rPr>
        <w:t>（二）招标人职责</w:t>
      </w:r>
    </w:p>
    <w:p w14:paraId="77AB84F5">
      <w:pPr>
        <w:spacing w:line="336" w:lineRule="auto"/>
        <w:ind w:firstLine="420" w:firstLineChars="200"/>
        <w:rPr>
          <w:bCs/>
          <w:sz w:val="21"/>
          <w:szCs w:val="21"/>
        </w:rPr>
      </w:pPr>
      <w:r>
        <w:rPr>
          <w:rFonts w:hint="eastAsia"/>
          <w:bCs/>
          <w:sz w:val="21"/>
          <w:szCs w:val="21"/>
        </w:rPr>
        <w:t>采购代理机构负责组织评标工作，并履行下列职责：</w:t>
      </w:r>
    </w:p>
    <w:p w14:paraId="50FE35D0">
      <w:pPr>
        <w:spacing w:line="336" w:lineRule="auto"/>
        <w:ind w:firstLine="420" w:firstLineChars="200"/>
        <w:rPr>
          <w:sz w:val="21"/>
          <w:szCs w:val="21"/>
        </w:rPr>
      </w:pPr>
      <w:r>
        <w:rPr>
          <w:rFonts w:hint="eastAsia"/>
          <w:sz w:val="21"/>
          <w:szCs w:val="21"/>
        </w:rPr>
        <w:t>1.核对评审专家身份和采购人代表授权函，对评审专家在采购活动中的职责履行情况予以记录，并及时将有关违法违规行为向有关部门报告；</w:t>
      </w:r>
    </w:p>
    <w:p w14:paraId="5CF0E043">
      <w:pPr>
        <w:spacing w:line="336" w:lineRule="auto"/>
        <w:ind w:firstLine="420" w:firstLineChars="200"/>
        <w:rPr>
          <w:sz w:val="21"/>
          <w:szCs w:val="21"/>
        </w:rPr>
      </w:pPr>
      <w:r>
        <w:rPr>
          <w:rFonts w:hint="eastAsia"/>
          <w:sz w:val="21"/>
          <w:szCs w:val="21"/>
        </w:rPr>
        <w:t>2.宣布评标纪律；</w:t>
      </w:r>
    </w:p>
    <w:p w14:paraId="40F67DCF">
      <w:pPr>
        <w:spacing w:line="336" w:lineRule="auto"/>
        <w:ind w:firstLine="420" w:firstLineChars="200"/>
        <w:rPr>
          <w:sz w:val="21"/>
          <w:szCs w:val="21"/>
        </w:rPr>
      </w:pPr>
      <w:r>
        <w:rPr>
          <w:rFonts w:hint="eastAsia"/>
          <w:sz w:val="21"/>
          <w:szCs w:val="21"/>
        </w:rPr>
        <w:t>3.公布投标人名单，告知评审专家应当回避的情形；</w:t>
      </w:r>
    </w:p>
    <w:p w14:paraId="362096AF">
      <w:pPr>
        <w:spacing w:line="336" w:lineRule="auto"/>
        <w:ind w:firstLine="420" w:firstLineChars="200"/>
        <w:rPr>
          <w:sz w:val="21"/>
          <w:szCs w:val="21"/>
        </w:rPr>
      </w:pPr>
      <w:r>
        <w:rPr>
          <w:rFonts w:hint="eastAsia"/>
          <w:sz w:val="21"/>
          <w:szCs w:val="21"/>
        </w:rPr>
        <w:t>4.组织评标委员会推选评标组长，采购人代表不得担任组长；</w:t>
      </w:r>
    </w:p>
    <w:p w14:paraId="7F9951C4">
      <w:pPr>
        <w:spacing w:line="336" w:lineRule="auto"/>
        <w:ind w:firstLine="420" w:firstLineChars="200"/>
        <w:rPr>
          <w:sz w:val="21"/>
          <w:szCs w:val="21"/>
        </w:rPr>
      </w:pPr>
      <w:r>
        <w:rPr>
          <w:rFonts w:hint="eastAsia"/>
          <w:sz w:val="21"/>
          <w:szCs w:val="21"/>
        </w:rPr>
        <w:t>5.在评标期间采取必要的通讯管理措施，保证评标活动不受外界干扰；</w:t>
      </w:r>
    </w:p>
    <w:p w14:paraId="73C9472C">
      <w:pPr>
        <w:spacing w:line="336" w:lineRule="auto"/>
        <w:ind w:firstLine="420" w:firstLineChars="200"/>
        <w:rPr>
          <w:sz w:val="21"/>
          <w:szCs w:val="21"/>
        </w:rPr>
      </w:pPr>
      <w:r>
        <w:rPr>
          <w:rFonts w:hint="eastAsia"/>
          <w:sz w:val="21"/>
          <w:szCs w:val="21"/>
        </w:rPr>
        <w:t>6.根据评标委员会的要求介绍此次采购相关政策法规、招标文件；</w:t>
      </w:r>
    </w:p>
    <w:p w14:paraId="3DEB15A1">
      <w:pPr>
        <w:spacing w:line="336" w:lineRule="auto"/>
        <w:ind w:firstLine="420" w:firstLineChars="200"/>
        <w:rPr>
          <w:sz w:val="21"/>
          <w:szCs w:val="21"/>
        </w:rPr>
      </w:pPr>
      <w:r>
        <w:rPr>
          <w:rFonts w:hint="eastAsia"/>
          <w:sz w:val="21"/>
          <w:szCs w:val="21"/>
        </w:rPr>
        <w:t>7.维护评标秩序，监督评标委员会依照招标文件规定的评标程序、方法和标准进行独立评审，及时制止和纠正采购人代表、评审专家的倾向性言论或者违法违规行为；</w:t>
      </w:r>
    </w:p>
    <w:p w14:paraId="0D58BAAF">
      <w:pPr>
        <w:spacing w:line="336" w:lineRule="auto"/>
        <w:ind w:firstLine="420" w:firstLineChars="200"/>
        <w:rPr>
          <w:sz w:val="21"/>
          <w:szCs w:val="21"/>
        </w:rPr>
      </w:pPr>
      <w:r>
        <w:rPr>
          <w:rFonts w:hint="eastAsia"/>
          <w:sz w:val="21"/>
          <w:szCs w:val="21"/>
        </w:rPr>
        <w:t>8.核对评标结果，有《政府采购货物和服务招标投标管理办法》第六十四条规定情形的，要求评标委员会复核或者书面说明理由，评标委员会拒绝的，应予记录并向有关部门报告；</w:t>
      </w:r>
    </w:p>
    <w:p w14:paraId="73C112C5">
      <w:pPr>
        <w:spacing w:line="336" w:lineRule="auto"/>
        <w:ind w:firstLine="420" w:firstLineChars="200"/>
        <w:rPr>
          <w:sz w:val="21"/>
          <w:szCs w:val="21"/>
        </w:rPr>
      </w:pPr>
      <w:r>
        <w:rPr>
          <w:rFonts w:hint="eastAsia"/>
          <w:sz w:val="21"/>
          <w:szCs w:val="21"/>
        </w:rPr>
        <w:t>9.评审工作完成后，按照规定向评审专家支付劳务报酬和异地评审差旅费，不得向评审专家以外的其他人员支付评审劳务报酬；</w:t>
      </w:r>
    </w:p>
    <w:p w14:paraId="79C67486">
      <w:pPr>
        <w:spacing w:line="336" w:lineRule="auto"/>
        <w:ind w:firstLine="420" w:firstLineChars="200"/>
        <w:rPr>
          <w:sz w:val="21"/>
          <w:szCs w:val="21"/>
        </w:rPr>
      </w:pPr>
      <w:r>
        <w:rPr>
          <w:rFonts w:hint="eastAsia"/>
          <w:sz w:val="21"/>
          <w:szCs w:val="21"/>
        </w:rPr>
        <w:t>10.处理与评标有关的其他事项。</w:t>
      </w:r>
    </w:p>
    <w:p w14:paraId="48A862F8">
      <w:pPr>
        <w:spacing w:line="336" w:lineRule="auto"/>
        <w:ind w:firstLine="422" w:firstLineChars="200"/>
        <w:rPr>
          <w:b/>
          <w:sz w:val="21"/>
          <w:szCs w:val="21"/>
        </w:rPr>
      </w:pPr>
      <w:r>
        <w:rPr>
          <w:b/>
          <w:sz w:val="21"/>
          <w:szCs w:val="21"/>
        </w:rPr>
        <w:t>（</w:t>
      </w:r>
      <w:r>
        <w:rPr>
          <w:rFonts w:hint="eastAsia"/>
          <w:b/>
          <w:sz w:val="21"/>
          <w:szCs w:val="21"/>
        </w:rPr>
        <w:t>三</w:t>
      </w:r>
      <w:r>
        <w:rPr>
          <w:b/>
          <w:sz w:val="21"/>
          <w:szCs w:val="21"/>
        </w:rPr>
        <w:t>） 开标程序</w:t>
      </w:r>
    </w:p>
    <w:p w14:paraId="106A4BBA">
      <w:pPr>
        <w:spacing w:line="360" w:lineRule="auto"/>
        <w:ind w:firstLine="420" w:firstLineChars="200"/>
        <w:rPr>
          <w:bCs/>
          <w:sz w:val="21"/>
          <w:szCs w:val="21"/>
        </w:rPr>
      </w:pPr>
      <w:r>
        <w:rPr>
          <w:rFonts w:hint="eastAsia"/>
          <w:bCs/>
          <w:sz w:val="21"/>
          <w:szCs w:val="21"/>
        </w:rPr>
        <w:t>1.本项目实行电子开评标，投标人无需到开标现场，但须准时在线参加，直至评审结束。</w:t>
      </w:r>
    </w:p>
    <w:p w14:paraId="5CCD2406">
      <w:pPr>
        <w:spacing w:line="360" w:lineRule="auto"/>
        <w:ind w:firstLine="420" w:firstLineChars="200"/>
        <w:rPr>
          <w:bCs/>
          <w:sz w:val="21"/>
          <w:szCs w:val="21"/>
        </w:rPr>
      </w:pPr>
      <w:r>
        <w:rPr>
          <w:rFonts w:hint="eastAsia"/>
          <w:bCs/>
          <w:sz w:val="21"/>
          <w:szCs w:val="21"/>
        </w:rPr>
        <w:t>2.电子开评标及评审程序</w:t>
      </w:r>
    </w:p>
    <w:p w14:paraId="530D4DB0">
      <w:pPr>
        <w:spacing w:line="360" w:lineRule="auto"/>
        <w:ind w:firstLine="420" w:firstLineChars="200"/>
        <w:rPr>
          <w:bCs/>
          <w:sz w:val="21"/>
          <w:szCs w:val="21"/>
        </w:rPr>
      </w:pPr>
      <w:r>
        <w:rPr>
          <w:rFonts w:hint="eastAsia"/>
          <w:bCs/>
          <w:sz w:val="21"/>
          <w:szCs w:val="21"/>
        </w:rPr>
        <w:t>2.1投标截止时间后，投标人登录政采云平台，用“项目采购-开标评标”功能对电子投标文件进行在线解密。在线解密电子投标文件时间为开标时间起30分钟内。</w:t>
      </w:r>
    </w:p>
    <w:p w14:paraId="05050A3B">
      <w:pPr>
        <w:spacing w:line="360" w:lineRule="auto"/>
        <w:ind w:firstLine="420" w:firstLineChars="200"/>
        <w:rPr>
          <w:bCs/>
          <w:sz w:val="21"/>
          <w:szCs w:val="21"/>
        </w:rPr>
      </w:pPr>
      <w:r>
        <w:rPr>
          <w:rFonts w:hint="eastAsia"/>
          <w:bCs/>
          <w:sz w:val="21"/>
          <w:szCs w:val="21"/>
        </w:rPr>
        <w:t>2.2采购人对资格文件进行评审；</w:t>
      </w:r>
    </w:p>
    <w:p w14:paraId="6464AD35">
      <w:pPr>
        <w:spacing w:line="360" w:lineRule="auto"/>
        <w:ind w:firstLine="420" w:firstLineChars="200"/>
        <w:rPr>
          <w:bCs/>
          <w:sz w:val="21"/>
          <w:szCs w:val="21"/>
        </w:rPr>
      </w:pPr>
      <w:r>
        <w:rPr>
          <w:rFonts w:hint="eastAsia"/>
          <w:bCs/>
          <w:sz w:val="21"/>
          <w:szCs w:val="21"/>
        </w:rPr>
        <w:t>2.3评标委员会对技术商务文件进行评审；</w:t>
      </w:r>
    </w:p>
    <w:p w14:paraId="649760C5">
      <w:pPr>
        <w:spacing w:line="360" w:lineRule="auto"/>
        <w:ind w:firstLine="420" w:firstLineChars="200"/>
        <w:rPr>
          <w:bCs/>
          <w:sz w:val="21"/>
          <w:szCs w:val="21"/>
        </w:rPr>
      </w:pPr>
      <w:r>
        <w:rPr>
          <w:rFonts w:hint="eastAsia"/>
          <w:bCs/>
          <w:sz w:val="21"/>
          <w:szCs w:val="21"/>
        </w:rPr>
        <w:t>2.4在系统上统一开启报价信息；</w:t>
      </w:r>
    </w:p>
    <w:p w14:paraId="5C1EB97A">
      <w:pPr>
        <w:spacing w:line="360" w:lineRule="auto"/>
        <w:ind w:firstLine="420" w:firstLineChars="200"/>
        <w:rPr>
          <w:bCs/>
          <w:sz w:val="21"/>
          <w:szCs w:val="21"/>
        </w:rPr>
      </w:pPr>
      <w:r>
        <w:rPr>
          <w:rFonts w:hint="eastAsia"/>
          <w:bCs/>
          <w:sz w:val="21"/>
          <w:szCs w:val="21"/>
        </w:rPr>
        <w:t>2.5评标委员会对报价文件进行评审；</w:t>
      </w:r>
    </w:p>
    <w:p w14:paraId="685785F7">
      <w:pPr>
        <w:spacing w:line="360" w:lineRule="auto"/>
        <w:ind w:firstLine="420" w:firstLineChars="200"/>
        <w:jc w:val="both"/>
        <w:rPr>
          <w:rFonts w:ascii="Times New Roman" w:hAnsi="Times New Roman" w:cs="Times New Roman"/>
          <w:kern w:val="2"/>
          <w:sz w:val="21"/>
          <w:szCs w:val="21"/>
          <w:lang w:val="en-US"/>
        </w:rPr>
      </w:pPr>
      <w:r>
        <w:rPr>
          <w:rFonts w:hint="eastAsia"/>
          <w:bCs/>
          <w:sz w:val="21"/>
          <w:szCs w:val="21"/>
        </w:rPr>
        <w:t>2.6</w:t>
      </w:r>
      <w:r>
        <w:rPr>
          <w:rFonts w:hint="eastAsia"/>
          <w:sz w:val="21"/>
          <w:szCs w:val="21"/>
        </w:rPr>
        <w:t>评标委员会按评标原则推荐中标候选人同时起草评审报告。</w:t>
      </w:r>
    </w:p>
    <w:p w14:paraId="13BC0F91">
      <w:pPr>
        <w:spacing w:line="360" w:lineRule="auto"/>
        <w:jc w:val="center"/>
        <w:rPr>
          <w:rFonts w:ascii="Times New Roman" w:hAnsi="Times New Roman" w:cs="Times New Roman"/>
          <w:b/>
          <w:sz w:val="28"/>
        </w:rPr>
      </w:pPr>
      <w:r>
        <w:rPr>
          <w:rFonts w:ascii="Times New Roman" w:hAnsi="Times New Roman" w:cs="Times New Roman"/>
          <w:b/>
          <w:sz w:val="28"/>
        </w:rPr>
        <w:t>五、评标</w:t>
      </w:r>
    </w:p>
    <w:p w14:paraId="75993CFD">
      <w:pPr>
        <w:spacing w:line="380" w:lineRule="exact"/>
        <w:ind w:firstLine="422" w:firstLineChars="200"/>
        <w:rPr>
          <w:b/>
          <w:sz w:val="21"/>
          <w:szCs w:val="21"/>
        </w:rPr>
      </w:pPr>
      <w:r>
        <w:rPr>
          <w:b/>
          <w:sz w:val="21"/>
          <w:szCs w:val="21"/>
        </w:rPr>
        <w:t>（一）组建评标委员会</w:t>
      </w:r>
    </w:p>
    <w:p w14:paraId="0743DAE6">
      <w:pPr>
        <w:spacing w:line="380" w:lineRule="exact"/>
        <w:ind w:firstLine="420" w:firstLineChars="200"/>
        <w:rPr>
          <w:sz w:val="21"/>
          <w:szCs w:val="21"/>
        </w:rPr>
      </w:pPr>
      <w:r>
        <w:rPr>
          <w:rFonts w:hint="eastAsia"/>
          <w:sz w:val="21"/>
          <w:szCs w:val="21"/>
        </w:rPr>
        <w:t>评标委员会由三人及以上单数的采购人代表和评审专家组成。</w:t>
      </w:r>
    </w:p>
    <w:p w14:paraId="601D24D7">
      <w:pPr>
        <w:spacing w:line="380" w:lineRule="exact"/>
        <w:ind w:firstLine="420" w:firstLineChars="200"/>
        <w:rPr>
          <w:sz w:val="21"/>
          <w:szCs w:val="21"/>
        </w:rPr>
      </w:pPr>
      <w:r>
        <w:rPr>
          <w:rFonts w:hint="eastAsia"/>
          <w:sz w:val="21"/>
          <w:szCs w:val="21"/>
        </w:rPr>
        <w:t>评标委员会负责具体评标事务，并独立履行下列职责：</w:t>
      </w:r>
    </w:p>
    <w:p w14:paraId="75DA744F">
      <w:pPr>
        <w:spacing w:line="380" w:lineRule="exact"/>
        <w:ind w:firstLine="420" w:firstLineChars="200"/>
        <w:rPr>
          <w:sz w:val="21"/>
          <w:szCs w:val="21"/>
        </w:rPr>
      </w:pPr>
      <w:r>
        <w:rPr>
          <w:rFonts w:hint="eastAsia"/>
          <w:sz w:val="21"/>
          <w:szCs w:val="21"/>
        </w:rPr>
        <w:t>1.审查、评价投标文件是否符合招标文件的技术、商务等实质性要求；</w:t>
      </w:r>
    </w:p>
    <w:p w14:paraId="7D91E3D0">
      <w:pPr>
        <w:spacing w:line="380" w:lineRule="exact"/>
        <w:ind w:firstLine="420" w:firstLineChars="200"/>
        <w:rPr>
          <w:sz w:val="21"/>
          <w:szCs w:val="21"/>
        </w:rPr>
      </w:pPr>
      <w:r>
        <w:rPr>
          <w:rFonts w:hint="eastAsia"/>
          <w:sz w:val="21"/>
          <w:szCs w:val="21"/>
        </w:rPr>
        <w:t>2.要求投标人对投标文件有关事项作出澄清或者说明；</w:t>
      </w:r>
    </w:p>
    <w:p w14:paraId="181635A3">
      <w:pPr>
        <w:spacing w:line="380" w:lineRule="exact"/>
        <w:ind w:firstLine="420" w:firstLineChars="200"/>
        <w:rPr>
          <w:sz w:val="21"/>
          <w:szCs w:val="21"/>
        </w:rPr>
      </w:pPr>
      <w:r>
        <w:rPr>
          <w:rFonts w:hint="eastAsia"/>
          <w:sz w:val="21"/>
          <w:szCs w:val="21"/>
        </w:rPr>
        <w:t>3.对投标文件进行比较和评价；</w:t>
      </w:r>
    </w:p>
    <w:p w14:paraId="763FE301">
      <w:pPr>
        <w:spacing w:line="380" w:lineRule="exact"/>
        <w:ind w:firstLine="420" w:firstLineChars="200"/>
        <w:rPr>
          <w:sz w:val="21"/>
          <w:szCs w:val="21"/>
        </w:rPr>
      </w:pPr>
      <w:r>
        <w:rPr>
          <w:rFonts w:hint="eastAsia"/>
          <w:sz w:val="21"/>
          <w:szCs w:val="21"/>
        </w:rPr>
        <w:t>4.确定中标候选人名单；</w:t>
      </w:r>
    </w:p>
    <w:p w14:paraId="757587E3">
      <w:pPr>
        <w:spacing w:line="380" w:lineRule="exact"/>
        <w:ind w:firstLine="420" w:firstLineChars="200"/>
        <w:rPr>
          <w:sz w:val="21"/>
          <w:szCs w:val="21"/>
        </w:rPr>
      </w:pPr>
      <w:r>
        <w:rPr>
          <w:rFonts w:hint="eastAsia"/>
          <w:sz w:val="21"/>
          <w:szCs w:val="21"/>
        </w:rPr>
        <w:t>5.向采购人、招标人或者有关部门报告评标中发现的违法行为。</w:t>
      </w:r>
    </w:p>
    <w:p w14:paraId="4630D893">
      <w:pPr>
        <w:spacing w:line="380" w:lineRule="exact"/>
        <w:ind w:firstLine="420" w:firstLineChars="200"/>
        <w:rPr>
          <w:sz w:val="21"/>
          <w:szCs w:val="21"/>
        </w:rPr>
      </w:pPr>
      <w:r>
        <w:rPr>
          <w:rFonts w:hint="eastAsia"/>
          <w:sz w:val="21"/>
          <w:szCs w:val="21"/>
        </w:rPr>
        <w:t>除采购人代表、评标现场组织人员外，采购人的其他工作人员以及与评标工作无关的人员不得进入评标现场。</w:t>
      </w:r>
    </w:p>
    <w:p w14:paraId="45E61024">
      <w:pPr>
        <w:spacing w:line="380" w:lineRule="exact"/>
        <w:ind w:firstLine="422" w:firstLineChars="200"/>
        <w:rPr>
          <w:b/>
          <w:sz w:val="21"/>
          <w:szCs w:val="21"/>
        </w:rPr>
      </w:pPr>
      <w:r>
        <w:rPr>
          <w:b/>
          <w:sz w:val="21"/>
          <w:szCs w:val="21"/>
        </w:rPr>
        <w:t>（二）评标的方式</w:t>
      </w:r>
    </w:p>
    <w:p w14:paraId="2F21BE78">
      <w:pPr>
        <w:spacing w:line="380" w:lineRule="exact"/>
        <w:ind w:firstLine="420" w:firstLineChars="200"/>
        <w:rPr>
          <w:sz w:val="21"/>
          <w:szCs w:val="21"/>
        </w:rPr>
      </w:pPr>
      <w:r>
        <w:rPr>
          <w:sz w:val="21"/>
          <w:szCs w:val="21"/>
        </w:rPr>
        <w:t>本项目采用不公开方式评标，评标的依据为招标文件和投标文件。</w:t>
      </w:r>
    </w:p>
    <w:p w14:paraId="4184FDFC">
      <w:pPr>
        <w:spacing w:line="380" w:lineRule="exact"/>
        <w:ind w:firstLine="422" w:firstLineChars="200"/>
        <w:rPr>
          <w:b/>
          <w:sz w:val="21"/>
          <w:szCs w:val="21"/>
        </w:rPr>
      </w:pPr>
      <w:r>
        <w:rPr>
          <w:b/>
          <w:sz w:val="21"/>
          <w:szCs w:val="21"/>
        </w:rPr>
        <w:t>（三）评标程序</w:t>
      </w:r>
    </w:p>
    <w:p w14:paraId="503DC83E">
      <w:pPr>
        <w:spacing w:line="380" w:lineRule="exact"/>
        <w:ind w:firstLine="420" w:firstLineChars="200"/>
        <w:rPr>
          <w:bCs/>
          <w:sz w:val="21"/>
          <w:szCs w:val="21"/>
        </w:rPr>
      </w:pPr>
      <w:r>
        <w:rPr>
          <w:rFonts w:hint="eastAsia"/>
          <w:bCs/>
          <w:sz w:val="21"/>
          <w:szCs w:val="21"/>
        </w:rPr>
        <w:t>采购人可以在评标前说明项目背景和采购需求，说明内容不得含有歧视性、倾向性意见，不得超出招标文件所述范围。说明应当提交书面材料，并随采购文件一并存档。</w:t>
      </w:r>
    </w:p>
    <w:p w14:paraId="1427D592">
      <w:pPr>
        <w:spacing w:line="380" w:lineRule="exact"/>
        <w:ind w:firstLine="422" w:firstLineChars="200"/>
        <w:rPr>
          <w:b/>
          <w:bCs/>
          <w:sz w:val="21"/>
          <w:szCs w:val="21"/>
        </w:rPr>
      </w:pPr>
      <w:r>
        <w:rPr>
          <w:rFonts w:hint="eastAsia"/>
          <w:b/>
          <w:bCs/>
          <w:sz w:val="21"/>
          <w:szCs w:val="21"/>
        </w:rPr>
        <w:t>1.符合性审查</w:t>
      </w:r>
    </w:p>
    <w:p w14:paraId="78C60983">
      <w:pPr>
        <w:spacing w:line="380" w:lineRule="exact"/>
        <w:ind w:firstLine="420" w:firstLineChars="200"/>
        <w:rPr>
          <w:bCs/>
          <w:sz w:val="21"/>
          <w:szCs w:val="21"/>
        </w:rPr>
      </w:pPr>
      <w:r>
        <w:rPr>
          <w:bCs/>
          <w:sz w:val="21"/>
          <w:szCs w:val="21"/>
        </w:rPr>
        <w:t>1</w:t>
      </w:r>
      <w:r>
        <w:rPr>
          <w:rFonts w:hint="eastAsia"/>
          <w:bCs/>
          <w:sz w:val="21"/>
          <w:szCs w:val="21"/>
        </w:rPr>
        <w:t>.1</w:t>
      </w:r>
      <w:r>
        <w:rPr>
          <w:bCs/>
          <w:sz w:val="21"/>
          <w:szCs w:val="21"/>
        </w:rPr>
        <w:t>形式审查</w:t>
      </w:r>
    </w:p>
    <w:p w14:paraId="06AFC9BB">
      <w:pPr>
        <w:spacing w:line="380" w:lineRule="exact"/>
        <w:ind w:firstLine="420" w:firstLineChars="200"/>
        <w:rPr>
          <w:bCs/>
          <w:sz w:val="21"/>
          <w:szCs w:val="21"/>
        </w:rPr>
      </w:pPr>
      <w:r>
        <w:rPr>
          <w:bCs/>
          <w:sz w:val="21"/>
          <w:szCs w:val="21"/>
        </w:rPr>
        <w:t>形式审查</w:t>
      </w:r>
      <w:r>
        <w:rPr>
          <w:rFonts w:hint="eastAsia"/>
          <w:bCs/>
          <w:sz w:val="21"/>
          <w:szCs w:val="21"/>
        </w:rPr>
        <w:t>指对投标人的</w:t>
      </w:r>
      <w:r>
        <w:rPr>
          <w:bCs/>
          <w:sz w:val="21"/>
          <w:szCs w:val="21"/>
        </w:rPr>
        <w:t>投标文件的完整性、合法性等进行审查</w:t>
      </w:r>
      <w:r>
        <w:rPr>
          <w:rFonts w:hint="eastAsia"/>
          <w:bCs/>
          <w:sz w:val="21"/>
          <w:szCs w:val="21"/>
        </w:rPr>
        <w:t>。投标文件形式审查未通过的投标人，其投标文件将不再评审。</w:t>
      </w:r>
    </w:p>
    <w:p w14:paraId="7A68B5E3">
      <w:pPr>
        <w:spacing w:line="380" w:lineRule="exact"/>
        <w:ind w:firstLine="420" w:firstLineChars="200"/>
        <w:rPr>
          <w:bCs/>
          <w:sz w:val="21"/>
          <w:szCs w:val="21"/>
        </w:rPr>
      </w:pPr>
      <w:r>
        <w:rPr>
          <w:rFonts w:hint="eastAsia"/>
          <w:bCs/>
          <w:sz w:val="21"/>
          <w:szCs w:val="21"/>
        </w:rPr>
        <w:t>1.2实质性审查</w:t>
      </w:r>
    </w:p>
    <w:p w14:paraId="5A32A038">
      <w:pPr>
        <w:spacing w:line="380" w:lineRule="exact"/>
        <w:ind w:firstLine="420" w:firstLineChars="200"/>
        <w:rPr>
          <w:bCs/>
          <w:sz w:val="21"/>
          <w:szCs w:val="21"/>
        </w:rPr>
      </w:pPr>
      <w:r>
        <w:rPr>
          <w:rFonts w:hint="eastAsia"/>
          <w:bCs/>
          <w:sz w:val="21"/>
          <w:szCs w:val="21"/>
        </w:rPr>
        <w:t>1.2.1</w:t>
      </w:r>
      <w:r>
        <w:rPr>
          <w:bCs/>
          <w:sz w:val="21"/>
          <w:szCs w:val="21"/>
        </w:rPr>
        <w:t>评标委员会审查投标文件的实质性内容是否符合招标文件的实质性要求。</w:t>
      </w:r>
    </w:p>
    <w:p w14:paraId="6E018E37">
      <w:pPr>
        <w:spacing w:line="380" w:lineRule="exact"/>
        <w:ind w:firstLine="420" w:firstLineChars="200"/>
        <w:rPr>
          <w:bCs/>
          <w:sz w:val="21"/>
          <w:szCs w:val="21"/>
        </w:rPr>
      </w:pPr>
      <w:r>
        <w:rPr>
          <w:rFonts w:hint="eastAsia"/>
          <w:bCs/>
          <w:sz w:val="21"/>
          <w:szCs w:val="21"/>
        </w:rPr>
        <w:t>1.2.2对招标文件推荐品牌以外的所投货物进行审查，不能满足本项目技术需求且性能与推荐品牌不相当的货物，予以淘汰。</w:t>
      </w:r>
    </w:p>
    <w:p w14:paraId="3CC91D6F">
      <w:pPr>
        <w:spacing w:line="380" w:lineRule="exact"/>
        <w:ind w:firstLine="422" w:firstLineChars="200"/>
        <w:rPr>
          <w:b/>
          <w:sz w:val="21"/>
          <w:szCs w:val="21"/>
        </w:rPr>
      </w:pPr>
      <w:r>
        <w:rPr>
          <w:rFonts w:hint="eastAsia"/>
          <w:b/>
          <w:sz w:val="21"/>
          <w:szCs w:val="21"/>
        </w:rPr>
        <w:t>2.比较与评价</w:t>
      </w:r>
    </w:p>
    <w:p w14:paraId="4005CD23">
      <w:pPr>
        <w:spacing w:line="380" w:lineRule="exact"/>
        <w:ind w:firstLine="420" w:firstLineChars="200"/>
        <w:rPr>
          <w:sz w:val="21"/>
          <w:szCs w:val="21"/>
        </w:rPr>
      </w:pPr>
      <w:r>
        <w:rPr>
          <w:rFonts w:hint="eastAsia"/>
          <w:sz w:val="21"/>
          <w:szCs w:val="21"/>
        </w:rPr>
        <w:t>2.1评标委员会按评标办法和评分标准，对有效投标文件进行技术商务和报价综合比较与评价。</w:t>
      </w:r>
    </w:p>
    <w:p w14:paraId="5DE252E3">
      <w:pPr>
        <w:spacing w:line="380" w:lineRule="exact"/>
        <w:ind w:firstLine="420" w:firstLineChars="200"/>
        <w:rPr>
          <w:sz w:val="21"/>
          <w:szCs w:val="21"/>
        </w:rPr>
      </w:pPr>
      <w:r>
        <w:rPr>
          <w:rFonts w:hint="eastAsia"/>
          <w:sz w:val="21"/>
          <w:szCs w:val="21"/>
        </w:rPr>
        <w:t>2.2</w:t>
      </w:r>
      <w:r>
        <w:rPr>
          <w:sz w:val="21"/>
          <w:szCs w:val="21"/>
        </w:rPr>
        <w:t>各投标人的</w:t>
      </w:r>
      <w:r>
        <w:rPr>
          <w:rFonts w:hint="eastAsia"/>
          <w:sz w:val="21"/>
          <w:szCs w:val="21"/>
        </w:rPr>
        <w:t>技术商务分按照评标委员会成员的独立评分结果汇总后的算术平均分计算</w:t>
      </w:r>
      <w:r>
        <w:rPr>
          <w:sz w:val="21"/>
          <w:szCs w:val="21"/>
        </w:rPr>
        <w:t>。</w:t>
      </w:r>
    </w:p>
    <w:p w14:paraId="48FC7014">
      <w:pPr>
        <w:spacing w:line="380" w:lineRule="exact"/>
        <w:ind w:firstLine="420" w:firstLineChars="200"/>
        <w:rPr>
          <w:sz w:val="21"/>
          <w:szCs w:val="21"/>
        </w:rPr>
      </w:pPr>
      <w:r>
        <w:rPr>
          <w:rFonts w:hint="eastAsia"/>
          <w:sz w:val="21"/>
          <w:szCs w:val="21"/>
        </w:rPr>
        <w:t>2.3</w:t>
      </w:r>
      <w:r>
        <w:rPr>
          <w:sz w:val="21"/>
          <w:szCs w:val="21"/>
        </w:rPr>
        <w:t>评标委员会完成评标后</w:t>
      </w:r>
      <w:r>
        <w:rPr>
          <w:rFonts w:hint="eastAsia"/>
          <w:sz w:val="21"/>
          <w:szCs w:val="21"/>
        </w:rPr>
        <w:t>，</w:t>
      </w:r>
      <w:r>
        <w:rPr>
          <w:sz w:val="21"/>
          <w:szCs w:val="21"/>
        </w:rPr>
        <w:t>对各部分得分汇总</w:t>
      </w:r>
      <w:r>
        <w:rPr>
          <w:rFonts w:hint="eastAsia"/>
          <w:sz w:val="21"/>
          <w:szCs w:val="21"/>
        </w:rPr>
        <w:t>，计算</w:t>
      </w:r>
      <w:r>
        <w:rPr>
          <w:sz w:val="21"/>
          <w:szCs w:val="21"/>
        </w:rPr>
        <w:t>出本项目</w:t>
      </w:r>
      <w:r>
        <w:rPr>
          <w:rFonts w:hint="eastAsia"/>
          <w:sz w:val="21"/>
          <w:szCs w:val="21"/>
        </w:rPr>
        <w:t>综合得分</w:t>
      </w:r>
      <w:r>
        <w:rPr>
          <w:sz w:val="21"/>
          <w:szCs w:val="21"/>
        </w:rPr>
        <w:t>。评标委员会按评标原则推荐中标候选人同时起草评标报告。</w:t>
      </w:r>
    </w:p>
    <w:p w14:paraId="3F896316">
      <w:pPr>
        <w:spacing w:line="380" w:lineRule="exact"/>
        <w:ind w:firstLine="422" w:firstLineChars="200"/>
        <w:rPr>
          <w:b/>
          <w:sz w:val="21"/>
          <w:szCs w:val="21"/>
        </w:rPr>
      </w:pPr>
      <w:r>
        <w:rPr>
          <w:rFonts w:hint="eastAsia"/>
          <w:b/>
          <w:sz w:val="21"/>
          <w:szCs w:val="21"/>
        </w:rPr>
        <w:t>（四）澄清问题的形式</w:t>
      </w:r>
    </w:p>
    <w:p w14:paraId="50A7D556">
      <w:pPr>
        <w:spacing w:line="380" w:lineRule="exact"/>
        <w:ind w:firstLine="420" w:firstLineChars="200"/>
        <w:rPr>
          <w:sz w:val="21"/>
          <w:szCs w:val="21"/>
        </w:rPr>
      </w:pPr>
      <w:r>
        <w:rPr>
          <w:rFonts w:hint="eastAsia"/>
          <w:sz w:val="21"/>
          <w:szCs w:val="21"/>
        </w:rPr>
        <w:t>对投标文件中含义不明确、同类问题表述不一致或者有明显文字和计算错误的内容，评标委员会可要求投标人作出必要的澄清、说明或者纠正。</w:t>
      </w:r>
    </w:p>
    <w:p w14:paraId="17FEE528">
      <w:pPr>
        <w:spacing w:line="360" w:lineRule="auto"/>
        <w:ind w:firstLine="420" w:firstLineChars="200"/>
        <w:rPr>
          <w:sz w:val="21"/>
          <w:szCs w:val="21"/>
        </w:rPr>
      </w:pPr>
      <w:r>
        <w:rPr>
          <w:rFonts w:hint="eastAsia"/>
          <w:sz w:val="21"/>
          <w:szCs w:val="21"/>
        </w:rPr>
        <w:t>1、评标委员会可以在“乐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但不得超出投标文件的范围或改变投标文件的实质性内容。</w:t>
      </w:r>
    </w:p>
    <w:p w14:paraId="4D13CEC0">
      <w:pPr>
        <w:spacing w:line="380" w:lineRule="exact"/>
        <w:ind w:firstLine="420" w:firstLineChars="200"/>
        <w:rPr>
          <w:sz w:val="21"/>
          <w:szCs w:val="21"/>
        </w:rPr>
      </w:pPr>
      <w:r>
        <w:rPr>
          <w:rFonts w:hint="eastAsia"/>
          <w:sz w:val="21"/>
          <w:szCs w:val="21"/>
        </w:rPr>
        <w:t>2、如果投标人代表拒绝或</w:t>
      </w:r>
      <w:r>
        <w:rPr>
          <w:sz w:val="21"/>
          <w:szCs w:val="21"/>
        </w:rPr>
        <w:t>未</w:t>
      </w:r>
      <w:r>
        <w:rPr>
          <w:rFonts w:hint="eastAsia"/>
          <w:sz w:val="21"/>
          <w:szCs w:val="21"/>
        </w:rPr>
        <w:t>按评标委员会要求在“乐采云”平台作出在线回复且无其他有效回复方式的，评标委员会有权作出不利于该投标人的评审意见。</w:t>
      </w:r>
    </w:p>
    <w:p w14:paraId="124F0FBD">
      <w:pPr>
        <w:spacing w:line="380" w:lineRule="exact"/>
        <w:ind w:firstLine="422" w:firstLineChars="200"/>
        <w:rPr>
          <w:b/>
          <w:sz w:val="21"/>
          <w:szCs w:val="21"/>
        </w:rPr>
      </w:pPr>
      <w:r>
        <w:rPr>
          <w:b/>
          <w:sz w:val="21"/>
          <w:szCs w:val="21"/>
        </w:rPr>
        <w:t>（五）错误修正</w:t>
      </w:r>
    </w:p>
    <w:p w14:paraId="4B8235BE">
      <w:pPr>
        <w:spacing w:line="348" w:lineRule="auto"/>
        <w:ind w:firstLine="420" w:firstLineChars="200"/>
        <w:rPr>
          <w:sz w:val="21"/>
          <w:szCs w:val="21"/>
        </w:rPr>
      </w:pPr>
      <w:r>
        <w:rPr>
          <w:rFonts w:hint="eastAsia"/>
          <w:sz w:val="21"/>
          <w:szCs w:val="21"/>
        </w:rPr>
        <w:t>投标文件如果出现计算或表达上的错误，修正错误的原则如下：</w:t>
      </w:r>
    </w:p>
    <w:p w14:paraId="62D84734">
      <w:pPr>
        <w:spacing w:line="360" w:lineRule="auto"/>
        <w:ind w:firstLine="420" w:firstLineChars="200"/>
        <w:rPr>
          <w:sz w:val="21"/>
          <w:szCs w:val="21"/>
        </w:rPr>
      </w:pPr>
      <w:r>
        <w:rPr>
          <w:sz w:val="21"/>
          <w:szCs w:val="21"/>
        </w:rPr>
        <w:t>1</w:t>
      </w:r>
      <w:r>
        <w:rPr>
          <w:rFonts w:hint="eastAsia"/>
          <w:sz w:val="21"/>
          <w:szCs w:val="21"/>
        </w:rPr>
        <w:t>.投标文件中开标一览表(报价一览表)内容与投标文件中相应内容不一致的，以开标一览表(报价一览表)为准；</w:t>
      </w:r>
    </w:p>
    <w:p w14:paraId="25EDDE22">
      <w:pPr>
        <w:spacing w:line="360" w:lineRule="auto"/>
        <w:ind w:firstLine="420" w:firstLineChars="200"/>
        <w:rPr>
          <w:sz w:val="21"/>
          <w:szCs w:val="21"/>
        </w:rPr>
      </w:pPr>
      <w:r>
        <w:rPr>
          <w:sz w:val="21"/>
          <w:szCs w:val="21"/>
        </w:rPr>
        <w:t>2</w:t>
      </w:r>
      <w:r>
        <w:rPr>
          <w:rFonts w:hint="eastAsia"/>
          <w:sz w:val="21"/>
          <w:szCs w:val="21"/>
        </w:rPr>
        <w:t>.</w:t>
      </w:r>
      <w:r>
        <w:rPr>
          <w:sz w:val="21"/>
          <w:szCs w:val="21"/>
        </w:rPr>
        <w:t>投标文件的大写金额和小写金额不一致的，以大写金额为准；</w:t>
      </w:r>
    </w:p>
    <w:p w14:paraId="3C9A7B36">
      <w:pPr>
        <w:spacing w:line="360" w:lineRule="auto"/>
        <w:ind w:firstLine="420" w:firstLineChars="200"/>
        <w:rPr>
          <w:sz w:val="21"/>
          <w:szCs w:val="21"/>
        </w:rPr>
      </w:pPr>
      <w:r>
        <w:rPr>
          <w:sz w:val="21"/>
          <w:szCs w:val="21"/>
        </w:rPr>
        <w:t>3</w:t>
      </w:r>
      <w:r>
        <w:rPr>
          <w:rFonts w:hint="eastAsia"/>
          <w:sz w:val="21"/>
          <w:szCs w:val="21"/>
        </w:rPr>
        <w:t>.单价金额小数点或者百分比有明显错位的，以开标一览表(报价一览表)的总价为准，并修改单价；</w:t>
      </w:r>
    </w:p>
    <w:p w14:paraId="472C5A8F">
      <w:pPr>
        <w:spacing w:line="360" w:lineRule="auto"/>
        <w:ind w:firstLine="420" w:firstLineChars="200"/>
        <w:rPr>
          <w:sz w:val="21"/>
          <w:szCs w:val="21"/>
        </w:rPr>
      </w:pPr>
      <w:r>
        <w:rPr>
          <w:sz w:val="21"/>
          <w:szCs w:val="21"/>
        </w:rPr>
        <w:t>4</w:t>
      </w:r>
      <w:r>
        <w:rPr>
          <w:rFonts w:hint="eastAsia"/>
          <w:sz w:val="21"/>
          <w:szCs w:val="21"/>
        </w:rPr>
        <w:t>.总价金额与按单价汇总金额不一致的，以单价金额计算结果为准；</w:t>
      </w:r>
    </w:p>
    <w:p w14:paraId="78DA7D05">
      <w:pPr>
        <w:spacing w:line="360" w:lineRule="auto"/>
        <w:ind w:firstLine="420" w:firstLineChars="200"/>
        <w:rPr>
          <w:sz w:val="21"/>
          <w:szCs w:val="21"/>
        </w:rPr>
      </w:pPr>
      <w:r>
        <w:rPr>
          <w:sz w:val="21"/>
          <w:szCs w:val="21"/>
        </w:rPr>
        <w:t>5</w:t>
      </w:r>
      <w:r>
        <w:rPr>
          <w:rFonts w:hint="eastAsia"/>
          <w:sz w:val="21"/>
          <w:szCs w:val="21"/>
        </w:rPr>
        <w:t>.对不同文字文本投标文件的解释发生异议的，以中文文本为准。</w:t>
      </w:r>
    </w:p>
    <w:p w14:paraId="624DA34F">
      <w:pPr>
        <w:spacing w:line="380" w:lineRule="exact"/>
        <w:ind w:firstLine="420" w:firstLineChars="200"/>
        <w:rPr>
          <w:sz w:val="21"/>
          <w:szCs w:val="21"/>
        </w:rPr>
      </w:pPr>
      <w:r>
        <w:rPr>
          <w:rFonts w:hint="eastAsia"/>
          <w:sz w:val="21"/>
          <w:szCs w:val="21"/>
        </w:rPr>
        <w:t>同时出现两种以上不一致的，按照前款规定的顺序修正。修正后的报价按照本招标文件第三章第五点（四）条澄清问题的规定经投标人确认后产生约束力，投标人不确认的，其投标无效。</w:t>
      </w:r>
    </w:p>
    <w:p w14:paraId="7C2C1080">
      <w:pPr>
        <w:spacing w:line="380" w:lineRule="exact"/>
        <w:ind w:firstLine="422" w:firstLineChars="200"/>
        <w:rPr>
          <w:b/>
          <w:sz w:val="21"/>
          <w:szCs w:val="21"/>
        </w:rPr>
      </w:pPr>
      <w:r>
        <w:rPr>
          <w:b/>
          <w:sz w:val="21"/>
          <w:szCs w:val="21"/>
        </w:rPr>
        <w:t>（六）评标原则和评标办法</w:t>
      </w:r>
    </w:p>
    <w:p w14:paraId="000036B5">
      <w:pPr>
        <w:spacing w:line="380" w:lineRule="exact"/>
        <w:ind w:firstLine="420" w:firstLineChars="200"/>
        <w:rPr>
          <w:sz w:val="21"/>
          <w:szCs w:val="21"/>
        </w:rPr>
      </w:pPr>
      <w:r>
        <w:rPr>
          <w:sz w:val="21"/>
          <w:szCs w:val="21"/>
        </w:rPr>
        <w:t>1</w:t>
      </w:r>
      <w:r>
        <w:rPr>
          <w:rFonts w:hint="eastAsia"/>
          <w:sz w:val="21"/>
          <w:szCs w:val="21"/>
        </w:rPr>
        <w:t>.</w:t>
      </w:r>
      <w:r>
        <w:rPr>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0361467">
      <w:pPr>
        <w:spacing w:line="380" w:lineRule="exact"/>
        <w:ind w:firstLine="420" w:firstLineChars="200"/>
        <w:rPr>
          <w:sz w:val="21"/>
          <w:szCs w:val="21"/>
        </w:rPr>
      </w:pPr>
      <w:r>
        <w:rPr>
          <w:sz w:val="21"/>
          <w:szCs w:val="21"/>
        </w:rPr>
        <w:t>2</w:t>
      </w:r>
      <w:r>
        <w:rPr>
          <w:rFonts w:hint="eastAsia"/>
          <w:sz w:val="21"/>
          <w:szCs w:val="21"/>
        </w:rPr>
        <w:t>.</w:t>
      </w:r>
      <w:r>
        <w:rPr>
          <w:sz w:val="21"/>
          <w:szCs w:val="21"/>
        </w:rPr>
        <w:t>评标办法。本项目评标办法是</w:t>
      </w:r>
      <w:r>
        <w:rPr>
          <w:rFonts w:hint="eastAsia"/>
          <w:sz w:val="21"/>
          <w:szCs w:val="21"/>
        </w:rPr>
        <w:t>综合评分法</w:t>
      </w:r>
      <w:r>
        <w:rPr>
          <w:sz w:val="21"/>
          <w:szCs w:val="21"/>
        </w:rPr>
        <w:t xml:space="preserve"> ，具体评标内容及评分标准等详见第四章《评标办法及评分标准》。</w:t>
      </w:r>
    </w:p>
    <w:p w14:paraId="55F0D46D">
      <w:pPr>
        <w:spacing w:line="380" w:lineRule="exact"/>
        <w:ind w:firstLine="422" w:firstLineChars="200"/>
        <w:rPr>
          <w:b/>
          <w:sz w:val="21"/>
          <w:szCs w:val="21"/>
        </w:rPr>
      </w:pPr>
      <w:r>
        <w:rPr>
          <w:b/>
          <w:sz w:val="21"/>
          <w:szCs w:val="21"/>
        </w:rPr>
        <w:t>（七）评标过程的监控</w:t>
      </w:r>
    </w:p>
    <w:p w14:paraId="54FE3D98">
      <w:pPr>
        <w:pStyle w:val="18"/>
        <w:spacing w:line="360" w:lineRule="auto"/>
        <w:ind w:firstLine="420" w:firstLineChars="200"/>
        <w:rPr>
          <w:rFonts w:ascii="Times New Roman" w:hAnsi="Times New Roman" w:cs="Times New Roman"/>
        </w:rPr>
      </w:pPr>
      <w:r>
        <w:t>本项目评标过程实行全程录音、录像监控</w:t>
      </w:r>
      <w:r>
        <w:rPr>
          <w:rFonts w:hint="eastAsia"/>
        </w:rPr>
        <w:t>，招标人现场监督员</w:t>
      </w:r>
      <w:r>
        <w:t>进行现场监督</w:t>
      </w:r>
      <w:r>
        <w:rPr>
          <w:rFonts w:hint="eastAsia"/>
        </w:rPr>
        <w:t>。</w:t>
      </w:r>
      <w:r>
        <w:t>投标人在评标过程中所进行的</w:t>
      </w:r>
      <w:r>
        <w:rPr>
          <w:rFonts w:hint="eastAsia"/>
        </w:rPr>
        <w:t>试</w:t>
      </w:r>
      <w:r>
        <w:t>图影响评标结果的不公正活动，可能导致其投标被拒绝。</w:t>
      </w:r>
    </w:p>
    <w:p w14:paraId="27A2F7A9">
      <w:pPr>
        <w:spacing w:line="360" w:lineRule="auto"/>
        <w:ind w:firstLine="118" w:firstLineChars="42"/>
        <w:jc w:val="center"/>
        <w:rPr>
          <w:rFonts w:ascii="Times New Roman" w:hAnsi="Times New Roman" w:cs="Times New Roman"/>
          <w:b/>
          <w:sz w:val="28"/>
        </w:rPr>
      </w:pPr>
      <w:r>
        <w:rPr>
          <w:rFonts w:ascii="Times New Roman" w:hAnsi="Times New Roman" w:cs="Times New Roman"/>
          <w:b/>
          <w:sz w:val="28"/>
        </w:rPr>
        <w:t>六、定标</w:t>
      </w:r>
    </w:p>
    <w:p w14:paraId="12403C61">
      <w:pPr>
        <w:pStyle w:val="5"/>
        <w:spacing w:line="360" w:lineRule="auto"/>
        <w:ind w:left="0" w:firstLine="422" w:firstLineChars="200"/>
        <w:rPr>
          <w:rFonts w:ascii="Times New Roman" w:hAnsi="Times New Roman" w:cs="Times New Roman"/>
        </w:rPr>
      </w:pPr>
      <w:r>
        <w:rPr>
          <w:rFonts w:ascii="Times New Roman" w:hAnsi="Times New Roman" w:cs="Times New Roman"/>
        </w:rPr>
        <w:t>（一）确定中标人。</w:t>
      </w:r>
    </w:p>
    <w:p w14:paraId="2E62E79E">
      <w:pPr>
        <w:pStyle w:val="61"/>
        <w:tabs>
          <w:tab w:val="left" w:pos="946"/>
        </w:tabs>
        <w:spacing w:before="0" w:line="360" w:lineRule="auto"/>
        <w:ind w:left="414" w:firstLine="0"/>
        <w:rPr>
          <w:rFonts w:ascii="Times New Roman" w:hAnsi="Times New Roman" w:cs="Times New Roman"/>
          <w:sz w:val="21"/>
        </w:rPr>
      </w:pPr>
      <w:r>
        <w:rPr>
          <w:rFonts w:ascii="Times New Roman" w:hAnsi="Times New Roman" w:cs="Times New Roman"/>
          <w:spacing w:val="-3"/>
          <w:sz w:val="21"/>
        </w:rPr>
        <w:t>1.评标结束后，采购代理机构当场宣布评审结果。</w:t>
      </w:r>
    </w:p>
    <w:p w14:paraId="33F8A4A0">
      <w:pPr>
        <w:pStyle w:val="61"/>
        <w:tabs>
          <w:tab w:val="left" w:pos="946"/>
        </w:tabs>
        <w:spacing w:before="0" w:line="360" w:lineRule="auto"/>
        <w:ind w:left="0" w:firstLine="392" w:firstLineChars="200"/>
        <w:rPr>
          <w:rFonts w:ascii="Times New Roman" w:hAnsi="Times New Roman" w:cs="Times New Roman"/>
          <w:sz w:val="21"/>
        </w:rPr>
      </w:pPr>
      <w:r>
        <w:rPr>
          <w:rFonts w:ascii="Times New Roman" w:hAnsi="Times New Roman" w:cs="Times New Roman"/>
          <w:spacing w:val="-7"/>
          <w:sz w:val="21"/>
        </w:rPr>
        <w:t>2.评审结果经采购人确认后，采购代理机构向中标人签发《中标通知书》，同时在指定媒体上公告采</w:t>
      </w:r>
      <w:r>
        <w:rPr>
          <w:rFonts w:ascii="Times New Roman" w:hAnsi="Times New Roman" w:cs="Times New Roman"/>
          <w:spacing w:val="-5"/>
          <w:sz w:val="21"/>
        </w:rPr>
        <w:t>购结果，该采购结果公告作为向投标人发出的书面通知。</w:t>
      </w:r>
    </w:p>
    <w:p w14:paraId="690F21F1">
      <w:pPr>
        <w:pStyle w:val="18"/>
        <w:spacing w:line="360" w:lineRule="auto"/>
        <w:ind w:firstLine="400" w:firstLineChars="200"/>
        <w:jc w:val="both"/>
        <w:rPr>
          <w:rFonts w:ascii="Times New Roman" w:hAnsi="Times New Roman" w:cs="Times New Roman"/>
        </w:rPr>
      </w:pPr>
      <w:r>
        <w:rPr>
          <w:rFonts w:ascii="Times New Roman" w:hAnsi="Times New Roman" w:cs="Times New Roman"/>
          <w:spacing w:val="-5"/>
        </w:rPr>
        <w:t>如有投标人对评审结果提出质疑的，采购人可在质疑处理完毕后确定中标人；如在质疑期内查实中标</w:t>
      </w:r>
      <w:r>
        <w:rPr>
          <w:rFonts w:ascii="Times New Roman" w:hAnsi="Times New Roman" w:cs="Times New Roman"/>
          <w:spacing w:val="-6"/>
        </w:rPr>
        <w:t>人有违反有关法律法规和本项目招标文件规定和要求的，则取消该投标人的中标资格，中标人改为排名其</w:t>
      </w:r>
      <w:r>
        <w:rPr>
          <w:rFonts w:ascii="Times New Roman" w:hAnsi="Times New Roman" w:cs="Times New Roman"/>
          <w:spacing w:val="-4"/>
        </w:rPr>
        <w:t>后的中标候选人，或重新组织采购。</w:t>
      </w:r>
    </w:p>
    <w:p w14:paraId="5F73BB6D">
      <w:pPr>
        <w:spacing w:line="360" w:lineRule="auto"/>
        <w:ind w:firstLine="562" w:firstLineChars="200"/>
        <w:jc w:val="center"/>
        <w:rPr>
          <w:rFonts w:ascii="Times New Roman" w:hAnsi="Times New Roman" w:cs="Times New Roman"/>
          <w:b/>
          <w:sz w:val="28"/>
        </w:rPr>
      </w:pPr>
      <w:r>
        <w:rPr>
          <w:rFonts w:ascii="Times New Roman" w:hAnsi="Times New Roman" w:cs="Times New Roman"/>
          <w:b/>
          <w:sz w:val="28"/>
        </w:rPr>
        <w:t>七、合同（协议）授予</w:t>
      </w:r>
    </w:p>
    <w:p w14:paraId="2E0A608F">
      <w:pPr>
        <w:pStyle w:val="5"/>
        <w:spacing w:line="360" w:lineRule="auto"/>
        <w:ind w:left="0" w:firstLine="422" w:firstLineChars="200"/>
        <w:rPr>
          <w:rFonts w:ascii="Times New Roman" w:hAnsi="Times New Roman" w:cs="Times New Roman"/>
        </w:rPr>
      </w:pPr>
      <w:r>
        <w:rPr>
          <w:rFonts w:ascii="Times New Roman" w:hAnsi="Times New Roman" w:cs="Times New Roman"/>
        </w:rPr>
        <w:t>（一）签订合同（协议）</w:t>
      </w:r>
    </w:p>
    <w:p w14:paraId="6313B56D">
      <w:pPr>
        <w:pStyle w:val="61"/>
        <w:tabs>
          <w:tab w:val="left" w:pos="946"/>
        </w:tabs>
        <w:spacing w:before="0" w:line="360" w:lineRule="auto"/>
        <w:ind w:left="0" w:firstLine="408" w:firstLineChars="200"/>
        <w:rPr>
          <w:rFonts w:ascii="Times New Roman" w:hAnsi="Times New Roman" w:cs="Times New Roman"/>
          <w:sz w:val="21"/>
        </w:rPr>
      </w:pPr>
      <w:r>
        <w:rPr>
          <w:rFonts w:ascii="Times New Roman" w:hAnsi="Times New Roman" w:cs="Times New Roman"/>
          <w:spacing w:val="-3"/>
          <w:sz w:val="21"/>
        </w:rPr>
        <w:t xml:space="preserve">1.采购人与中标人应当在《中标通知书》发出之日起 </w:t>
      </w:r>
      <w:r>
        <w:rPr>
          <w:rFonts w:ascii="Times New Roman" w:hAnsi="Times New Roman" w:cs="Times New Roman"/>
          <w:sz w:val="21"/>
        </w:rPr>
        <w:t>30</w:t>
      </w:r>
      <w:r>
        <w:rPr>
          <w:rFonts w:ascii="Times New Roman" w:hAnsi="Times New Roman" w:cs="Times New Roman"/>
          <w:spacing w:val="-3"/>
          <w:sz w:val="21"/>
        </w:rPr>
        <w:t xml:space="preserve"> 日内签订采购合同。同时，采购代理机构对合同内容进行审查，如发现与采购结果和投标承诺内容不一致的，将予以纠正。</w:t>
      </w:r>
    </w:p>
    <w:p w14:paraId="1F1395A4">
      <w:pPr>
        <w:pStyle w:val="61"/>
        <w:tabs>
          <w:tab w:val="left" w:pos="946"/>
        </w:tabs>
        <w:spacing w:before="0" w:line="360" w:lineRule="auto"/>
        <w:ind w:left="0" w:firstLine="408" w:firstLineChars="200"/>
        <w:rPr>
          <w:rFonts w:ascii="Times New Roman" w:hAnsi="Times New Roman" w:cs="Times New Roman"/>
          <w:sz w:val="21"/>
        </w:rPr>
      </w:pPr>
      <w:r>
        <w:rPr>
          <w:rFonts w:ascii="Times New Roman" w:hAnsi="Times New Roman" w:cs="Times New Roman"/>
          <w:spacing w:val="-3"/>
          <w:sz w:val="21"/>
        </w:rPr>
        <w:t>2.《中标通知书》、招标文件、投标文件等采购文件将作为签订合同（</w:t>
      </w:r>
      <w:r>
        <w:rPr>
          <w:rFonts w:ascii="Times New Roman" w:hAnsi="Times New Roman" w:cs="Times New Roman"/>
          <w:spacing w:val="-2"/>
          <w:sz w:val="21"/>
        </w:rPr>
        <w:t>协议</w:t>
      </w:r>
      <w:r>
        <w:rPr>
          <w:rFonts w:ascii="Times New Roman" w:hAnsi="Times New Roman" w:cs="Times New Roman"/>
          <w:sz w:val="21"/>
        </w:rPr>
        <w:t>）</w:t>
      </w:r>
      <w:r>
        <w:rPr>
          <w:rFonts w:ascii="Times New Roman" w:hAnsi="Times New Roman" w:cs="Times New Roman"/>
          <w:spacing w:val="-2"/>
          <w:sz w:val="21"/>
        </w:rPr>
        <w:t>的依据。</w:t>
      </w:r>
    </w:p>
    <w:p w14:paraId="771E3F08">
      <w:pPr>
        <w:pStyle w:val="61"/>
        <w:tabs>
          <w:tab w:val="left" w:pos="946"/>
        </w:tabs>
        <w:spacing w:before="0" w:line="360" w:lineRule="auto"/>
        <w:ind w:left="0" w:firstLine="396" w:firstLineChars="200"/>
        <w:rPr>
          <w:rFonts w:ascii="Times New Roman" w:hAnsi="Times New Roman" w:cs="Times New Roman"/>
          <w:sz w:val="21"/>
        </w:rPr>
      </w:pPr>
      <w:r>
        <w:rPr>
          <w:rFonts w:ascii="Times New Roman" w:hAnsi="Times New Roman" w:cs="Times New Roman"/>
          <w:spacing w:val="-6"/>
          <w:sz w:val="21"/>
        </w:rPr>
        <w:t>3.中标人拒交履约保证金、拒签合同或放弃中标的，将被取消中标资格并追究其法律责任，中标人改</w:t>
      </w:r>
      <w:r>
        <w:rPr>
          <w:rFonts w:ascii="Times New Roman" w:hAnsi="Times New Roman" w:cs="Times New Roman"/>
          <w:spacing w:val="-4"/>
          <w:sz w:val="21"/>
        </w:rPr>
        <w:t>为综合得分第二名的投标人，或重新组织采购。</w:t>
      </w:r>
    </w:p>
    <w:p w14:paraId="600B2E69">
      <w:pPr>
        <w:pStyle w:val="5"/>
        <w:spacing w:line="360" w:lineRule="auto"/>
        <w:ind w:left="0" w:firstLine="422" w:firstLineChars="200"/>
        <w:rPr>
          <w:rFonts w:ascii="Times New Roman" w:hAnsi="Times New Roman" w:cs="Times New Roman"/>
        </w:rPr>
      </w:pPr>
      <w:r>
        <w:rPr>
          <w:rFonts w:ascii="Times New Roman" w:hAnsi="Times New Roman" w:cs="Times New Roman"/>
        </w:rPr>
        <w:t>（二）履约保证金</w:t>
      </w:r>
    </w:p>
    <w:p w14:paraId="156DB9C5">
      <w:pPr>
        <w:pStyle w:val="18"/>
        <w:spacing w:line="360" w:lineRule="auto"/>
        <w:ind w:firstLine="420" w:firstLineChars="200"/>
        <w:rPr>
          <w:rFonts w:ascii="Times New Roman" w:hAnsi="Times New Roman" w:cs="Times New Roman"/>
          <w:highlight w:val="yellow"/>
        </w:rPr>
      </w:pPr>
      <w:r>
        <w:rPr>
          <w:rFonts w:ascii="Times New Roman" w:hAnsi="Times New Roman" w:cs="Times New Roman"/>
        </w:rPr>
        <w:t xml:space="preserve">1.中标人按《中标通知书》要求向采购人交纳中标金额 2％的履约保证金（履约保证金可以是金融保险机构出具的保证保函形式缴纳）, </w:t>
      </w:r>
      <w:r>
        <w:rPr>
          <w:rFonts w:ascii="Times New Roman" w:hAnsi="Times New Roman" w:cs="Times New Roman"/>
          <w:highlight w:val="yellow"/>
        </w:rPr>
        <w:t>履约保证金在本项目通过验收满</w:t>
      </w:r>
      <w:r>
        <w:rPr>
          <w:rFonts w:hint="eastAsia" w:ascii="Times New Roman" w:hAnsi="Times New Roman" w:cs="Times New Roman"/>
          <w:highlight w:val="yellow"/>
          <w:lang w:val="en-US" w:eastAsia="zh-CN"/>
        </w:rPr>
        <w:t>2</w:t>
      </w:r>
      <w:r>
        <w:rPr>
          <w:rFonts w:ascii="Times New Roman" w:hAnsi="Times New Roman" w:cs="Times New Roman"/>
          <w:highlight w:val="yellow"/>
        </w:rPr>
        <w:t>年后，无质量和售后服务问题的，由采购人凭中标人的合法收据不计息退还。</w:t>
      </w:r>
    </w:p>
    <w:p w14:paraId="764AA2E2">
      <w:pPr>
        <w:pStyle w:val="18"/>
        <w:spacing w:line="360" w:lineRule="auto"/>
        <w:ind w:firstLine="420" w:firstLineChars="200"/>
        <w:rPr>
          <w:rFonts w:ascii="Times New Roman" w:hAnsi="Times New Roman" w:cs="Times New Roman"/>
          <w:spacing w:val="-3"/>
        </w:rPr>
      </w:pPr>
      <w:r>
        <w:rPr>
          <w:rFonts w:ascii="Times New Roman" w:hAnsi="Times New Roman" w:cs="Times New Roman"/>
        </w:rPr>
        <w:t>3.中标人必须严格按照《合同（协议）》规定履行义务，为采购人提供优质服务。发现下列情况之一的，将依法没收</w:t>
      </w:r>
      <w:r>
        <w:rPr>
          <w:rFonts w:hint="eastAsia" w:ascii="Times New Roman" w:hAnsi="Times New Roman" w:cs="Times New Roman"/>
          <w:spacing w:val="-3"/>
        </w:rPr>
        <w:t>履约</w:t>
      </w:r>
      <w:r>
        <w:rPr>
          <w:rFonts w:ascii="Times New Roman" w:hAnsi="Times New Roman" w:cs="Times New Roman"/>
          <w:spacing w:val="-3"/>
        </w:rPr>
        <w:t>保证金，情节严重的，采购人有权提前终止合同，并追究违约中标人的经济责任：</w:t>
      </w:r>
    </w:p>
    <w:p w14:paraId="78CC3140">
      <w:pPr>
        <w:spacing w:line="380" w:lineRule="exact"/>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3.1 违反《合同（协议）》和招标文件规定，违章操作，损害采购人利益的；</w:t>
      </w:r>
    </w:p>
    <w:p w14:paraId="7623EE39">
      <w:pPr>
        <w:spacing w:line="380" w:lineRule="exact"/>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3.2采购人二次以上投诉，经查实责任在于中标人的；</w:t>
      </w:r>
    </w:p>
    <w:p w14:paraId="116F5181">
      <w:pPr>
        <w:spacing w:line="400" w:lineRule="exact"/>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3.3中标人提供产品的质量、规格不符合国家规定和招标文件要求及投标文件承诺标准的。</w:t>
      </w:r>
    </w:p>
    <w:p w14:paraId="2C8BC5AA">
      <w:pPr>
        <w:spacing w:line="360" w:lineRule="auto"/>
        <w:jc w:val="center"/>
        <w:rPr>
          <w:rFonts w:ascii="Times New Roman" w:hAnsi="Times New Roman" w:cs="Times New Roman"/>
          <w:b/>
          <w:sz w:val="28"/>
        </w:rPr>
      </w:pPr>
      <w:r>
        <w:rPr>
          <w:rFonts w:ascii="Times New Roman" w:hAnsi="Times New Roman" w:cs="Times New Roman"/>
          <w:b/>
          <w:sz w:val="28"/>
        </w:rPr>
        <w:t>八、招标代理费</w:t>
      </w:r>
    </w:p>
    <w:p w14:paraId="542BB987">
      <w:pPr>
        <w:pStyle w:val="18"/>
        <w:spacing w:line="360" w:lineRule="auto"/>
        <w:ind w:firstLine="420" w:firstLineChars="200"/>
        <w:rPr>
          <w:rFonts w:ascii="Times New Roman" w:hAnsi="Times New Roman" w:cs="Times New Roman"/>
        </w:rPr>
      </w:pPr>
      <w:r>
        <w:rPr>
          <w:rFonts w:ascii="Times New Roman" w:hAnsi="Times New Roman" w:cs="Times New Roman"/>
        </w:rPr>
        <w:t>（一）招标代理费：中标人在签订合同前，应向招标代理机构一次性支付代理服务费。</w:t>
      </w:r>
    </w:p>
    <w:p w14:paraId="0D6AFB3A">
      <w:pPr>
        <w:pStyle w:val="18"/>
        <w:spacing w:line="360" w:lineRule="auto"/>
        <w:ind w:firstLine="420" w:firstLineChars="200"/>
        <w:rPr>
          <w:rFonts w:ascii="Times New Roman" w:hAnsi="Times New Roman" w:cs="Times New Roman"/>
        </w:rPr>
      </w:pPr>
      <w:r>
        <w:rPr>
          <w:rFonts w:ascii="Times New Roman" w:hAnsi="Times New Roman" w:cs="Times New Roman"/>
        </w:rPr>
        <w:t>（二）代理服务收费标准：按差额定率累进法</w:t>
      </w:r>
      <w:r>
        <w:rPr>
          <w:rFonts w:ascii="Times New Roman" w:hAnsi="Times New Roman" w:cs="Times New Roman"/>
          <w:color w:val="000000"/>
        </w:rPr>
        <w:t>计算</w:t>
      </w:r>
      <w:r>
        <w:rPr>
          <w:rFonts w:ascii="Times New Roman" w:hAnsi="Times New Roman" w:cs="Times New Roman"/>
        </w:rPr>
        <w:t>，见下表</w:t>
      </w:r>
    </w:p>
    <w:tbl>
      <w:tblPr>
        <w:tblStyle w:val="50"/>
        <w:tblW w:w="8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6"/>
        <w:gridCol w:w="1345"/>
        <w:gridCol w:w="1272"/>
        <w:gridCol w:w="1412"/>
        <w:gridCol w:w="1421"/>
        <w:gridCol w:w="1434"/>
      </w:tblGrid>
      <w:tr w14:paraId="66229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076" w:type="dxa"/>
            <w:vAlign w:val="center"/>
          </w:tcPr>
          <w:p w14:paraId="0460E67C">
            <w:pPr>
              <w:pStyle w:val="62"/>
              <w:spacing w:line="360" w:lineRule="auto"/>
              <w:jc w:val="center"/>
              <w:rPr>
                <w:rFonts w:ascii="Times New Roman" w:hAnsi="Times New Roman" w:cs="Times New Roman"/>
                <w:sz w:val="21"/>
              </w:rPr>
            </w:pPr>
            <w:r>
              <w:rPr>
                <w:rFonts w:ascii="Times New Roman" w:hAnsi="Times New Roman" w:cs="Times New Roman"/>
                <w:sz w:val="21"/>
              </w:rPr>
              <w:t>中标金额（万元）</w:t>
            </w:r>
          </w:p>
        </w:tc>
        <w:tc>
          <w:tcPr>
            <w:tcW w:w="1345" w:type="dxa"/>
            <w:vAlign w:val="center"/>
          </w:tcPr>
          <w:p w14:paraId="523E81CF">
            <w:pPr>
              <w:pStyle w:val="62"/>
              <w:spacing w:line="360" w:lineRule="auto"/>
              <w:jc w:val="center"/>
              <w:rPr>
                <w:rFonts w:ascii="Times New Roman" w:hAnsi="Times New Roman" w:cs="Times New Roman"/>
                <w:sz w:val="21"/>
              </w:rPr>
            </w:pPr>
            <w:r>
              <w:rPr>
                <w:rFonts w:ascii="Times New Roman" w:hAnsi="Times New Roman" w:cs="Times New Roman"/>
                <w:sz w:val="21"/>
              </w:rPr>
              <w:t>100 以下</w:t>
            </w:r>
          </w:p>
        </w:tc>
        <w:tc>
          <w:tcPr>
            <w:tcW w:w="1272" w:type="dxa"/>
            <w:vAlign w:val="center"/>
          </w:tcPr>
          <w:p w14:paraId="0A47C0D7">
            <w:pPr>
              <w:pStyle w:val="62"/>
              <w:spacing w:line="360" w:lineRule="auto"/>
              <w:jc w:val="center"/>
              <w:rPr>
                <w:rFonts w:ascii="Times New Roman" w:hAnsi="Times New Roman" w:cs="Times New Roman"/>
                <w:sz w:val="21"/>
              </w:rPr>
            </w:pPr>
            <w:r>
              <w:rPr>
                <w:rFonts w:ascii="Times New Roman" w:hAnsi="Times New Roman" w:cs="Times New Roman"/>
                <w:sz w:val="21"/>
              </w:rPr>
              <w:t>100-500</w:t>
            </w:r>
          </w:p>
        </w:tc>
        <w:tc>
          <w:tcPr>
            <w:tcW w:w="1412" w:type="dxa"/>
            <w:vAlign w:val="center"/>
          </w:tcPr>
          <w:p w14:paraId="25C5ABDE">
            <w:pPr>
              <w:pStyle w:val="62"/>
              <w:spacing w:line="360" w:lineRule="auto"/>
              <w:jc w:val="center"/>
              <w:rPr>
                <w:rFonts w:ascii="Times New Roman" w:hAnsi="Times New Roman" w:cs="Times New Roman"/>
                <w:sz w:val="21"/>
              </w:rPr>
            </w:pPr>
            <w:r>
              <w:rPr>
                <w:rFonts w:ascii="Times New Roman" w:hAnsi="Times New Roman" w:cs="Times New Roman"/>
                <w:sz w:val="21"/>
              </w:rPr>
              <w:t>500-1000</w:t>
            </w:r>
          </w:p>
        </w:tc>
        <w:tc>
          <w:tcPr>
            <w:tcW w:w="1421" w:type="dxa"/>
            <w:vAlign w:val="center"/>
          </w:tcPr>
          <w:p w14:paraId="1A0D5915">
            <w:pPr>
              <w:pStyle w:val="62"/>
              <w:spacing w:line="360" w:lineRule="auto"/>
              <w:jc w:val="center"/>
              <w:rPr>
                <w:rFonts w:ascii="Times New Roman" w:hAnsi="Times New Roman" w:cs="Times New Roman"/>
                <w:sz w:val="21"/>
              </w:rPr>
            </w:pPr>
            <w:r>
              <w:rPr>
                <w:rFonts w:ascii="Times New Roman" w:hAnsi="Times New Roman" w:cs="Times New Roman"/>
                <w:sz w:val="21"/>
              </w:rPr>
              <w:t>1000-5000</w:t>
            </w:r>
          </w:p>
        </w:tc>
        <w:tc>
          <w:tcPr>
            <w:tcW w:w="1434" w:type="dxa"/>
            <w:vAlign w:val="center"/>
          </w:tcPr>
          <w:p w14:paraId="0A1F2B24">
            <w:pPr>
              <w:pStyle w:val="62"/>
              <w:spacing w:line="360" w:lineRule="auto"/>
              <w:jc w:val="center"/>
              <w:rPr>
                <w:rFonts w:ascii="Times New Roman" w:hAnsi="Times New Roman" w:cs="Times New Roman"/>
                <w:sz w:val="21"/>
              </w:rPr>
            </w:pPr>
            <w:r>
              <w:rPr>
                <w:rFonts w:ascii="Times New Roman" w:hAnsi="Times New Roman" w:cs="Times New Roman"/>
                <w:sz w:val="21"/>
              </w:rPr>
              <w:t>5000-10000</w:t>
            </w:r>
          </w:p>
        </w:tc>
      </w:tr>
      <w:tr w14:paraId="1F3CC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076" w:type="dxa"/>
            <w:vAlign w:val="center"/>
          </w:tcPr>
          <w:p w14:paraId="31BCC276">
            <w:pPr>
              <w:pStyle w:val="62"/>
              <w:spacing w:line="360" w:lineRule="auto"/>
              <w:jc w:val="center"/>
              <w:rPr>
                <w:rFonts w:ascii="Times New Roman" w:hAnsi="Times New Roman" w:cs="Times New Roman"/>
                <w:sz w:val="21"/>
              </w:rPr>
            </w:pPr>
            <w:r>
              <w:rPr>
                <w:rFonts w:ascii="Times New Roman" w:hAnsi="Times New Roman" w:cs="Times New Roman"/>
                <w:sz w:val="21"/>
              </w:rPr>
              <w:t>费率（货物类）</w:t>
            </w:r>
          </w:p>
        </w:tc>
        <w:tc>
          <w:tcPr>
            <w:tcW w:w="1345" w:type="dxa"/>
            <w:vAlign w:val="center"/>
          </w:tcPr>
          <w:p w14:paraId="2392D259">
            <w:pPr>
              <w:pStyle w:val="62"/>
              <w:spacing w:line="360" w:lineRule="auto"/>
              <w:jc w:val="center"/>
              <w:rPr>
                <w:rFonts w:ascii="Times New Roman" w:hAnsi="Times New Roman" w:cs="Times New Roman"/>
                <w:sz w:val="21"/>
              </w:rPr>
            </w:pPr>
            <w:r>
              <w:rPr>
                <w:rFonts w:ascii="Times New Roman" w:hAnsi="Times New Roman" w:cs="Times New Roman"/>
                <w:sz w:val="21"/>
              </w:rPr>
              <w:t>1.5%</w:t>
            </w:r>
          </w:p>
        </w:tc>
        <w:tc>
          <w:tcPr>
            <w:tcW w:w="1272" w:type="dxa"/>
            <w:vAlign w:val="center"/>
          </w:tcPr>
          <w:p w14:paraId="0829D2B1">
            <w:pPr>
              <w:pStyle w:val="62"/>
              <w:spacing w:line="360" w:lineRule="auto"/>
              <w:jc w:val="center"/>
              <w:rPr>
                <w:rFonts w:ascii="Times New Roman" w:hAnsi="Times New Roman" w:cs="Times New Roman"/>
                <w:sz w:val="21"/>
              </w:rPr>
            </w:pPr>
            <w:r>
              <w:rPr>
                <w:rFonts w:ascii="Times New Roman" w:hAnsi="Times New Roman" w:cs="Times New Roman"/>
                <w:sz w:val="21"/>
              </w:rPr>
              <w:t>1.1%</w:t>
            </w:r>
          </w:p>
        </w:tc>
        <w:tc>
          <w:tcPr>
            <w:tcW w:w="1412" w:type="dxa"/>
            <w:vAlign w:val="center"/>
          </w:tcPr>
          <w:p w14:paraId="50B7523A">
            <w:pPr>
              <w:pStyle w:val="62"/>
              <w:spacing w:line="360" w:lineRule="auto"/>
              <w:jc w:val="center"/>
              <w:rPr>
                <w:rFonts w:ascii="Times New Roman" w:hAnsi="Times New Roman" w:cs="Times New Roman"/>
                <w:sz w:val="21"/>
              </w:rPr>
            </w:pPr>
            <w:r>
              <w:rPr>
                <w:rFonts w:ascii="Times New Roman" w:hAnsi="Times New Roman" w:cs="Times New Roman"/>
                <w:sz w:val="21"/>
              </w:rPr>
              <w:t>0.8%</w:t>
            </w:r>
          </w:p>
        </w:tc>
        <w:tc>
          <w:tcPr>
            <w:tcW w:w="1421" w:type="dxa"/>
            <w:vAlign w:val="center"/>
          </w:tcPr>
          <w:p w14:paraId="1529894B">
            <w:pPr>
              <w:pStyle w:val="62"/>
              <w:spacing w:line="360" w:lineRule="auto"/>
              <w:jc w:val="center"/>
              <w:rPr>
                <w:rFonts w:ascii="Times New Roman" w:hAnsi="Times New Roman" w:cs="Times New Roman"/>
                <w:sz w:val="21"/>
              </w:rPr>
            </w:pPr>
            <w:r>
              <w:rPr>
                <w:rFonts w:ascii="Times New Roman" w:hAnsi="Times New Roman" w:cs="Times New Roman"/>
                <w:sz w:val="21"/>
              </w:rPr>
              <w:t>0.5%</w:t>
            </w:r>
          </w:p>
        </w:tc>
        <w:tc>
          <w:tcPr>
            <w:tcW w:w="1434" w:type="dxa"/>
            <w:vAlign w:val="center"/>
          </w:tcPr>
          <w:p w14:paraId="3A2E44A5">
            <w:pPr>
              <w:pStyle w:val="62"/>
              <w:spacing w:line="360" w:lineRule="auto"/>
              <w:jc w:val="center"/>
              <w:rPr>
                <w:rFonts w:ascii="Times New Roman" w:hAnsi="Times New Roman" w:cs="Times New Roman"/>
                <w:sz w:val="21"/>
              </w:rPr>
            </w:pPr>
            <w:r>
              <w:rPr>
                <w:rFonts w:ascii="Times New Roman" w:hAnsi="Times New Roman" w:cs="Times New Roman"/>
                <w:sz w:val="21"/>
              </w:rPr>
              <w:t>0.25%</w:t>
            </w:r>
          </w:p>
        </w:tc>
      </w:tr>
    </w:tbl>
    <w:p w14:paraId="6A55DC95">
      <w:pPr>
        <w:pStyle w:val="18"/>
        <w:spacing w:line="360" w:lineRule="auto"/>
        <w:ind w:firstLine="420" w:firstLineChars="200"/>
        <w:rPr>
          <w:rFonts w:ascii="Times New Roman" w:hAnsi="Times New Roman" w:cs="Times New Roman"/>
        </w:rPr>
      </w:pPr>
      <w:r>
        <w:rPr>
          <w:rFonts w:ascii="Times New Roman" w:hAnsi="Times New Roman" w:cs="Times New Roman"/>
        </w:rPr>
        <w:t xml:space="preserve">（三）若项目中标金额较小，按收费标准计算的代理费小于 </w:t>
      </w:r>
      <w:r>
        <w:rPr>
          <w:rFonts w:ascii="Times New Roman" w:hAnsi="Times New Roman" w:eastAsia="Times New Roman" w:cs="Times New Roman"/>
        </w:rPr>
        <w:t xml:space="preserve">6000 </w:t>
      </w:r>
      <w:r>
        <w:rPr>
          <w:rFonts w:ascii="Times New Roman" w:hAnsi="Times New Roman" w:cs="Times New Roman"/>
        </w:rPr>
        <w:t xml:space="preserve">元的，按代理服务费 </w:t>
      </w:r>
      <w:r>
        <w:rPr>
          <w:rFonts w:ascii="Times New Roman" w:hAnsi="Times New Roman" w:eastAsia="Times New Roman" w:cs="Times New Roman"/>
        </w:rPr>
        <w:t xml:space="preserve">6000 </w:t>
      </w:r>
      <w:r>
        <w:rPr>
          <w:rFonts w:ascii="Times New Roman" w:hAnsi="Times New Roman" w:cs="Times New Roman"/>
        </w:rPr>
        <w:t>元收取。</w:t>
      </w:r>
    </w:p>
    <w:p w14:paraId="3264523D">
      <w:pPr>
        <w:pStyle w:val="18"/>
        <w:spacing w:line="360" w:lineRule="auto"/>
        <w:ind w:firstLine="420" w:firstLineChars="200"/>
        <w:rPr>
          <w:rFonts w:ascii="Times New Roman" w:hAnsi="Times New Roman" w:cs="Times New Roman"/>
        </w:rPr>
      </w:pPr>
      <w:r>
        <w:rPr>
          <w:rFonts w:ascii="Times New Roman" w:hAnsi="Times New Roman" w:cs="Times New Roman"/>
        </w:rPr>
        <w:t>（四）代理费不在投标报价中单列。</w:t>
      </w:r>
    </w:p>
    <w:p w14:paraId="509E7C1F">
      <w:pPr>
        <w:pStyle w:val="18"/>
        <w:spacing w:line="360" w:lineRule="auto"/>
        <w:ind w:firstLine="420" w:firstLineChars="200"/>
        <w:rPr>
          <w:rFonts w:ascii="Times New Roman" w:hAnsi="Times New Roman" w:cs="Times New Roman"/>
        </w:rPr>
      </w:pPr>
    </w:p>
    <w:p w14:paraId="6A420851">
      <w:pPr>
        <w:pStyle w:val="18"/>
        <w:spacing w:line="360" w:lineRule="auto"/>
        <w:ind w:firstLine="420" w:firstLineChars="200"/>
        <w:rPr>
          <w:rFonts w:ascii="Times New Roman" w:hAnsi="Times New Roman" w:cs="Times New Roman"/>
        </w:rPr>
      </w:pPr>
    </w:p>
    <w:p w14:paraId="22B09C76">
      <w:pPr>
        <w:pStyle w:val="18"/>
        <w:spacing w:line="360" w:lineRule="auto"/>
        <w:ind w:firstLine="420" w:firstLineChars="200"/>
        <w:rPr>
          <w:rFonts w:ascii="Times New Roman" w:hAnsi="Times New Roman" w:cs="Times New Roman"/>
        </w:rPr>
      </w:pPr>
    </w:p>
    <w:p w14:paraId="48F7A4E0">
      <w:pPr>
        <w:pStyle w:val="18"/>
        <w:spacing w:line="360" w:lineRule="auto"/>
        <w:ind w:firstLine="420" w:firstLineChars="200"/>
        <w:rPr>
          <w:rFonts w:ascii="Times New Roman" w:hAnsi="Times New Roman" w:cs="Times New Roman"/>
        </w:rPr>
      </w:pPr>
    </w:p>
    <w:p w14:paraId="10B41F4D">
      <w:pPr>
        <w:pStyle w:val="18"/>
        <w:spacing w:line="360" w:lineRule="auto"/>
        <w:ind w:firstLine="420" w:firstLineChars="200"/>
        <w:rPr>
          <w:rFonts w:ascii="Times New Roman" w:hAnsi="Times New Roman" w:cs="Times New Roman"/>
        </w:rPr>
      </w:pPr>
    </w:p>
    <w:p w14:paraId="41281026">
      <w:pPr>
        <w:pStyle w:val="18"/>
        <w:spacing w:line="360" w:lineRule="auto"/>
        <w:ind w:firstLine="420" w:firstLineChars="200"/>
        <w:rPr>
          <w:rFonts w:ascii="Times New Roman" w:hAnsi="Times New Roman" w:cs="Times New Roman"/>
        </w:rPr>
      </w:pPr>
    </w:p>
    <w:p w14:paraId="5B789738">
      <w:pPr>
        <w:pStyle w:val="18"/>
        <w:spacing w:line="360" w:lineRule="auto"/>
        <w:ind w:firstLine="420" w:firstLineChars="200"/>
        <w:rPr>
          <w:rFonts w:ascii="Times New Roman" w:hAnsi="Times New Roman" w:cs="Times New Roman"/>
        </w:rPr>
      </w:pPr>
    </w:p>
    <w:p w14:paraId="7E6629D2">
      <w:pPr>
        <w:pStyle w:val="18"/>
        <w:spacing w:line="360" w:lineRule="auto"/>
        <w:ind w:firstLine="420" w:firstLineChars="200"/>
        <w:rPr>
          <w:rFonts w:ascii="Times New Roman" w:hAnsi="Times New Roman" w:cs="Times New Roman"/>
        </w:rPr>
      </w:pPr>
    </w:p>
    <w:p w14:paraId="379E8AAF">
      <w:pPr>
        <w:pStyle w:val="18"/>
        <w:spacing w:line="360" w:lineRule="auto"/>
        <w:ind w:firstLine="420" w:firstLineChars="200"/>
        <w:rPr>
          <w:rFonts w:ascii="Times New Roman" w:hAnsi="Times New Roman" w:cs="Times New Roman"/>
        </w:rPr>
      </w:pPr>
    </w:p>
    <w:p w14:paraId="35925362">
      <w:pPr>
        <w:pStyle w:val="18"/>
        <w:spacing w:line="360" w:lineRule="auto"/>
        <w:ind w:firstLine="420" w:firstLineChars="200"/>
        <w:rPr>
          <w:rFonts w:ascii="Times New Roman" w:hAnsi="Times New Roman" w:cs="Times New Roman"/>
        </w:rPr>
      </w:pPr>
    </w:p>
    <w:p w14:paraId="014580C7">
      <w:pPr>
        <w:pStyle w:val="18"/>
        <w:spacing w:line="360" w:lineRule="auto"/>
        <w:ind w:firstLine="420" w:firstLineChars="200"/>
        <w:rPr>
          <w:rFonts w:ascii="Times New Roman" w:hAnsi="Times New Roman" w:cs="Times New Roman"/>
        </w:rPr>
      </w:pPr>
    </w:p>
    <w:p w14:paraId="33BCE2BC">
      <w:pPr>
        <w:pStyle w:val="18"/>
        <w:spacing w:line="360" w:lineRule="auto"/>
        <w:ind w:firstLine="420" w:firstLineChars="200"/>
        <w:rPr>
          <w:rFonts w:ascii="Times New Roman" w:hAnsi="Times New Roman" w:cs="Times New Roman"/>
        </w:rPr>
      </w:pPr>
    </w:p>
    <w:p w14:paraId="71FD213D">
      <w:pPr>
        <w:pStyle w:val="18"/>
        <w:spacing w:line="360" w:lineRule="auto"/>
        <w:ind w:firstLine="420" w:firstLineChars="200"/>
        <w:rPr>
          <w:rFonts w:ascii="Times New Roman" w:hAnsi="Times New Roman" w:cs="Times New Roman"/>
        </w:rPr>
      </w:pPr>
    </w:p>
    <w:p w14:paraId="59BC9235">
      <w:pPr>
        <w:pStyle w:val="18"/>
        <w:spacing w:line="360" w:lineRule="auto"/>
        <w:ind w:firstLine="420" w:firstLineChars="200"/>
        <w:rPr>
          <w:rFonts w:ascii="Times New Roman" w:hAnsi="Times New Roman" w:cs="Times New Roman"/>
        </w:rPr>
      </w:pPr>
    </w:p>
    <w:p w14:paraId="26202992">
      <w:pPr>
        <w:pStyle w:val="18"/>
        <w:spacing w:line="360" w:lineRule="auto"/>
        <w:ind w:firstLine="420" w:firstLineChars="200"/>
        <w:rPr>
          <w:rFonts w:ascii="Times New Roman" w:hAnsi="Times New Roman" w:cs="Times New Roman"/>
        </w:rPr>
      </w:pPr>
    </w:p>
    <w:p w14:paraId="61DE7650">
      <w:pPr>
        <w:pStyle w:val="18"/>
        <w:spacing w:line="360" w:lineRule="auto"/>
        <w:ind w:firstLine="420" w:firstLineChars="200"/>
        <w:rPr>
          <w:rFonts w:ascii="Times New Roman" w:hAnsi="Times New Roman" w:cs="Times New Roman"/>
        </w:rPr>
      </w:pPr>
    </w:p>
    <w:p w14:paraId="5DFFE911">
      <w:pPr>
        <w:pStyle w:val="18"/>
        <w:spacing w:line="360" w:lineRule="auto"/>
        <w:ind w:firstLine="420" w:firstLineChars="200"/>
        <w:rPr>
          <w:rFonts w:ascii="Times New Roman" w:hAnsi="Times New Roman" w:cs="Times New Roman"/>
        </w:rPr>
      </w:pPr>
    </w:p>
    <w:p w14:paraId="556155EB">
      <w:pPr>
        <w:pStyle w:val="18"/>
        <w:spacing w:line="360" w:lineRule="auto"/>
        <w:ind w:firstLine="420" w:firstLineChars="200"/>
        <w:rPr>
          <w:rFonts w:ascii="Times New Roman" w:hAnsi="Times New Roman" w:cs="Times New Roman"/>
        </w:rPr>
      </w:pPr>
    </w:p>
    <w:p w14:paraId="13B78629">
      <w:pPr>
        <w:keepLines/>
        <w:spacing w:before="240" w:after="240" w:line="500" w:lineRule="exact"/>
        <w:ind w:firstLine="562" w:firstLineChars="200"/>
        <w:jc w:val="center"/>
        <w:outlineLvl w:val="0"/>
        <w:rPr>
          <w:rFonts w:ascii="Times New Roman" w:hAnsi="Times New Roman" w:cs="Times New Roman"/>
          <w:b/>
          <w:kern w:val="2"/>
          <w:sz w:val="28"/>
          <w:szCs w:val="20"/>
          <w:lang w:val="en-US"/>
        </w:rPr>
      </w:pPr>
      <w:bookmarkStart w:id="21" w:name="_Toc108100434"/>
      <w:r>
        <w:rPr>
          <w:rFonts w:ascii="Times New Roman" w:hAnsi="Times New Roman" w:cs="Times New Roman"/>
          <w:b/>
          <w:kern w:val="2"/>
          <w:sz w:val="28"/>
          <w:szCs w:val="20"/>
          <w:lang w:val="en-US"/>
        </w:rPr>
        <w:t>第四章 评标办法及评分标准</w:t>
      </w:r>
      <w:bookmarkEnd w:id="21"/>
    </w:p>
    <w:p w14:paraId="7F060939">
      <w:pPr>
        <w:pStyle w:val="18"/>
        <w:spacing w:before="252" w:line="360" w:lineRule="auto"/>
        <w:ind w:firstLine="420"/>
        <w:rPr>
          <w:rFonts w:ascii="Times New Roman" w:hAnsi="Times New Roman" w:cs="Times New Roman"/>
        </w:rPr>
      </w:pPr>
      <w:r>
        <w:rPr>
          <w:rFonts w:ascii="Times New Roman" w:hAnsi="Times New Roman" w:cs="Times New Roman"/>
          <w:spacing w:val="-5"/>
        </w:rPr>
        <w:t>为公正、公平、科学地选择中标人，根据《中华人民共和国政府采购法》等有关法律法规的规定，并</w:t>
      </w:r>
      <w:r>
        <w:rPr>
          <w:rFonts w:ascii="Times New Roman" w:hAnsi="Times New Roman" w:cs="Times New Roman"/>
          <w:spacing w:val="-4"/>
        </w:rPr>
        <w:t>结合本项目的实际，制定本办法。</w:t>
      </w:r>
    </w:p>
    <w:p w14:paraId="4D9BEEE6">
      <w:pPr>
        <w:pStyle w:val="5"/>
        <w:spacing w:before="118" w:line="360" w:lineRule="auto"/>
        <w:ind w:left="0"/>
        <w:rPr>
          <w:rFonts w:ascii="Times New Roman" w:hAnsi="Times New Roman" w:cs="Times New Roman"/>
        </w:rPr>
      </w:pPr>
      <w:r>
        <w:rPr>
          <w:rFonts w:ascii="Times New Roman" w:hAnsi="Times New Roman" w:cs="Times New Roman"/>
        </w:rPr>
        <w:t>一 、总则</w:t>
      </w:r>
    </w:p>
    <w:p w14:paraId="233D1CA5">
      <w:pPr>
        <w:pStyle w:val="18"/>
        <w:spacing w:line="360" w:lineRule="auto"/>
        <w:ind w:firstLine="420"/>
        <w:jc w:val="both"/>
        <w:rPr>
          <w:rFonts w:ascii="Times New Roman" w:hAnsi="Times New Roman" w:cs="Times New Roman"/>
          <w:spacing w:val="-7"/>
        </w:rPr>
      </w:pPr>
      <w:r>
        <w:rPr>
          <w:rFonts w:ascii="Times New Roman" w:hAnsi="Times New Roman" w:cs="Times New Roman"/>
          <w:spacing w:val="-7"/>
        </w:rPr>
        <w:t xml:space="preserve">本次评标采用综合评分法，总分为 </w:t>
      </w:r>
      <w:r>
        <w:rPr>
          <w:rFonts w:ascii="Times New Roman" w:hAnsi="Times New Roman" w:cs="Times New Roman"/>
        </w:rPr>
        <w:t>100</w:t>
      </w:r>
      <w:r>
        <w:rPr>
          <w:rFonts w:ascii="Times New Roman" w:hAnsi="Times New Roman" w:cs="Times New Roman"/>
          <w:spacing w:val="-14"/>
        </w:rPr>
        <w:t xml:space="preserve"> 分，其中价格分 </w:t>
      </w:r>
      <w:r>
        <w:rPr>
          <w:rFonts w:hint="eastAsia" w:ascii="Times New Roman" w:hAnsi="Times New Roman" w:cs="Times New Roman"/>
          <w:lang w:val="en-US"/>
        </w:rPr>
        <w:t>3</w:t>
      </w:r>
      <w:r>
        <w:rPr>
          <w:rFonts w:ascii="Times New Roman" w:hAnsi="Times New Roman" w:cs="Times New Roman"/>
        </w:rPr>
        <w:t>0</w:t>
      </w:r>
      <w:r>
        <w:rPr>
          <w:rFonts w:ascii="Times New Roman" w:hAnsi="Times New Roman" w:cs="Times New Roman"/>
          <w:spacing w:val="-14"/>
        </w:rPr>
        <w:t xml:space="preserve"> 分、技术商务分 </w:t>
      </w:r>
      <w:r>
        <w:rPr>
          <w:rFonts w:hint="eastAsia" w:ascii="Times New Roman" w:hAnsi="Times New Roman" w:cs="Times New Roman"/>
          <w:lang w:val="en-US"/>
        </w:rPr>
        <w:t>7</w:t>
      </w:r>
      <w:r>
        <w:rPr>
          <w:rFonts w:ascii="Times New Roman" w:hAnsi="Times New Roman" w:cs="Times New Roman"/>
        </w:rPr>
        <w:t>0</w:t>
      </w:r>
      <w:r>
        <w:rPr>
          <w:rFonts w:ascii="Times New Roman" w:hAnsi="Times New Roman" w:cs="Times New Roman"/>
          <w:spacing w:val="-9"/>
        </w:rPr>
        <w:t xml:space="preserve"> 分。合格投标人的评</w:t>
      </w:r>
      <w:r>
        <w:rPr>
          <w:rFonts w:ascii="Times New Roman" w:hAnsi="Times New Roman" w:cs="Times New Roman"/>
          <w:spacing w:val="-7"/>
        </w:rPr>
        <w:t>标综合得分为价格分和技术商务分的总和，中标候选资格按评标综合得分由高到低顺序排列，得分相同的， 按投标报价由低到高顺序排列；得分且投标报价相同的，按技术得分由高到低顺序排列，仍不能分出前后的，以抽签方式确定。评分过程中采用四舍五入法，并保留小数 2 位。</w:t>
      </w:r>
    </w:p>
    <w:p w14:paraId="731D99C4">
      <w:pPr>
        <w:pStyle w:val="18"/>
        <w:spacing w:line="360" w:lineRule="auto"/>
        <w:ind w:firstLine="420"/>
        <w:jc w:val="both"/>
        <w:rPr>
          <w:rFonts w:ascii="Times New Roman" w:hAnsi="Times New Roman" w:cs="Times New Roman"/>
          <w:spacing w:val="-7"/>
        </w:rPr>
      </w:pPr>
      <w:r>
        <w:rPr>
          <w:rFonts w:ascii="Times New Roman" w:hAnsi="Times New Roman" w:cs="Times New Roman"/>
          <w:spacing w:val="-7"/>
        </w:rPr>
        <w:t>投标人评标综合得分=价格分+技术商务分</w:t>
      </w:r>
    </w:p>
    <w:p w14:paraId="1990D39E">
      <w:pPr>
        <w:pStyle w:val="18"/>
        <w:spacing w:line="360" w:lineRule="auto"/>
        <w:ind w:firstLine="420"/>
        <w:jc w:val="both"/>
        <w:rPr>
          <w:rFonts w:ascii="Times New Roman" w:hAnsi="Times New Roman" w:cs="Times New Roman"/>
          <w:b/>
          <w:spacing w:val="-7"/>
        </w:rPr>
      </w:pPr>
      <w:r>
        <w:rPr>
          <w:rFonts w:ascii="Times New Roman" w:hAnsi="Times New Roman" w:cs="Times New Roman"/>
          <w:b/>
          <w:spacing w:val="-7"/>
        </w:rPr>
        <w:t>二 、评标内容及标准</w:t>
      </w:r>
    </w:p>
    <w:p w14:paraId="34028931">
      <w:pPr>
        <w:pStyle w:val="18"/>
        <w:spacing w:line="360" w:lineRule="auto"/>
        <w:ind w:firstLine="420"/>
        <w:jc w:val="both"/>
        <w:rPr>
          <w:rFonts w:ascii="Times New Roman" w:hAnsi="Times New Roman" w:cs="Times New Roman"/>
          <w:spacing w:val="-7"/>
        </w:rPr>
      </w:pPr>
      <w:r>
        <w:rPr>
          <w:rFonts w:ascii="Times New Roman" w:hAnsi="Times New Roman" w:cs="Times New Roman"/>
          <w:spacing w:val="-7"/>
        </w:rPr>
        <w:t>（一）价格分（</w:t>
      </w:r>
      <w:r>
        <w:rPr>
          <w:rFonts w:hint="eastAsia" w:ascii="Times New Roman" w:hAnsi="Times New Roman" w:cs="Times New Roman"/>
          <w:spacing w:val="-7"/>
          <w:lang w:val="en-US"/>
        </w:rPr>
        <w:t>30</w:t>
      </w:r>
      <w:r>
        <w:rPr>
          <w:rFonts w:ascii="Times New Roman" w:hAnsi="Times New Roman" w:cs="Times New Roman"/>
          <w:spacing w:val="-7"/>
        </w:rPr>
        <w:t xml:space="preserve"> 分）</w:t>
      </w:r>
    </w:p>
    <w:p w14:paraId="70647B09">
      <w:pPr>
        <w:tabs>
          <w:tab w:val="left" w:pos="6264"/>
        </w:tabs>
        <w:snapToGrid w:val="0"/>
        <w:spacing w:line="360" w:lineRule="exact"/>
        <w:ind w:firstLine="476"/>
        <w:jc w:val="both"/>
        <w:rPr>
          <w:rFonts w:cs="Times New Roman"/>
          <w:kern w:val="2"/>
          <w:sz w:val="21"/>
          <w:szCs w:val="21"/>
          <w:lang w:val="en-US"/>
        </w:rPr>
      </w:pPr>
      <w:r>
        <w:rPr>
          <w:rFonts w:hint="eastAsia" w:cs="Times New Roman"/>
          <w:kern w:val="2"/>
          <w:sz w:val="21"/>
          <w:szCs w:val="21"/>
          <w:lang w:val="en-US"/>
        </w:rPr>
        <w:t>投标报价在招标人公布的预算金额以下、在各阶段评审中未被定为无效投标文件或废标，其投标人的投标报价为有效投标报价。</w:t>
      </w:r>
    </w:p>
    <w:p w14:paraId="27805668">
      <w:pPr>
        <w:spacing w:line="440" w:lineRule="exact"/>
        <w:ind w:firstLine="420" w:firstLineChars="200"/>
        <w:jc w:val="both"/>
        <w:rPr>
          <w:kern w:val="2"/>
          <w:sz w:val="21"/>
          <w:szCs w:val="21"/>
          <w:lang w:val="en-US"/>
        </w:rPr>
      </w:pPr>
      <w:r>
        <w:rPr>
          <w:rFonts w:hint="eastAsia"/>
          <w:kern w:val="2"/>
          <w:sz w:val="21"/>
          <w:szCs w:val="21"/>
          <w:lang w:val="en-US"/>
        </w:rPr>
        <w:t>1.1评标基准价=有效报价的算术平均值（四舍五入，保留2位小数）。</w:t>
      </w:r>
    </w:p>
    <w:p w14:paraId="7D3BC100">
      <w:pPr>
        <w:spacing w:line="440" w:lineRule="exact"/>
        <w:ind w:firstLine="420" w:firstLineChars="200"/>
        <w:jc w:val="both"/>
        <w:rPr>
          <w:rFonts w:cs="Times New Roman"/>
          <w:kern w:val="2"/>
          <w:sz w:val="21"/>
          <w:szCs w:val="21"/>
          <w:lang w:val="en-US"/>
        </w:rPr>
      </w:pPr>
      <w:r>
        <w:rPr>
          <w:rFonts w:hint="eastAsia"/>
          <w:kern w:val="2"/>
          <w:sz w:val="21"/>
          <w:szCs w:val="21"/>
          <w:lang w:val="en-US"/>
        </w:rPr>
        <w:t>1.2各投标供应商的报价等于评标基准价时报价分得满分；高于评标基准价时，每高1％扣0.2分；低于评标基准价时，每低1％扣0.1分；以此求出各投标供应商的报价得分。（保留两位小数，不计负分。）</w:t>
      </w:r>
    </w:p>
    <w:p w14:paraId="4185439B">
      <w:pPr>
        <w:pStyle w:val="18"/>
        <w:spacing w:line="360" w:lineRule="auto"/>
        <w:ind w:firstLine="420"/>
        <w:jc w:val="both"/>
        <w:rPr>
          <w:rFonts w:ascii="Times New Roman" w:hAnsi="Times New Roman" w:cs="Times New Roman"/>
          <w:spacing w:val="-7"/>
        </w:rPr>
      </w:pPr>
      <w:r>
        <w:rPr>
          <w:rFonts w:ascii="Times New Roman" w:hAnsi="Times New Roman" w:cs="Times New Roman"/>
          <w:spacing w:val="-7"/>
        </w:rPr>
        <w:t>（二）技术商务分（0～</w:t>
      </w:r>
      <w:r>
        <w:rPr>
          <w:rFonts w:hint="eastAsia" w:ascii="Times New Roman" w:hAnsi="Times New Roman" w:cs="Times New Roman"/>
          <w:spacing w:val="-7"/>
          <w:lang w:val="en-US"/>
        </w:rPr>
        <w:t>7</w:t>
      </w:r>
      <w:r>
        <w:rPr>
          <w:rFonts w:ascii="Times New Roman" w:hAnsi="Times New Roman" w:cs="Times New Roman"/>
          <w:spacing w:val="-7"/>
        </w:rPr>
        <w:t>0 分）</w:t>
      </w:r>
    </w:p>
    <w:tbl>
      <w:tblPr>
        <w:tblStyle w:val="5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000"/>
        <w:gridCol w:w="7068"/>
      </w:tblGrid>
      <w:tr w14:paraId="1817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Align w:val="center"/>
          </w:tcPr>
          <w:p w14:paraId="73D4BDE5">
            <w:pPr>
              <w:adjustRightInd w:val="0"/>
              <w:snapToGrid w:val="0"/>
              <w:jc w:val="center"/>
              <w:rPr>
                <w:rFonts w:cs="Times New Roman"/>
                <w:b/>
                <w:color w:val="000000"/>
                <w:kern w:val="2"/>
                <w:sz w:val="21"/>
                <w:szCs w:val="21"/>
                <w:lang w:val="en-US"/>
              </w:rPr>
            </w:pPr>
            <w:r>
              <w:rPr>
                <w:rFonts w:cs="Times New Roman"/>
                <w:b/>
                <w:color w:val="000000"/>
                <w:kern w:val="2"/>
                <w:sz w:val="21"/>
                <w:szCs w:val="21"/>
                <w:lang w:val="en-US"/>
              </w:rPr>
              <w:t>评审</w:t>
            </w:r>
          </w:p>
          <w:p w14:paraId="4D4FCBFD">
            <w:pPr>
              <w:adjustRightInd w:val="0"/>
              <w:snapToGrid w:val="0"/>
              <w:jc w:val="center"/>
              <w:rPr>
                <w:rFonts w:cs="Times New Roman"/>
                <w:b/>
                <w:color w:val="000000"/>
                <w:kern w:val="2"/>
                <w:sz w:val="21"/>
                <w:szCs w:val="21"/>
                <w:lang w:val="en-US"/>
              </w:rPr>
            </w:pPr>
            <w:r>
              <w:rPr>
                <w:rFonts w:cs="Times New Roman"/>
                <w:b/>
                <w:color w:val="000000"/>
                <w:kern w:val="2"/>
                <w:sz w:val="21"/>
                <w:szCs w:val="21"/>
                <w:lang w:val="en-US"/>
              </w:rPr>
              <w:t>内容</w:t>
            </w:r>
          </w:p>
        </w:tc>
        <w:tc>
          <w:tcPr>
            <w:tcW w:w="557" w:type="pct"/>
            <w:vAlign w:val="center"/>
          </w:tcPr>
          <w:p w14:paraId="6B338ECD">
            <w:pPr>
              <w:widowControl/>
              <w:adjustRightInd w:val="0"/>
              <w:snapToGrid w:val="0"/>
              <w:jc w:val="center"/>
              <w:rPr>
                <w:rFonts w:cs="Times New Roman"/>
                <w:b/>
                <w:color w:val="000000"/>
                <w:kern w:val="2"/>
                <w:sz w:val="21"/>
                <w:szCs w:val="21"/>
                <w:lang w:val="en-US"/>
              </w:rPr>
            </w:pPr>
            <w:r>
              <w:rPr>
                <w:rFonts w:cs="Times New Roman"/>
                <w:b/>
                <w:color w:val="000000"/>
                <w:kern w:val="2"/>
                <w:sz w:val="21"/>
                <w:szCs w:val="21"/>
                <w:lang w:val="en-US"/>
              </w:rPr>
              <w:t>评审因素</w:t>
            </w:r>
          </w:p>
        </w:tc>
        <w:tc>
          <w:tcPr>
            <w:tcW w:w="3937" w:type="pct"/>
            <w:vAlign w:val="center"/>
          </w:tcPr>
          <w:p w14:paraId="097A3474">
            <w:pPr>
              <w:widowControl/>
              <w:adjustRightInd w:val="0"/>
              <w:snapToGrid w:val="0"/>
              <w:jc w:val="center"/>
              <w:rPr>
                <w:rFonts w:cs="Times New Roman"/>
                <w:b/>
                <w:color w:val="000000"/>
                <w:kern w:val="2"/>
                <w:sz w:val="21"/>
                <w:szCs w:val="21"/>
                <w:lang w:val="en-US"/>
              </w:rPr>
            </w:pPr>
            <w:r>
              <w:rPr>
                <w:rFonts w:cs="Times New Roman"/>
                <w:b/>
                <w:color w:val="000000"/>
                <w:kern w:val="2"/>
                <w:sz w:val="21"/>
                <w:szCs w:val="21"/>
                <w:lang w:val="en-US"/>
              </w:rPr>
              <w:t>评分标准</w:t>
            </w:r>
          </w:p>
        </w:tc>
      </w:tr>
      <w:tr w14:paraId="2C39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restart"/>
            <w:vAlign w:val="center"/>
          </w:tcPr>
          <w:p w14:paraId="2CB8BDC8">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资信评审（</w:t>
            </w:r>
            <w:r>
              <w:rPr>
                <w:rFonts w:cs="Times New Roman"/>
                <w:color w:val="000000"/>
                <w:kern w:val="2"/>
                <w:sz w:val="21"/>
                <w:szCs w:val="21"/>
                <w:lang w:val="en-US"/>
              </w:rPr>
              <w:t>18</w:t>
            </w:r>
            <w:r>
              <w:rPr>
                <w:rFonts w:hint="eastAsia" w:cs="Times New Roman"/>
                <w:color w:val="000000"/>
                <w:kern w:val="2"/>
                <w:sz w:val="21"/>
                <w:szCs w:val="21"/>
                <w:lang w:val="en-US"/>
              </w:rPr>
              <w:t>分）</w:t>
            </w:r>
          </w:p>
        </w:tc>
        <w:tc>
          <w:tcPr>
            <w:tcW w:w="557" w:type="pct"/>
            <w:vAlign w:val="center"/>
          </w:tcPr>
          <w:p w14:paraId="3B20C656">
            <w:pPr>
              <w:widowControl/>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企业实力4分</w:t>
            </w:r>
          </w:p>
        </w:tc>
        <w:tc>
          <w:tcPr>
            <w:tcW w:w="3937" w:type="pct"/>
            <w:vAlign w:val="center"/>
          </w:tcPr>
          <w:p w14:paraId="141272A6">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投标人具有有效期内的</w:t>
            </w:r>
            <w:r>
              <w:rPr>
                <w:rFonts w:hint="default" w:cs="Times New Roman"/>
                <w:color w:val="000000"/>
                <w:kern w:val="2"/>
                <w:sz w:val="21"/>
                <w:szCs w:val="21"/>
                <w:woUserID w:val="1"/>
              </w:rPr>
              <w:t>数智化绿色低碳认证、绿色设计产品管理体系、绿色工厂认证、绿色供应链体系</w:t>
            </w:r>
            <w:r>
              <w:rPr>
                <w:rFonts w:hint="eastAsia" w:cs="Times New Roman"/>
                <w:color w:val="000000"/>
                <w:kern w:val="2"/>
                <w:sz w:val="21"/>
                <w:szCs w:val="21"/>
                <w:lang w:val="en-US"/>
              </w:rPr>
              <w:t>，有一个的得1分,最多得4分。</w:t>
            </w:r>
          </w:p>
          <w:p w14:paraId="46CD88B7">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【证明材料：证书复印件加盖公章编入投标文件中，并同时提供国家认证认可监督管理委员会官方网站上相关证书有效的网页截图或网站打印页，否则不得分。】</w:t>
            </w:r>
          </w:p>
        </w:tc>
      </w:tr>
      <w:tr w14:paraId="36CC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191DE913">
            <w:pPr>
              <w:widowControl/>
              <w:adjustRightInd w:val="0"/>
              <w:snapToGrid w:val="0"/>
              <w:jc w:val="center"/>
              <w:rPr>
                <w:rFonts w:cs="Times New Roman"/>
                <w:color w:val="000000"/>
                <w:kern w:val="2"/>
                <w:sz w:val="21"/>
                <w:szCs w:val="21"/>
                <w:lang w:val="en-US"/>
              </w:rPr>
            </w:pPr>
          </w:p>
        </w:tc>
        <w:tc>
          <w:tcPr>
            <w:tcW w:w="557" w:type="pct"/>
            <w:vAlign w:val="center"/>
          </w:tcPr>
          <w:p w14:paraId="653C920B">
            <w:pPr>
              <w:widowControl/>
              <w:adjustRightInd w:val="0"/>
              <w:snapToGrid w:val="0"/>
              <w:jc w:val="center"/>
              <w:rPr>
                <w:rFonts w:hint="default" w:cs="Times New Roman"/>
                <w:color w:val="000000"/>
                <w:kern w:val="2"/>
                <w:sz w:val="21"/>
                <w:szCs w:val="21"/>
                <w:highlight w:val="yellow"/>
                <w:woUserID w:val="1"/>
              </w:rPr>
            </w:pPr>
            <w:r>
              <w:rPr>
                <w:rFonts w:cs="Times New Roman"/>
                <w:color w:val="000000"/>
                <w:kern w:val="2"/>
                <w:sz w:val="21"/>
                <w:szCs w:val="21"/>
                <w:highlight w:val="yellow"/>
                <w:woUserID w:val="1"/>
              </w:rPr>
              <w:t>所获奖项3分</w:t>
            </w:r>
          </w:p>
        </w:tc>
        <w:tc>
          <w:tcPr>
            <w:tcW w:w="3937" w:type="pct"/>
            <w:vAlign w:val="center"/>
          </w:tcPr>
          <w:p w14:paraId="340EB0A1">
            <w:pPr>
              <w:keepNext w:val="0"/>
              <w:keepLines w:val="0"/>
              <w:widowControl/>
              <w:suppressLineNumbers w:val="0"/>
              <w:adjustRightInd w:val="0"/>
              <w:snapToGrid w:val="0"/>
              <w:spacing w:before="0" w:beforeAutospacing="0" w:after="0" w:afterAutospacing="0"/>
              <w:ind w:left="0" w:right="0" w:firstLine="0"/>
              <w:jc w:val="both"/>
              <w:rPr>
                <w:rFonts w:hint="eastAsia" w:ascii="宋体" w:hAnsi="宋体" w:eastAsia="宋体" w:cs="宋体"/>
                <w:i w:val="0"/>
                <w:iCs w:val="0"/>
                <w:caps w:val="0"/>
                <w:color w:val="000000"/>
                <w:spacing w:val="0"/>
                <w:kern w:val="0"/>
                <w:sz w:val="21"/>
                <w:szCs w:val="21"/>
                <w:highlight w:val="yellow"/>
                <w:u w:val="none"/>
                <w:lang w:val="en-US" w:eastAsia="zh-CN" w:bidi="ar"/>
                <w:woUserID w:val="1"/>
              </w:rPr>
            </w:pPr>
            <w:r>
              <w:rPr>
                <w:rFonts w:hint="eastAsia" w:ascii="宋体" w:hAnsi="宋体" w:eastAsia="宋体" w:cs="宋体"/>
                <w:i w:val="0"/>
                <w:iCs w:val="0"/>
                <w:caps w:val="0"/>
                <w:color w:val="000000"/>
                <w:spacing w:val="0"/>
                <w:kern w:val="0"/>
                <w:sz w:val="21"/>
                <w:szCs w:val="21"/>
                <w:highlight w:val="yellow"/>
                <w:u w:val="none"/>
                <w:lang w:val="en-US" w:eastAsia="zh-CN" w:bidi="ar"/>
                <w:woUserID w:val="1"/>
              </w:rPr>
              <w:t>投标人获得科学技术奖或科学进步奖（奖项关于新能源充电行业相关的），由市级人民政府或政府成立的部门颁发的得1分，由省级人民政府或政府成立的部门颁发的得2分，由国家科技部或科技部成立的工作办公室颁发的得3分。</w:t>
            </w:r>
          </w:p>
          <w:p w14:paraId="13F3C944">
            <w:pPr>
              <w:keepNext w:val="0"/>
              <w:keepLines w:val="0"/>
              <w:widowControl/>
              <w:suppressLineNumbers w:val="0"/>
              <w:adjustRightInd w:val="0"/>
              <w:snapToGrid w:val="0"/>
              <w:spacing w:before="0" w:beforeAutospacing="0" w:after="0" w:afterAutospacing="0"/>
              <w:ind w:left="0" w:right="0" w:firstLine="0"/>
              <w:jc w:val="both"/>
              <w:rPr>
                <w:rFonts w:cs="Times New Roman"/>
                <w:color w:val="000000"/>
                <w:kern w:val="2"/>
                <w:sz w:val="21"/>
                <w:szCs w:val="21"/>
                <w:highlight w:val="yellow"/>
                <w:lang w:val="en-US"/>
              </w:rPr>
            </w:pPr>
            <w:r>
              <w:rPr>
                <w:rFonts w:hint="eastAsia" w:cs="Times New Roman"/>
                <w:color w:val="000000"/>
                <w:kern w:val="2"/>
                <w:sz w:val="21"/>
                <w:szCs w:val="21"/>
                <w:highlight w:val="yellow"/>
                <w:lang w:val="en-US"/>
                <w:woUserID w:val="1"/>
              </w:rPr>
              <w:t>【证明材料：</w:t>
            </w:r>
            <w:r>
              <w:rPr>
                <w:rFonts w:hint="eastAsia" w:ascii="宋体" w:hAnsi="宋体" w:eastAsia="宋体" w:cs="宋体"/>
                <w:i w:val="0"/>
                <w:iCs w:val="0"/>
                <w:caps w:val="0"/>
                <w:color w:val="000000"/>
                <w:spacing w:val="0"/>
                <w:kern w:val="0"/>
                <w:sz w:val="21"/>
                <w:szCs w:val="21"/>
                <w:highlight w:val="yellow"/>
                <w:u w:val="none"/>
                <w:lang w:val="en-US" w:eastAsia="zh-CN" w:bidi="ar"/>
                <w:woUserID w:val="1"/>
              </w:rPr>
              <w:t>须提供证书复印件或扫描件并加盖公章并附官方查询截图和网址佐证，提供多个证书可重复得分，最高不超过3分。</w:t>
            </w:r>
            <w:r>
              <w:rPr>
                <w:rFonts w:hint="eastAsia" w:cs="Times New Roman"/>
                <w:color w:val="000000"/>
                <w:kern w:val="2"/>
                <w:sz w:val="21"/>
                <w:szCs w:val="21"/>
                <w:highlight w:val="yellow"/>
                <w:lang w:val="en-US"/>
                <w:woUserID w:val="1"/>
              </w:rPr>
              <w:t>】</w:t>
            </w:r>
          </w:p>
        </w:tc>
      </w:tr>
      <w:tr w14:paraId="6BC8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5D4E687E">
            <w:pPr>
              <w:widowControl/>
              <w:adjustRightInd w:val="0"/>
              <w:snapToGrid w:val="0"/>
              <w:jc w:val="center"/>
              <w:rPr>
                <w:rFonts w:cs="Times New Roman"/>
                <w:color w:val="000000"/>
                <w:kern w:val="2"/>
                <w:sz w:val="21"/>
                <w:szCs w:val="21"/>
                <w:lang w:val="en-US"/>
              </w:rPr>
            </w:pPr>
          </w:p>
        </w:tc>
        <w:tc>
          <w:tcPr>
            <w:tcW w:w="557" w:type="pct"/>
            <w:vAlign w:val="center"/>
          </w:tcPr>
          <w:p w14:paraId="38807947">
            <w:pPr>
              <w:widowControl/>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企业荣誉</w:t>
            </w:r>
            <w:r>
              <w:rPr>
                <w:rFonts w:cs="Times New Roman"/>
                <w:color w:val="000000"/>
                <w:kern w:val="2"/>
                <w:sz w:val="21"/>
                <w:szCs w:val="21"/>
                <w:lang w:val="en-US"/>
              </w:rPr>
              <w:t>2</w:t>
            </w:r>
            <w:r>
              <w:rPr>
                <w:rFonts w:hint="eastAsia" w:cs="Times New Roman"/>
                <w:color w:val="000000"/>
                <w:kern w:val="2"/>
                <w:sz w:val="21"/>
                <w:szCs w:val="21"/>
                <w:lang w:val="en-US"/>
              </w:rPr>
              <w:t>分</w:t>
            </w:r>
          </w:p>
        </w:tc>
        <w:tc>
          <w:tcPr>
            <w:tcW w:w="3937" w:type="pct"/>
            <w:vAlign w:val="center"/>
          </w:tcPr>
          <w:p w14:paraId="36B0B50B">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投标人具备省级或自治区或直辖市或计划单列市颁发的高新技术企业证书的得</w:t>
            </w:r>
            <w:r>
              <w:rPr>
                <w:rFonts w:cs="Times New Roman"/>
                <w:color w:val="000000"/>
                <w:kern w:val="2"/>
                <w:sz w:val="21"/>
                <w:szCs w:val="21"/>
                <w:lang w:val="en-US"/>
              </w:rPr>
              <w:t>2</w:t>
            </w:r>
            <w:r>
              <w:rPr>
                <w:rFonts w:hint="eastAsia" w:cs="Times New Roman"/>
                <w:color w:val="000000"/>
                <w:kern w:val="2"/>
                <w:sz w:val="21"/>
                <w:szCs w:val="21"/>
                <w:lang w:val="en-US"/>
              </w:rPr>
              <w:t>分，不具备不得分。</w:t>
            </w:r>
          </w:p>
          <w:p w14:paraId="2B2EBEAC">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【证明材料：提供证书复印件，否则不得分。】</w:t>
            </w:r>
          </w:p>
        </w:tc>
      </w:tr>
      <w:tr w14:paraId="5E30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1AEA260C">
            <w:pPr>
              <w:widowControl/>
              <w:adjustRightInd w:val="0"/>
              <w:snapToGrid w:val="0"/>
              <w:jc w:val="center"/>
              <w:rPr>
                <w:rFonts w:cs="Times New Roman"/>
                <w:color w:val="000000"/>
                <w:kern w:val="2"/>
                <w:sz w:val="21"/>
                <w:szCs w:val="21"/>
                <w:lang w:val="en-US"/>
              </w:rPr>
            </w:pPr>
          </w:p>
        </w:tc>
        <w:tc>
          <w:tcPr>
            <w:tcW w:w="557" w:type="pct"/>
            <w:vAlign w:val="center"/>
          </w:tcPr>
          <w:p w14:paraId="79F0C13E">
            <w:pPr>
              <w:widowControl/>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专利证书5分</w:t>
            </w:r>
          </w:p>
        </w:tc>
        <w:tc>
          <w:tcPr>
            <w:tcW w:w="3937" w:type="pct"/>
            <w:vAlign w:val="center"/>
          </w:tcPr>
          <w:p w14:paraId="2CF301A3">
            <w:pPr>
              <w:widowControl/>
              <w:adjustRightInd w:val="0"/>
              <w:snapToGrid w:val="0"/>
              <w:rPr>
                <w:rFonts w:cs="Times New Roman"/>
                <w:kern w:val="2"/>
                <w:sz w:val="21"/>
                <w:szCs w:val="21"/>
                <w:lang w:val="en-US"/>
              </w:rPr>
            </w:pPr>
            <w:r>
              <w:rPr>
                <w:rFonts w:hint="eastAsia" w:cs="Times New Roman"/>
                <w:kern w:val="2"/>
                <w:sz w:val="21"/>
                <w:szCs w:val="21"/>
                <w:lang w:val="en-US"/>
              </w:rPr>
              <w:t>投标人每具有</w:t>
            </w:r>
            <w:r>
              <w:rPr>
                <w:rFonts w:cs="Times New Roman"/>
                <w:kern w:val="2"/>
                <w:sz w:val="21"/>
                <w:szCs w:val="21"/>
                <w:lang w:val="en-US"/>
              </w:rPr>
              <w:t>1个发明专利的得1分，最高得分5分。专利内容需与充电系统或充电设备等内容相关，否则不得分。</w:t>
            </w:r>
            <w:r>
              <w:rPr>
                <w:rFonts w:hint="eastAsia" w:cs="Times New Roman"/>
                <w:kern w:val="2"/>
                <w:sz w:val="21"/>
                <w:szCs w:val="21"/>
                <w:lang w:val="en-US"/>
              </w:rPr>
              <w:t>提供实用新型或外观专利的不得分。【证明材料：提供证书复印件，否则不得分。】</w:t>
            </w:r>
          </w:p>
        </w:tc>
      </w:tr>
      <w:tr w14:paraId="58C5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563CC168">
            <w:pPr>
              <w:widowControl/>
              <w:adjustRightInd w:val="0"/>
              <w:snapToGrid w:val="0"/>
              <w:jc w:val="center"/>
              <w:rPr>
                <w:rFonts w:cs="Times New Roman"/>
                <w:color w:val="000000"/>
                <w:kern w:val="2"/>
                <w:sz w:val="21"/>
                <w:szCs w:val="21"/>
                <w:lang w:val="en-US"/>
              </w:rPr>
            </w:pPr>
          </w:p>
        </w:tc>
        <w:tc>
          <w:tcPr>
            <w:tcW w:w="557" w:type="pct"/>
            <w:vAlign w:val="center"/>
          </w:tcPr>
          <w:p w14:paraId="738FBFE3">
            <w:pPr>
              <w:widowControl/>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类似项目业绩</w:t>
            </w:r>
          </w:p>
          <w:p w14:paraId="783B5D39">
            <w:pPr>
              <w:widowControl/>
              <w:adjustRightInd w:val="0"/>
              <w:snapToGrid w:val="0"/>
              <w:jc w:val="center"/>
              <w:rPr>
                <w:rFonts w:cs="Times New Roman"/>
                <w:color w:val="000000"/>
                <w:kern w:val="2"/>
                <w:sz w:val="21"/>
                <w:szCs w:val="21"/>
                <w:lang w:val="en-US"/>
              </w:rPr>
            </w:pPr>
            <w:r>
              <w:rPr>
                <w:rFonts w:cs="Times New Roman"/>
                <w:color w:val="000000"/>
                <w:kern w:val="2"/>
                <w:sz w:val="21"/>
                <w:szCs w:val="21"/>
                <w:lang w:val="en-US"/>
              </w:rPr>
              <w:t>4</w:t>
            </w:r>
            <w:r>
              <w:rPr>
                <w:rFonts w:hint="eastAsia" w:cs="Times New Roman"/>
                <w:color w:val="000000"/>
                <w:kern w:val="2"/>
                <w:sz w:val="21"/>
                <w:szCs w:val="21"/>
                <w:lang w:val="en-US"/>
              </w:rPr>
              <w:t>分</w:t>
            </w:r>
          </w:p>
        </w:tc>
        <w:tc>
          <w:tcPr>
            <w:tcW w:w="3937" w:type="pct"/>
            <w:vAlign w:val="center"/>
          </w:tcPr>
          <w:p w14:paraId="144390B2">
            <w:pPr>
              <w:widowControl/>
              <w:adjustRightInd w:val="0"/>
              <w:snapToGrid w:val="0"/>
              <w:rPr>
                <w:rFonts w:cs="Times New Roman"/>
                <w:kern w:val="2"/>
                <w:sz w:val="21"/>
                <w:szCs w:val="21"/>
                <w:lang w:val="en-US"/>
              </w:rPr>
            </w:pPr>
            <w:r>
              <w:rPr>
                <w:rFonts w:hint="eastAsia" w:cs="Times New Roman"/>
                <w:kern w:val="2"/>
                <w:sz w:val="21"/>
                <w:szCs w:val="21"/>
                <w:lang w:val="en-US"/>
              </w:rPr>
              <w:t>20</w:t>
            </w:r>
            <w:r>
              <w:rPr>
                <w:rFonts w:cs="Times New Roman"/>
                <w:kern w:val="2"/>
                <w:sz w:val="21"/>
                <w:szCs w:val="21"/>
                <w:lang w:val="en-US"/>
              </w:rPr>
              <w:t>21</w:t>
            </w:r>
            <w:r>
              <w:rPr>
                <w:rFonts w:hint="eastAsia" w:cs="Times New Roman"/>
                <w:kern w:val="2"/>
                <w:sz w:val="21"/>
                <w:szCs w:val="21"/>
                <w:lang w:val="en-US"/>
              </w:rPr>
              <w:t>年</w:t>
            </w:r>
            <w:r>
              <w:rPr>
                <w:rFonts w:cs="Times New Roman"/>
                <w:kern w:val="2"/>
                <w:sz w:val="21"/>
                <w:szCs w:val="21"/>
                <w:lang w:val="en-US"/>
              </w:rPr>
              <w:t>1</w:t>
            </w:r>
            <w:r>
              <w:rPr>
                <w:rFonts w:hint="eastAsia" w:cs="Times New Roman"/>
                <w:kern w:val="2"/>
                <w:sz w:val="21"/>
                <w:szCs w:val="21"/>
                <w:lang w:val="en-US"/>
              </w:rPr>
              <w:t>月1日至今（以合同签订时间为准），投标人在全国范围内拥有的同行业（指港口、码头等）项目业绩，每提供1个业绩得</w:t>
            </w:r>
            <w:r>
              <w:rPr>
                <w:rFonts w:cs="Times New Roman"/>
                <w:kern w:val="2"/>
                <w:sz w:val="21"/>
                <w:szCs w:val="21"/>
                <w:lang w:val="en-US"/>
              </w:rPr>
              <w:t>1</w:t>
            </w:r>
            <w:r>
              <w:rPr>
                <w:rFonts w:hint="eastAsia" w:cs="Times New Roman"/>
                <w:kern w:val="2"/>
                <w:sz w:val="21"/>
                <w:szCs w:val="21"/>
                <w:lang w:val="en-US"/>
              </w:rPr>
              <w:t>分，最高得</w:t>
            </w:r>
            <w:r>
              <w:rPr>
                <w:rFonts w:cs="Times New Roman"/>
                <w:kern w:val="2"/>
                <w:sz w:val="21"/>
                <w:szCs w:val="21"/>
                <w:lang w:val="en-US"/>
              </w:rPr>
              <w:t>4</w:t>
            </w:r>
            <w:r>
              <w:rPr>
                <w:rFonts w:hint="eastAsia" w:cs="Times New Roman"/>
                <w:kern w:val="2"/>
                <w:sz w:val="21"/>
                <w:szCs w:val="21"/>
                <w:lang w:val="en-US"/>
              </w:rPr>
              <w:t>分。</w:t>
            </w:r>
          </w:p>
          <w:p w14:paraId="0A890186">
            <w:pPr>
              <w:widowControl/>
              <w:adjustRightInd w:val="0"/>
              <w:snapToGrid w:val="0"/>
              <w:rPr>
                <w:rFonts w:cs="Times New Roman"/>
                <w:kern w:val="2"/>
                <w:sz w:val="21"/>
                <w:szCs w:val="21"/>
                <w:lang w:val="en-US"/>
              </w:rPr>
            </w:pPr>
            <w:r>
              <w:rPr>
                <w:rFonts w:hint="eastAsia" w:cs="Times New Roman"/>
                <w:kern w:val="2"/>
                <w:sz w:val="21"/>
                <w:szCs w:val="21"/>
                <w:lang w:val="en-US"/>
              </w:rPr>
              <w:t>【证明材料：同时提供合同复印件、中标通知书复印件、中标公示网址及其截图，否则不得分】</w:t>
            </w:r>
          </w:p>
        </w:tc>
      </w:tr>
      <w:tr w14:paraId="4817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restart"/>
            <w:vAlign w:val="center"/>
          </w:tcPr>
          <w:p w14:paraId="148839BC">
            <w:pPr>
              <w:widowControl/>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技术评审</w:t>
            </w:r>
            <w:r>
              <w:rPr>
                <w:rFonts w:cs="Times New Roman"/>
                <w:color w:val="000000"/>
                <w:kern w:val="2"/>
                <w:sz w:val="21"/>
                <w:szCs w:val="21"/>
                <w:lang w:val="en-US"/>
              </w:rPr>
              <w:t>52</w:t>
            </w:r>
            <w:r>
              <w:rPr>
                <w:rFonts w:hint="eastAsia" w:cs="Times New Roman"/>
                <w:color w:val="000000"/>
                <w:kern w:val="2"/>
                <w:sz w:val="21"/>
                <w:szCs w:val="21"/>
                <w:lang w:val="en-US"/>
              </w:rPr>
              <w:t>分</w:t>
            </w:r>
          </w:p>
        </w:tc>
        <w:tc>
          <w:tcPr>
            <w:tcW w:w="557" w:type="pct"/>
            <w:vAlign w:val="center"/>
          </w:tcPr>
          <w:p w14:paraId="50E7ECEF">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场站方案</w:t>
            </w:r>
            <w:r>
              <w:rPr>
                <w:rFonts w:cs="Times New Roman"/>
                <w:color w:val="000000"/>
                <w:kern w:val="2"/>
                <w:sz w:val="21"/>
                <w:szCs w:val="21"/>
                <w:lang w:val="en-US"/>
              </w:rPr>
              <w:t>8</w:t>
            </w:r>
            <w:r>
              <w:rPr>
                <w:rFonts w:hint="eastAsia" w:cs="Times New Roman"/>
                <w:color w:val="000000"/>
                <w:kern w:val="2"/>
                <w:sz w:val="21"/>
                <w:szCs w:val="21"/>
                <w:lang w:val="en-US"/>
              </w:rPr>
              <w:t>分</w:t>
            </w:r>
          </w:p>
        </w:tc>
        <w:tc>
          <w:tcPr>
            <w:tcW w:w="3937" w:type="pct"/>
            <w:vAlign w:val="center"/>
          </w:tcPr>
          <w:p w14:paraId="107AFC0F">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根据提供的场站技术方案的合规性、先进性、安全性、实用性、灵活性，场站应急方案等维度进行综合评价，并附佐证材料，根据材料提供的完整性、准确性进行打分。包括但不仅限于：项目技术方案、对外宣传材料（如样册、单页等）、成功案例等。</w:t>
            </w:r>
          </w:p>
          <w:p w14:paraId="0D271F8B">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①技术方案内容详实完善，附证材料充分，成功案例丰富的得</w:t>
            </w:r>
            <w:r>
              <w:rPr>
                <w:rFonts w:cs="Times New Roman"/>
                <w:color w:val="000000"/>
                <w:kern w:val="2"/>
                <w:sz w:val="21"/>
                <w:szCs w:val="21"/>
                <w:lang w:val="en-US"/>
              </w:rPr>
              <w:t>5.1-8</w:t>
            </w:r>
            <w:r>
              <w:rPr>
                <w:rFonts w:hint="eastAsia" w:cs="Times New Roman"/>
                <w:color w:val="000000"/>
                <w:kern w:val="2"/>
                <w:sz w:val="21"/>
                <w:szCs w:val="21"/>
                <w:lang w:val="en-US"/>
              </w:rPr>
              <w:t>分；</w:t>
            </w:r>
          </w:p>
          <w:p w14:paraId="552CD077">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②技术方案内容较详实完善，附证材料提供较齐全，成功案例较丰富的得</w:t>
            </w:r>
            <w:r>
              <w:rPr>
                <w:rFonts w:cs="Times New Roman"/>
                <w:color w:val="000000"/>
                <w:kern w:val="2"/>
                <w:sz w:val="21"/>
                <w:szCs w:val="21"/>
                <w:lang w:val="en-US"/>
              </w:rPr>
              <w:t>3.1-5</w:t>
            </w:r>
            <w:r>
              <w:rPr>
                <w:rFonts w:hint="eastAsia" w:cs="Times New Roman"/>
                <w:color w:val="000000"/>
                <w:kern w:val="2"/>
                <w:sz w:val="21"/>
                <w:szCs w:val="21"/>
                <w:lang w:val="en-US"/>
              </w:rPr>
              <w:t>分；</w:t>
            </w:r>
          </w:p>
          <w:p w14:paraId="5515A3B6">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③技术方案内容一般，附证材料内容缺项较多，实施经验较少的得</w:t>
            </w:r>
            <w:r>
              <w:rPr>
                <w:rFonts w:cs="Times New Roman"/>
                <w:color w:val="000000"/>
                <w:kern w:val="2"/>
                <w:sz w:val="21"/>
                <w:szCs w:val="21"/>
                <w:lang w:val="en-US"/>
              </w:rPr>
              <w:t>1-3</w:t>
            </w:r>
            <w:r>
              <w:rPr>
                <w:rFonts w:hint="eastAsia" w:cs="Times New Roman"/>
                <w:color w:val="000000"/>
                <w:kern w:val="2"/>
                <w:sz w:val="21"/>
                <w:szCs w:val="21"/>
                <w:lang w:val="en-US"/>
              </w:rPr>
              <w:t>分。</w:t>
            </w:r>
          </w:p>
        </w:tc>
      </w:tr>
      <w:tr w14:paraId="5649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22842B79">
            <w:pPr>
              <w:widowControl/>
              <w:adjustRightInd w:val="0"/>
              <w:snapToGrid w:val="0"/>
              <w:jc w:val="center"/>
              <w:rPr>
                <w:rFonts w:cs="Times New Roman"/>
                <w:color w:val="000000"/>
                <w:kern w:val="2"/>
                <w:sz w:val="21"/>
                <w:szCs w:val="21"/>
                <w:lang w:val="en-US"/>
              </w:rPr>
            </w:pPr>
          </w:p>
        </w:tc>
        <w:tc>
          <w:tcPr>
            <w:tcW w:w="557" w:type="pct"/>
            <w:vAlign w:val="center"/>
          </w:tcPr>
          <w:p w14:paraId="38DD5AE9">
            <w:pPr>
              <w:widowControl/>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施工安装方案</w:t>
            </w:r>
          </w:p>
          <w:p w14:paraId="492CAE2A">
            <w:pPr>
              <w:widowControl/>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5分</w:t>
            </w:r>
          </w:p>
        </w:tc>
        <w:tc>
          <w:tcPr>
            <w:tcW w:w="3937" w:type="pct"/>
            <w:vAlign w:val="center"/>
          </w:tcPr>
          <w:p w14:paraId="57853DE4">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依据以下方面进行综合评价（包含但不仅限于）：项目管理机构及协调、施工准备、施工进度控制、主要施工工艺、质量管理措施、安全文明施工管理措施等。</w:t>
            </w:r>
          </w:p>
          <w:p w14:paraId="7C36764A">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①项目组织实施方案内容详实完善，可操作性强的3.1-5分；</w:t>
            </w:r>
          </w:p>
          <w:p w14:paraId="54F4E170">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②项目组织实施方案内容较为详实完善，可操作性较强的得1.1-3分；</w:t>
            </w:r>
          </w:p>
          <w:p w14:paraId="067FB8FD">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③项目组织实施方案内容一般的得0-1分。</w:t>
            </w:r>
          </w:p>
        </w:tc>
      </w:tr>
      <w:tr w14:paraId="73F2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3F6C0956">
            <w:pPr>
              <w:widowControl/>
              <w:adjustRightInd w:val="0"/>
              <w:snapToGrid w:val="0"/>
              <w:rPr>
                <w:rFonts w:cs="Times New Roman"/>
                <w:color w:val="000000"/>
                <w:kern w:val="2"/>
                <w:sz w:val="21"/>
                <w:szCs w:val="21"/>
                <w:lang w:val="en-US"/>
              </w:rPr>
            </w:pPr>
          </w:p>
        </w:tc>
        <w:tc>
          <w:tcPr>
            <w:tcW w:w="557" w:type="pct"/>
            <w:vAlign w:val="center"/>
          </w:tcPr>
          <w:p w14:paraId="37DDE959">
            <w:pPr>
              <w:widowControl/>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技术参数响应</w:t>
            </w:r>
          </w:p>
          <w:p w14:paraId="0A8AED4F">
            <w:pPr>
              <w:widowControl/>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1</w:t>
            </w:r>
            <w:r>
              <w:rPr>
                <w:rFonts w:cs="Times New Roman"/>
                <w:color w:val="000000"/>
                <w:kern w:val="2"/>
                <w:sz w:val="21"/>
                <w:szCs w:val="21"/>
                <w:lang w:val="en-US"/>
              </w:rPr>
              <w:t>5</w:t>
            </w:r>
            <w:r>
              <w:rPr>
                <w:rFonts w:hint="eastAsia" w:cs="Times New Roman"/>
                <w:color w:val="000000"/>
                <w:kern w:val="2"/>
                <w:sz w:val="21"/>
                <w:szCs w:val="21"/>
                <w:lang w:val="en-US"/>
              </w:rPr>
              <w:t>分</w:t>
            </w:r>
          </w:p>
        </w:tc>
        <w:tc>
          <w:tcPr>
            <w:tcW w:w="3937" w:type="pct"/>
            <w:vAlign w:val="center"/>
          </w:tcPr>
          <w:p w14:paraId="02BAE3A0">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符合招标文件项目需求中的技术条款的得</w:t>
            </w:r>
            <w:r>
              <w:rPr>
                <w:rFonts w:cs="Times New Roman"/>
                <w:color w:val="000000"/>
                <w:kern w:val="2"/>
                <w:sz w:val="21"/>
                <w:szCs w:val="21"/>
                <w:lang w:val="en-US"/>
              </w:rPr>
              <w:t>15分：标注“▲”的技术条款负偏离的，每发生一条负偏离扣1分，</w:t>
            </w:r>
            <w:r>
              <w:rPr>
                <w:rFonts w:hint="eastAsia" w:cs="Times New Roman"/>
                <w:color w:val="000000"/>
                <w:kern w:val="2"/>
                <w:sz w:val="21"/>
                <w:szCs w:val="21"/>
                <w:lang w:val="en-US"/>
              </w:rPr>
              <w:t>扣完为止</w:t>
            </w:r>
            <w:r>
              <w:rPr>
                <w:rFonts w:cs="Times New Roman"/>
                <w:color w:val="000000"/>
                <w:kern w:val="2"/>
                <w:sz w:val="21"/>
                <w:szCs w:val="21"/>
                <w:lang w:val="en-US"/>
              </w:rPr>
              <w:t>。</w:t>
            </w:r>
          </w:p>
          <w:p w14:paraId="56417488">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注：①带“▲”的技术条款必须逐条响应于偏离表中；②带“▲”的技术条款评标委员会根据提供的</w:t>
            </w:r>
            <w:r>
              <w:rPr>
                <w:rFonts w:cs="Times New Roman"/>
                <w:color w:val="000000"/>
                <w:kern w:val="2"/>
                <w:sz w:val="21"/>
                <w:szCs w:val="21"/>
                <w:lang w:val="en-US"/>
              </w:rPr>
              <w:t>80kW一体直流充电桩</w:t>
            </w:r>
            <w:r>
              <w:rPr>
                <w:rFonts w:hint="eastAsia" w:cs="Times New Roman"/>
                <w:color w:val="000000"/>
                <w:kern w:val="2"/>
                <w:sz w:val="21"/>
                <w:szCs w:val="21"/>
                <w:lang w:val="en-US"/>
              </w:rPr>
              <w:t>或7</w:t>
            </w:r>
            <w:r>
              <w:rPr>
                <w:rFonts w:cs="Times New Roman"/>
                <w:color w:val="000000"/>
                <w:kern w:val="2"/>
                <w:sz w:val="21"/>
                <w:szCs w:val="21"/>
                <w:lang w:val="en-US"/>
              </w:rPr>
              <w:t>kW</w:t>
            </w:r>
            <w:r>
              <w:rPr>
                <w:rFonts w:hint="eastAsia" w:cs="Times New Roman"/>
                <w:color w:val="000000"/>
                <w:kern w:val="2"/>
                <w:sz w:val="21"/>
                <w:szCs w:val="21"/>
                <w:lang w:val="en-US"/>
              </w:rPr>
              <w:t>交流充电桩或充电运营管理平台由第三方检测机构出具的（具备</w:t>
            </w:r>
            <w:r>
              <w:rPr>
                <w:rFonts w:cs="Times New Roman"/>
                <w:color w:val="000000"/>
                <w:kern w:val="2"/>
                <w:sz w:val="21"/>
                <w:szCs w:val="21"/>
                <w:lang w:val="en-US"/>
              </w:rPr>
              <w:t>CNAS</w:t>
            </w:r>
            <w:r>
              <w:rPr>
                <w:rFonts w:cs="Times New Roman"/>
                <w:color w:val="000000"/>
                <w:kern w:val="2"/>
                <w:sz w:val="21"/>
                <w:szCs w:val="21"/>
                <w:woUserID w:val="1"/>
              </w:rPr>
              <w:t>、</w:t>
            </w:r>
            <w:r>
              <w:rPr>
                <w:rFonts w:cs="Times New Roman"/>
                <w:color w:val="000000"/>
                <w:kern w:val="2"/>
                <w:sz w:val="21"/>
                <w:szCs w:val="21"/>
                <w:lang w:val="en-US"/>
              </w:rPr>
              <w:t>CMA</w:t>
            </w:r>
            <w:r>
              <w:rPr>
                <w:rFonts w:hint="eastAsia" w:cs="Times New Roman"/>
                <w:color w:val="000000"/>
                <w:kern w:val="2"/>
                <w:sz w:val="21"/>
                <w:szCs w:val="21"/>
                <w:lang w:val="en-US"/>
              </w:rPr>
              <w:t>认证标识</w:t>
            </w:r>
            <w:r>
              <w:rPr>
                <w:rFonts w:cs="Times New Roman"/>
                <w:color w:val="000000"/>
                <w:kern w:val="2"/>
                <w:sz w:val="21"/>
                <w:szCs w:val="21"/>
                <w:lang w:val="en-US"/>
              </w:rPr>
              <w:t>）报告进行核对打分，未提供相关证明材料或不符合招标文件要求的视为负偏离。</w:t>
            </w:r>
          </w:p>
        </w:tc>
      </w:tr>
      <w:tr w14:paraId="76E5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0BD5B778">
            <w:pPr>
              <w:widowControl/>
              <w:adjustRightInd w:val="0"/>
              <w:snapToGrid w:val="0"/>
              <w:rPr>
                <w:rFonts w:cs="Times New Roman"/>
                <w:color w:val="000000"/>
                <w:kern w:val="2"/>
                <w:sz w:val="21"/>
                <w:szCs w:val="21"/>
                <w:lang w:val="en-US"/>
              </w:rPr>
            </w:pPr>
          </w:p>
        </w:tc>
        <w:tc>
          <w:tcPr>
            <w:tcW w:w="557" w:type="pct"/>
            <w:vAlign w:val="center"/>
          </w:tcPr>
          <w:p w14:paraId="77B47810">
            <w:pPr>
              <w:widowControl/>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模块自主研发</w:t>
            </w:r>
          </w:p>
          <w:p w14:paraId="20C67B54">
            <w:pPr>
              <w:widowControl/>
              <w:adjustRightInd w:val="0"/>
              <w:snapToGrid w:val="0"/>
              <w:jc w:val="center"/>
              <w:rPr>
                <w:rFonts w:cs="Times New Roman"/>
                <w:color w:val="000000"/>
                <w:kern w:val="2"/>
                <w:sz w:val="21"/>
                <w:szCs w:val="21"/>
                <w:lang w:val="en-US"/>
              </w:rPr>
            </w:pPr>
            <w:r>
              <w:rPr>
                <w:rFonts w:cs="Times New Roman"/>
                <w:color w:val="000000"/>
                <w:kern w:val="2"/>
                <w:sz w:val="21"/>
                <w:szCs w:val="21"/>
                <w:lang w:val="en-US"/>
              </w:rPr>
              <w:t>4</w:t>
            </w:r>
            <w:r>
              <w:rPr>
                <w:rFonts w:hint="eastAsia" w:cs="Times New Roman"/>
                <w:color w:val="000000"/>
                <w:kern w:val="2"/>
                <w:sz w:val="21"/>
                <w:szCs w:val="21"/>
                <w:lang w:val="en-US"/>
              </w:rPr>
              <w:t>分</w:t>
            </w:r>
          </w:p>
        </w:tc>
        <w:tc>
          <w:tcPr>
            <w:tcW w:w="3937" w:type="pct"/>
            <w:vAlign w:val="center"/>
          </w:tcPr>
          <w:p w14:paraId="20590605">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highlight w:val="yellow"/>
                <w:u w:val="none"/>
                <w:woUserID w:val="1"/>
              </w:rPr>
            </w:pPr>
            <w:r>
              <w:rPr>
                <w:rFonts w:hint="default" w:cs="宋体"/>
                <w:i w:val="0"/>
                <w:iCs w:val="0"/>
                <w:caps w:val="0"/>
                <w:color w:val="000000"/>
                <w:spacing w:val="0"/>
                <w:kern w:val="0"/>
                <w:sz w:val="21"/>
                <w:szCs w:val="21"/>
                <w:highlight w:val="yellow"/>
                <w:u w:val="none"/>
                <w:lang w:eastAsia="zh-CN" w:bidi="ar"/>
                <w:woUserID w:val="1"/>
              </w:rPr>
              <w:t>1、</w:t>
            </w:r>
            <w:r>
              <w:rPr>
                <w:rFonts w:hint="eastAsia" w:ascii="宋体" w:hAnsi="宋体" w:eastAsia="宋体" w:cs="宋体"/>
                <w:i w:val="0"/>
                <w:iCs w:val="0"/>
                <w:caps w:val="0"/>
                <w:color w:val="000000"/>
                <w:spacing w:val="0"/>
                <w:kern w:val="0"/>
                <w:sz w:val="21"/>
                <w:szCs w:val="21"/>
                <w:highlight w:val="yellow"/>
                <w:u w:val="none"/>
                <w:lang w:val="en-US" w:eastAsia="zh-CN" w:bidi="ar"/>
                <w:woUserID w:val="1"/>
              </w:rPr>
              <w:t>充电设备所用充电模块应为投标人自主研发产品，输出电压范围为50-1000V，恒功率范围300-1000V，并且为全灌胶模块，提供40kW充电模块报告（具有CMA</w:t>
            </w:r>
            <w:r>
              <w:rPr>
                <w:rFonts w:hint="default" w:cs="宋体"/>
                <w:i w:val="0"/>
                <w:iCs w:val="0"/>
                <w:caps w:val="0"/>
                <w:color w:val="000000"/>
                <w:spacing w:val="0"/>
                <w:kern w:val="0"/>
                <w:sz w:val="21"/>
                <w:szCs w:val="21"/>
                <w:highlight w:val="yellow"/>
                <w:u w:val="none"/>
                <w:lang w:eastAsia="zh-CN" w:bidi="ar"/>
                <w:woUserID w:val="1"/>
              </w:rPr>
              <w:t>、</w:t>
            </w:r>
            <w:r>
              <w:rPr>
                <w:rFonts w:hint="eastAsia" w:ascii="宋体" w:hAnsi="宋体" w:eastAsia="宋体" w:cs="宋体"/>
                <w:i w:val="0"/>
                <w:iCs w:val="0"/>
                <w:caps w:val="0"/>
                <w:color w:val="000000"/>
                <w:spacing w:val="0"/>
                <w:kern w:val="0"/>
                <w:sz w:val="21"/>
                <w:szCs w:val="21"/>
                <w:highlight w:val="yellow"/>
                <w:u w:val="none"/>
                <w:lang w:val="en-US" w:eastAsia="zh-CN" w:bidi="ar"/>
                <w:woUserID w:val="1"/>
              </w:rPr>
              <w:t>CNAS认证）、</w:t>
            </w:r>
            <w:r>
              <w:rPr>
                <w:rFonts w:hint="default" w:cs="宋体"/>
                <w:i w:val="0"/>
                <w:iCs w:val="0"/>
                <w:caps w:val="0"/>
                <w:color w:val="000000"/>
                <w:spacing w:val="0"/>
                <w:kern w:val="0"/>
                <w:sz w:val="21"/>
                <w:szCs w:val="21"/>
                <w:highlight w:val="yellow"/>
                <w:u w:val="none"/>
                <w:lang w:eastAsia="zh-CN" w:bidi="ar"/>
                <w:woUserID w:val="1"/>
              </w:rPr>
              <w:t>自研证明提供</w:t>
            </w:r>
            <w:r>
              <w:rPr>
                <w:rFonts w:hint="eastAsia" w:ascii="宋体" w:hAnsi="宋体" w:eastAsia="宋体" w:cs="宋体"/>
                <w:i w:val="0"/>
                <w:iCs w:val="0"/>
                <w:caps w:val="0"/>
                <w:color w:val="000000"/>
                <w:spacing w:val="0"/>
                <w:kern w:val="0"/>
                <w:sz w:val="21"/>
                <w:szCs w:val="21"/>
                <w:highlight w:val="yellow"/>
                <w:u w:val="none"/>
                <w:lang w:val="en-US" w:eastAsia="zh-CN" w:bidi="ar"/>
                <w:woUserID w:val="1"/>
              </w:rPr>
              <w:t>设计规格书和相应的知识产权（软著或专利）进行佐证，满足得2分，不满足不得分。</w:t>
            </w:r>
          </w:p>
          <w:p w14:paraId="733B6B01">
            <w:pPr>
              <w:keepNext w:val="0"/>
              <w:keepLines w:val="0"/>
              <w:widowControl/>
              <w:suppressLineNumbers w:val="0"/>
              <w:spacing w:before="0" w:beforeAutospacing="0" w:after="0" w:afterAutospacing="0"/>
              <w:ind w:left="0" w:right="0" w:firstLine="0"/>
              <w:jc w:val="both"/>
              <w:rPr>
                <w:rFonts w:cs="Times New Roman"/>
                <w:color w:val="000000"/>
                <w:kern w:val="2"/>
                <w:sz w:val="21"/>
                <w:szCs w:val="21"/>
                <w:lang w:val="en-US"/>
              </w:rPr>
            </w:pPr>
            <w:r>
              <w:rPr>
                <w:rFonts w:hint="default" w:cs="宋体"/>
                <w:i w:val="0"/>
                <w:iCs w:val="0"/>
                <w:caps w:val="0"/>
                <w:color w:val="000000"/>
                <w:spacing w:val="0"/>
                <w:kern w:val="0"/>
                <w:sz w:val="21"/>
                <w:szCs w:val="21"/>
                <w:highlight w:val="yellow"/>
                <w:u w:val="none"/>
                <w:lang w:eastAsia="zh-CN" w:bidi="ar"/>
                <w:woUserID w:val="1"/>
              </w:rPr>
              <w:t>2、</w:t>
            </w:r>
            <w:r>
              <w:rPr>
                <w:rFonts w:hint="eastAsia" w:ascii="宋体" w:hAnsi="宋体" w:eastAsia="宋体" w:cs="宋体"/>
                <w:i w:val="0"/>
                <w:iCs w:val="0"/>
                <w:caps w:val="0"/>
                <w:color w:val="000000"/>
                <w:spacing w:val="0"/>
                <w:kern w:val="0"/>
                <w:sz w:val="21"/>
                <w:szCs w:val="21"/>
                <w:highlight w:val="yellow"/>
                <w:u w:val="none"/>
                <w:lang w:val="en-US" w:eastAsia="zh-CN" w:bidi="ar"/>
                <w:woUserID w:val="1"/>
              </w:rPr>
              <w:t>充电设备所用监控系统和控制主板应为投标人自主研发产品，可实现充电功能、通信功能、防护、运维功能和人机交互，提供监控系统和控制主板报告（具有CMA</w:t>
            </w:r>
            <w:r>
              <w:rPr>
                <w:rFonts w:hint="default" w:cs="宋体"/>
                <w:i w:val="0"/>
                <w:iCs w:val="0"/>
                <w:caps w:val="0"/>
                <w:color w:val="000000"/>
                <w:spacing w:val="0"/>
                <w:kern w:val="0"/>
                <w:sz w:val="21"/>
                <w:szCs w:val="21"/>
                <w:highlight w:val="yellow"/>
                <w:u w:val="none"/>
                <w:lang w:eastAsia="zh-CN" w:bidi="ar"/>
                <w:woUserID w:val="1"/>
              </w:rPr>
              <w:t>、</w:t>
            </w:r>
            <w:r>
              <w:rPr>
                <w:rFonts w:hint="eastAsia" w:ascii="宋体" w:hAnsi="宋体" w:eastAsia="宋体" w:cs="宋体"/>
                <w:i w:val="0"/>
                <w:iCs w:val="0"/>
                <w:caps w:val="0"/>
                <w:color w:val="000000"/>
                <w:spacing w:val="0"/>
                <w:kern w:val="0"/>
                <w:sz w:val="21"/>
                <w:szCs w:val="21"/>
                <w:highlight w:val="yellow"/>
                <w:u w:val="none"/>
                <w:lang w:val="en-US" w:eastAsia="zh-CN" w:bidi="ar"/>
                <w:woUserID w:val="1"/>
              </w:rPr>
              <w:t>CNAS认证）、</w:t>
            </w:r>
            <w:r>
              <w:rPr>
                <w:rFonts w:hint="default" w:cs="宋体"/>
                <w:i w:val="0"/>
                <w:iCs w:val="0"/>
                <w:caps w:val="0"/>
                <w:color w:val="000000"/>
                <w:spacing w:val="0"/>
                <w:kern w:val="0"/>
                <w:sz w:val="21"/>
                <w:szCs w:val="21"/>
                <w:highlight w:val="yellow"/>
                <w:u w:val="none"/>
                <w:lang w:eastAsia="zh-CN" w:bidi="ar"/>
                <w:woUserID w:val="1"/>
              </w:rPr>
              <w:t>自研证明提供</w:t>
            </w:r>
            <w:r>
              <w:rPr>
                <w:rFonts w:hint="eastAsia" w:ascii="宋体" w:hAnsi="宋体" w:eastAsia="宋体" w:cs="宋体"/>
                <w:i w:val="0"/>
                <w:iCs w:val="0"/>
                <w:caps w:val="0"/>
                <w:color w:val="000000"/>
                <w:spacing w:val="0"/>
                <w:kern w:val="0"/>
                <w:sz w:val="21"/>
                <w:szCs w:val="21"/>
                <w:highlight w:val="yellow"/>
                <w:u w:val="none"/>
                <w:lang w:val="en-US" w:eastAsia="zh-CN" w:bidi="ar"/>
                <w:woUserID w:val="1"/>
              </w:rPr>
              <w:t>设计规格书和相应的知识产权（软著或专利）进行佐证，满足得2分，不满足不得分。</w:t>
            </w:r>
          </w:p>
        </w:tc>
      </w:tr>
      <w:tr w14:paraId="227C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3C0FD924">
            <w:pPr>
              <w:widowControl/>
              <w:adjustRightInd w:val="0"/>
              <w:snapToGrid w:val="0"/>
              <w:rPr>
                <w:rFonts w:cs="Times New Roman"/>
                <w:color w:val="000000"/>
                <w:kern w:val="2"/>
                <w:sz w:val="21"/>
                <w:szCs w:val="21"/>
                <w:lang w:val="en-US"/>
              </w:rPr>
            </w:pPr>
          </w:p>
        </w:tc>
        <w:tc>
          <w:tcPr>
            <w:tcW w:w="557" w:type="pct"/>
            <w:vMerge w:val="restart"/>
            <w:vAlign w:val="center"/>
          </w:tcPr>
          <w:p w14:paraId="34F7B6EA">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充电运营管理平台先进性</w:t>
            </w:r>
            <w:r>
              <w:rPr>
                <w:rFonts w:cs="Times New Roman"/>
                <w:color w:val="000000"/>
                <w:kern w:val="2"/>
                <w:sz w:val="21"/>
                <w:szCs w:val="21"/>
                <w:lang w:val="en-US"/>
              </w:rPr>
              <w:t>10</w:t>
            </w:r>
            <w:r>
              <w:rPr>
                <w:rFonts w:hint="eastAsia" w:cs="Times New Roman"/>
                <w:color w:val="000000"/>
                <w:kern w:val="2"/>
                <w:sz w:val="21"/>
                <w:szCs w:val="21"/>
                <w:lang w:val="en-US"/>
              </w:rPr>
              <w:t>分</w:t>
            </w:r>
          </w:p>
        </w:tc>
        <w:tc>
          <w:tcPr>
            <w:tcW w:w="3937" w:type="pct"/>
            <w:vAlign w:val="center"/>
          </w:tcPr>
          <w:p w14:paraId="73B68F9E">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1、所提供的充电运营管理平台能够监控车辆充电安全，并对异常充电车辆发送预警信息，提供软件著作权登记证书，得</w:t>
            </w:r>
            <w:r>
              <w:rPr>
                <w:rFonts w:cs="Times New Roman"/>
                <w:color w:val="000000"/>
                <w:kern w:val="2"/>
                <w:sz w:val="21"/>
                <w:szCs w:val="21"/>
                <w:lang w:val="en-US"/>
              </w:rPr>
              <w:t>2</w:t>
            </w:r>
            <w:r>
              <w:rPr>
                <w:rFonts w:hint="eastAsia" w:cs="Times New Roman"/>
                <w:color w:val="000000"/>
                <w:kern w:val="2"/>
                <w:sz w:val="21"/>
                <w:szCs w:val="21"/>
                <w:lang w:val="en-US"/>
              </w:rPr>
              <w:t>分，不提供不得分。</w:t>
            </w:r>
          </w:p>
        </w:tc>
      </w:tr>
      <w:tr w14:paraId="5792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05" w:type="pct"/>
            <w:vMerge w:val="continue"/>
            <w:vAlign w:val="center"/>
          </w:tcPr>
          <w:p w14:paraId="4982AE97">
            <w:pPr>
              <w:widowControl/>
              <w:adjustRightInd w:val="0"/>
              <w:snapToGrid w:val="0"/>
              <w:rPr>
                <w:rFonts w:cs="Times New Roman"/>
                <w:color w:val="000000"/>
                <w:kern w:val="2"/>
                <w:sz w:val="21"/>
                <w:szCs w:val="21"/>
                <w:lang w:val="en-US"/>
              </w:rPr>
            </w:pPr>
          </w:p>
        </w:tc>
        <w:tc>
          <w:tcPr>
            <w:tcW w:w="557" w:type="pct"/>
            <w:vMerge w:val="continue"/>
            <w:vAlign w:val="center"/>
          </w:tcPr>
          <w:p w14:paraId="475F01B7">
            <w:pPr>
              <w:widowControl/>
              <w:adjustRightInd w:val="0"/>
              <w:snapToGrid w:val="0"/>
              <w:rPr>
                <w:rFonts w:cs="Times New Roman"/>
                <w:color w:val="000000"/>
                <w:kern w:val="2"/>
                <w:sz w:val="21"/>
                <w:szCs w:val="21"/>
                <w:lang w:val="en-US"/>
              </w:rPr>
            </w:pPr>
          </w:p>
        </w:tc>
        <w:tc>
          <w:tcPr>
            <w:tcW w:w="3937" w:type="pct"/>
            <w:vAlign w:val="center"/>
          </w:tcPr>
          <w:p w14:paraId="3D665119">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2、所提供的充电运营管理平台单用户后台电桩查询响应时间≤0.5秒，充电站历史数据查询响应时间≤0.08秒，CPU占用率≤</w:t>
            </w:r>
            <w:r>
              <w:rPr>
                <w:rFonts w:cs="Times New Roman"/>
                <w:color w:val="000000"/>
                <w:kern w:val="2"/>
                <w:sz w:val="21"/>
                <w:szCs w:val="21"/>
                <w:lang w:val="en-US"/>
              </w:rPr>
              <w:t>5</w:t>
            </w:r>
            <w:r>
              <w:rPr>
                <w:rFonts w:hint="eastAsia" w:cs="Times New Roman"/>
                <w:color w:val="000000"/>
                <w:kern w:val="2"/>
                <w:sz w:val="21"/>
                <w:szCs w:val="21"/>
                <w:lang w:val="en-US"/>
              </w:rPr>
              <w:t>%，内存占用率≤</w:t>
            </w:r>
            <w:r>
              <w:rPr>
                <w:rFonts w:cs="Times New Roman"/>
                <w:color w:val="000000"/>
                <w:kern w:val="2"/>
                <w:sz w:val="21"/>
                <w:szCs w:val="21"/>
                <w:lang w:val="en-US"/>
              </w:rPr>
              <w:t>5</w:t>
            </w:r>
            <w:r>
              <w:rPr>
                <w:rFonts w:hint="eastAsia" w:cs="Times New Roman"/>
                <w:color w:val="000000"/>
                <w:kern w:val="2"/>
                <w:sz w:val="21"/>
                <w:szCs w:val="21"/>
                <w:lang w:val="en-US"/>
              </w:rPr>
              <w:t>%，以上参数满足的得</w:t>
            </w:r>
            <w:r>
              <w:rPr>
                <w:rFonts w:cs="Times New Roman"/>
                <w:color w:val="000000"/>
                <w:kern w:val="2"/>
                <w:sz w:val="21"/>
                <w:szCs w:val="21"/>
                <w:lang w:val="en-US"/>
              </w:rPr>
              <w:t>2</w:t>
            </w:r>
            <w:r>
              <w:rPr>
                <w:rFonts w:hint="eastAsia" w:cs="Times New Roman"/>
                <w:color w:val="000000"/>
                <w:kern w:val="2"/>
                <w:sz w:val="21"/>
                <w:szCs w:val="21"/>
                <w:lang w:val="en-US"/>
              </w:rPr>
              <w:t>分，提供由第三方专业权威机构出具的测试报告（具备CMA</w:t>
            </w:r>
            <w:r>
              <w:rPr>
                <w:rFonts w:hint="default" w:cs="Times New Roman"/>
                <w:color w:val="000000"/>
                <w:kern w:val="2"/>
                <w:sz w:val="21"/>
                <w:szCs w:val="21"/>
                <w:woUserID w:val="1"/>
              </w:rPr>
              <w:t>、</w:t>
            </w:r>
            <w:r>
              <w:rPr>
                <w:rFonts w:hint="eastAsia" w:cs="Times New Roman"/>
                <w:color w:val="000000"/>
                <w:kern w:val="2"/>
                <w:sz w:val="21"/>
                <w:szCs w:val="21"/>
                <w:lang w:val="en-US"/>
              </w:rPr>
              <w:t>CNAS认证标识），不提供不得分；</w:t>
            </w:r>
          </w:p>
        </w:tc>
      </w:tr>
      <w:tr w14:paraId="6072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08A822C0">
            <w:pPr>
              <w:widowControl/>
              <w:adjustRightInd w:val="0"/>
              <w:snapToGrid w:val="0"/>
              <w:rPr>
                <w:rFonts w:cs="Times New Roman"/>
                <w:color w:val="000000"/>
                <w:kern w:val="2"/>
                <w:sz w:val="21"/>
                <w:szCs w:val="21"/>
                <w:lang w:val="en-US"/>
              </w:rPr>
            </w:pPr>
          </w:p>
        </w:tc>
        <w:tc>
          <w:tcPr>
            <w:tcW w:w="557" w:type="pct"/>
            <w:vMerge w:val="continue"/>
            <w:vAlign w:val="center"/>
          </w:tcPr>
          <w:p w14:paraId="60B0323E">
            <w:pPr>
              <w:widowControl/>
              <w:adjustRightInd w:val="0"/>
              <w:snapToGrid w:val="0"/>
              <w:rPr>
                <w:rFonts w:cs="Times New Roman"/>
                <w:color w:val="000000"/>
                <w:kern w:val="2"/>
                <w:sz w:val="21"/>
                <w:szCs w:val="21"/>
                <w:lang w:val="en-US"/>
              </w:rPr>
            </w:pPr>
          </w:p>
        </w:tc>
        <w:tc>
          <w:tcPr>
            <w:tcW w:w="3937" w:type="pct"/>
            <w:vAlign w:val="center"/>
          </w:tcPr>
          <w:p w14:paraId="5CF9FB2A">
            <w:pPr>
              <w:widowControl/>
              <w:adjustRightInd w:val="0"/>
              <w:snapToGrid w:val="0"/>
              <w:rPr>
                <w:rFonts w:cs="Times New Roman"/>
                <w:color w:val="000000"/>
                <w:kern w:val="2"/>
                <w:sz w:val="21"/>
                <w:szCs w:val="21"/>
                <w:lang w:val="en-US"/>
              </w:rPr>
            </w:pPr>
            <w:r>
              <w:rPr>
                <w:rFonts w:cs="Times New Roman"/>
                <w:color w:val="000000"/>
                <w:kern w:val="2"/>
                <w:sz w:val="21"/>
                <w:szCs w:val="21"/>
                <w:lang w:val="en-US"/>
              </w:rPr>
              <w:t>3、</w:t>
            </w:r>
            <w:r>
              <w:rPr>
                <w:rFonts w:hint="eastAsia" w:cs="Times New Roman"/>
                <w:color w:val="000000"/>
                <w:kern w:val="2"/>
                <w:sz w:val="21"/>
                <w:szCs w:val="21"/>
                <w:lang w:val="en-US"/>
              </w:rPr>
              <w:t>所提供的</w:t>
            </w:r>
            <w:r>
              <w:rPr>
                <w:rFonts w:cs="Times New Roman"/>
                <w:color w:val="000000"/>
                <w:kern w:val="2"/>
                <w:sz w:val="21"/>
                <w:szCs w:val="21"/>
                <w:lang w:val="en-US"/>
              </w:rPr>
              <w:t>运营管理及充电智能监控平台，具备平台大数据应用-平台审计故障码故障提示检测（100项及以上）得1分，每增加50项得0.5分，提供由第三方专业权威机构出具的测试报告（具备CMA</w:t>
            </w:r>
            <w:r>
              <w:rPr>
                <w:rFonts w:cs="Times New Roman"/>
                <w:color w:val="000000"/>
                <w:kern w:val="2"/>
                <w:sz w:val="21"/>
                <w:szCs w:val="21"/>
                <w:woUserID w:val="1"/>
              </w:rPr>
              <w:t>、</w:t>
            </w:r>
            <w:r>
              <w:rPr>
                <w:rFonts w:cs="Times New Roman"/>
                <w:color w:val="000000"/>
                <w:kern w:val="2"/>
                <w:sz w:val="21"/>
                <w:szCs w:val="21"/>
                <w:lang w:val="en-US"/>
              </w:rPr>
              <w:t>CNAS认证标识），本项满分2分，不提供不得分。</w:t>
            </w:r>
          </w:p>
        </w:tc>
      </w:tr>
      <w:tr w14:paraId="6061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056ABD16">
            <w:pPr>
              <w:widowControl/>
              <w:adjustRightInd w:val="0"/>
              <w:snapToGrid w:val="0"/>
              <w:rPr>
                <w:rFonts w:cs="Times New Roman"/>
                <w:color w:val="000000"/>
                <w:kern w:val="2"/>
                <w:sz w:val="21"/>
                <w:szCs w:val="21"/>
                <w:lang w:val="en-US"/>
              </w:rPr>
            </w:pPr>
          </w:p>
        </w:tc>
        <w:tc>
          <w:tcPr>
            <w:tcW w:w="557" w:type="pct"/>
            <w:vMerge w:val="continue"/>
            <w:vAlign w:val="center"/>
          </w:tcPr>
          <w:p w14:paraId="280EEBD1">
            <w:pPr>
              <w:widowControl/>
              <w:adjustRightInd w:val="0"/>
              <w:snapToGrid w:val="0"/>
              <w:rPr>
                <w:rFonts w:cs="Times New Roman"/>
                <w:color w:val="000000"/>
                <w:kern w:val="2"/>
                <w:sz w:val="21"/>
                <w:szCs w:val="21"/>
                <w:lang w:val="en-US"/>
              </w:rPr>
            </w:pPr>
          </w:p>
        </w:tc>
        <w:tc>
          <w:tcPr>
            <w:tcW w:w="3937" w:type="pct"/>
            <w:vAlign w:val="center"/>
          </w:tcPr>
          <w:p w14:paraId="190486BE">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4、所提供的充电运营管理平台充电安全防护功能的维度或模型数量由多到少进行打分，</w:t>
            </w:r>
            <w:r>
              <w:rPr>
                <w:rFonts w:cs="Times New Roman"/>
                <w:color w:val="000000"/>
                <w:kern w:val="2"/>
                <w:sz w:val="21"/>
                <w:szCs w:val="21"/>
                <w:lang w:val="en-US"/>
              </w:rPr>
              <w:t>15种及以上的得2分；10-14种的得1分；9种及以下的得0.5分；没有不得分，提供由第三方专业权威机构出具的测试报告（具备CMA</w:t>
            </w:r>
            <w:r>
              <w:rPr>
                <w:rFonts w:cs="Times New Roman"/>
                <w:color w:val="000000"/>
                <w:kern w:val="2"/>
                <w:sz w:val="21"/>
                <w:szCs w:val="21"/>
                <w:woUserID w:val="1"/>
              </w:rPr>
              <w:t>、</w:t>
            </w:r>
            <w:r>
              <w:rPr>
                <w:rFonts w:cs="Times New Roman"/>
                <w:color w:val="000000"/>
                <w:kern w:val="2"/>
                <w:sz w:val="21"/>
                <w:szCs w:val="21"/>
                <w:lang w:val="en-US"/>
              </w:rPr>
              <w:t>CNAS认证标识）</w:t>
            </w:r>
            <w:r>
              <w:rPr>
                <w:rFonts w:hint="eastAsia" w:cs="Times New Roman"/>
                <w:color w:val="000000"/>
                <w:kern w:val="2"/>
                <w:sz w:val="21"/>
                <w:szCs w:val="21"/>
                <w:lang w:val="en-US"/>
              </w:rPr>
              <w:t>。</w:t>
            </w:r>
          </w:p>
        </w:tc>
      </w:tr>
      <w:tr w14:paraId="0E44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11726E64">
            <w:pPr>
              <w:widowControl/>
              <w:adjustRightInd w:val="0"/>
              <w:snapToGrid w:val="0"/>
              <w:rPr>
                <w:rFonts w:cs="Times New Roman"/>
                <w:color w:val="000000"/>
                <w:kern w:val="2"/>
                <w:sz w:val="21"/>
                <w:szCs w:val="21"/>
                <w:lang w:val="en-US"/>
              </w:rPr>
            </w:pPr>
          </w:p>
        </w:tc>
        <w:tc>
          <w:tcPr>
            <w:tcW w:w="557" w:type="pct"/>
            <w:vMerge w:val="continue"/>
            <w:vAlign w:val="center"/>
          </w:tcPr>
          <w:p w14:paraId="50A1F708">
            <w:pPr>
              <w:widowControl/>
              <w:adjustRightInd w:val="0"/>
              <w:snapToGrid w:val="0"/>
              <w:rPr>
                <w:rFonts w:cs="Times New Roman"/>
                <w:color w:val="000000"/>
                <w:kern w:val="2"/>
                <w:sz w:val="21"/>
                <w:szCs w:val="21"/>
                <w:lang w:val="en-US"/>
              </w:rPr>
            </w:pPr>
          </w:p>
        </w:tc>
        <w:tc>
          <w:tcPr>
            <w:tcW w:w="3937" w:type="pct"/>
            <w:vAlign w:val="center"/>
          </w:tcPr>
          <w:p w14:paraId="2ECDDD13">
            <w:pPr>
              <w:widowControl/>
              <w:adjustRightInd w:val="0"/>
              <w:snapToGrid w:val="0"/>
              <w:rPr>
                <w:rFonts w:cs="Times New Roman"/>
                <w:color w:val="000000"/>
                <w:kern w:val="2"/>
                <w:sz w:val="21"/>
                <w:szCs w:val="21"/>
                <w:lang w:val="en-US"/>
              </w:rPr>
            </w:pPr>
            <w:r>
              <w:rPr>
                <w:rFonts w:cs="Times New Roman"/>
                <w:color w:val="000000"/>
                <w:kern w:val="2"/>
                <w:sz w:val="21"/>
                <w:szCs w:val="21"/>
                <w:lang w:val="en-US"/>
              </w:rPr>
              <w:t>5</w:t>
            </w:r>
            <w:r>
              <w:rPr>
                <w:rFonts w:hint="eastAsia" w:cs="Times New Roman"/>
                <w:color w:val="000000"/>
                <w:kern w:val="2"/>
                <w:sz w:val="21"/>
                <w:szCs w:val="21"/>
                <w:lang w:val="en-US"/>
              </w:rPr>
              <w:t>、</w:t>
            </w:r>
            <w:r>
              <w:rPr>
                <w:rFonts w:cs="Times New Roman"/>
                <w:color w:val="000000"/>
                <w:kern w:val="2"/>
                <w:sz w:val="21"/>
                <w:szCs w:val="21"/>
                <w:lang w:val="en-US"/>
              </w:rPr>
              <w:t>投标人</w:t>
            </w:r>
            <w:r>
              <w:rPr>
                <w:rFonts w:hint="eastAsia" w:cs="Times New Roman"/>
                <w:color w:val="000000"/>
                <w:kern w:val="2"/>
                <w:sz w:val="21"/>
                <w:szCs w:val="21"/>
                <w:lang w:val="en-US"/>
              </w:rPr>
              <w:t>承诺本项目中提供的充电APP从未发生过侵害用户权益的行为，提供承诺函的得2分，不提供不得分。</w:t>
            </w:r>
          </w:p>
        </w:tc>
      </w:tr>
      <w:tr w14:paraId="6DF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vMerge w:val="continue"/>
            <w:vAlign w:val="center"/>
          </w:tcPr>
          <w:p w14:paraId="0D96E396">
            <w:pPr>
              <w:widowControl/>
              <w:adjustRightInd w:val="0"/>
              <w:snapToGrid w:val="0"/>
              <w:rPr>
                <w:rFonts w:cs="Times New Roman"/>
                <w:color w:val="000000"/>
                <w:kern w:val="2"/>
                <w:sz w:val="21"/>
                <w:szCs w:val="21"/>
                <w:lang w:val="en-US"/>
              </w:rPr>
            </w:pPr>
          </w:p>
        </w:tc>
        <w:tc>
          <w:tcPr>
            <w:tcW w:w="557" w:type="pct"/>
            <w:vAlign w:val="center"/>
          </w:tcPr>
          <w:p w14:paraId="2FF50057">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售后服务</w:t>
            </w:r>
            <w:r>
              <w:rPr>
                <w:rFonts w:cs="Times New Roman"/>
                <w:color w:val="000000"/>
                <w:kern w:val="2"/>
                <w:sz w:val="21"/>
                <w:szCs w:val="21"/>
                <w:lang w:val="en-US"/>
              </w:rPr>
              <w:t>10</w:t>
            </w:r>
            <w:r>
              <w:rPr>
                <w:rFonts w:hint="eastAsia" w:cs="Times New Roman"/>
                <w:color w:val="000000"/>
                <w:kern w:val="2"/>
                <w:sz w:val="21"/>
                <w:szCs w:val="21"/>
                <w:lang w:val="en-US"/>
              </w:rPr>
              <w:t>分</w:t>
            </w:r>
          </w:p>
        </w:tc>
        <w:tc>
          <w:tcPr>
            <w:tcW w:w="3937" w:type="pct"/>
            <w:vAlign w:val="center"/>
          </w:tcPr>
          <w:p w14:paraId="6DFCAD67">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1、</w:t>
            </w:r>
            <w:r>
              <w:rPr>
                <w:rFonts w:cs="Times New Roman"/>
                <w:color w:val="000000"/>
                <w:kern w:val="2"/>
                <w:sz w:val="21"/>
                <w:szCs w:val="21"/>
                <w:lang w:val="en-US"/>
              </w:rPr>
              <w:t>投标人</w:t>
            </w:r>
            <w:r>
              <w:rPr>
                <w:rFonts w:hint="eastAsia" w:cs="Times New Roman"/>
                <w:color w:val="000000"/>
                <w:kern w:val="2"/>
                <w:sz w:val="21"/>
                <w:szCs w:val="21"/>
                <w:lang w:val="en-US"/>
              </w:rPr>
              <w:t>具有本地化售后服务机构的得</w:t>
            </w:r>
            <w:r>
              <w:rPr>
                <w:rFonts w:cs="Times New Roman"/>
                <w:color w:val="000000"/>
                <w:kern w:val="2"/>
                <w:sz w:val="21"/>
                <w:szCs w:val="21"/>
                <w:lang w:val="en-US"/>
              </w:rPr>
              <w:t>2</w:t>
            </w:r>
            <w:r>
              <w:rPr>
                <w:rFonts w:hint="eastAsia" w:cs="Times New Roman"/>
                <w:color w:val="000000"/>
                <w:kern w:val="2"/>
                <w:sz w:val="21"/>
                <w:szCs w:val="21"/>
                <w:lang w:val="en-US"/>
              </w:rPr>
              <w:t>分，承诺中标后一个月内成立本地化售后服务机构的得0.5分，其他不得分。</w:t>
            </w:r>
          </w:p>
          <w:p w14:paraId="68FE97AF">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（证明材料：须提供售后服务机构营业执照、服务机构有效期内的房屋产权证明或房屋租赁合同或场地使用证明或承诺函，缺一不得分）</w:t>
            </w:r>
          </w:p>
          <w:p w14:paraId="0C796372">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2、投标人具备完整、合理、成熟的售后服务评价体系，须满足GB/T27922-2011标准要求，且认证范围须包括汽车充电桩及设备的售后服务，满足五星服务能力的得</w:t>
            </w:r>
            <w:r>
              <w:rPr>
                <w:rFonts w:cs="Times New Roman"/>
                <w:color w:val="000000"/>
                <w:kern w:val="2"/>
                <w:sz w:val="21"/>
                <w:szCs w:val="21"/>
                <w:lang w:val="en-US"/>
              </w:rPr>
              <w:t>3</w:t>
            </w:r>
            <w:r>
              <w:rPr>
                <w:rFonts w:hint="eastAsia" w:cs="Times New Roman"/>
                <w:color w:val="000000"/>
                <w:kern w:val="2"/>
                <w:sz w:val="21"/>
                <w:szCs w:val="21"/>
                <w:lang w:val="en-US"/>
              </w:rPr>
              <w:t>分，其他得1分，不具备不得分。</w:t>
            </w:r>
          </w:p>
          <w:p w14:paraId="5FA67205">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【证明材料：证书复印件加盖公章编入投标文件中，并同时提供国家认证认可监督管理委员会官方网站上相关证书有效的网页截图或网站打印页，否则不得分。】</w:t>
            </w:r>
          </w:p>
          <w:p w14:paraId="4FAD909E">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3、</w:t>
            </w:r>
            <w:r>
              <w:rPr>
                <w:rFonts w:cs="Times New Roman"/>
                <w:color w:val="000000"/>
                <w:kern w:val="2"/>
                <w:sz w:val="21"/>
                <w:szCs w:val="21"/>
                <w:lang w:val="en-US"/>
              </w:rPr>
              <w:t>为保证售后服务的专业和安全性。售后服务机构共须具有不少5个售后服务人员且具备特种作业操作证人员不少于2人，全部满足得2分，不满足不得分。</w:t>
            </w:r>
          </w:p>
          <w:p w14:paraId="7D0128B8">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【证明材料：提供售后服务人员的《社保证明》和相关人员的《特种作业操作证》。】</w:t>
            </w:r>
          </w:p>
          <w:p w14:paraId="69136A9C">
            <w:pPr>
              <w:widowControl/>
              <w:adjustRightInd w:val="0"/>
              <w:snapToGrid w:val="0"/>
              <w:rPr>
                <w:rFonts w:cs="Times New Roman"/>
                <w:color w:val="000000"/>
                <w:kern w:val="2"/>
                <w:sz w:val="21"/>
                <w:szCs w:val="21"/>
                <w:lang w:val="en-US"/>
              </w:rPr>
            </w:pPr>
            <w:r>
              <w:rPr>
                <w:rFonts w:hint="eastAsia" w:cs="Times New Roman"/>
                <w:color w:val="000000"/>
                <w:kern w:val="2"/>
                <w:sz w:val="21"/>
                <w:szCs w:val="21"/>
                <w:lang w:val="en-US"/>
              </w:rPr>
              <w:t>4、综合评价投标单位提供的售后服务方案、保障能力及培训计划，售后服务方案、保障能力及培训计划可实施性强的得</w:t>
            </w:r>
            <w:r>
              <w:rPr>
                <w:rFonts w:cs="Times New Roman"/>
                <w:color w:val="000000"/>
                <w:kern w:val="2"/>
                <w:sz w:val="21"/>
                <w:szCs w:val="21"/>
                <w:lang w:val="en-US"/>
              </w:rPr>
              <w:t>3</w:t>
            </w:r>
            <w:r>
              <w:rPr>
                <w:rFonts w:hint="eastAsia" w:cs="Times New Roman"/>
                <w:color w:val="000000"/>
                <w:kern w:val="2"/>
                <w:sz w:val="21"/>
                <w:szCs w:val="21"/>
                <w:lang w:val="en-US"/>
              </w:rPr>
              <w:t>分，售后服务方案、保障能力及培训计划可实施性较强的得</w:t>
            </w:r>
            <w:r>
              <w:rPr>
                <w:rFonts w:cs="Times New Roman"/>
                <w:color w:val="000000"/>
                <w:kern w:val="2"/>
                <w:sz w:val="21"/>
                <w:szCs w:val="21"/>
                <w:lang w:val="en-US"/>
              </w:rPr>
              <w:t>2</w:t>
            </w:r>
            <w:r>
              <w:rPr>
                <w:rFonts w:hint="eastAsia" w:cs="Times New Roman"/>
                <w:color w:val="000000"/>
                <w:kern w:val="2"/>
                <w:sz w:val="21"/>
                <w:szCs w:val="21"/>
                <w:lang w:val="en-US"/>
              </w:rPr>
              <w:t>分，售后服务方案、保障能力及培训计划可实施性一般的得</w:t>
            </w:r>
            <w:r>
              <w:rPr>
                <w:rFonts w:cs="Times New Roman"/>
                <w:color w:val="000000"/>
                <w:kern w:val="2"/>
                <w:sz w:val="21"/>
                <w:szCs w:val="21"/>
                <w:lang w:val="en-US"/>
              </w:rPr>
              <w:t>1</w:t>
            </w:r>
            <w:r>
              <w:rPr>
                <w:rFonts w:hint="eastAsia" w:cs="Times New Roman"/>
                <w:color w:val="000000"/>
                <w:kern w:val="2"/>
                <w:sz w:val="21"/>
                <w:szCs w:val="21"/>
                <w:lang w:val="en-US"/>
              </w:rPr>
              <w:t>分；不提供不得分。</w:t>
            </w:r>
          </w:p>
        </w:tc>
      </w:tr>
    </w:tbl>
    <w:p w14:paraId="11ACCC7C">
      <w:pPr>
        <w:pStyle w:val="18"/>
        <w:spacing w:before="10" w:line="360" w:lineRule="auto"/>
        <w:rPr>
          <w:rFonts w:ascii="Times New Roman" w:hAnsi="Times New Roman" w:cs="Times New Roman"/>
          <w:sz w:val="3"/>
          <w:lang w:val="en-US"/>
        </w:rPr>
      </w:pPr>
    </w:p>
    <w:p w14:paraId="5DE675D0">
      <w:pPr>
        <w:pStyle w:val="18"/>
        <w:spacing w:before="10" w:line="360" w:lineRule="auto"/>
        <w:rPr>
          <w:rFonts w:ascii="Times New Roman" w:hAnsi="Times New Roman" w:cs="Times New Roman"/>
          <w:sz w:val="3"/>
        </w:rPr>
      </w:pPr>
    </w:p>
    <w:p w14:paraId="3C65BC4D">
      <w:pPr>
        <w:pStyle w:val="18"/>
        <w:spacing w:before="10" w:line="360" w:lineRule="auto"/>
        <w:rPr>
          <w:rFonts w:ascii="Times New Roman" w:hAnsi="Times New Roman" w:cs="Times New Roman"/>
          <w:sz w:val="3"/>
        </w:rPr>
      </w:pPr>
    </w:p>
    <w:p w14:paraId="0F923792">
      <w:pPr>
        <w:spacing w:line="360" w:lineRule="auto"/>
        <w:rPr>
          <w:rFonts w:ascii="Times New Roman" w:hAnsi="Times New Roman" w:cs="Times New Roman"/>
        </w:rPr>
      </w:pPr>
    </w:p>
    <w:p w14:paraId="7D4242C6">
      <w:pPr>
        <w:spacing w:line="360" w:lineRule="auto"/>
        <w:rPr>
          <w:rFonts w:ascii="Times New Roman" w:hAnsi="Times New Roman" w:cs="Times New Roman"/>
        </w:rPr>
      </w:pPr>
    </w:p>
    <w:p w14:paraId="587B435E">
      <w:pPr>
        <w:spacing w:line="360" w:lineRule="auto"/>
        <w:rPr>
          <w:rFonts w:ascii="Times New Roman" w:hAnsi="Times New Roman" w:cs="Times New Roman"/>
        </w:rPr>
      </w:pPr>
    </w:p>
    <w:p w14:paraId="4A8F5F9D">
      <w:pPr>
        <w:spacing w:line="360" w:lineRule="auto"/>
        <w:rPr>
          <w:rFonts w:ascii="Times New Roman" w:hAnsi="Times New Roman" w:cs="Times New Roman"/>
        </w:rPr>
      </w:pPr>
    </w:p>
    <w:p w14:paraId="2EF37BB7">
      <w:pPr>
        <w:spacing w:line="360" w:lineRule="auto"/>
        <w:rPr>
          <w:rFonts w:ascii="Times New Roman" w:hAnsi="Times New Roman" w:cs="Times New Roman"/>
        </w:rPr>
      </w:pPr>
    </w:p>
    <w:p w14:paraId="55C5044D">
      <w:pPr>
        <w:spacing w:line="360" w:lineRule="auto"/>
        <w:rPr>
          <w:rFonts w:ascii="Times New Roman" w:hAnsi="Times New Roman" w:cs="Times New Roman"/>
        </w:rPr>
      </w:pPr>
    </w:p>
    <w:p w14:paraId="423FCC63">
      <w:pPr>
        <w:spacing w:line="360" w:lineRule="auto"/>
        <w:rPr>
          <w:rFonts w:ascii="Times New Roman" w:hAnsi="Times New Roman" w:cs="Times New Roman"/>
        </w:rPr>
      </w:pPr>
    </w:p>
    <w:p w14:paraId="71F4E02C">
      <w:pPr>
        <w:spacing w:line="360" w:lineRule="auto"/>
        <w:rPr>
          <w:rFonts w:ascii="Times New Roman" w:hAnsi="Times New Roman" w:cs="Times New Roman"/>
        </w:rPr>
      </w:pPr>
    </w:p>
    <w:p w14:paraId="2082C127">
      <w:pPr>
        <w:spacing w:line="360" w:lineRule="auto"/>
        <w:rPr>
          <w:rFonts w:ascii="Times New Roman" w:hAnsi="Times New Roman" w:cs="Times New Roman"/>
        </w:rPr>
      </w:pPr>
    </w:p>
    <w:p w14:paraId="4D2EBD77">
      <w:pPr>
        <w:spacing w:line="360" w:lineRule="auto"/>
        <w:rPr>
          <w:rFonts w:ascii="Times New Roman" w:hAnsi="Times New Roman" w:cs="Times New Roman"/>
        </w:rPr>
      </w:pPr>
    </w:p>
    <w:p w14:paraId="1BEF6715">
      <w:pPr>
        <w:spacing w:line="360" w:lineRule="auto"/>
        <w:rPr>
          <w:rFonts w:ascii="Times New Roman" w:hAnsi="Times New Roman" w:cs="Times New Roman"/>
        </w:rPr>
      </w:pPr>
    </w:p>
    <w:p w14:paraId="6F15CA16">
      <w:pPr>
        <w:spacing w:line="360" w:lineRule="auto"/>
        <w:rPr>
          <w:rFonts w:ascii="Times New Roman" w:hAnsi="Times New Roman" w:cs="Times New Roman"/>
        </w:rPr>
      </w:pPr>
    </w:p>
    <w:p w14:paraId="0EA855B3">
      <w:pPr>
        <w:spacing w:line="360" w:lineRule="auto"/>
        <w:rPr>
          <w:rFonts w:ascii="Times New Roman" w:hAnsi="Times New Roman" w:cs="Times New Roman"/>
        </w:rPr>
      </w:pPr>
    </w:p>
    <w:p w14:paraId="66FEDDB4">
      <w:pPr>
        <w:spacing w:line="360" w:lineRule="auto"/>
        <w:rPr>
          <w:rFonts w:ascii="Times New Roman" w:hAnsi="Times New Roman" w:cs="Times New Roman"/>
        </w:rPr>
      </w:pPr>
    </w:p>
    <w:p w14:paraId="2E068EB6">
      <w:pPr>
        <w:spacing w:line="360" w:lineRule="auto"/>
        <w:rPr>
          <w:rFonts w:ascii="Times New Roman" w:hAnsi="Times New Roman" w:cs="Times New Roman"/>
        </w:rPr>
      </w:pPr>
    </w:p>
    <w:p w14:paraId="0D398B13">
      <w:pPr>
        <w:spacing w:line="360" w:lineRule="auto"/>
        <w:rPr>
          <w:rFonts w:ascii="Times New Roman" w:hAnsi="Times New Roman" w:cs="Times New Roman"/>
        </w:rPr>
      </w:pPr>
    </w:p>
    <w:p w14:paraId="5C243074">
      <w:pPr>
        <w:spacing w:line="360" w:lineRule="auto"/>
        <w:rPr>
          <w:rFonts w:ascii="Times New Roman" w:hAnsi="Times New Roman" w:cs="Times New Roman"/>
        </w:rPr>
      </w:pPr>
    </w:p>
    <w:p w14:paraId="0668EC3C">
      <w:pPr>
        <w:spacing w:line="360" w:lineRule="auto"/>
        <w:rPr>
          <w:rFonts w:ascii="Times New Roman" w:hAnsi="Times New Roman" w:cs="Times New Roman"/>
        </w:rPr>
      </w:pPr>
    </w:p>
    <w:p w14:paraId="59316602">
      <w:pPr>
        <w:spacing w:line="360" w:lineRule="auto"/>
        <w:rPr>
          <w:rFonts w:ascii="Times New Roman" w:hAnsi="Times New Roman" w:cs="Times New Roman"/>
        </w:rPr>
      </w:pPr>
    </w:p>
    <w:p w14:paraId="07A439C2">
      <w:pPr>
        <w:spacing w:line="360" w:lineRule="auto"/>
        <w:rPr>
          <w:rFonts w:ascii="Times New Roman" w:hAnsi="Times New Roman" w:cs="Times New Roman"/>
        </w:rPr>
      </w:pPr>
    </w:p>
    <w:p w14:paraId="5E3E1C8A">
      <w:pPr>
        <w:spacing w:line="360" w:lineRule="auto"/>
        <w:rPr>
          <w:rFonts w:ascii="Times New Roman" w:hAnsi="Times New Roman" w:cs="Times New Roman"/>
        </w:rPr>
      </w:pPr>
    </w:p>
    <w:p w14:paraId="16D69347">
      <w:pPr>
        <w:spacing w:line="360" w:lineRule="auto"/>
        <w:rPr>
          <w:rFonts w:ascii="Times New Roman" w:hAnsi="Times New Roman" w:cs="Times New Roman"/>
        </w:rPr>
      </w:pPr>
    </w:p>
    <w:p w14:paraId="47F5A0DC">
      <w:pPr>
        <w:spacing w:line="360" w:lineRule="auto"/>
        <w:rPr>
          <w:rFonts w:ascii="Times New Roman" w:hAnsi="Times New Roman" w:cs="Times New Roman"/>
        </w:rPr>
      </w:pPr>
    </w:p>
    <w:p w14:paraId="1291E49C">
      <w:pPr>
        <w:spacing w:line="360" w:lineRule="auto"/>
        <w:rPr>
          <w:rFonts w:ascii="Times New Roman" w:hAnsi="Times New Roman" w:cs="Times New Roman"/>
        </w:rPr>
      </w:pPr>
    </w:p>
    <w:p w14:paraId="0146E0A9">
      <w:pPr>
        <w:spacing w:line="360" w:lineRule="auto"/>
        <w:rPr>
          <w:rFonts w:ascii="Times New Roman" w:hAnsi="Times New Roman" w:cs="Times New Roman"/>
        </w:rPr>
      </w:pPr>
    </w:p>
    <w:p w14:paraId="2ACA34FD">
      <w:pPr>
        <w:spacing w:line="360" w:lineRule="auto"/>
        <w:rPr>
          <w:rFonts w:ascii="Times New Roman" w:hAnsi="Times New Roman" w:cs="Times New Roman"/>
        </w:rPr>
      </w:pPr>
    </w:p>
    <w:p w14:paraId="26E7C255">
      <w:pPr>
        <w:spacing w:line="360" w:lineRule="auto"/>
        <w:rPr>
          <w:rFonts w:ascii="Times New Roman" w:hAnsi="Times New Roman" w:cs="Times New Roman"/>
        </w:rPr>
      </w:pPr>
    </w:p>
    <w:p w14:paraId="35516087">
      <w:pPr>
        <w:spacing w:line="360" w:lineRule="auto"/>
        <w:rPr>
          <w:rFonts w:ascii="Times New Roman" w:hAnsi="Times New Roman" w:cs="Times New Roman"/>
        </w:rPr>
      </w:pPr>
    </w:p>
    <w:p w14:paraId="749077B0">
      <w:pPr>
        <w:spacing w:line="360" w:lineRule="auto"/>
        <w:rPr>
          <w:rFonts w:ascii="Times New Roman" w:hAnsi="Times New Roman" w:cs="Times New Roman"/>
        </w:rPr>
      </w:pPr>
    </w:p>
    <w:p w14:paraId="6518754D">
      <w:pPr>
        <w:keepLines/>
        <w:numPr>
          <w:ilvl w:val="0"/>
          <w:numId w:val="18"/>
        </w:numPr>
        <w:spacing w:before="240" w:after="240" w:line="500" w:lineRule="exact"/>
        <w:ind w:firstLine="562" w:firstLineChars="200"/>
        <w:jc w:val="center"/>
        <w:outlineLvl w:val="0"/>
        <w:rPr>
          <w:rFonts w:ascii="Times New Roman" w:hAnsi="Times New Roman" w:cs="Times New Roman"/>
          <w:b/>
          <w:kern w:val="2"/>
          <w:sz w:val="28"/>
          <w:szCs w:val="20"/>
          <w:lang w:val="en-US"/>
        </w:rPr>
      </w:pPr>
      <w:bookmarkStart w:id="22" w:name="_Toc108100449"/>
      <w:r>
        <w:rPr>
          <w:rFonts w:ascii="Times New Roman" w:hAnsi="Times New Roman" w:cs="Times New Roman"/>
          <w:b/>
          <w:kern w:val="2"/>
          <w:sz w:val="28"/>
          <w:szCs w:val="20"/>
          <w:lang w:val="en-US"/>
        </w:rPr>
        <w:t>海宁市货物、工程和服务采购合同（格式）</w:t>
      </w:r>
      <w:bookmarkEnd w:id="22"/>
    </w:p>
    <w:p w14:paraId="71E3B6EC">
      <w:pPr>
        <w:keepLines/>
        <w:spacing w:before="240" w:after="240" w:line="500" w:lineRule="exact"/>
        <w:jc w:val="both"/>
        <w:outlineLvl w:val="0"/>
        <w:rPr>
          <w:rFonts w:ascii="Times New Roman" w:hAnsi="Times New Roman" w:cs="Times New Roman"/>
          <w:b/>
          <w:kern w:val="2"/>
          <w:sz w:val="28"/>
          <w:szCs w:val="20"/>
          <w:lang w:val="en-US"/>
        </w:rPr>
      </w:pPr>
      <w:r>
        <w:rPr>
          <w:rFonts w:hint="eastAsia" w:ascii="Times New Roman" w:hAnsi="Times New Roman" w:cs="Times New Roman"/>
          <w:b/>
          <w:sz w:val="30"/>
          <w:szCs w:val="30"/>
        </w:rPr>
        <w:t>泛半导体产业园二期园区安装充电桩采购</w:t>
      </w:r>
      <w:r>
        <w:rPr>
          <w:rFonts w:hint="eastAsia" w:ascii="Times New Roman" w:hAnsi="Times New Roman" w:cs="Times New Roman"/>
          <w:b/>
          <w:sz w:val="30"/>
          <w:szCs w:val="30"/>
          <w:lang w:val="en-US"/>
        </w:rPr>
        <w:t>项目中标单位与</w:t>
      </w:r>
      <w:r>
        <w:rPr>
          <w:rFonts w:hint="eastAsia" w:ascii="Times New Roman" w:hAnsi="Times New Roman" w:cs="Times New Roman"/>
          <w:b/>
          <w:kern w:val="2"/>
          <w:sz w:val="28"/>
          <w:szCs w:val="20"/>
          <w:lang w:val="en-US"/>
        </w:rPr>
        <w:t>海宁经开产业园区开发建设有限公司签订采购合同</w:t>
      </w:r>
    </w:p>
    <w:p w14:paraId="33AF17ED">
      <w:pPr>
        <w:keepLines/>
        <w:spacing w:before="240" w:after="240" w:line="500" w:lineRule="exact"/>
        <w:jc w:val="both"/>
        <w:outlineLvl w:val="0"/>
        <w:rPr>
          <w:rFonts w:ascii="Times New Roman" w:hAnsi="Times New Roman" w:cs="Times New Roman"/>
          <w:b/>
          <w:kern w:val="2"/>
          <w:sz w:val="28"/>
          <w:szCs w:val="20"/>
          <w:lang w:val="en-US"/>
        </w:rPr>
      </w:pPr>
      <w:r>
        <w:rPr>
          <w:rFonts w:hint="eastAsia" w:ascii="Times New Roman" w:hAnsi="Times New Roman" w:cs="Times New Roman"/>
          <w:b/>
          <w:sz w:val="30"/>
          <w:szCs w:val="30"/>
        </w:rPr>
        <w:t>泛半导体产业园四期园区安装充电桩采购</w:t>
      </w:r>
      <w:r>
        <w:rPr>
          <w:rFonts w:hint="eastAsia" w:ascii="Times New Roman" w:hAnsi="Times New Roman" w:cs="Times New Roman"/>
          <w:b/>
          <w:sz w:val="30"/>
          <w:szCs w:val="30"/>
          <w:lang w:val="en-US"/>
        </w:rPr>
        <w:t>项目中标单位与</w:t>
      </w:r>
      <w:r>
        <w:rPr>
          <w:rFonts w:hint="eastAsia" w:ascii="Times New Roman" w:hAnsi="Times New Roman" w:cs="Times New Roman"/>
          <w:b/>
          <w:kern w:val="2"/>
          <w:sz w:val="28"/>
          <w:szCs w:val="20"/>
          <w:lang w:val="en-US"/>
        </w:rPr>
        <w:t>海宁市合创开发建设有限公司签订采购合同</w:t>
      </w:r>
    </w:p>
    <w:p w14:paraId="4B1AE005">
      <w:pPr>
        <w:pStyle w:val="5"/>
        <w:spacing w:before="1" w:line="360" w:lineRule="auto"/>
        <w:ind w:left="408" w:right="503"/>
        <w:jc w:val="center"/>
        <w:rPr>
          <w:rFonts w:ascii="Times New Roman" w:hAnsi="Times New Roman" w:cs="Times New Roman"/>
        </w:rPr>
      </w:pPr>
      <w:r>
        <w:rPr>
          <w:rFonts w:ascii="Times New Roman" w:hAnsi="Times New Roman" w:cs="Times New Roman"/>
        </w:rPr>
        <w:t>一、通用必备条款部分</w:t>
      </w:r>
    </w:p>
    <w:p w14:paraId="08E46744">
      <w:pPr>
        <w:pStyle w:val="18"/>
        <w:spacing w:line="360" w:lineRule="auto"/>
        <w:rPr>
          <w:rFonts w:ascii="Times New Roman" w:hAnsi="Times New Roman" w:cs="Times New Roman"/>
          <w:b/>
          <w:sz w:val="20"/>
        </w:rPr>
      </w:pPr>
    </w:p>
    <w:p w14:paraId="3AC5ADB8">
      <w:pPr>
        <w:pStyle w:val="18"/>
        <w:spacing w:line="360" w:lineRule="auto"/>
        <w:ind w:left="312"/>
        <w:rPr>
          <w:rFonts w:ascii="Times New Roman" w:hAnsi="Times New Roman" w:cs="Times New Roman"/>
        </w:rPr>
      </w:pPr>
      <w:r>
        <w:rPr>
          <w:rFonts w:ascii="Times New Roman" w:hAnsi="Times New Roman" w:cs="Times New Roman"/>
        </w:rPr>
        <w:t>合同编号：</w:t>
      </w:r>
    </w:p>
    <w:p w14:paraId="60404308">
      <w:pPr>
        <w:pStyle w:val="18"/>
        <w:spacing w:line="360" w:lineRule="auto"/>
        <w:ind w:left="312"/>
        <w:rPr>
          <w:rFonts w:ascii="Times New Roman" w:hAnsi="Times New Roman" w:cs="Times New Roman"/>
        </w:rPr>
      </w:pPr>
      <w:r>
        <w:rPr>
          <w:rFonts w:ascii="Times New Roman" w:hAnsi="Times New Roman" w:cs="Times New Roman"/>
        </w:rPr>
        <w:t>预算金额：</w:t>
      </w:r>
      <w:r>
        <w:rPr>
          <w:rFonts w:hint="eastAsia" w:ascii="Times New Roman" w:hAnsi="Times New Roman" w:cs="Times New Roman"/>
          <w:lang w:val="en-US"/>
        </w:rPr>
        <w:t xml:space="preserve">     </w:t>
      </w:r>
      <w:r>
        <w:rPr>
          <w:rFonts w:ascii="Times New Roman" w:hAnsi="Times New Roman" w:cs="Times New Roman"/>
        </w:rPr>
        <w:t>元</w:t>
      </w:r>
    </w:p>
    <w:p w14:paraId="206091D5">
      <w:pPr>
        <w:pStyle w:val="18"/>
        <w:spacing w:line="360" w:lineRule="auto"/>
        <w:ind w:left="312"/>
        <w:rPr>
          <w:rFonts w:ascii="Times New Roman" w:hAnsi="Times New Roman" w:cs="Times New Roman"/>
        </w:rPr>
      </w:pPr>
      <w:r>
        <w:rPr>
          <w:rFonts w:ascii="Times New Roman" w:hAnsi="Times New Roman" w:cs="Times New Roman"/>
        </w:rPr>
        <w:t>采购人（以下称甲方）：</w:t>
      </w:r>
    </w:p>
    <w:p w14:paraId="6B5CC6E3">
      <w:pPr>
        <w:pStyle w:val="18"/>
        <w:spacing w:line="360" w:lineRule="auto"/>
        <w:ind w:left="312"/>
        <w:rPr>
          <w:rFonts w:ascii="Times New Roman" w:hAnsi="Times New Roman" w:cs="Times New Roman"/>
        </w:rPr>
      </w:pPr>
      <w:r>
        <w:rPr>
          <w:rFonts w:ascii="Times New Roman" w:hAnsi="Times New Roman" w:cs="Times New Roman"/>
        </w:rPr>
        <w:t>供应商（以下称乙方）：</w:t>
      </w:r>
    </w:p>
    <w:p w14:paraId="7FDAC499">
      <w:pPr>
        <w:pStyle w:val="18"/>
        <w:spacing w:line="360" w:lineRule="auto"/>
        <w:ind w:left="312"/>
        <w:rPr>
          <w:rFonts w:ascii="Times New Roman" w:hAnsi="Times New Roman" w:cs="Times New Roman"/>
        </w:rPr>
      </w:pPr>
      <w:r>
        <w:rPr>
          <w:rFonts w:ascii="Times New Roman" w:hAnsi="Times New Roman" w:cs="Times New Roman"/>
        </w:rPr>
        <w:t>采购代理机构：</w:t>
      </w:r>
    </w:p>
    <w:p w14:paraId="27DEFF71">
      <w:pPr>
        <w:pStyle w:val="18"/>
        <w:spacing w:line="360" w:lineRule="auto"/>
        <w:ind w:left="312"/>
        <w:rPr>
          <w:rFonts w:ascii="Times New Roman" w:hAnsi="Times New Roman" w:cs="Times New Roman"/>
        </w:rPr>
      </w:pPr>
      <w:r>
        <w:rPr>
          <w:rFonts w:ascii="Times New Roman" w:hAnsi="Times New Roman" w:cs="Times New Roman"/>
        </w:rPr>
        <w:t>采购方式：公开招标</w:t>
      </w:r>
    </w:p>
    <w:p w14:paraId="640E8DDB">
      <w:pPr>
        <w:pStyle w:val="18"/>
        <w:spacing w:line="360" w:lineRule="auto"/>
        <w:ind w:firstLine="359" w:firstLineChars="171"/>
        <w:rPr>
          <w:rFonts w:ascii="Times New Roman" w:hAnsi="Times New Roman" w:cs="Times New Roman"/>
        </w:rPr>
      </w:pPr>
      <w:r>
        <w:rPr>
          <w:rFonts w:ascii="Times New Roman" w:hAnsi="Times New Roman" w:cs="Times New Roman"/>
        </w:rPr>
        <w:t>根据《中华人民共和国民法典》等法律法规的规定，甲乙双方按照</w:t>
      </w:r>
      <w:r>
        <w:rPr>
          <w:rFonts w:ascii="Times New Roman" w:hAnsi="Times New Roman" w:cs="Times New Roman"/>
        </w:rPr>
        <w:tab/>
      </w:r>
      <w:r>
        <w:rPr>
          <w:rFonts w:ascii="Times New Roman" w:hAnsi="Times New Roman" w:cs="Times New Roman"/>
        </w:rPr>
        <w:t>项目采购结果签订本合同。</w:t>
      </w:r>
    </w:p>
    <w:p w14:paraId="4D9177A8">
      <w:pPr>
        <w:pStyle w:val="5"/>
        <w:spacing w:before="74" w:line="360" w:lineRule="auto"/>
        <w:ind w:left="2" w:firstLine="479" w:firstLineChars="227"/>
        <w:rPr>
          <w:rFonts w:ascii="Times New Roman" w:hAnsi="Times New Roman" w:cs="Times New Roman"/>
        </w:rPr>
      </w:pPr>
      <w:r>
        <w:rPr>
          <w:rFonts w:ascii="Times New Roman" w:hAnsi="Times New Roman" w:cs="Times New Roman"/>
        </w:rPr>
        <w:t>第一条 合同组成</w:t>
      </w:r>
    </w:p>
    <w:p w14:paraId="0A83AC9B">
      <w:pPr>
        <w:pStyle w:val="18"/>
        <w:spacing w:before="72" w:line="360" w:lineRule="auto"/>
        <w:ind w:firstLine="476" w:firstLineChars="227"/>
        <w:rPr>
          <w:rFonts w:ascii="Times New Roman" w:hAnsi="Times New Roman" w:cs="Times New Roman"/>
        </w:rPr>
      </w:pPr>
      <w:r>
        <w:rPr>
          <w:rFonts w:ascii="Times New Roman" w:hAnsi="Times New Roman" w:cs="Times New Roman"/>
        </w:rPr>
        <w:t>本次政府采购活动的相关文件为本合同的组成部分，这些文件包括但不限于：</w:t>
      </w:r>
    </w:p>
    <w:p w14:paraId="1F57B1B1">
      <w:pPr>
        <w:pStyle w:val="61"/>
        <w:tabs>
          <w:tab w:val="left" w:pos="1163"/>
        </w:tabs>
        <w:spacing w:before="71" w:line="360" w:lineRule="auto"/>
        <w:ind w:left="470" w:firstLine="0"/>
        <w:rPr>
          <w:rFonts w:ascii="Times New Roman" w:hAnsi="Times New Roman" w:cs="Times New Roman"/>
          <w:sz w:val="21"/>
        </w:rPr>
      </w:pPr>
      <w:r>
        <w:rPr>
          <w:rFonts w:ascii="Times New Roman" w:hAnsi="Times New Roman" w:cs="Times New Roman"/>
          <w:spacing w:val="-3"/>
          <w:sz w:val="21"/>
        </w:rPr>
        <w:t>1.1本合同文本；</w:t>
      </w:r>
    </w:p>
    <w:p w14:paraId="73B4FE51">
      <w:pPr>
        <w:pStyle w:val="61"/>
        <w:tabs>
          <w:tab w:val="left" w:pos="1163"/>
        </w:tabs>
        <w:spacing w:before="70" w:line="360" w:lineRule="auto"/>
        <w:ind w:left="470" w:firstLine="0"/>
        <w:rPr>
          <w:rFonts w:ascii="Times New Roman" w:hAnsi="Times New Roman" w:cs="Times New Roman"/>
          <w:sz w:val="21"/>
        </w:rPr>
      </w:pPr>
      <w:r>
        <w:rPr>
          <w:rFonts w:ascii="Times New Roman" w:hAnsi="Times New Roman" w:cs="Times New Roman"/>
          <w:spacing w:val="-3"/>
          <w:sz w:val="21"/>
        </w:rPr>
        <w:t>1.2采购文件、招标文件与采购响应文件。投标文件；</w:t>
      </w:r>
    </w:p>
    <w:p w14:paraId="3CCB5299">
      <w:pPr>
        <w:pStyle w:val="61"/>
        <w:tabs>
          <w:tab w:val="left" w:pos="1163"/>
        </w:tabs>
        <w:spacing w:before="72" w:line="360" w:lineRule="auto"/>
        <w:ind w:left="470" w:firstLine="0"/>
        <w:rPr>
          <w:rFonts w:ascii="Times New Roman" w:hAnsi="Times New Roman" w:cs="Times New Roman"/>
          <w:sz w:val="21"/>
        </w:rPr>
      </w:pPr>
      <w:r>
        <w:rPr>
          <w:rFonts w:ascii="Times New Roman" w:hAnsi="Times New Roman" w:cs="Times New Roman"/>
          <w:spacing w:val="-3"/>
          <w:sz w:val="21"/>
        </w:rPr>
        <w:t>1.3中标或成交通知书；</w:t>
      </w:r>
    </w:p>
    <w:p w14:paraId="6CF7DA17">
      <w:pPr>
        <w:tabs>
          <w:tab w:val="left" w:pos="8760"/>
        </w:tabs>
        <w:spacing w:before="71" w:line="360" w:lineRule="auto"/>
        <w:ind w:firstLine="476" w:firstLineChars="227"/>
        <w:rPr>
          <w:rFonts w:ascii="Times New Roman" w:hAnsi="Times New Roman" w:cs="Times New Roman"/>
          <w:sz w:val="21"/>
        </w:rPr>
      </w:pPr>
      <w:r>
        <w:rPr>
          <w:rFonts w:ascii="Times New Roman" w:hAnsi="Times New Roman" w:cs="Times New Roman"/>
          <w:sz w:val="21"/>
        </w:rPr>
        <w:t>组成本合同的所有文件必须为书面形式。</w:t>
      </w:r>
    </w:p>
    <w:p w14:paraId="6E36D65E">
      <w:pPr>
        <w:tabs>
          <w:tab w:val="left" w:pos="8760"/>
        </w:tabs>
        <w:spacing w:before="71" w:line="360" w:lineRule="auto"/>
        <w:ind w:firstLine="479" w:firstLineChars="227"/>
        <w:rPr>
          <w:rFonts w:ascii="Times New Roman" w:hAnsi="Times New Roman" w:cs="Times New Roman"/>
          <w:b/>
          <w:sz w:val="21"/>
        </w:rPr>
      </w:pPr>
      <w:r>
        <w:rPr>
          <w:rFonts w:ascii="Times New Roman" w:hAnsi="Times New Roman" w:cs="Times New Roman"/>
          <w:b/>
          <w:sz w:val="21"/>
        </w:rPr>
        <w:t>第二条 合同标的与相关属性</w:t>
      </w:r>
    </w:p>
    <w:p w14:paraId="36EB6C71">
      <w:pPr>
        <w:pStyle w:val="61"/>
        <w:tabs>
          <w:tab w:val="left" w:pos="1163"/>
          <w:tab w:val="left" w:pos="3476"/>
        </w:tabs>
        <w:spacing w:before="2" w:line="360" w:lineRule="auto"/>
        <w:ind w:left="470" w:firstLine="0"/>
        <w:rPr>
          <w:rFonts w:ascii="Times New Roman" w:hAnsi="Times New Roman" w:cs="Times New Roman"/>
          <w:sz w:val="21"/>
        </w:rPr>
      </w:pPr>
      <w:r>
        <w:rPr>
          <w:rFonts w:ascii="Times New Roman" w:hAnsi="Times New Roman" w:cs="Times New Roman"/>
          <w:spacing w:val="-3"/>
          <w:sz w:val="21"/>
        </w:rPr>
        <w:t>2.1本</w:t>
      </w:r>
      <w:r>
        <w:rPr>
          <w:rFonts w:ascii="Times New Roman" w:hAnsi="Times New Roman" w:cs="Times New Roman"/>
          <w:sz w:val="21"/>
        </w:rPr>
        <w:t>次</w:t>
      </w:r>
      <w:r>
        <w:rPr>
          <w:rFonts w:ascii="Times New Roman" w:hAnsi="Times New Roman" w:cs="Times New Roman"/>
          <w:spacing w:val="-3"/>
          <w:sz w:val="21"/>
        </w:rPr>
        <w:t>采</w:t>
      </w:r>
      <w:r>
        <w:rPr>
          <w:rFonts w:ascii="Times New Roman" w:hAnsi="Times New Roman" w:cs="Times New Roman"/>
          <w:sz w:val="21"/>
        </w:rPr>
        <w:t>购</w:t>
      </w:r>
      <w:r>
        <w:rPr>
          <w:rFonts w:ascii="Times New Roman" w:hAnsi="Times New Roman" w:cs="Times New Roman"/>
          <w:spacing w:val="-3"/>
          <w:sz w:val="21"/>
        </w:rPr>
        <w:t>的是</w:t>
      </w:r>
      <w:r>
        <w:rPr>
          <w:rFonts w:ascii="Times New Roman" w:hAnsi="Times New Roman" w:cs="Times New Roman"/>
          <w:spacing w:val="-3"/>
          <w:sz w:val="21"/>
          <w:u w:val="single"/>
        </w:rPr>
        <w:tab/>
      </w:r>
      <w:r>
        <w:rPr>
          <w:rFonts w:ascii="Times New Roman" w:hAnsi="Times New Roman" w:cs="Times New Roman"/>
          <w:sz w:val="21"/>
        </w:rPr>
        <w:t>。</w:t>
      </w:r>
    </w:p>
    <w:p w14:paraId="34B2F23C">
      <w:pPr>
        <w:pStyle w:val="61"/>
        <w:tabs>
          <w:tab w:val="left" w:pos="1163"/>
        </w:tabs>
        <w:spacing w:before="72" w:line="360" w:lineRule="auto"/>
        <w:ind w:left="470" w:firstLine="0"/>
        <w:rPr>
          <w:rFonts w:ascii="Times New Roman" w:hAnsi="Times New Roman" w:cs="Times New Roman"/>
          <w:sz w:val="21"/>
        </w:rPr>
      </w:pPr>
      <w:r>
        <w:rPr>
          <w:rFonts w:ascii="Times New Roman" w:hAnsi="Times New Roman" w:cs="Times New Roman"/>
          <w:spacing w:val="-3"/>
          <w:sz w:val="21"/>
        </w:rPr>
        <w:t>2.2乙方是否属于小微企业：□是□否</w:t>
      </w:r>
    </w:p>
    <w:p w14:paraId="2DCECDE6">
      <w:pPr>
        <w:pStyle w:val="61"/>
        <w:tabs>
          <w:tab w:val="left" w:pos="1163"/>
        </w:tabs>
        <w:spacing w:before="69" w:line="360" w:lineRule="auto"/>
        <w:ind w:left="470" w:right="2477" w:firstLine="0"/>
        <w:rPr>
          <w:rFonts w:ascii="Times New Roman" w:hAnsi="Times New Roman" w:cs="Times New Roman"/>
          <w:spacing w:val="-3"/>
          <w:sz w:val="21"/>
        </w:rPr>
      </w:pPr>
      <w:r>
        <w:rPr>
          <w:rFonts w:ascii="Times New Roman" w:hAnsi="Times New Roman" w:cs="Times New Roman"/>
          <w:spacing w:val="-3"/>
          <w:sz w:val="21"/>
        </w:rPr>
        <w:t>2.3本合同项下产品属于</w:t>
      </w:r>
      <w:r>
        <w:rPr>
          <w:rFonts w:ascii="Times New Roman" w:hAnsi="Times New Roman" w:cs="Times New Roman"/>
          <w:sz w:val="21"/>
        </w:rPr>
        <w:t>（</w:t>
      </w:r>
      <w:r>
        <w:rPr>
          <w:rFonts w:ascii="Times New Roman" w:hAnsi="Times New Roman" w:cs="Times New Roman"/>
          <w:spacing w:val="-2"/>
          <w:sz w:val="21"/>
        </w:rPr>
        <w:t>可多选</w:t>
      </w:r>
      <w:r>
        <w:rPr>
          <w:rFonts w:ascii="Times New Roman" w:hAnsi="Times New Roman" w:cs="Times New Roman"/>
          <w:sz w:val="21"/>
        </w:rPr>
        <w:t>）</w:t>
      </w:r>
      <w:r>
        <w:rPr>
          <w:rFonts w:ascii="Times New Roman" w:hAnsi="Times New Roman" w:cs="Times New Roman"/>
          <w:spacing w:val="-3"/>
          <w:sz w:val="21"/>
        </w:rPr>
        <w:t>：□环保产品；□节能产品；□进口产品</w:t>
      </w:r>
    </w:p>
    <w:p w14:paraId="39DC2341">
      <w:pPr>
        <w:pStyle w:val="61"/>
        <w:tabs>
          <w:tab w:val="left" w:pos="1163"/>
        </w:tabs>
        <w:spacing w:before="69" w:line="360" w:lineRule="auto"/>
        <w:ind w:left="470" w:right="2477" w:firstLine="0"/>
        <w:rPr>
          <w:rFonts w:ascii="Times New Roman" w:hAnsi="Times New Roman" w:cs="Times New Roman"/>
          <w:b/>
          <w:sz w:val="21"/>
        </w:rPr>
      </w:pPr>
      <w:r>
        <w:rPr>
          <w:rFonts w:ascii="Times New Roman" w:hAnsi="Times New Roman" w:cs="Times New Roman"/>
          <w:b/>
          <w:spacing w:val="-3"/>
          <w:sz w:val="21"/>
        </w:rPr>
        <w:t>第三条 合同价款</w:t>
      </w:r>
    </w:p>
    <w:p w14:paraId="587A4622">
      <w:pPr>
        <w:pStyle w:val="61"/>
        <w:tabs>
          <w:tab w:val="left" w:pos="1163"/>
          <w:tab w:val="left" w:pos="7499"/>
          <w:tab w:val="left" w:pos="9473"/>
        </w:tabs>
        <w:spacing w:before="0" w:line="360" w:lineRule="auto"/>
        <w:ind w:left="0" w:firstLine="471" w:firstLineChars="231"/>
        <w:rPr>
          <w:rFonts w:ascii="Times New Roman" w:hAnsi="Times New Roman" w:cs="Times New Roman"/>
          <w:sz w:val="21"/>
        </w:rPr>
      </w:pPr>
      <w:r>
        <w:rPr>
          <w:rFonts w:ascii="Times New Roman" w:hAnsi="Times New Roman" w:cs="Times New Roman"/>
          <w:spacing w:val="-3"/>
          <w:sz w:val="21"/>
        </w:rPr>
        <w:t>3.1本</w:t>
      </w:r>
      <w:r>
        <w:rPr>
          <w:rFonts w:ascii="Times New Roman" w:hAnsi="Times New Roman" w:cs="Times New Roman"/>
          <w:sz w:val="21"/>
        </w:rPr>
        <w:t>合</w:t>
      </w:r>
      <w:r>
        <w:rPr>
          <w:rFonts w:ascii="Times New Roman" w:hAnsi="Times New Roman" w:cs="Times New Roman"/>
          <w:spacing w:val="-3"/>
          <w:sz w:val="21"/>
        </w:rPr>
        <w:t>同</w:t>
      </w:r>
      <w:r>
        <w:rPr>
          <w:rFonts w:ascii="Times New Roman" w:hAnsi="Times New Roman" w:cs="Times New Roman"/>
          <w:sz w:val="21"/>
        </w:rPr>
        <w:t>项</w:t>
      </w:r>
      <w:r>
        <w:rPr>
          <w:rFonts w:ascii="Times New Roman" w:hAnsi="Times New Roman" w:cs="Times New Roman"/>
          <w:spacing w:val="-3"/>
          <w:sz w:val="21"/>
        </w:rPr>
        <w:t>下</w:t>
      </w:r>
      <w:r>
        <w:rPr>
          <w:rFonts w:ascii="Times New Roman" w:hAnsi="Times New Roman" w:cs="Times New Roman"/>
          <w:sz w:val="21"/>
        </w:rPr>
        <w:t>总</w:t>
      </w:r>
      <w:r>
        <w:rPr>
          <w:rFonts w:ascii="Times New Roman" w:hAnsi="Times New Roman" w:cs="Times New Roman"/>
          <w:spacing w:val="-3"/>
          <w:sz w:val="21"/>
        </w:rPr>
        <w:t>价</w:t>
      </w:r>
      <w:r>
        <w:rPr>
          <w:rFonts w:ascii="Times New Roman" w:hAnsi="Times New Roman" w:cs="Times New Roman"/>
          <w:spacing w:val="-44"/>
          <w:sz w:val="21"/>
        </w:rPr>
        <w:t>款</w:t>
      </w:r>
      <w:r>
        <w:rPr>
          <w:rFonts w:ascii="Times New Roman" w:hAnsi="Times New Roman" w:cs="Times New Roman"/>
          <w:spacing w:val="-3"/>
          <w:sz w:val="21"/>
        </w:rPr>
        <w:t>（含</w:t>
      </w:r>
      <w:r>
        <w:rPr>
          <w:rFonts w:ascii="Times New Roman" w:hAnsi="Times New Roman" w:cs="Times New Roman"/>
          <w:sz w:val="21"/>
        </w:rPr>
        <w:t>税价</w:t>
      </w:r>
      <w:r>
        <w:rPr>
          <w:rFonts w:ascii="Times New Roman" w:hAnsi="Times New Roman" w:cs="Times New Roman"/>
          <w:spacing w:val="-46"/>
          <w:sz w:val="21"/>
        </w:rPr>
        <w:t>）</w:t>
      </w:r>
      <w:r>
        <w:rPr>
          <w:rFonts w:ascii="Times New Roman" w:hAnsi="Times New Roman" w:cs="Times New Roman"/>
          <w:sz w:val="21"/>
        </w:rPr>
        <w:t>为</w:t>
      </w:r>
      <w:r>
        <w:rPr>
          <w:rFonts w:ascii="Times New Roman" w:hAnsi="Times New Roman" w:cs="Times New Roman"/>
          <w:spacing w:val="-3"/>
          <w:sz w:val="21"/>
        </w:rPr>
        <w:t>人</w:t>
      </w:r>
      <w:r>
        <w:rPr>
          <w:rFonts w:ascii="Times New Roman" w:hAnsi="Times New Roman" w:cs="Times New Roman"/>
          <w:sz w:val="21"/>
        </w:rPr>
        <w:t>民</w:t>
      </w:r>
      <w:r>
        <w:rPr>
          <w:rFonts w:ascii="Times New Roman" w:hAnsi="Times New Roman" w:cs="Times New Roman"/>
          <w:spacing w:val="-46"/>
          <w:sz w:val="21"/>
        </w:rPr>
        <w:t>币</w:t>
      </w:r>
      <w:r>
        <w:rPr>
          <w:rFonts w:ascii="Times New Roman" w:hAnsi="Times New Roman" w:cs="Times New Roman"/>
          <w:sz w:val="21"/>
        </w:rPr>
        <w:t>（</w:t>
      </w:r>
      <w:r>
        <w:rPr>
          <w:rFonts w:ascii="Times New Roman" w:hAnsi="Times New Roman" w:cs="Times New Roman"/>
          <w:spacing w:val="-3"/>
          <w:sz w:val="21"/>
        </w:rPr>
        <w:t>大</w:t>
      </w:r>
      <w:r>
        <w:rPr>
          <w:rFonts w:ascii="Times New Roman" w:hAnsi="Times New Roman" w:cs="Times New Roman"/>
          <w:sz w:val="21"/>
        </w:rPr>
        <w:t>写</w:t>
      </w:r>
      <w:r>
        <w:rPr>
          <w:rFonts w:ascii="Times New Roman" w:hAnsi="Times New Roman" w:cs="Times New Roman"/>
          <w:sz w:val="21"/>
          <w:u w:val="single"/>
        </w:rPr>
        <w:t>）</w:t>
      </w:r>
      <w:r>
        <w:rPr>
          <w:rFonts w:ascii="Times New Roman" w:hAnsi="Times New Roman" w:cs="Times New Roman"/>
          <w:sz w:val="21"/>
          <w:u w:val="single"/>
        </w:rPr>
        <w:tab/>
      </w:r>
      <w:r>
        <w:rPr>
          <w:rFonts w:ascii="Times New Roman" w:hAnsi="Times New Roman" w:cs="Times New Roman"/>
          <w:spacing w:val="-44"/>
          <w:sz w:val="21"/>
        </w:rPr>
        <w:t>，</w:t>
      </w:r>
      <w:r>
        <w:rPr>
          <w:rFonts w:ascii="Times New Roman" w:hAnsi="Times New Roman" w:cs="Times New Roman"/>
          <w:spacing w:val="-3"/>
          <w:sz w:val="21"/>
        </w:rPr>
        <w:t>元</w:t>
      </w:r>
      <w:r>
        <w:rPr>
          <w:rFonts w:ascii="Times New Roman" w:hAnsi="Times New Roman" w:cs="Times New Roman"/>
          <w:spacing w:val="-44"/>
          <w:sz w:val="21"/>
        </w:rPr>
        <w:t>整</w:t>
      </w:r>
      <w:r>
        <w:rPr>
          <w:rFonts w:ascii="Times New Roman" w:hAnsi="Times New Roman" w:cs="Times New Roman"/>
          <w:sz w:val="21"/>
        </w:rPr>
        <w:t>（</w:t>
      </w:r>
      <w:r>
        <w:rPr>
          <w:rFonts w:ascii="Times New Roman" w:hAnsi="Times New Roman" w:cs="Times New Roman"/>
          <w:spacing w:val="-3"/>
          <w:sz w:val="21"/>
        </w:rPr>
        <w:t>小</w:t>
      </w:r>
      <w:r>
        <w:rPr>
          <w:rFonts w:ascii="Times New Roman" w:hAnsi="Times New Roman" w:cs="Times New Roman"/>
          <w:sz w:val="21"/>
        </w:rPr>
        <w:t>写</w:t>
      </w:r>
      <w:r>
        <w:rPr>
          <w:rFonts w:ascii="Times New Roman" w:hAnsi="Times New Roman" w:cs="Times New Roman"/>
          <w:sz w:val="21"/>
          <w:u w:val="single"/>
        </w:rPr>
        <w:t>：</w:t>
      </w:r>
      <w:r>
        <w:rPr>
          <w:rFonts w:ascii="Times New Roman" w:hAnsi="Times New Roman" w:cs="Times New Roman"/>
          <w:sz w:val="21"/>
          <w:u w:val="single"/>
        </w:rPr>
        <w:tab/>
      </w:r>
      <w:r>
        <w:rPr>
          <w:rFonts w:ascii="Times New Roman" w:hAnsi="Times New Roman" w:cs="Times New Roman"/>
          <w:spacing w:val="-3"/>
          <w:sz w:val="21"/>
        </w:rPr>
        <w:t>元</w:t>
      </w:r>
      <w:r>
        <w:rPr>
          <w:rFonts w:ascii="Times New Roman" w:hAnsi="Times New Roman" w:cs="Times New Roman"/>
          <w:spacing w:val="-44"/>
          <w:sz w:val="21"/>
        </w:rPr>
        <w:t>）</w:t>
      </w:r>
      <w:r>
        <w:rPr>
          <w:rFonts w:ascii="Times New Roman" w:hAnsi="Times New Roman" w:cs="Times New Roman"/>
          <w:sz w:val="21"/>
        </w:rPr>
        <w:t>。</w:t>
      </w:r>
    </w:p>
    <w:p w14:paraId="17621D6B">
      <w:pPr>
        <w:pStyle w:val="61"/>
        <w:tabs>
          <w:tab w:val="left" w:pos="683"/>
        </w:tabs>
        <w:spacing w:before="69" w:line="360" w:lineRule="auto"/>
        <w:ind w:left="0" w:right="332" w:firstLine="471" w:firstLineChars="231"/>
        <w:rPr>
          <w:rFonts w:ascii="Times New Roman" w:hAnsi="Times New Roman" w:cs="Times New Roman"/>
          <w:spacing w:val="-3"/>
          <w:sz w:val="21"/>
        </w:rPr>
      </w:pPr>
      <w:r>
        <w:rPr>
          <w:rFonts w:ascii="Times New Roman" w:hAnsi="Times New Roman" w:cs="Times New Roman"/>
          <w:spacing w:val="-3"/>
          <w:sz w:val="21"/>
        </w:rPr>
        <w:t>3.2本合同总价款含所有税费(应包括货款、标准附件、备品备件、专用工具、包装、运输、装卸、保险、货到就位以及安装、调试、培训、保修、招标代理费等一切税金和费用。)</w:t>
      </w:r>
    </w:p>
    <w:p w14:paraId="3DBA1054">
      <w:pPr>
        <w:pStyle w:val="61"/>
        <w:tabs>
          <w:tab w:val="left" w:pos="683"/>
        </w:tabs>
        <w:spacing w:before="69" w:line="360" w:lineRule="auto"/>
        <w:ind w:left="0" w:right="332" w:firstLine="471" w:firstLineChars="231"/>
        <w:rPr>
          <w:rFonts w:ascii="Times New Roman" w:hAnsi="Times New Roman" w:cs="Times New Roman"/>
          <w:spacing w:val="-3"/>
          <w:sz w:val="21"/>
        </w:rPr>
      </w:pPr>
      <w:r>
        <w:rPr>
          <w:rFonts w:ascii="Times New Roman" w:hAnsi="Times New Roman" w:cs="Times New Roman"/>
          <w:spacing w:val="-3"/>
          <w:sz w:val="21"/>
        </w:rPr>
        <w:t>3.3本项目结算时投标单价不变，最终价款按实结算；乙方应提前提供完整的总价结算资料，甲方收到乙方完整结算资料后可委托第三方审定核算。</w:t>
      </w:r>
    </w:p>
    <w:p w14:paraId="29C10CE5">
      <w:pPr>
        <w:pStyle w:val="61"/>
        <w:tabs>
          <w:tab w:val="left" w:pos="683"/>
        </w:tabs>
        <w:spacing w:before="69" w:line="360" w:lineRule="auto"/>
        <w:ind w:left="0" w:right="332" w:firstLine="471" w:firstLineChars="231"/>
        <w:rPr>
          <w:rFonts w:ascii="Times New Roman" w:hAnsi="Times New Roman" w:cs="Times New Roman"/>
          <w:spacing w:val="-3"/>
          <w:sz w:val="21"/>
          <w:szCs w:val="21"/>
        </w:rPr>
      </w:pPr>
      <w:r>
        <w:rPr>
          <w:rFonts w:ascii="Times New Roman" w:hAnsi="Times New Roman" w:cs="Times New Roman"/>
          <w:spacing w:val="-3"/>
          <w:sz w:val="21"/>
          <w:szCs w:val="21"/>
        </w:rPr>
        <w:t>3.4付款手续和付款时间</w:t>
      </w:r>
    </w:p>
    <w:p w14:paraId="3B4441AC">
      <w:pPr>
        <w:pStyle w:val="61"/>
        <w:tabs>
          <w:tab w:val="left" w:pos="683"/>
        </w:tabs>
        <w:spacing w:before="69" w:line="360" w:lineRule="auto"/>
        <w:ind w:left="0" w:right="332" w:firstLine="471" w:firstLineChars="231"/>
        <w:rPr>
          <w:rFonts w:ascii="Times New Roman" w:hAnsi="Times New Roman" w:cs="Times New Roman"/>
          <w:sz w:val="21"/>
          <w:szCs w:val="21"/>
        </w:rPr>
      </w:pPr>
      <w:r>
        <w:rPr>
          <w:rFonts w:ascii="Times New Roman" w:hAnsi="Times New Roman" w:cs="Times New Roman"/>
          <w:spacing w:val="-3"/>
          <w:sz w:val="21"/>
          <w:szCs w:val="21"/>
        </w:rPr>
        <w:t>3.5</w:t>
      </w:r>
      <w:r>
        <w:rPr>
          <w:rFonts w:ascii="Times New Roman" w:hAnsi="Times New Roman" w:cs="Times New Roman"/>
          <w:b/>
          <w:color w:val="FF0000"/>
          <w:spacing w:val="-3"/>
          <w:sz w:val="21"/>
          <w:szCs w:val="21"/>
        </w:rPr>
        <w:t>项目签订合同</w:t>
      </w:r>
      <w:r>
        <w:rPr>
          <w:rFonts w:ascii="Times New Roman" w:hAnsi="Times New Roman" w:cs="Times New Roman"/>
          <w:b/>
          <w:color w:val="FF0000"/>
          <w:spacing w:val="-4"/>
          <w:sz w:val="21"/>
          <w:szCs w:val="21"/>
        </w:rPr>
        <w:t xml:space="preserve">后由甲方支付合同总金额的 </w:t>
      </w:r>
      <w:r>
        <w:rPr>
          <w:rFonts w:ascii="Times New Roman" w:hAnsi="Times New Roman" w:cs="Times New Roman"/>
          <w:b/>
          <w:color w:val="FF0000"/>
          <w:sz w:val="21"/>
          <w:szCs w:val="21"/>
        </w:rPr>
        <w:t>30</w:t>
      </w:r>
      <w:r>
        <w:rPr>
          <w:rFonts w:ascii="Times New Roman" w:hAnsi="Times New Roman" w:cs="Times New Roman"/>
          <w:b/>
          <w:color w:val="FF0000"/>
          <w:spacing w:val="-5"/>
          <w:sz w:val="21"/>
          <w:szCs w:val="21"/>
        </w:rPr>
        <w:t>%作为预付款，</w:t>
      </w:r>
      <w:r>
        <w:rPr>
          <w:rFonts w:ascii="Times New Roman" w:hAnsi="Times New Roman" w:cs="Times New Roman"/>
          <w:b/>
          <w:color w:val="FF0000"/>
          <w:spacing w:val="-15"/>
          <w:sz w:val="21"/>
          <w:szCs w:val="21"/>
          <w:u w:val="single" w:color="623177"/>
        </w:rPr>
        <w:t>项目竣工验收完工后付至合同 总</w:t>
      </w:r>
      <w:r>
        <w:rPr>
          <w:rFonts w:ascii="Times New Roman" w:hAnsi="Times New Roman" w:cs="Times New Roman"/>
          <w:b/>
          <w:color w:val="FF0000"/>
          <w:sz w:val="21"/>
          <w:szCs w:val="21"/>
          <w:u w:val="single" w:color="623177"/>
        </w:rPr>
        <w:t xml:space="preserve">金额的 </w:t>
      </w:r>
      <w:r>
        <w:rPr>
          <w:rFonts w:ascii="Times New Roman" w:hAnsi="Times New Roman" w:cs="Times New Roman"/>
          <w:b/>
          <w:color w:val="FF0000"/>
          <w:spacing w:val="-8"/>
          <w:sz w:val="21"/>
          <w:szCs w:val="21"/>
          <w:u w:val="single" w:color="623177"/>
        </w:rPr>
        <w:t>8</w:t>
      </w:r>
      <w:r>
        <w:rPr>
          <w:rFonts w:hint="eastAsia" w:ascii="Times New Roman" w:hAnsi="Times New Roman" w:cs="Times New Roman"/>
          <w:b/>
          <w:color w:val="FF0000"/>
          <w:spacing w:val="-8"/>
          <w:sz w:val="21"/>
          <w:szCs w:val="21"/>
          <w:u w:val="single" w:color="623177"/>
        </w:rPr>
        <w:t>5</w:t>
      </w:r>
      <w:r>
        <w:rPr>
          <w:rFonts w:ascii="Times New Roman" w:hAnsi="Times New Roman" w:cs="Times New Roman"/>
          <w:b/>
          <w:color w:val="FF0000"/>
          <w:spacing w:val="-8"/>
          <w:sz w:val="21"/>
          <w:szCs w:val="21"/>
          <w:u w:val="single" w:color="623177"/>
        </w:rPr>
        <w:t>%，</w:t>
      </w:r>
      <w:r>
        <w:rPr>
          <w:rFonts w:ascii="Times New Roman" w:hAnsi="Times New Roman" w:cs="Times New Roman"/>
          <w:spacing w:val="-5"/>
          <w:sz w:val="21"/>
          <w:szCs w:val="21"/>
        </w:rPr>
        <w:t>工程量经审计公司审计工作完成后，以审计报告为准，支付剩余金额。</w:t>
      </w:r>
      <w:r>
        <w:rPr>
          <w:rFonts w:ascii="Times New Roman" w:hAnsi="Times New Roman" w:cs="Times New Roman"/>
          <w:spacing w:val="-4"/>
          <w:sz w:val="21"/>
          <w:szCs w:val="21"/>
        </w:rPr>
        <w:t>每次付款乙方需按照甲方的要求准备支付申请的资料及发票。</w:t>
      </w:r>
    </w:p>
    <w:p w14:paraId="0B733E45">
      <w:pPr>
        <w:pStyle w:val="5"/>
        <w:spacing w:before="4" w:line="360" w:lineRule="auto"/>
        <w:ind w:left="0" w:firstLine="479" w:firstLineChars="227"/>
        <w:rPr>
          <w:rFonts w:ascii="Times New Roman" w:hAnsi="Times New Roman" w:cs="Times New Roman"/>
        </w:rPr>
      </w:pPr>
      <w:r>
        <w:rPr>
          <w:rFonts w:ascii="Times New Roman" w:hAnsi="Times New Roman" w:cs="Times New Roman"/>
        </w:rPr>
        <w:t>第四条 履约保证金</w:t>
      </w:r>
    </w:p>
    <w:p w14:paraId="72028F50">
      <w:pPr>
        <w:pStyle w:val="18"/>
        <w:spacing w:before="69" w:line="360" w:lineRule="auto"/>
        <w:ind w:right="408" w:firstLine="480"/>
        <w:rPr>
          <w:rFonts w:ascii="Times New Roman" w:hAnsi="Times New Roman" w:cs="Times New Roman"/>
        </w:rPr>
      </w:pPr>
      <w:r>
        <w:rPr>
          <w:rFonts w:ascii="Times New Roman" w:hAnsi="Times New Roman" w:cs="Times New Roman"/>
        </w:rPr>
        <w:t>本项目设置履约保证金，乙方应于收到中标通知书后向甲方交纳合同总金额 2%的履约保证金（履约保证金可以是金融保险机构出具的保证保函形式缴纳）。</w:t>
      </w:r>
    </w:p>
    <w:p w14:paraId="5358CB9D">
      <w:pPr>
        <w:pStyle w:val="18"/>
        <w:spacing w:before="69" w:line="360" w:lineRule="auto"/>
        <w:ind w:right="408" w:firstLine="480"/>
        <w:rPr>
          <w:rFonts w:ascii="Times New Roman" w:hAnsi="Times New Roman" w:cs="Times New Roman"/>
        </w:rPr>
      </w:pPr>
      <w:r>
        <w:rPr>
          <w:rFonts w:ascii="Times New Roman" w:hAnsi="Times New Roman" w:cs="Times New Roman"/>
        </w:rPr>
        <w:t xml:space="preserve">履约保证金在本项目通过验收满 </w:t>
      </w:r>
      <w:r>
        <w:rPr>
          <w:rFonts w:hint="eastAsia" w:ascii="Times New Roman" w:hAnsi="Times New Roman" w:cs="Times New Roman"/>
        </w:rPr>
        <w:t>2</w:t>
      </w:r>
      <w:r>
        <w:rPr>
          <w:rFonts w:ascii="Times New Roman" w:hAnsi="Times New Roman" w:cs="Times New Roman"/>
        </w:rPr>
        <w:t>年后，无质量和售后服务问题的，由甲方凭乙方的合法收据不计息退还。</w:t>
      </w:r>
    </w:p>
    <w:p w14:paraId="27811090">
      <w:pPr>
        <w:pStyle w:val="5"/>
        <w:spacing w:line="360" w:lineRule="auto"/>
        <w:ind w:left="1" w:firstLine="479" w:firstLineChars="227"/>
        <w:rPr>
          <w:rFonts w:ascii="Times New Roman" w:hAnsi="Times New Roman" w:cs="Times New Roman"/>
        </w:rPr>
      </w:pPr>
      <w:r>
        <w:rPr>
          <w:rFonts w:ascii="Times New Roman" w:hAnsi="Times New Roman" w:cs="Times New Roman"/>
        </w:rPr>
        <w:t>第五条 合同的变更和终止</w:t>
      </w:r>
    </w:p>
    <w:p w14:paraId="58E4A0E5">
      <w:pPr>
        <w:pStyle w:val="5"/>
        <w:spacing w:line="360" w:lineRule="auto"/>
        <w:ind w:left="0" w:firstLine="460" w:firstLineChars="235"/>
        <w:rPr>
          <w:rFonts w:ascii="Times New Roman" w:hAnsi="Times New Roman" w:cs="Times New Roman"/>
          <w:b w:val="0"/>
          <w:spacing w:val="-7"/>
        </w:rPr>
      </w:pPr>
      <w:r>
        <w:rPr>
          <w:rFonts w:ascii="Times New Roman" w:hAnsi="Times New Roman" w:cs="Times New Roman"/>
          <w:b w:val="0"/>
          <w:spacing w:val="-7"/>
        </w:rPr>
        <w:t>合同履行中，甲方需追加或减少与合同标的相同的货物、工程或者服务的，在不改变合同其他条款的前提下，可以与乙方协商签订补充合同，但所有补充合同的采购金额不得超过原合同采购金额的百分之十。</w:t>
      </w:r>
    </w:p>
    <w:p w14:paraId="79CFFBAB">
      <w:pPr>
        <w:pStyle w:val="5"/>
        <w:spacing w:line="360" w:lineRule="auto"/>
        <w:ind w:left="0" w:firstLine="460" w:firstLineChars="235"/>
        <w:rPr>
          <w:rFonts w:ascii="Times New Roman" w:hAnsi="Times New Roman" w:cs="Times New Roman"/>
          <w:b w:val="0"/>
          <w:spacing w:val="-7"/>
        </w:rPr>
      </w:pPr>
      <w:r>
        <w:rPr>
          <w:rFonts w:ascii="Times New Roman" w:hAnsi="Times New Roman" w:cs="Times New Roman"/>
          <w:b w:val="0"/>
          <w:spacing w:val="-7"/>
        </w:rPr>
        <w:t>合同继续履行将损害国家利益和社会公共利益的，双方当事人应当变更、中止或者终止合同。有过错的一方应当承担赔偿责任，双方都有过错的，各自承担相应的责任。</w:t>
      </w:r>
    </w:p>
    <w:p w14:paraId="138FBB2B">
      <w:pPr>
        <w:pStyle w:val="5"/>
        <w:spacing w:line="360" w:lineRule="auto"/>
        <w:ind w:left="0" w:firstLine="460" w:firstLineChars="235"/>
        <w:rPr>
          <w:rFonts w:ascii="Times New Roman" w:hAnsi="Times New Roman" w:cs="Times New Roman"/>
          <w:b w:val="0"/>
          <w:spacing w:val="-7"/>
        </w:rPr>
      </w:pPr>
      <w:r>
        <w:rPr>
          <w:rFonts w:ascii="Times New Roman" w:hAnsi="Times New Roman" w:cs="Times New Roman"/>
          <w:b w:val="0"/>
          <w:spacing w:val="-7"/>
        </w:rPr>
        <w:t>如在项目实施过程中，出现安装清单变更事宜，乙方须取得甲方出具的变更联系单后方可实施，</w:t>
      </w:r>
    </w:p>
    <w:p w14:paraId="54F6B7DD">
      <w:pPr>
        <w:pStyle w:val="5"/>
        <w:spacing w:line="360" w:lineRule="auto"/>
        <w:ind w:left="0" w:firstLine="460" w:firstLineChars="235"/>
        <w:rPr>
          <w:rFonts w:ascii="Times New Roman" w:hAnsi="Times New Roman" w:cs="Times New Roman"/>
        </w:rPr>
      </w:pPr>
      <w:r>
        <w:rPr>
          <w:rFonts w:ascii="Times New Roman" w:hAnsi="Times New Roman" w:cs="Times New Roman"/>
          <w:b w:val="0"/>
          <w:spacing w:val="-7"/>
        </w:rPr>
        <w:t>结算时按投标单价计算；如乙方擅自变更安装清单，甲方不支付任何费用，并</w:t>
      </w:r>
      <w:r>
        <w:rPr>
          <w:rFonts w:ascii="Times New Roman" w:hAnsi="Times New Roman" w:cs="Times New Roman"/>
        </w:rPr>
        <w:t>追究乙方相应责任。</w:t>
      </w:r>
    </w:p>
    <w:p w14:paraId="641086ED">
      <w:pPr>
        <w:pStyle w:val="5"/>
        <w:spacing w:line="360" w:lineRule="auto"/>
        <w:ind w:left="0" w:firstLine="495" w:firstLineChars="235"/>
        <w:rPr>
          <w:rFonts w:ascii="Times New Roman" w:hAnsi="Times New Roman" w:cs="Times New Roman"/>
        </w:rPr>
      </w:pPr>
      <w:r>
        <w:rPr>
          <w:rFonts w:ascii="Times New Roman" w:hAnsi="Times New Roman" w:cs="Times New Roman"/>
        </w:rPr>
        <w:t>第六条 合同的转让与分包</w:t>
      </w:r>
    </w:p>
    <w:p w14:paraId="32C2C796">
      <w:pPr>
        <w:pStyle w:val="5"/>
        <w:spacing w:line="360" w:lineRule="auto"/>
        <w:ind w:left="0" w:firstLine="493" w:firstLineChars="235"/>
        <w:rPr>
          <w:rFonts w:ascii="Times New Roman" w:hAnsi="Times New Roman" w:cs="Times New Roman"/>
          <w:b w:val="0"/>
        </w:rPr>
      </w:pPr>
      <w:r>
        <w:rPr>
          <w:rFonts w:ascii="Times New Roman" w:hAnsi="Times New Roman" w:cs="Times New Roman"/>
          <w:b w:val="0"/>
        </w:rPr>
        <w:t>乙方不得擅自部分或全部转让其应履行的合同义务。乙方分包的，应经过甲方书面同意。</w:t>
      </w:r>
    </w:p>
    <w:p w14:paraId="73E421C9">
      <w:pPr>
        <w:pStyle w:val="5"/>
        <w:spacing w:before="1" w:line="360" w:lineRule="auto"/>
        <w:ind w:left="480"/>
        <w:rPr>
          <w:rFonts w:ascii="Times New Roman" w:hAnsi="Times New Roman" w:cs="Times New Roman"/>
        </w:rPr>
      </w:pPr>
      <w:r>
        <w:rPr>
          <w:rFonts w:ascii="Times New Roman" w:hAnsi="Times New Roman" w:cs="Times New Roman"/>
        </w:rPr>
        <w:t>第七条 争议的解决</w:t>
      </w:r>
    </w:p>
    <w:p w14:paraId="42B77647">
      <w:pPr>
        <w:pStyle w:val="18"/>
        <w:spacing w:before="72" w:line="360" w:lineRule="auto"/>
        <w:ind w:right="-80" w:firstLine="459" w:firstLineChars="237"/>
        <w:rPr>
          <w:rFonts w:ascii="Times New Roman" w:hAnsi="Times New Roman" w:cs="Times New Roman"/>
        </w:rPr>
      </w:pPr>
      <w:r>
        <w:rPr>
          <w:rFonts w:ascii="Times New Roman" w:hAnsi="Times New Roman" w:cs="Times New Roman"/>
          <w:spacing w:val="-8"/>
        </w:rPr>
        <w:t>因履行本合同引起的或与本合同有关的争议，甲、乙双方应首先通过友好协商解决，如果协商不能解</w:t>
      </w:r>
      <w:r>
        <w:rPr>
          <w:rFonts w:ascii="Times New Roman" w:hAnsi="Times New Roman" w:cs="Times New Roman"/>
          <w:spacing w:val="-5"/>
        </w:rPr>
        <w:t>决争议，则向甲方所在地有管辖权的人民法院提起诉讼。</w:t>
      </w:r>
    </w:p>
    <w:p w14:paraId="4B5D6D8F">
      <w:pPr>
        <w:pStyle w:val="5"/>
        <w:spacing w:before="1" w:line="360" w:lineRule="auto"/>
        <w:ind w:left="477" w:leftChars="217"/>
        <w:rPr>
          <w:rFonts w:ascii="Times New Roman" w:hAnsi="Times New Roman" w:cs="Times New Roman"/>
        </w:rPr>
      </w:pPr>
      <w:r>
        <w:rPr>
          <w:rFonts w:ascii="Times New Roman" w:hAnsi="Times New Roman" w:cs="Times New Roman"/>
        </w:rPr>
        <w:t>第八条 合同备案及其他</w:t>
      </w:r>
    </w:p>
    <w:p w14:paraId="71E7EBEE">
      <w:pPr>
        <w:pStyle w:val="18"/>
        <w:spacing w:before="72" w:line="360" w:lineRule="auto"/>
        <w:ind w:right="-80" w:firstLine="480"/>
        <w:rPr>
          <w:rFonts w:ascii="Times New Roman" w:hAnsi="Times New Roman" w:cs="Times New Roman"/>
          <w:spacing w:val="-3"/>
        </w:rPr>
      </w:pPr>
      <w:r>
        <w:rPr>
          <w:rFonts w:ascii="Times New Roman" w:hAnsi="Times New Roman" w:cs="Times New Roman"/>
          <w:spacing w:val="-8"/>
        </w:rPr>
        <w:t>本合同一式五份，甲方二份、乙方二份、镇</w:t>
      </w:r>
      <w:r>
        <w:rPr>
          <w:rFonts w:ascii="Times New Roman" w:hAnsi="Times New Roman" w:cs="Times New Roman"/>
        </w:rPr>
        <w:t>（</w:t>
      </w:r>
      <w:r>
        <w:rPr>
          <w:rFonts w:ascii="Times New Roman" w:hAnsi="Times New Roman" w:cs="Times New Roman"/>
          <w:spacing w:val="-2"/>
        </w:rPr>
        <w:t>街道</w:t>
      </w:r>
      <w:r>
        <w:rPr>
          <w:rFonts w:ascii="Times New Roman" w:hAnsi="Times New Roman" w:cs="Times New Roman"/>
          <w:spacing w:val="-20"/>
        </w:rPr>
        <w:t>）</w:t>
      </w:r>
      <w:r>
        <w:rPr>
          <w:rFonts w:ascii="Times New Roman" w:hAnsi="Times New Roman" w:cs="Times New Roman"/>
          <w:spacing w:val="-3"/>
        </w:rPr>
        <w:t>招标采购领导小组办公室和</w:t>
      </w:r>
      <w:r>
        <w:rPr>
          <w:rFonts w:hint="eastAsia" w:ascii="Times New Roman" w:hAnsi="Times New Roman" w:cs="Times New Roman"/>
          <w:spacing w:val="-3"/>
        </w:rPr>
        <w:t>浙江信益工程管理有限公司</w:t>
      </w:r>
      <w:r>
        <w:rPr>
          <w:rFonts w:ascii="Times New Roman" w:hAnsi="Times New Roman" w:cs="Times New Roman"/>
          <w:spacing w:val="-3"/>
        </w:rPr>
        <w:t>各执一份。</w:t>
      </w:r>
    </w:p>
    <w:p w14:paraId="3EC921EE">
      <w:pPr>
        <w:pStyle w:val="5"/>
        <w:spacing w:before="1" w:line="360" w:lineRule="auto"/>
        <w:ind w:left="477" w:leftChars="217"/>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九</w:t>
      </w:r>
      <w:r>
        <w:rPr>
          <w:rFonts w:ascii="Times New Roman" w:hAnsi="Times New Roman" w:cs="Times New Roman"/>
        </w:rPr>
        <w:t>条 不可抗力</w:t>
      </w:r>
    </w:p>
    <w:p w14:paraId="7723594B">
      <w:pPr>
        <w:pStyle w:val="61"/>
        <w:tabs>
          <w:tab w:val="left" w:pos="960"/>
        </w:tabs>
        <w:spacing w:before="78" w:line="360" w:lineRule="auto"/>
        <w:ind w:left="0" w:right="406" w:firstLine="471" w:firstLineChars="231"/>
        <w:jc w:val="both"/>
        <w:rPr>
          <w:rFonts w:ascii="Times New Roman" w:hAnsi="Times New Roman" w:cs="Times New Roman"/>
          <w:spacing w:val="-3"/>
          <w:sz w:val="21"/>
        </w:rPr>
      </w:pPr>
      <w:r>
        <w:rPr>
          <w:rFonts w:ascii="Times New Roman" w:hAnsi="Times New Roman" w:cs="Times New Roman"/>
          <w:spacing w:val="-3"/>
          <w:sz w:val="21"/>
        </w:rPr>
        <w:t>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14:paraId="06BC769C">
      <w:pPr>
        <w:pStyle w:val="61"/>
        <w:tabs>
          <w:tab w:val="left" w:pos="960"/>
        </w:tabs>
        <w:spacing w:before="78" w:line="360" w:lineRule="auto"/>
        <w:ind w:left="0" w:right="406" w:firstLine="471" w:firstLineChars="231"/>
        <w:jc w:val="both"/>
        <w:rPr>
          <w:rFonts w:ascii="Times New Roman" w:hAnsi="Times New Roman" w:cs="Times New Roman"/>
          <w:spacing w:val="-3"/>
          <w:sz w:val="21"/>
        </w:rPr>
      </w:pPr>
      <w:r>
        <w:rPr>
          <w:rFonts w:ascii="Times New Roman" w:hAnsi="Times New Roman" w:cs="Times New Roman"/>
          <w:spacing w:val="-3"/>
          <w:sz w:val="21"/>
        </w:rPr>
        <w:t>不可抗力影响时间持续 30 日以上时，甲乙双方应及时解除合同。</w:t>
      </w:r>
    </w:p>
    <w:p w14:paraId="623EC22C">
      <w:pPr>
        <w:pStyle w:val="61"/>
        <w:tabs>
          <w:tab w:val="left" w:pos="960"/>
        </w:tabs>
        <w:spacing w:before="78" w:line="360" w:lineRule="auto"/>
        <w:ind w:left="0" w:right="406" w:firstLine="471" w:firstLineChars="231"/>
        <w:jc w:val="both"/>
        <w:rPr>
          <w:rFonts w:ascii="Times New Roman" w:hAnsi="Times New Roman" w:cs="Times New Roman"/>
          <w:sz w:val="21"/>
        </w:rPr>
      </w:pPr>
      <w:r>
        <w:rPr>
          <w:rFonts w:ascii="Times New Roman" w:hAnsi="Times New Roman" w:cs="Times New Roman"/>
          <w:spacing w:val="-3"/>
          <w:sz w:val="21"/>
        </w:rPr>
        <w:t>本条所述“不可抗力”是</w:t>
      </w:r>
      <w:r>
        <w:rPr>
          <w:rFonts w:ascii="Times New Roman" w:hAnsi="Times New Roman" w:cs="Times New Roman"/>
          <w:spacing w:val="-15"/>
          <w:sz w:val="21"/>
        </w:rPr>
        <w:t>指不可预见、不能克服及不能避免的事件，包括战争、严重火灾、洪水、</w:t>
      </w:r>
      <w:r>
        <w:rPr>
          <w:rFonts w:ascii="Times New Roman" w:hAnsi="Times New Roman" w:cs="Times New Roman"/>
          <w:spacing w:val="-9"/>
          <w:sz w:val="21"/>
        </w:rPr>
        <w:t>地震等。</w:t>
      </w:r>
    </w:p>
    <w:p w14:paraId="28CA131A">
      <w:pPr>
        <w:pStyle w:val="18"/>
        <w:spacing w:before="72" w:line="360" w:lineRule="auto"/>
        <w:ind w:right="-80" w:firstLine="480"/>
        <w:rPr>
          <w:rFonts w:ascii="Times New Roman" w:hAnsi="Times New Roman" w:cs="Times New Roman"/>
        </w:rPr>
      </w:pPr>
    </w:p>
    <w:p w14:paraId="6FF9F7C6">
      <w:pPr>
        <w:pStyle w:val="5"/>
        <w:spacing w:line="360" w:lineRule="auto"/>
        <w:ind w:left="408" w:right="503"/>
        <w:jc w:val="center"/>
        <w:rPr>
          <w:rFonts w:ascii="Times New Roman" w:hAnsi="Times New Roman" w:cs="Times New Roman"/>
        </w:rPr>
      </w:pPr>
      <w:r>
        <w:rPr>
          <w:rFonts w:ascii="Times New Roman" w:hAnsi="Times New Roman" w:cs="Times New Roman"/>
        </w:rPr>
        <w:t>二、特殊专用条款部分</w:t>
      </w:r>
    </w:p>
    <w:p w14:paraId="2A5C4884">
      <w:pPr>
        <w:keepNext/>
        <w:keepLines/>
        <w:spacing w:line="400" w:lineRule="exact"/>
        <w:jc w:val="both"/>
        <w:outlineLvl w:val="1"/>
        <w:rPr>
          <w:rFonts w:cs="Times New Roman"/>
          <w:b/>
          <w:bCs/>
          <w:kern w:val="2"/>
          <w:sz w:val="21"/>
          <w:szCs w:val="21"/>
          <w:lang w:val="en-US"/>
        </w:rPr>
      </w:pPr>
      <w:bookmarkStart w:id="23" w:name="_Toc24120588"/>
      <w:bookmarkStart w:id="24" w:name="_Toc387646163"/>
      <w:bookmarkStart w:id="25" w:name="_Toc428997260"/>
      <w:bookmarkStart w:id="26" w:name="_Toc255074816"/>
      <w:bookmarkStart w:id="27" w:name="_Toc253150280"/>
      <w:bookmarkStart w:id="28" w:name="_Toc351107497"/>
      <w:bookmarkStart w:id="29" w:name="_Toc411176399"/>
      <w:bookmarkStart w:id="30" w:name="_Toc351107600"/>
      <w:bookmarkStart w:id="31" w:name="_Toc351107782"/>
      <w:r>
        <w:rPr>
          <w:rFonts w:cs="Times New Roman"/>
          <w:b/>
          <w:bCs/>
          <w:kern w:val="2"/>
          <w:sz w:val="21"/>
          <w:szCs w:val="21"/>
          <w:lang w:val="en-US"/>
        </w:rPr>
        <w:t>总则</w:t>
      </w:r>
      <w:bookmarkEnd w:id="23"/>
      <w:bookmarkEnd w:id="24"/>
      <w:bookmarkEnd w:id="25"/>
      <w:bookmarkEnd w:id="26"/>
      <w:bookmarkEnd w:id="27"/>
      <w:bookmarkEnd w:id="28"/>
      <w:bookmarkEnd w:id="29"/>
      <w:bookmarkEnd w:id="30"/>
      <w:bookmarkEnd w:id="31"/>
    </w:p>
    <w:p w14:paraId="244E130D">
      <w:pPr>
        <w:keepNext/>
        <w:keepLines/>
        <w:spacing w:line="400" w:lineRule="exact"/>
        <w:jc w:val="both"/>
        <w:outlineLvl w:val="2"/>
        <w:rPr>
          <w:rFonts w:cs="Times New Roman"/>
          <w:b/>
          <w:bCs/>
          <w:kern w:val="2"/>
          <w:sz w:val="21"/>
          <w:szCs w:val="21"/>
          <w:lang w:val="en-US"/>
        </w:rPr>
      </w:pPr>
      <w:bookmarkStart w:id="32" w:name="_Toc428997261"/>
      <w:bookmarkStart w:id="33" w:name="_Toc387646164"/>
      <w:bookmarkStart w:id="34" w:name="_Toc253150281"/>
      <w:bookmarkStart w:id="35" w:name="_Toc411176400"/>
      <w:bookmarkStart w:id="36" w:name="_Toc255074817"/>
      <w:bookmarkStart w:id="37" w:name="_Toc155151642"/>
      <w:bookmarkStart w:id="38" w:name="_Toc351107783"/>
      <w:bookmarkStart w:id="39" w:name="_Toc351107601"/>
      <w:bookmarkStart w:id="40" w:name="_Toc351107498"/>
      <w:r>
        <w:rPr>
          <w:rFonts w:cs="Times New Roman"/>
          <w:b/>
          <w:bCs/>
          <w:kern w:val="2"/>
          <w:sz w:val="21"/>
          <w:szCs w:val="21"/>
          <w:lang w:val="en-US"/>
        </w:rPr>
        <w:t>一般规定</w:t>
      </w:r>
      <w:bookmarkEnd w:id="32"/>
      <w:bookmarkEnd w:id="33"/>
      <w:bookmarkEnd w:id="34"/>
      <w:bookmarkEnd w:id="35"/>
      <w:bookmarkEnd w:id="36"/>
      <w:bookmarkEnd w:id="37"/>
      <w:bookmarkEnd w:id="38"/>
      <w:bookmarkEnd w:id="39"/>
      <w:bookmarkEnd w:id="40"/>
    </w:p>
    <w:p w14:paraId="001FB25D">
      <w:pPr>
        <w:tabs>
          <w:tab w:val="left" w:pos="525"/>
        </w:tabs>
        <w:spacing w:line="400" w:lineRule="exact"/>
        <w:ind w:firstLine="420"/>
        <w:jc w:val="both"/>
        <w:rPr>
          <w:rFonts w:cs="Times New Roman"/>
          <w:caps/>
          <w:sz w:val="21"/>
          <w:szCs w:val="21"/>
          <w:lang w:val="en-US"/>
        </w:rPr>
      </w:pPr>
      <w:bookmarkStart w:id="41" w:name="_Toc155151643"/>
      <w:r>
        <w:rPr>
          <w:rFonts w:hint="eastAsia" w:cs="Times New Roman"/>
          <w:caps/>
          <w:sz w:val="21"/>
          <w:szCs w:val="21"/>
          <w:lang w:val="en-US"/>
        </w:rPr>
        <w:t>2.1.1</w:t>
      </w:r>
      <w:r>
        <w:rPr>
          <w:rFonts w:cs="Times New Roman"/>
          <w:caps/>
          <w:sz w:val="21"/>
          <w:szCs w:val="21"/>
          <w:lang w:val="en-US"/>
        </w:rPr>
        <w:t>投标方应具备招标公告所要求的资质，具体资质要求详见招标文件的商务部分。</w:t>
      </w:r>
    </w:p>
    <w:p w14:paraId="684A8F45">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2.1.</w:t>
      </w:r>
      <w:r>
        <w:rPr>
          <w:rFonts w:cs="Times New Roman"/>
          <w:caps/>
          <w:sz w:val="21"/>
          <w:szCs w:val="21"/>
          <w:lang w:val="en-US"/>
        </w:rPr>
        <w:t>2投标方须仔细阅读包括</w:t>
      </w:r>
      <w:r>
        <w:rPr>
          <w:rFonts w:hint="eastAsia" w:cs="Times New Roman"/>
          <w:caps/>
          <w:sz w:val="21"/>
          <w:szCs w:val="21"/>
          <w:lang w:val="en-US"/>
        </w:rPr>
        <w:t>本规范</w:t>
      </w:r>
      <w:r>
        <w:rPr>
          <w:rFonts w:cs="Times New Roman"/>
          <w:caps/>
          <w:sz w:val="21"/>
          <w:szCs w:val="21"/>
          <w:lang w:val="en-US"/>
        </w:rPr>
        <w:t>在内的招标文件阐述的全部条款。投标方提供的设备应符合招标文件所规定的要求。</w:t>
      </w:r>
    </w:p>
    <w:p w14:paraId="23CEC871">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2.1.</w:t>
      </w:r>
      <w:r>
        <w:rPr>
          <w:rFonts w:cs="Times New Roman"/>
          <w:caps/>
          <w:sz w:val="21"/>
          <w:szCs w:val="21"/>
          <w:lang w:val="en-US"/>
        </w:rPr>
        <w:t>3</w:t>
      </w:r>
      <w:r>
        <w:rPr>
          <w:rFonts w:hint="eastAsia" w:cs="Times New Roman"/>
          <w:caps/>
          <w:sz w:val="21"/>
          <w:szCs w:val="21"/>
          <w:lang w:val="en-US"/>
        </w:rPr>
        <w:t>本规范</w:t>
      </w:r>
      <w:r>
        <w:rPr>
          <w:rFonts w:cs="Times New Roman"/>
          <w:caps/>
          <w:sz w:val="21"/>
          <w:szCs w:val="21"/>
          <w:lang w:val="en-US"/>
        </w:rPr>
        <w:t>提出了对设备的技术参数、性能、试验等方面的技术要求。</w:t>
      </w:r>
    </w:p>
    <w:p w14:paraId="78036D95">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2.1.</w:t>
      </w:r>
      <w:r>
        <w:rPr>
          <w:rFonts w:cs="Times New Roman"/>
          <w:caps/>
          <w:sz w:val="21"/>
          <w:szCs w:val="21"/>
          <w:lang w:val="en-US"/>
        </w:rPr>
        <w:t>4</w:t>
      </w:r>
      <w:r>
        <w:rPr>
          <w:rFonts w:hint="eastAsia" w:cs="Times New Roman"/>
          <w:caps/>
          <w:sz w:val="21"/>
          <w:szCs w:val="21"/>
          <w:lang w:val="en-US"/>
        </w:rPr>
        <w:t>本规范</w:t>
      </w:r>
      <w:r>
        <w:rPr>
          <w:rFonts w:cs="Times New Roman"/>
          <w:caps/>
          <w:sz w:val="21"/>
          <w:szCs w:val="21"/>
          <w:lang w:val="en-US"/>
        </w:rPr>
        <w:t>提出的是最低限度的技术要求，并未对一切技术细节</w:t>
      </w:r>
      <w:r>
        <w:rPr>
          <w:rFonts w:hint="eastAsia" w:cs="Times New Roman"/>
          <w:caps/>
          <w:sz w:val="21"/>
          <w:szCs w:val="21"/>
          <w:lang w:val="en-US"/>
        </w:rPr>
        <w:t>作</w:t>
      </w:r>
      <w:r>
        <w:rPr>
          <w:rFonts w:cs="Times New Roman"/>
          <w:caps/>
          <w:sz w:val="21"/>
          <w:szCs w:val="21"/>
          <w:lang w:val="en-US"/>
        </w:rPr>
        <w:t>出规定，也未充分引述有关标准和规范的条文，投标方应提供符合</w:t>
      </w:r>
      <w:r>
        <w:rPr>
          <w:rFonts w:hint="eastAsia" w:cs="Times New Roman"/>
          <w:caps/>
          <w:sz w:val="21"/>
          <w:szCs w:val="21"/>
          <w:lang w:val="en-US"/>
        </w:rPr>
        <w:t>本规范</w:t>
      </w:r>
      <w:r>
        <w:rPr>
          <w:rFonts w:cs="Times New Roman"/>
          <w:caps/>
          <w:sz w:val="21"/>
          <w:szCs w:val="21"/>
          <w:lang w:val="en-US"/>
        </w:rPr>
        <w:t>引用标准的最新版本标准和</w:t>
      </w:r>
      <w:r>
        <w:rPr>
          <w:rFonts w:hint="eastAsia" w:cs="Times New Roman"/>
          <w:caps/>
          <w:sz w:val="21"/>
          <w:szCs w:val="21"/>
          <w:lang w:val="en-US"/>
        </w:rPr>
        <w:t>本规范</w:t>
      </w:r>
      <w:r>
        <w:rPr>
          <w:rFonts w:cs="Times New Roman"/>
          <w:caps/>
          <w:sz w:val="21"/>
          <w:szCs w:val="21"/>
          <w:lang w:val="en-US"/>
        </w:rPr>
        <w:t>技术要求的全新产品，如果所引用的标准之间不一致或</w:t>
      </w:r>
      <w:r>
        <w:rPr>
          <w:rFonts w:hint="eastAsia" w:cs="Times New Roman"/>
          <w:caps/>
          <w:sz w:val="21"/>
          <w:szCs w:val="21"/>
          <w:lang w:val="en-US"/>
        </w:rPr>
        <w:t>本规范</w:t>
      </w:r>
      <w:r>
        <w:rPr>
          <w:rFonts w:cs="Times New Roman"/>
          <w:caps/>
          <w:sz w:val="21"/>
          <w:szCs w:val="21"/>
          <w:lang w:val="en-US"/>
        </w:rPr>
        <w:t>的要求如与投标方所执行的标准不一致时，按要求较高的指标执行。</w:t>
      </w:r>
    </w:p>
    <w:p w14:paraId="65085B56">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2.1.</w:t>
      </w:r>
      <w:r>
        <w:rPr>
          <w:rFonts w:cs="Times New Roman"/>
          <w:caps/>
          <w:sz w:val="21"/>
          <w:szCs w:val="21"/>
          <w:lang w:val="en-US"/>
        </w:rPr>
        <w:t>5如果投标方没有以书面形式对</w:t>
      </w:r>
      <w:r>
        <w:rPr>
          <w:rFonts w:hint="eastAsia" w:cs="Times New Roman"/>
          <w:caps/>
          <w:sz w:val="21"/>
          <w:szCs w:val="21"/>
          <w:lang w:val="en-US"/>
        </w:rPr>
        <w:t>本规范</w:t>
      </w:r>
      <w:r>
        <w:rPr>
          <w:rFonts w:cs="Times New Roman"/>
          <w:caps/>
          <w:sz w:val="21"/>
          <w:szCs w:val="21"/>
          <w:lang w:val="en-US"/>
        </w:rPr>
        <w:t>的条文提出差异，则表示投标方提供的设备完全符合</w:t>
      </w:r>
      <w:r>
        <w:rPr>
          <w:rFonts w:hint="eastAsia" w:cs="Times New Roman"/>
          <w:caps/>
          <w:sz w:val="21"/>
          <w:szCs w:val="21"/>
          <w:lang w:val="en-US"/>
        </w:rPr>
        <w:t>本规范</w:t>
      </w:r>
      <w:r>
        <w:rPr>
          <w:rFonts w:cs="Times New Roman"/>
          <w:caps/>
          <w:sz w:val="21"/>
          <w:szCs w:val="21"/>
          <w:lang w:val="en-US"/>
        </w:rPr>
        <w:t>的要求。如有与</w:t>
      </w:r>
      <w:r>
        <w:rPr>
          <w:rFonts w:hint="eastAsia" w:cs="Times New Roman"/>
          <w:caps/>
          <w:sz w:val="21"/>
          <w:szCs w:val="21"/>
          <w:lang w:val="en-US"/>
        </w:rPr>
        <w:t>本规范</w:t>
      </w:r>
      <w:r>
        <w:rPr>
          <w:rFonts w:cs="Times New Roman"/>
          <w:caps/>
          <w:sz w:val="21"/>
          <w:szCs w:val="21"/>
          <w:lang w:val="en-US"/>
        </w:rPr>
        <w:t>要求不一致的地方，必须逐项在技术</w:t>
      </w:r>
      <w:r>
        <w:rPr>
          <w:rFonts w:hint="eastAsia" w:cs="Times New Roman"/>
          <w:caps/>
          <w:sz w:val="21"/>
          <w:szCs w:val="21"/>
          <w:lang w:val="en-US"/>
        </w:rPr>
        <w:t>偏差</w:t>
      </w:r>
      <w:r>
        <w:rPr>
          <w:rFonts w:cs="Times New Roman"/>
          <w:caps/>
          <w:sz w:val="21"/>
          <w:szCs w:val="21"/>
          <w:lang w:val="en-US"/>
        </w:rPr>
        <w:t>表中列出。</w:t>
      </w:r>
    </w:p>
    <w:p w14:paraId="1F1FDCB4">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2.1.</w:t>
      </w:r>
      <w:r>
        <w:rPr>
          <w:rFonts w:cs="Times New Roman"/>
          <w:caps/>
          <w:sz w:val="21"/>
          <w:szCs w:val="21"/>
          <w:lang w:val="en-US"/>
        </w:rPr>
        <w:t>6</w:t>
      </w:r>
      <w:r>
        <w:rPr>
          <w:rFonts w:hint="eastAsia" w:cs="Times New Roman"/>
          <w:caps/>
          <w:sz w:val="21"/>
          <w:szCs w:val="21"/>
          <w:lang w:val="en-US"/>
        </w:rPr>
        <w:t>本规范</w:t>
      </w:r>
      <w:r>
        <w:rPr>
          <w:rFonts w:cs="Times New Roman"/>
          <w:caps/>
          <w:sz w:val="21"/>
          <w:szCs w:val="21"/>
          <w:lang w:val="en-US"/>
        </w:rPr>
        <w:t>将作为订货合同的附件，与合同具有同等的法律效力。</w:t>
      </w:r>
      <w:r>
        <w:rPr>
          <w:rFonts w:hint="eastAsia" w:cs="Times New Roman"/>
          <w:caps/>
          <w:sz w:val="21"/>
          <w:szCs w:val="21"/>
          <w:lang w:val="en-US"/>
        </w:rPr>
        <w:t>本规范</w:t>
      </w:r>
      <w:r>
        <w:rPr>
          <w:rFonts w:cs="Times New Roman"/>
          <w:caps/>
          <w:sz w:val="21"/>
          <w:szCs w:val="21"/>
          <w:lang w:val="en-US"/>
        </w:rPr>
        <w:t>未尽事宜，由合同签约双方在合同谈判时协商确定。</w:t>
      </w:r>
    </w:p>
    <w:p w14:paraId="71F1AF13">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2.1.</w:t>
      </w:r>
      <w:r>
        <w:rPr>
          <w:rFonts w:cs="Times New Roman"/>
          <w:caps/>
          <w:sz w:val="21"/>
          <w:szCs w:val="21"/>
          <w:lang w:val="en-US"/>
        </w:rPr>
        <w:t>7</w:t>
      </w:r>
      <w:r>
        <w:rPr>
          <w:rFonts w:hint="eastAsia" w:cs="Times New Roman"/>
          <w:caps/>
          <w:sz w:val="21"/>
          <w:szCs w:val="21"/>
          <w:lang w:val="en-US"/>
        </w:rPr>
        <w:t>本规范</w:t>
      </w:r>
      <w:r>
        <w:rPr>
          <w:rFonts w:cs="Times New Roman"/>
          <w:caps/>
          <w:sz w:val="21"/>
          <w:szCs w:val="21"/>
          <w:lang w:val="en-US"/>
        </w:rPr>
        <w:t>中涉及有关商务方面的内容，如与招标文件的商务部分有矛盾时，以商务部分为准。</w:t>
      </w:r>
    </w:p>
    <w:bookmarkEnd w:id="41"/>
    <w:p w14:paraId="548B9E9D">
      <w:pPr>
        <w:keepNext/>
        <w:keepLines/>
        <w:spacing w:line="400" w:lineRule="exact"/>
        <w:jc w:val="both"/>
        <w:outlineLvl w:val="2"/>
        <w:rPr>
          <w:rFonts w:cs="Times New Roman"/>
          <w:b/>
          <w:bCs/>
          <w:kern w:val="2"/>
          <w:sz w:val="21"/>
          <w:szCs w:val="21"/>
          <w:lang w:val="en-US"/>
        </w:rPr>
      </w:pPr>
      <w:bookmarkStart w:id="42" w:name="_Toc255074819"/>
      <w:bookmarkStart w:id="43" w:name="_Toc428997262"/>
      <w:bookmarkStart w:id="44" w:name="_Toc351107603"/>
      <w:bookmarkStart w:id="45" w:name="_Toc155151644"/>
      <w:bookmarkStart w:id="46" w:name="_Toc253150283"/>
      <w:bookmarkStart w:id="47" w:name="_Toc411176401"/>
      <w:bookmarkStart w:id="48" w:name="_Toc351107785"/>
      <w:bookmarkStart w:id="49" w:name="_Toc351107500"/>
      <w:bookmarkStart w:id="50" w:name="_Toc387646165"/>
      <w:r>
        <w:rPr>
          <w:rFonts w:cs="Times New Roman"/>
          <w:b/>
          <w:bCs/>
          <w:kern w:val="2"/>
          <w:sz w:val="21"/>
          <w:szCs w:val="21"/>
          <w:lang w:val="en-US"/>
        </w:rPr>
        <w:t>工作范围和进度要求</w:t>
      </w:r>
      <w:bookmarkEnd w:id="42"/>
      <w:bookmarkEnd w:id="43"/>
      <w:bookmarkEnd w:id="44"/>
      <w:bookmarkEnd w:id="45"/>
      <w:bookmarkEnd w:id="46"/>
      <w:bookmarkEnd w:id="47"/>
      <w:bookmarkEnd w:id="48"/>
      <w:bookmarkEnd w:id="49"/>
      <w:bookmarkEnd w:id="50"/>
    </w:p>
    <w:p w14:paraId="532D576C">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2.2.</w:t>
      </w:r>
      <w:r>
        <w:rPr>
          <w:rFonts w:cs="Times New Roman"/>
          <w:caps/>
          <w:sz w:val="21"/>
          <w:szCs w:val="21"/>
          <w:lang w:val="en-US"/>
        </w:rPr>
        <w:t>1</w:t>
      </w:r>
      <w:r>
        <w:rPr>
          <w:rFonts w:hint="eastAsia" w:cs="Times New Roman"/>
          <w:caps/>
          <w:sz w:val="21"/>
          <w:szCs w:val="21"/>
          <w:lang w:val="en-US"/>
        </w:rPr>
        <w:t>本规范</w:t>
      </w:r>
      <w:r>
        <w:rPr>
          <w:rFonts w:cs="Times New Roman"/>
          <w:caps/>
          <w:sz w:val="21"/>
          <w:szCs w:val="21"/>
          <w:lang w:val="en-US"/>
        </w:rPr>
        <w:t>仅适用于招标货物需求及供货范围中所列的设备</w:t>
      </w:r>
      <w:r>
        <w:rPr>
          <w:rFonts w:hint="eastAsia" w:cs="Times New Roman"/>
          <w:caps/>
          <w:sz w:val="21"/>
          <w:szCs w:val="21"/>
          <w:lang w:val="en-US"/>
        </w:rPr>
        <w:t>，包括</w:t>
      </w:r>
      <w:r>
        <w:rPr>
          <w:rFonts w:cs="Times New Roman"/>
          <w:caps/>
          <w:sz w:val="21"/>
          <w:szCs w:val="21"/>
          <w:lang w:val="en-US"/>
        </w:rPr>
        <w:t>必备的备品备件、专用工具</w:t>
      </w:r>
      <w:r>
        <w:rPr>
          <w:rFonts w:hint="eastAsia" w:cs="Times New Roman"/>
          <w:caps/>
          <w:sz w:val="21"/>
          <w:szCs w:val="21"/>
          <w:lang w:val="en-US"/>
        </w:rPr>
        <w:t>和</w:t>
      </w:r>
      <w:r>
        <w:rPr>
          <w:rFonts w:cs="Times New Roman"/>
          <w:caps/>
          <w:sz w:val="21"/>
          <w:szCs w:val="21"/>
          <w:lang w:val="en-US"/>
        </w:rPr>
        <w:t>仪器仪表。</w:t>
      </w:r>
    </w:p>
    <w:p w14:paraId="28A5FA26">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2.2.</w:t>
      </w:r>
      <w:r>
        <w:rPr>
          <w:rFonts w:cs="Times New Roman"/>
          <w:caps/>
          <w:sz w:val="21"/>
          <w:szCs w:val="21"/>
          <w:lang w:val="en-US"/>
        </w:rPr>
        <w:t>2合同签订时，应确定投标方向招标方提交生产进度计划的时限。投标方应在招标方要求的时限内向招标方提交详尽的生产进度计划。</w:t>
      </w:r>
    </w:p>
    <w:p w14:paraId="3BEBD427">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2.2.</w:t>
      </w:r>
      <w:r>
        <w:rPr>
          <w:rFonts w:cs="Times New Roman"/>
          <w:caps/>
          <w:sz w:val="21"/>
          <w:szCs w:val="21"/>
          <w:lang w:val="en-US"/>
        </w:rPr>
        <w:t>3如生产进度有延误，投标方应及时将延误的原因、产生的影响及准备采取的补救措施等向招标方加以解释，并尽可能保证交货的进度。否则应及时向招标方通报，以便招标方能采取必要的应对延迟交货的措施。</w:t>
      </w:r>
    </w:p>
    <w:p w14:paraId="2085CE17">
      <w:pPr>
        <w:keepNext/>
        <w:keepLines/>
        <w:spacing w:line="400" w:lineRule="exact"/>
        <w:jc w:val="both"/>
        <w:outlineLvl w:val="2"/>
        <w:rPr>
          <w:rFonts w:cs="Times New Roman"/>
          <w:b/>
          <w:bCs/>
          <w:kern w:val="2"/>
          <w:sz w:val="21"/>
          <w:szCs w:val="21"/>
          <w:lang w:val="en-US"/>
        </w:rPr>
      </w:pPr>
      <w:bookmarkStart w:id="51" w:name="_Toc351107604"/>
      <w:bookmarkStart w:id="52" w:name="_Toc428997263"/>
      <w:bookmarkStart w:id="53" w:name="_Toc351107501"/>
      <w:bookmarkStart w:id="54" w:name="_Toc246863041"/>
      <w:bookmarkStart w:id="55" w:name="_Toc255074820"/>
      <w:bookmarkStart w:id="56" w:name="_Toc387646166"/>
      <w:bookmarkStart w:id="57" w:name="_Toc411176402"/>
      <w:bookmarkStart w:id="58" w:name="_Toc251665635"/>
      <w:bookmarkStart w:id="59" w:name="_Toc351107786"/>
      <w:bookmarkStart w:id="60" w:name="_Toc241911373"/>
      <w:bookmarkStart w:id="61" w:name="_Toc253150284"/>
      <w:bookmarkStart w:id="62" w:name="_Toc155151645"/>
      <w:r>
        <w:rPr>
          <w:rFonts w:cs="Times New Roman"/>
          <w:b/>
          <w:bCs/>
          <w:kern w:val="2"/>
          <w:sz w:val="21"/>
          <w:szCs w:val="21"/>
          <w:lang w:val="en-US"/>
        </w:rPr>
        <w:t>标准和规范</w:t>
      </w:r>
      <w:bookmarkEnd w:id="51"/>
      <w:bookmarkEnd w:id="52"/>
      <w:bookmarkEnd w:id="53"/>
      <w:bookmarkEnd w:id="54"/>
      <w:bookmarkEnd w:id="55"/>
      <w:bookmarkEnd w:id="56"/>
      <w:bookmarkEnd w:id="57"/>
      <w:bookmarkEnd w:id="58"/>
      <w:bookmarkEnd w:id="59"/>
      <w:bookmarkEnd w:id="60"/>
      <w:bookmarkEnd w:id="61"/>
    </w:p>
    <w:p w14:paraId="1B610326">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2.3.</w:t>
      </w:r>
      <w:r>
        <w:rPr>
          <w:rFonts w:cs="Times New Roman"/>
          <w:caps/>
          <w:sz w:val="21"/>
          <w:szCs w:val="21"/>
          <w:lang w:val="en-US"/>
        </w:rPr>
        <w:t>1</w:t>
      </w:r>
      <w:r>
        <w:rPr>
          <w:rFonts w:hint="eastAsia" w:cs="Times New Roman"/>
          <w:caps/>
          <w:sz w:val="21"/>
          <w:szCs w:val="21"/>
          <w:lang w:val="en-US"/>
        </w:rPr>
        <w:t>本规范</w:t>
      </w:r>
      <w:r>
        <w:rPr>
          <w:rFonts w:cs="Times New Roman"/>
          <w:caps/>
          <w:sz w:val="21"/>
          <w:szCs w:val="21"/>
          <w:lang w:val="en-US"/>
        </w:rPr>
        <w:t>按有关标准、规范或准则</w:t>
      </w:r>
      <w:r>
        <w:rPr>
          <w:rFonts w:hint="eastAsia" w:cs="Times New Roman"/>
          <w:caps/>
          <w:sz w:val="21"/>
          <w:szCs w:val="21"/>
          <w:lang w:val="en-US"/>
        </w:rPr>
        <w:t>、</w:t>
      </w:r>
      <w:r>
        <w:rPr>
          <w:rFonts w:cs="Times New Roman"/>
          <w:caps/>
          <w:sz w:val="21"/>
          <w:szCs w:val="21"/>
          <w:lang w:val="en-US"/>
        </w:rPr>
        <w:t>本规范附件规定的合同设备</w:t>
      </w:r>
      <w:r>
        <w:rPr>
          <w:rFonts w:hint="eastAsia" w:cs="Times New Roman"/>
          <w:caps/>
          <w:sz w:val="21"/>
          <w:szCs w:val="21"/>
          <w:lang w:val="en-US"/>
        </w:rPr>
        <w:t>，包括</w:t>
      </w:r>
      <w:r>
        <w:rPr>
          <w:rFonts w:cs="Times New Roman"/>
          <w:caps/>
          <w:sz w:val="21"/>
          <w:szCs w:val="21"/>
          <w:lang w:val="en-US"/>
        </w:rPr>
        <w:t>投标方向其他厂商购买的所有</w:t>
      </w:r>
      <w:r>
        <w:rPr>
          <w:rFonts w:hint="eastAsia" w:cs="Times New Roman"/>
          <w:caps/>
          <w:sz w:val="21"/>
          <w:szCs w:val="21"/>
          <w:lang w:val="en-US"/>
        </w:rPr>
        <w:t>辅件</w:t>
      </w:r>
      <w:r>
        <w:rPr>
          <w:rFonts w:cs="Times New Roman"/>
          <w:caps/>
          <w:sz w:val="21"/>
          <w:szCs w:val="21"/>
          <w:lang w:val="en-US"/>
        </w:rPr>
        <w:t>和设备，</w:t>
      </w:r>
      <w:r>
        <w:rPr>
          <w:rFonts w:hint="eastAsia" w:cs="Times New Roman"/>
          <w:caps/>
          <w:sz w:val="21"/>
          <w:szCs w:val="21"/>
          <w:lang w:val="en-US"/>
        </w:rPr>
        <w:t>也</w:t>
      </w:r>
      <w:r>
        <w:rPr>
          <w:rFonts w:cs="Times New Roman"/>
          <w:caps/>
          <w:sz w:val="21"/>
          <w:szCs w:val="21"/>
          <w:lang w:val="en-US"/>
        </w:rPr>
        <w:t>应符合这些标准、规范或准则</w:t>
      </w:r>
      <w:r>
        <w:rPr>
          <w:rFonts w:hint="eastAsia" w:cs="Times New Roman"/>
          <w:caps/>
          <w:sz w:val="21"/>
          <w:szCs w:val="21"/>
          <w:lang w:val="en-US"/>
        </w:rPr>
        <w:t>、</w:t>
      </w:r>
      <w:r>
        <w:rPr>
          <w:rFonts w:cs="Times New Roman"/>
          <w:caps/>
          <w:sz w:val="21"/>
          <w:szCs w:val="21"/>
          <w:lang w:val="en-US"/>
        </w:rPr>
        <w:t>本规范附件的要求。</w:t>
      </w:r>
    </w:p>
    <w:p w14:paraId="3D968C5C">
      <w:pPr>
        <w:tabs>
          <w:tab w:val="left" w:pos="525"/>
        </w:tabs>
        <w:spacing w:line="400" w:lineRule="exact"/>
        <w:ind w:firstLine="420"/>
        <w:jc w:val="both"/>
        <w:rPr>
          <w:rFonts w:cs="Times New Roman"/>
          <w:caps/>
          <w:sz w:val="21"/>
          <w:szCs w:val="21"/>
          <w:lang w:val="en-US"/>
        </w:rPr>
      </w:pPr>
      <w:r>
        <w:rPr>
          <w:rFonts w:hint="eastAsia" w:cs="Times New Roman"/>
          <w:caps/>
          <w:sz w:val="21"/>
          <w:szCs w:val="21"/>
          <w:lang w:val="en-US"/>
        </w:rPr>
        <w:t>2.</w:t>
      </w:r>
      <w:r>
        <w:rPr>
          <w:rFonts w:cs="Times New Roman"/>
          <w:caps/>
          <w:sz w:val="21"/>
          <w:szCs w:val="21"/>
          <w:lang w:val="en-US"/>
        </w:rPr>
        <w:t>3.2所列标准中的条款通过</w:t>
      </w:r>
      <w:r>
        <w:rPr>
          <w:rFonts w:hint="eastAsia" w:cs="Times New Roman"/>
          <w:caps/>
          <w:sz w:val="21"/>
          <w:szCs w:val="21"/>
          <w:lang w:val="en-US"/>
        </w:rPr>
        <w:t>本规范</w:t>
      </w:r>
      <w:r>
        <w:rPr>
          <w:rFonts w:cs="Times New Roman"/>
          <w:caps/>
          <w:sz w:val="21"/>
          <w:szCs w:val="21"/>
          <w:lang w:val="en-US"/>
        </w:rPr>
        <w:t>的引用而成为</w:t>
      </w:r>
      <w:r>
        <w:rPr>
          <w:rFonts w:hint="eastAsia" w:cs="Times New Roman"/>
          <w:caps/>
          <w:sz w:val="21"/>
          <w:szCs w:val="21"/>
          <w:lang w:val="en-US"/>
        </w:rPr>
        <w:t>本规范</w:t>
      </w:r>
      <w:r>
        <w:rPr>
          <w:rFonts w:cs="Times New Roman"/>
          <w:caps/>
          <w:sz w:val="21"/>
          <w:szCs w:val="21"/>
          <w:lang w:val="en-US"/>
        </w:rPr>
        <w:t>的条款。凡经修订的标准，其最新版本适用于</w:t>
      </w:r>
      <w:r>
        <w:rPr>
          <w:rFonts w:hint="eastAsia" w:cs="Times New Roman"/>
          <w:caps/>
          <w:sz w:val="21"/>
          <w:szCs w:val="21"/>
          <w:lang w:val="en-US"/>
        </w:rPr>
        <w:t>本规范</w:t>
      </w:r>
      <w:r>
        <w:rPr>
          <w:rFonts w:cs="Times New Roman"/>
          <w:caps/>
          <w:sz w:val="21"/>
          <w:szCs w:val="21"/>
          <w:lang w:val="en-US"/>
        </w:rPr>
        <w:t>。</w:t>
      </w:r>
    </w:p>
    <w:p w14:paraId="671280BE">
      <w:pPr>
        <w:tabs>
          <w:tab w:val="left" w:pos="525"/>
        </w:tabs>
        <w:spacing w:line="400" w:lineRule="exact"/>
        <w:ind w:firstLine="420"/>
        <w:jc w:val="center"/>
        <w:rPr>
          <w:rFonts w:cs="Times New Roman"/>
          <w:caps/>
          <w:sz w:val="21"/>
          <w:szCs w:val="21"/>
          <w:lang w:val="en-US"/>
        </w:rPr>
      </w:pPr>
      <w:r>
        <w:rPr>
          <w:rFonts w:cs="Times New Roman"/>
          <w:caps/>
          <w:sz w:val="21"/>
          <w:szCs w:val="21"/>
          <w:lang w:val="en-US"/>
        </w:rPr>
        <w:t>投标方提供的设备和附件需要满足的主要标准</w:t>
      </w:r>
    </w:p>
    <w:tbl>
      <w:tblPr>
        <w:tblStyle w:val="50"/>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6872"/>
      </w:tblGrid>
      <w:tr w14:paraId="5D25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898" w:type="dxa"/>
            <w:tcMar>
              <w:left w:w="0" w:type="dxa"/>
              <w:right w:w="0" w:type="dxa"/>
            </w:tcMar>
            <w:vAlign w:val="center"/>
          </w:tcPr>
          <w:p w14:paraId="23BB8734">
            <w:pPr>
              <w:overflowPunct w:val="0"/>
              <w:topLinePunct/>
              <w:snapToGrid w:val="0"/>
              <w:ind w:left="66" w:leftChars="30" w:right="66" w:rightChars="30"/>
              <w:jc w:val="center"/>
              <w:rPr>
                <w:b/>
                <w:kern w:val="2"/>
                <w:sz w:val="21"/>
                <w:szCs w:val="21"/>
                <w:lang w:val="en-US"/>
              </w:rPr>
            </w:pPr>
            <w:r>
              <w:rPr>
                <w:b/>
                <w:kern w:val="2"/>
                <w:sz w:val="21"/>
                <w:szCs w:val="21"/>
                <w:lang w:val="en-US"/>
              </w:rPr>
              <w:t>标</w:t>
            </w:r>
            <w:r>
              <w:rPr>
                <w:rFonts w:hint="eastAsia"/>
                <w:b/>
                <w:kern w:val="2"/>
                <w:sz w:val="21"/>
                <w:szCs w:val="21"/>
                <w:lang w:val="en-US"/>
              </w:rPr>
              <w:t xml:space="preserve">   </w:t>
            </w:r>
            <w:r>
              <w:rPr>
                <w:b/>
                <w:kern w:val="2"/>
                <w:sz w:val="21"/>
                <w:szCs w:val="21"/>
                <w:lang w:val="en-US"/>
              </w:rPr>
              <w:t>准</w:t>
            </w:r>
            <w:r>
              <w:rPr>
                <w:rFonts w:hint="eastAsia"/>
                <w:b/>
                <w:kern w:val="2"/>
                <w:sz w:val="21"/>
                <w:szCs w:val="21"/>
                <w:lang w:val="en-US"/>
              </w:rPr>
              <w:t xml:space="preserve">   </w:t>
            </w:r>
            <w:r>
              <w:rPr>
                <w:b/>
                <w:kern w:val="2"/>
                <w:sz w:val="21"/>
                <w:szCs w:val="21"/>
                <w:lang w:val="en-US"/>
              </w:rPr>
              <w:t>号</w:t>
            </w:r>
          </w:p>
        </w:tc>
        <w:tc>
          <w:tcPr>
            <w:tcW w:w="6872" w:type="dxa"/>
            <w:tcMar>
              <w:left w:w="0" w:type="dxa"/>
              <w:right w:w="0" w:type="dxa"/>
            </w:tcMar>
            <w:vAlign w:val="center"/>
          </w:tcPr>
          <w:p w14:paraId="449430F3">
            <w:pPr>
              <w:overflowPunct w:val="0"/>
              <w:topLinePunct/>
              <w:snapToGrid w:val="0"/>
              <w:ind w:left="66" w:leftChars="30" w:right="66" w:rightChars="30"/>
              <w:jc w:val="center"/>
              <w:rPr>
                <w:b/>
                <w:kern w:val="2"/>
                <w:sz w:val="21"/>
                <w:szCs w:val="21"/>
                <w:lang w:val="en-US"/>
              </w:rPr>
            </w:pPr>
            <w:r>
              <w:rPr>
                <w:b/>
                <w:kern w:val="2"/>
                <w:sz w:val="21"/>
                <w:szCs w:val="21"/>
                <w:lang w:val="en-US"/>
              </w:rPr>
              <w:t>标</w:t>
            </w:r>
            <w:r>
              <w:rPr>
                <w:rFonts w:hint="eastAsia"/>
                <w:b/>
                <w:kern w:val="2"/>
                <w:sz w:val="21"/>
                <w:szCs w:val="21"/>
                <w:lang w:val="en-US"/>
              </w:rPr>
              <w:t xml:space="preserve">  </w:t>
            </w:r>
            <w:r>
              <w:rPr>
                <w:b/>
                <w:kern w:val="2"/>
                <w:sz w:val="21"/>
                <w:szCs w:val="21"/>
                <w:lang w:val="en-US"/>
              </w:rPr>
              <w:t>准</w:t>
            </w:r>
            <w:r>
              <w:rPr>
                <w:rFonts w:hint="eastAsia"/>
                <w:b/>
                <w:kern w:val="2"/>
                <w:sz w:val="21"/>
                <w:szCs w:val="21"/>
                <w:lang w:val="en-US"/>
              </w:rPr>
              <w:t xml:space="preserve">  </w:t>
            </w:r>
            <w:r>
              <w:rPr>
                <w:b/>
                <w:kern w:val="2"/>
                <w:sz w:val="21"/>
                <w:szCs w:val="21"/>
                <w:lang w:val="en-US"/>
              </w:rPr>
              <w:t>名</w:t>
            </w:r>
            <w:r>
              <w:rPr>
                <w:rFonts w:hint="eastAsia"/>
                <w:b/>
                <w:kern w:val="2"/>
                <w:sz w:val="21"/>
                <w:szCs w:val="21"/>
                <w:lang w:val="en-US"/>
              </w:rPr>
              <w:t xml:space="preserve">  </w:t>
            </w:r>
            <w:r>
              <w:rPr>
                <w:b/>
                <w:kern w:val="2"/>
                <w:sz w:val="21"/>
                <w:szCs w:val="21"/>
                <w:lang w:val="en-US"/>
              </w:rPr>
              <w:t>称</w:t>
            </w:r>
          </w:p>
        </w:tc>
      </w:tr>
      <w:tr w14:paraId="061B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7CCC2DAF">
            <w:pPr>
              <w:topLinePunct/>
              <w:snapToGrid w:val="0"/>
              <w:ind w:left="130" w:leftChars="59"/>
              <w:rPr>
                <w:rFonts w:cs="Times New Roman"/>
                <w:kern w:val="2"/>
                <w:sz w:val="21"/>
                <w:szCs w:val="21"/>
                <w:lang w:val="en-US"/>
              </w:rPr>
            </w:pPr>
            <w:r>
              <w:rPr>
                <w:rFonts w:hint="eastAsia" w:cs="Times New Roman"/>
                <w:kern w:val="2"/>
                <w:sz w:val="21"/>
                <w:szCs w:val="21"/>
                <w:lang w:val="en-US"/>
              </w:rPr>
              <w:t>GB/T 2421.1-2008</w:t>
            </w:r>
          </w:p>
        </w:tc>
        <w:tc>
          <w:tcPr>
            <w:tcW w:w="6872" w:type="dxa"/>
            <w:tcMar>
              <w:left w:w="0" w:type="dxa"/>
              <w:right w:w="0" w:type="dxa"/>
            </w:tcMar>
            <w:vAlign w:val="center"/>
          </w:tcPr>
          <w:p w14:paraId="17634F6E">
            <w:pPr>
              <w:topLinePunct/>
              <w:snapToGrid w:val="0"/>
              <w:ind w:left="130" w:leftChars="59"/>
              <w:rPr>
                <w:rFonts w:cs="Times New Roman"/>
                <w:kern w:val="2"/>
                <w:sz w:val="21"/>
                <w:szCs w:val="21"/>
                <w:lang w:val="en-US"/>
              </w:rPr>
            </w:pPr>
            <w:r>
              <w:rPr>
                <w:rFonts w:hint="eastAsia" w:cs="Times New Roman"/>
                <w:kern w:val="2"/>
                <w:sz w:val="21"/>
                <w:szCs w:val="21"/>
                <w:lang w:val="en-US"/>
              </w:rPr>
              <w:t>电工电子产品环境试验概述和指南</w:t>
            </w:r>
          </w:p>
        </w:tc>
      </w:tr>
      <w:tr w14:paraId="180E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2DA8671D">
            <w:pPr>
              <w:topLinePunct/>
              <w:snapToGrid w:val="0"/>
              <w:ind w:left="130" w:leftChars="59"/>
              <w:rPr>
                <w:rFonts w:cs="Times New Roman"/>
                <w:kern w:val="2"/>
                <w:sz w:val="21"/>
                <w:szCs w:val="21"/>
                <w:lang w:val="en-US"/>
              </w:rPr>
            </w:pPr>
            <w:r>
              <w:rPr>
                <w:rFonts w:hint="eastAsia" w:cs="Times New Roman"/>
                <w:kern w:val="2"/>
                <w:sz w:val="21"/>
                <w:szCs w:val="21"/>
                <w:lang w:val="en-US"/>
              </w:rPr>
              <w:t>GB/T 2423.1-2008</w:t>
            </w:r>
          </w:p>
        </w:tc>
        <w:tc>
          <w:tcPr>
            <w:tcW w:w="6872" w:type="dxa"/>
            <w:tcMar>
              <w:left w:w="0" w:type="dxa"/>
              <w:right w:w="0" w:type="dxa"/>
            </w:tcMar>
            <w:vAlign w:val="center"/>
          </w:tcPr>
          <w:p w14:paraId="4D77219A">
            <w:pPr>
              <w:topLinePunct/>
              <w:snapToGrid w:val="0"/>
              <w:ind w:left="130" w:leftChars="59"/>
              <w:rPr>
                <w:rFonts w:cs="Times New Roman"/>
                <w:kern w:val="2"/>
                <w:sz w:val="21"/>
                <w:szCs w:val="21"/>
                <w:lang w:val="en-US"/>
              </w:rPr>
            </w:pPr>
            <w:r>
              <w:rPr>
                <w:rFonts w:hint="eastAsia" w:cs="Times New Roman"/>
                <w:kern w:val="2"/>
                <w:sz w:val="21"/>
                <w:szCs w:val="21"/>
                <w:lang w:val="en-US"/>
              </w:rPr>
              <w:t>电工电子产品环境试验　第2部分：试验方法　试验A：低温</w:t>
            </w:r>
          </w:p>
        </w:tc>
      </w:tr>
      <w:tr w14:paraId="2D57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71D3778C">
            <w:pPr>
              <w:topLinePunct/>
              <w:snapToGrid w:val="0"/>
              <w:ind w:left="130" w:leftChars="59"/>
              <w:rPr>
                <w:rFonts w:cs="Times New Roman"/>
                <w:kern w:val="2"/>
                <w:sz w:val="21"/>
                <w:szCs w:val="21"/>
                <w:lang w:val="en-US"/>
              </w:rPr>
            </w:pPr>
            <w:r>
              <w:rPr>
                <w:rFonts w:hint="eastAsia" w:cs="Times New Roman"/>
                <w:kern w:val="2"/>
                <w:sz w:val="21"/>
                <w:szCs w:val="21"/>
                <w:lang w:val="en-US"/>
              </w:rPr>
              <w:t>GB/T 2423.2-2008</w:t>
            </w:r>
          </w:p>
        </w:tc>
        <w:tc>
          <w:tcPr>
            <w:tcW w:w="6872" w:type="dxa"/>
            <w:tcMar>
              <w:left w:w="0" w:type="dxa"/>
              <w:right w:w="0" w:type="dxa"/>
            </w:tcMar>
            <w:vAlign w:val="center"/>
          </w:tcPr>
          <w:p w14:paraId="14A5848D">
            <w:pPr>
              <w:topLinePunct/>
              <w:snapToGrid w:val="0"/>
              <w:ind w:left="130" w:leftChars="59"/>
              <w:rPr>
                <w:rFonts w:cs="Times New Roman"/>
                <w:kern w:val="2"/>
                <w:sz w:val="21"/>
                <w:szCs w:val="21"/>
                <w:lang w:val="en-US"/>
              </w:rPr>
            </w:pPr>
            <w:r>
              <w:rPr>
                <w:rFonts w:hint="eastAsia" w:cs="Times New Roman"/>
                <w:kern w:val="2"/>
                <w:sz w:val="21"/>
                <w:szCs w:val="21"/>
                <w:lang w:val="en-US"/>
              </w:rPr>
              <w:t>电工电子产品环境试验　第2部分：试验方法　试验B：高温</w:t>
            </w:r>
          </w:p>
        </w:tc>
      </w:tr>
      <w:tr w14:paraId="3BB4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3CA96CD9">
            <w:pPr>
              <w:topLinePunct/>
              <w:snapToGrid w:val="0"/>
              <w:ind w:left="130" w:leftChars="59"/>
              <w:rPr>
                <w:rFonts w:cs="Times New Roman"/>
                <w:kern w:val="2"/>
                <w:sz w:val="21"/>
                <w:szCs w:val="21"/>
                <w:lang w:val="en-US"/>
              </w:rPr>
            </w:pPr>
            <w:r>
              <w:rPr>
                <w:rFonts w:hint="eastAsia" w:cs="Times New Roman"/>
                <w:kern w:val="2"/>
                <w:sz w:val="21"/>
                <w:szCs w:val="21"/>
                <w:lang w:val="en-US"/>
              </w:rPr>
              <w:t>GB/T 2423.4-2008</w:t>
            </w:r>
          </w:p>
        </w:tc>
        <w:tc>
          <w:tcPr>
            <w:tcW w:w="6872" w:type="dxa"/>
            <w:tcMar>
              <w:left w:w="0" w:type="dxa"/>
              <w:right w:w="0" w:type="dxa"/>
            </w:tcMar>
            <w:vAlign w:val="center"/>
          </w:tcPr>
          <w:p w14:paraId="5CE08307">
            <w:pPr>
              <w:topLinePunct/>
              <w:snapToGrid w:val="0"/>
              <w:ind w:left="130" w:leftChars="59"/>
              <w:rPr>
                <w:rFonts w:cs="Times New Roman"/>
                <w:kern w:val="2"/>
                <w:sz w:val="21"/>
                <w:szCs w:val="21"/>
                <w:lang w:val="en-US"/>
              </w:rPr>
            </w:pPr>
            <w:r>
              <w:rPr>
                <w:rFonts w:hint="eastAsia" w:cs="Times New Roman"/>
                <w:kern w:val="2"/>
                <w:sz w:val="21"/>
                <w:szCs w:val="21"/>
                <w:lang w:val="en-US"/>
              </w:rPr>
              <w:t>电工电子产品环境试验　第2部分：试验方法　试验Db：交变湿热（12h+12h循环）</w:t>
            </w:r>
          </w:p>
        </w:tc>
      </w:tr>
      <w:tr w14:paraId="4CBE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3EA435E0">
            <w:pPr>
              <w:topLinePunct/>
              <w:snapToGrid w:val="0"/>
              <w:ind w:left="130" w:leftChars="59"/>
              <w:rPr>
                <w:rFonts w:cs="Times New Roman"/>
                <w:kern w:val="2"/>
                <w:sz w:val="21"/>
                <w:szCs w:val="21"/>
                <w:lang w:val="en-US"/>
              </w:rPr>
            </w:pPr>
            <w:r>
              <w:rPr>
                <w:rFonts w:hint="eastAsia" w:cs="Times New Roman"/>
                <w:kern w:val="2"/>
                <w:sz w:val="21"/>
                <w:szCs w:val="21"/>
                <w:lang w:val="en-US"/>
              </w:rPr>
              <w:t>GB/T 2423.17-2008</w:t>
            </w:r>
          </w:p>
        </w:tc>
        <w:tc>
          <w:tcPr>
            <w:tcW w:w="6872" w:type="dxa"/>
            <w:tcMar>
              <w:left w:w="0" w:type="dxa"/>
              <w:right w:w="0" w:type="dxa"/>
            </w:tcMar>
            <w:vAlign w:val="center"/>
          </w:tcPr>
          <w:p w14:paraId="5ACA0F42">
            <w:pPr>
              <w:topLinePunct/>
              <w:snapToGrid w:val="0"/>
              <w:ind w:left="130" w:leftChars="59"/>
              <w:rPr>
                <w:rFonts w:cs="Times New Roman"/>
                <w:kern w:val="2"/>
                <w:sz w:val="21"/>
                <w:szCs w:val="21"/>
                <w:lang w:val="en-US"/>
              </w:rPr>
            </w:pPr>
            <w:r>
              <w:rPr>
                <w:rFonts w:hint="eastAsia" w:cs="Times New Roman"/>
                <w:kern w:val="2"/>
                <w:sz w:val="21"/>
                <w:szCs w:val="21"/>
                <w:lang w:val="en-US"/>
              </w:rPr>
              <w:t>电工电子产品环境试验 第2部分：试验方法 试验Ka：盐雾</w:t>
            </w:r>
          </w:p>
        </w:tc>
      </w:tr>
      <w:tr w14:paraId="59B1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1EEB2F20">
            <w:pPr>
              <w:topLinePunct/>
              <w:snapToGrid w:val="0"/>
              <w:ind w:left="130" w:leftChars="59"/>
              <w:rPr>
                <w:rFonts w:cs="Times New Roman"/>
                <w:kern w:val="2"/>
                <w:sz w:val="21"/>
                <w:szCs w:val="21"/>
                <w:lang w:val="en-US"/>
              </w:rPr>
            </w:pPr>
            <w:r>
              <w:rPr>
                <w:rFonts w:hint="eastAsia" w:cs="Times New Roman"/>
                <w:kern w:val="2"/>
                <w:sz w:val="21"/>
                <w:szCs w:val="21"/>
                <w:lang w:val="en-US"/>
              </w:rPr>
              <w:t>GB/T 2423.55-2006</w:t>
            </w:r>
          </w:p>
        </w:tc>
        <w:tc>
          <w:tcPr>
            <w:tcW w:w="6872" w:type="dxa"/>
            <w:tcMar>
              <w:left w:w="0" w:type="dxa"/>
              <w:right w:w="0" w:type="dxa"/>
            </w:tcMar>
            <w:vAlign w:val="center"/>
          </w:tcPr>
          <w:p w14:paraId="198CAA95">
            <w:pPr>
              <w:topLinePunct/>
              <w:snapToGrid w:val="0"/>
              <w:ind w:left="130" w:leftChars="59"/>
              <w:rPr>
                <w:rFonts w:cs="Times New Roman"/>
                <w:kern w:val="2"/>
                <w:sz w:val="21"/>
                <w:szCs w:val="21"/>
                <w:lang w:val="en-US"/>
              </w:rPr>
            </w:pPr>
            <w:r>
              <w:rPr>
                <w:rFonts w:hint="eastAsia" w:cs="Times New Roman"/>
                <w:kern w:val="2"/>
                <w:sz w:val="21"/>
                <w:szCs w:val="21"/>
                <w:lang w:val="en-US"/>
              </w:rPr>
              <w:t>电工电子产品环境试验　第2部分：环境测试实验Eh：锤击试验</w:t>
            </w:r>
          </w:p>
        </w:tc>
      </w:tr>
      <w:tr w14:paraId="5922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02BA68F2">
            <w:pPr>
              <w:topLinePunct/>
              <w:snapToGrid w:val="0"/>
              <w:ind w:left="130" w:leftChars="59"/>
              <w:rPr>
                <w:rFonts w:cs="Times New Roman"/>
                <w:kern w:val="2"/>
                <w:sz w:val="21"/>
                <w:szCs w:val="21"/>
                <w:lang w:val="en-US"/>
              </w:rPr>
            </w:pPr>
            <w:r>
              <w:rPr>
                <w:rFonts w:hint="eastAsia" w:cs="Times New Roman"/>
                <w:kern w:val="2"/>
                <w:sz w:val="21"/>
                <w:szCs w:val="21"/>
                <w:lang w:val="en-US"/>
              </w:rPr>
              <w:t>GB 4208-2008</w:t>
            </w:r>
          </w:p>
        </w:tc>
        <w:tc>
          <w:tcPr>
            <w:tcW w:w="6872" w:type="dxa"/>
            <w:tcMar>
              <w:left w:w="0" w:type="dxa"/>
              <w:right w:w="0" w:type="dxa"/>
            </w:tcMar>
            <w:vAlign w:val="center"/>
          </w:tcPr>
          <w:p w14:paraId="2DD6B29E">
            <w:pPr>
              <w:topLinePunct/>
              <w:snapToGrid w:val="0"/>
              <w:ind w:left="130" w:leftChars="59"/>
              <w:rPr>
                <w:rFonts w:cs="Times New Roman"/>
                <w:kern w:val="2"/>
                <w:sz w:val="21"/>
                <w:szCs w:val="21"/>
                <w:lang w:val="en-US"/>
              </w:rPr>
            </w:pPr>
            <w:r>
              <w:rPr>
                <w:rFonts w:hint="eastAsia" w:cs="Times New Roman"/>
                <w:kern w:val="2"/>
                <w:sz w:val="21"/>
                <w:szCs w:val="21"/>
                <w:lang w:val="en-US"/>
              </w:rPr>
              <w:t>外壳防护等级（IP代码）</w:t>
            </w:r>
          </w:p>
        </w:tc>
      </w:tr>
      <w:tr w14:paraId="09E3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7030FEA0">
            <w:pPr>
              <w:topLinePunct/>
              <w:snapToGrid w:val="0"/>
              <w:ind w:left="130" w:leftChars="59"/>
              <w:rPr>
                <w:rFonts w:cs="Times New Roman"/>
                <w:kern w:val="2"/>
                <w:sz w:val="21"/>
                <w:szCs w:val="21"/>
                <w:lang w:val="en-US"/>
              </w:rPr>
            </w:pPr>
            <w:r>
              <w:rPr>
                <w:rFonts w:hint="eastAsia" w:cs="Times New Roman"/>
                <w:kern w:val="2"/>
                <w:sz w:val="21"/>
                <w:szCs w:val="21"/>
                <w:lang w:val="en-US"/>
              </w:rPr>
              <w:t>GB/T 4797.5-2008</w:t>
            </w:r>
          </w:p>
        </w:tc>
        <w:tc>
          <w:tcPr>
            <w:tcW w:w="6872" w:type="dxa"/>
            <w:tcMar>
              <w:left w:w="0" w:type="dxa"/>
              <w:right w:w="0" w:type="dxa"/>
            </w:tcMar>
            <w:vAlign w:val="center"/>
          </w:tcPr>
          <w:p w14:paraId="15E5E25F">
            <w:pPr>
              <w:topLinePunct/>
              <w:snapToGrid w:val="0"/>
              <w:ind w:left="130" w:leftChars="59"/>
              <w:rPr>
                <w:rFonts w:cs="Times New Roman"/>
                <w:kern w:val="2"/>
                <w:sz w:val="21"/>
                <w:szCs w:val="21"/>
                <w:lang w:val="en-US"/>
              </w:rPr>
            </w:pPr>
            <w:r>
              <w:rPr>
                <w:rFonts w:hint="eastAsia" w:cs="Times New Roman"/>
                <w:kern w:val="2"/>
                <w:sz w:val="21"/>
                <w:szCs w:val="21"/>
                <w:lang w:val="en-US"/>
              </w:rPr>
              <w:t>电工电子产品自然环境条件降水和风</w:t>
            </w:r>
          </w:p>
        </w:tc>
      </w:tr>
      <w:tr w14:paraId="0B58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12448490">
            <w:pPr>
              <w:topLinePunct/>
              <w:snapToGrid w:val="0"/>
              <w:ind w:left="130" w:leftChars="59"/>
              <w:rPr>
                <w:rFonts w:cs="Times New Roman"/>
                <w:kern w:val="2"/>
                <w:sz w:val="21"/>
                <w:szCs w:val="21"/>
                <w:lang w:val="en-US"/>
              </w:rPr>
            </w:pPr>
            <w:r>
              <w:rPr>
                <w:rFonts w:hint="eastAsia" w:cs="Times New Roman"/>
                <w:kern w:val="2"/>
                <w:sz w:val="21"/>
                <w:szCs w:val="21"/>
                <w:lang w:val="en-US"/>
              </w:rPr>
              <w:t>GB/T 13384-2008</w:t>
            </w:r>
          </w:p>
        </w:tc>
        <w:tc>
          <w:tcPr>
            <w:tcW w:w="6872" w:type="dxa"/>
            <w:tcMar>
              <w:left w:w="0" w:type="dxa"/>
              <w:right w:w="0" w:type="dxa"/>
            </w:tcMar>
            <w:vAlign w:val="center"/>
          </w:tcPr>
          <w:p w14:paraId="48EE6127">
            <w:pPr>
              <w:topLinePunct/>
              <w:snapToGrid w:val="0"/>
              <w:ind w:left="130" w:leftChars="59"/>
              <w:rPr>
                <w:rFonts w:cs="Times New Roman"/>
                <w:kern w:val="2"/>
                <w:sz w:val="21"/>
                <w:szCs w:val="21"/>
                <w:lang w:val="en-US"/>
              </w:rPr>
            </w:pPr>
            <w:r>
              <w:rPr>
                <w:rFonts w:hint="eastAsia" w:cs="Times New Roman"/>
                <w:kern w:val="2"/>
                <w:sz w:val="21"/>
                <w:szCs w:val="21"/>
                <w:lang w:val="en-US"/>
              </w:rPr>
              <w:t>机电产品包装通用技术条件</w:t>
            </w:r>
          </w:p>
        </w:tc>
      </w:tr>
      <w:tr w14:paraId="019F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2E212F8B">
            <w:pPr>
              <w:topLinePunct/>
              <w:snapToGrid w:val="0"/>
              <w:ind w:left="130" w:leftChars="59"/>
              <w:rPr>
                <w:rFonts w:cs="Times New Roman"/>
                <w:kern w:val="2"/>
                <w:sz w:val="21"/>
                <w:szCs w:val="21"/>
                <w:lang w:val="en-US"/>
              </w:rPr>
            </w:pPr>
            <w:r>
              <w:rPr>
                <w:rFonts w:hint="eastAsia" w:cs="Times New Roman"/>
                <w:kern w:val="2"/>
                <w:sz w:val="21"/>
                <w:szCs w:val="21"/>
                <w:lang w:val="en-US"/>
              </w:rPr>
              <w:t>GB/Z 17625.6-2003</w:t>
            </w:r>
          </w:p>
        </w:tc>
        <w:tc>
          <w:tcPr>
            <w:tcW w:w="6872" w:type="dxa"/>
            <w:tcMar>
              <w:left w:w="0" w:type="dxa"/>
              <w:right w:w="0" w:type="dxa"/>
            </w:tcMar>
            <w:vAlign w:val="center"/>
          </w:tcPr>
          <w:p w14:paraId="104A2EA1">
            <w:pPr>
              <w:topLinePunct/>
              <w:snapToGrid w:val="0"/>
              <w:ind w:left="130" w:leftChars="59"/>
              <w:rPr>
                <w:rFonts w:cs="Times New Roman"/>
                <w:kern w:val="2"/>
                <w:sz w:val="21"/>
                <w:szCs w:val="21"/>
                <w:lang w:val="en-US"/>
              </w:rPr>
            </w:pPr>
            <w:r>
              <w:rPr>
                <w:rFonts w:hint="eastAsia" w:cs="Times New Roman"/>
                <w:kern w:val="2"/>
                <w:sz w:val="21"/>
                <w:szCs w:val="21"/>
                <w:lang w:val="en-US"/>
              </w:rPr>
              <w:t>电磁兼容　限值　对额定电流大于16 A的设备在低压供电系统中产生的谐波电流的限制</w:t>
            </w:r>
          </w:p>
        </w:tc>
      </w:tr>
      <w:tr w14:paraId="1C0C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6471CA7C">
            <w:pPr>
              <w:topLinePunct/>
              <w:snapToGrid w:val="0"/>
              <w:ind w:left="130" w:leftChars="59"/>
              <w:rPr>
                <w:rFonts w:cs="Times New Roman"/>
                <w:kern w:val="2"/>
                <w:sz w:val="21"/>
                <w:szCs w:val="21"/>
                <w:lang w:val="en-US"/>
              </w:rPr>
            </w:pPr>
            <w:r>
              <w:rPr>
                <w:rFonts w:hint="eastAsia" w:cs="Times New Roman"/>
                <w:kern w:val="2"/>
                <w:sz w:val="21"/>
                <w:szCs w:val="21"/>
                <w:lang w:val="en-US"/>
              </w:rPr>
              <w:t>GB/T 17626.2-2006</w:t>
            </w:r>
          </w:p>
        </w:tc>
        <w:tc>
          <w:tcPr>
            <w:tcW w:w="6872" w:type="dxa"/>
            <w:tcMar>
              <w:left w:w="0" w:type="dxa"/>
              <w:right w:w="0" w:type="dxa"/>
            </w:tcMar>
            <w:vAlign w:val="center"/>
          </w:tcPr>
          <w:p w14:paraId="742A7880">
            <w:pPr>
              <w:topLinePunct/>
              <w:snapToGrid w:val="0"/>
              <w:ind w:left="130" w:leftChars="59"/>
              <w:rPr>
                <w:rFonts w:cs="Times New Roman"/>
                <w:kern w:val="2"/>
                <w:sz w:val="21"/>
                <w:szCs w:val="21"/>
                <w:lang w:val="en-US"/>
              </w:rPr>
            </w:pPr>
            <w:r>
              <w:rPr>
                <w:rFonts w:hint="eastAsia" w:cs="Times New Roman"/>
                <w:kern w:val="2"/>
                <w:sz w:val="21"/>
                <w:szCs w:val="21"/>
                <w:lang w:val="en-US"/>
              </w:rPr>
              <w:t>电磁兼容　试验和测量技术 静电放电抗扰度试验</w:t>
            </w:r>
          </w:p>
        </w:tc>
      </w:tr>
      <w:tr w14:paraId="31B1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1F3B5CD4">
            <w:pPr>
              <w:topLinePunct/>
              <w:snapToGrid w:val="0"/>
              <w:ind w:left="130" w:leftChars="59"/>
              <w:rPr>
                <w:rFonts w:cs="Times New Roman"/>
                <w:kern w:val="2"/>
                <w:sz w:val="21"/>
                <w:szCs w:val="21"/>
                <w:lang w:val="en-US"/>
              </w:rPr>
            </w:pPr>
            <w:r>
              <w:rPr>
                <w:rFonts w:hint="eastAsia" w:cs="Times New Roman"/>
                <w:kern w:val="2"/>
                <w:sz w:val="21"/>
                <w:szCs w:val="21"/>
                <w:lang w:val="en-US"/>
              </w:rPr>
              <w:t>GB/T 17626.3-2006</w:t>
            </w:r>
          </w:p>
        </w:tc>
        <w:tc>
          <w:tcPr>
            <w:tcW w:w="6872" w:type="dxa"/>
            <w:tcMar>
              <w:left w:w="0" w:type="dxa"/>
              <w:right w:w="0" w:type="dxa"/>
            </w:tcMar>
            <w:vAlign w:val="center"/>
          </w:tcPr>
          <w:p w14:paraId="528A674F">
            <w:pPr>
              <w:topLinePunct/>
              <w:snapToGrid w:val="0"/>
              <w:ind w:left="130" w:leftChars="59"/>
              <w:rPr>
                <w:rFonts w:cs="Times New Roman"/>
                <w:kern w:val="2"/>
                <w:sz w:val="21"/>
                <w:szCs w:val="21"/>
                <w:lang w:val="en-US"/>
              </w:rPr>
            </w:pPr>
            <w:r>
              <w:rPr>
                <w:rFonts w:hint="eastAsia" w:cs="Times New Roman"/>
                <w:kern w:val="2"/>
                <w:sz w:val="21"/>
                <w:szCs w:val="21"/>
                <w:lang w:val="en-US"/>
              </w:rPr>
              <w:t>电磁兼容　试验和测量技术　射频电磁场辐射抗扰度试验</w:t>
            </w:r>
          </w:p>
        </w:tc>
      </w:tr>
      <w:tr w14:paraId="0BBB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6B725B06">
            <w:pPr>
              <w:topLinePunct/>
              <w:snapToGrid w:val="0"/>
              <w:ind w:left="130" w:leftChars="59"/>
              <w:rPr>
                <w:rFonts w:cs="Times New Roman"/>
                <w:kern w:val="2"/>
                <w:sz w:val="21"/>
                <w:szCs w:val="21"/>
                <w:lang w:val="en-US"/>
              </w:rPr>
            </w:pPr>
            <w:r>
              <w:rPr>
                <w:rFonts w:hint="eastAsia" w:cs="Times New Roman"/>
                <w:kern w:val="2"/>
                <w:sz w:val="21"/>
                <w:szCs w:val="21"/>
                <w:lang w:val="en-US"/>
              </w:rPr>
              <w:t>GB/T 17626.4-2008</w:t>
            </w:r>
          </w:p>
        </w:tc>
        <w:tc>
          <w:tcPr>
            <w:tcW w:w="6872" w:type="dxa"/>
            <w:tcMar>
              <w:left w:w="0" w:type="dxa"/>
              <w:right w:w="0" w:type="dxa"/>
            </w:tcMar>
            <w:vAlign w:val="center"/>
          </w:tcPr>
          <w:p w14:paraId="27417335">
            <w:pPr>
              <w:topLinePunct/>
              <w:snapToGrid w:val="0"/>
              <w:ind w:left="130" w:leftChars="59"/>
              <w:rPr>
                <w:rFonts w:cs="Times New Roman"/>
                <w:kern w:val="2"/>
                <w:sz w:val="21"/>
                <w:szCs w:val="21"/>
                <w:lang w:val="en-US"/>
              </w:rPr>
            </w:pPr>
            <w:r>
              <w:rPr>
                <w:rFonts w:hint="eastAsia" w:cs="Times New Roman"/>
                <w:kern w:val="2"/>
                <w:sz w:val="21"/>
                <w:szCs w:val="21"/>
                <w:lang w:val="en-US"/>
              </w:rPr>
              <w:t>电磁兼容　试验和测量技术　电快速瞬变脉冲群抗扰度试验</w:t>
            </w:r>
          </w:p>
        </w:tc>
      </w:tr>
      <w:tr w14:paraId="168F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294BF093">
            <w:pPr>
              <w:topLinePunct/>
              <w:snapToGrid w:val="0"/>
              <w:ind w:left="130" w:leftChars="59"/>
              <w:rPr>
                <w:rFonts w:cs="Times New Roman"/>
                <w:kern w:val="2"/>
                <w:sz w:val="21"/>
                <w:szCs w:val="21"/>
                <w:lang w:val="en-US"/>
              </w:rPr>
            </w:pPr>
            <w:r>
              <w:rPr>
                <w:rFonts w:hint="eastAsia" w:cs="Times New Roman"/>
                <w:kern w:val="2"/>
                <w:sz w:val="21"/>
                <w:szCs w:val="21"/>
                <w:lang w:val="en-US"/>
              </w:rPr>
              <w:t>GB/T 17626.5-2008</w:t>
            </w:r>
          </w:p>
        </w:tc>
        <w:tc>
          <w:tcPr>
            <w:tcW w:w="6872" w:type="dxa"/>
            <w:tcMar>
              <w:left w:w="0" w:type="dxa"/>
              <w:right w:w="0" w:type="dxa"/>
            </w:tcMar>
            <w:vAlign w:val="center"/>
          </w:tcPr>
          <w:p w14:paraId="3532CCAA">
            <w:pPr>
              <w:topLinePunct/>
              <w:snapToGrid w:val="0"/>
              <w:ind w:left="130" w:leftChars="59"/>
              <w:rPr>
                <w:rFonts w:cs="Times New Roman"/>
                <w:kern w:val="2"/>
                <w:sz w:val="21"/>
                <w:szCs w:val="21"/>
                <w:lang w:val="en-US"/>
              </w:rPr>
            </w:pPr>
            <w:r>
              <w:rPr>
                <w:rFonts w:hint="eastAsia" w:cs="Times New Roman"/>
                <w:kern w:val="2"/>
                <w:sz w:val="21"/>
                <w:szCs w:val="21"/>
                <w:lang w:val="en-US"/>
              </w:rPr>
              <w:t>电磁兼容　试验和测量技术　浪涌(冲击)抗扰度试验</w:t>
            </w:r>
          </w:p>
        </w:tc>
      </w:tr>
      <w:tr w14:paraId="5922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76A0A5B9">
            <w:pPr>
              <w:topLinePunct/>
              <w:snapToGrid w:val="0"/>
              <w:ind w:left="130" w:leftChars="59"/>
              <w:rPr>
                <w:rFonts w:cs="Times New Roman"/>
                <w:kern w:val="2"/>
                <w:sz w:val="21"/>
                <w:szCs w:val="21"/>
                <w:lang w:val="en-US"/>
              </w:rPr>
            </w:pPr>
            <w:r>
              <w:rPr>
                <w:rFonts w:hint="eastAsia" w:cs="Times New Roman"/>
                <w:kern w:val="2"/>
                <w:sz w:val="21"/>
                <w:szCs w:val="21"/>
                <w:lang w:val="en-US"/>
              </w:rPr>
              <w:t>GB/T 17626.11-2008</w:t>
            </w:r>
          </w:p>
        </w:tc>
        <w:tc>
          <w:tcPr>
            <w:tcW w:w="6872" w:type="dxa"/>
            <w:tcMar>
              <w:left w:w="0" w:type="dxa"/>
              <w:right w:w="0" w:type="dxa"/>
            </w:tcMar>
            <w:vAlign w:val="center"/>
          </w:tcPr>
          <w:p w14:paraId="37F7BCFE">
            <w:pPr>
              <w:topLinePunct/>
              <w:snapToGrid w:val="0"/>
              <w:ind w:left="130" w:leftChars="59"/>
              <w:rPr>
                <w:rFonts w:cs="Times New Roman"/>
                <w:kern w:val="2"/>
                <w:sz w:val="21"/>
                <w:szCs w:val="21"/>
                <w:lang w:val="en-US"/>
              </w:rPr>
            </w:pPr>
            <w:r>
              <w:rPr>
                <w:rFonts w:hint="eastAsia" w:cs="Times New Roman"/>
                <w:kern w:val="2"/>
                <w:sz w:val="21"/>
                <w:szCs w:val="21"/>
                <w:lang w:val="en-US"/>
              </w:rPr>
              <w:t>电磁兼容　试验和测量技术　电压暂降、短时中断和电压变化的抗扰度试验</w:t>
            </w:r>
          </w:p>
        </w:tc>
      </w:tr>
      <w:tr w14:paraId="1871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2DA781F1">
            <w:pPr>
              <w:topLinePunct/>
              <w:snapToGrid w:val="0"/>
              <w:ind w:left="130" w:leftChars="59"/>
              <w:rPr>
                <w:rFonts w:cs="Times New Roman"/>
                <w:kern w:val="2"/>
                <w:sz w:val="21"/>
                <w:szCs w:val="21"/>
                <w:lang w:val="en-US"/>
              </w:rPr>
            </w:pPr>
            <w:r>
              <w:rPr>
                <w:rFonts w:hint="eastAsia" w:cs="Times New Roman"/>
                <w:kern w:val="2"/>
                <w:sz w:val="21"/>
                <w:szCs w:val="21"/>
                <w:lang w:val="en-US"/>
              </w:rPr>
              <w:t>GB/T 29317-2012</w:t>
            </w:r>
          </w:p>
        </w:tc>
        <w:tc>
          <w:tcPr>
            <w:tcW w:w="6872" w:type="dxa"/>
            <w:tcMar>
              <w:left w:w="0" w:type="dxa"/>
              <w:right w:w="0" w:type="dxa"/>
            </w:tcMar>
            <w:vAlign w:val="center"/>
          </w:tcPr>
          <w:p w14:paraId="3535FFEB">
            <w:pPr>
              <w:topLinePunct/>
              <w:snapToGrid w:val="0"/>
              <w:ind w:left="130" w:leftChars="59"/>
              <w:rPr>
                <w:rFonts w:cs="Times New Roman"/>
                <w:kern w:val="2"/>
                <w:sz w:val="21"/>
                <w:szCs w:val="21"/>
                <w:lang w:val="en-US"/>
              </w:rPr>
            </w:pPr>
            <w:r>
              <w:rPr>
                <w:rFonts w:hint="eastAsia" w:cs="Times New Roman"/>
                <w:kern w:val="2"/>
                <w:sz w:val="21"/>
                <w:szCs w:val="21"/>
                <w:lang w:val="en-US"/>
              </w:rPr>
              <w:t>电动汽车充换电设施术语</w:t>
            </w:r>
          </w:p>
        </w:tc>
      </w:tr>
      <w:tr w14:paraId="7A40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5BE72C5D">
            <w:pPr>
              <w:topLinePunct/>
              <w:snapToGrid w:val="0"/>
              <w:ind w:left="130" w:leftChars="59"/>
              <w:rPr>
                <w:rFonts w:cs="Times New Roman"/>
                <w:kern w:val="2"/>
                <w:sz w:val="21"/>
                <w:szCs w:val="21"/>
                <w:lang w:val="en-US"/>
              </w:rPr>
            </w:pPr>
            <w:r>
              <w:rPr>
                <w:rFonts w:hint="eastAsia" w:cs="Times New Roman"/>
                <w:kern w:val="2"/>
                <w:sz w:val="21"/>
                <w:szCs w:val="21"/>
                <w:lang w:val="en-US"/>
              </w:rPr>
              <w:t>GB/T 29318-2012</w:t>
            </w:r>
          </w:p>
        </w:tc>
        <w:tc>
          <w:tcPr>
            <w:tcW w:w="6872" w:type="dxa"/>
            <w:tcMar>
              <w:left w:w="0" w:type="dxa"/>
              <w:right w:w="0" w:type="dxa"/>
            </w:tcMar>
            <w:vAlign w:val="center"/>
          </w:tcPr>
          <w:p w14:paraId="72ABB6F6">
            <w:pPr>
              <w:topLinePunct/>
              <w:snapToGrid w:val="0"/>
              <w:ind w:left="130" w:leftChars="59"/>
              <w:rPr>
                <w:rFonts w:cs="Times New Roman"/>
                <w:kern w:val="2"/>
                <w:sz w:val="21"/>
                <w:szCs w:val="21"/>
                <w:lang w:val="en-US"/>
              </w:rPr>
            </w:pPr>
            <w:r>
              <w:rPr>
                <w:rFonts w:hint="eastAsia" w:cs="Times New Roman"/>
                <w:kern w:val="2"/>
                <w:sz w:val="21"/>
                <w:szCs w:val="21"/>
                <w:lang w:val="en-US"/>
              </w:rPr>
              <w:t>电动汽车非车载充电机电能计量</w:t>
            </w:r>
          </w:p>
        </w:tc>
      </w:tr>
      <w:tr w14:paraId="1551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7272BACB">
            <w:pPr>
              <w:topLinePunct/>
              <w:snapToGrid w:val="0"/>
              <w:ind w:left="130" w:leftChars="59"/>
              <w:rPr>
                <w:rFonts w:cs="Times New Roman"/>
                <w:kern w:val="2"/>
                <w:sz w:val="21"/>
                <w:szCs w:val="21"/>
                <w:lang w:val="en-US"/>
              </w:rPr>
            </w:pPr>
            <w:r>
              <w:rPr>
                <w:rFonts w:hint="eastAsia" w:cs="Times New Roman"/>
                <w:kern w:val="2"/>
                <w:sz w:val="21"/>
                <w:szCs w:val="21"/>
                <w:lang w:val="en-US"/>
              </w:rPr>
              <w:t>GB/T 29316-2012</w:t>
            </w:r>
          </w:p>
        </w:tc>
        <w:tc>
          <w:tcPr>
            <w:tcW w:w="6872" w:type="dxa"/>
            <w:tcMar>
              <w:left w:w="0" w:type="dxa"/>
              <w:right w:w="0" w:type="dxa"/>
            </w:tcMar>
            <w:vAlign w:val="center"/>
          </w:tcPr>
          <w:p w14:paraId="7EF514FA">
            <w:pPr>
              <w:topLinePunct/>
              <w:snapToGrid w:val="0"/>
              <w:ind w:left="130" w:leftChars="59"/>
              <w:rPr>
                <w:rFonts w:cs="Times New Roman"/>
                <w:kern w:val="2"/>
                <w:sz w:val="21"/>
                <w:szCs w:val="21"/>
                <w:lang w:val="en-US"/>
              </w:rPr>
            </w:pPr>
            <w:r>
              <w:rPr>
                <w:rFonts w:hint="eastAsia" w:cs="Times New Roman"/>
                <w:kern w:val="2"/>
                <w:sz w:val="21"/>
                <w:szCs w:val="21"/>
                <w:lang w:val="en-US"/>
              </w:rPr>
              <w:t>电动汽车充换电设施电能质量技术要求</w:t>
            </w:r>
          </w:p>
        </w:tc>
      </w:tr>
      <w:tr w14:paraId="4361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712F5A4F">
            <w:pPr>
              <w:topLinePunct/>
              <w:snapToGrid w:val="0"/>
              <w:ind w:left="130" w:leftChars="59"/>
              <w:rPr>
                <w:rFonts w:cs="Times New Roman"/>
                <w:kern w:val="2"/>
                <w:sz w:val="21"/>
                <w:szCs w:val="21"/>
                <w:lang w:val="en-US"/>
              </w:rPr>
            </w:pPr>
            <w:r>
              <w:rPr>
                <w:rFonts w:hint="eastAsia" w:cs="Times New Roman"/>
                <w:kern w:val="2"/>
                <w:sz w:val="21"/>
                <w:szCs w:val="21"/>
                <w:lang w:val="en-US"/>
              </w:rPr>
              <w:t>NB/T 33001-2018</w:t>
            </w:r>
          </w:p>
        </w:tc>
        <w:tc>
          <w:tcPr>
            <w:tcW w:w="6872" w:type="dxa"/>
            <w:tcMar>
              <w:left w:w="0" w:type="dxa"/>
              <w:right w:w="0" w:type="dxa"/>
            </w:tcMar>
            <w:vAlign w:val="center"/>
          </w:tcPr>
          <w:p w14:paraId="0A6AD18C">
            <w:pPr>
              <w:topLinePunct/>
              <w:snapToGrid w:val="0"/>
              <w:ind w:left="130" w:leftChars="59"/>
              <w:rPr>
                <w:rFonts w:cs="Times New Roman"/>
                <w:kern w:val="2"/>
                <w:sz w:val="21"/>
                <w:szCs w:val="21"/>
                <w:lang w:val="en-US"/>
              </w:rPr>
            </w:pPr>
            <w:r>
              <w:rPr>
                <w:rFonts w:hint="eastAsia" w:cs="Times New Roman"/>
                <w:kern w:val="2"/>
                <w:sz w:val="21"/>
                <w:szCs w:val="21"/>
                <w:lang w:val="en-US"/>
              </w:rPr>
              <w:t>电动汽车非车载传导式充电机技术条件</w:t>
            </w:r>
          </w:p>
        </w:tc>
      </w:tr>
      <w:tr w14:paraId="16AF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4B78ABF5">
            <w:pPr>
              <w:topLinePunct/>
              <w:snapToGrid w:val="0"/>
              <w:ind w:left="130" w:leftChars="59"/>
              <w:rPr>
                <w:rFonts w:cs="Times New Roman"/>
                <w:kern w:val="2"/>
                <w:sz w:val="21"/>
                <w:szCs w:val="21"/>
                <w:lang w:val="en-US"/>
              </w:rPr>
            </w:pPr>
            <w:r>
              <w:rPr>
                <w:rFonts w:hint="eastAsia" w:cs="Times New Roman"/>
                <w:kern w:val="2"/>
                <w:sz w:val="21"/>
                <w:szCs w:val="21"/>
                <w:lang w:val="en-US"/>
              </w:rPr>
              <w:t>NB/T 33008.1-2018</w:t>
            </w:r>
          </w:p>
        </w:tc>
        <w:tc>
          <w:tcPr>
            <w:tcW w:w="6872" w:type="dxa"/>
            <w:tcMar>
              <w:left w:w="0" w:type="dxa"/>
              <w:right w:w="0" w:type="dxa"/>
            </w:tcMar>
            <w:vAlign w:val="center"/>
          </w:tcPr>
          <w:p w14:paraId="36F8BB25">
            <w:pPr>
              <w:topLinePunct/>
              <w:snapToGrid w:val="0"/>
              <w:ind w:left="130" w:leftChars="59"/>
              <w:rPr>
                <w:rFonts w:cs="Times New Roman"/>
                <w:kern w:val="2"/>
                <w:sz w:val="21"/>
                <w:szCs w:val="21"/>
                <w:lang w:val="en-US"/>
              </w:rPr>
            </w:pPr>
            <w:r>
              <w:rPr>
                <w:rFonts w:hint="eastAsia" w:cs="Times New Roman"/>
                <w:kern w:val="2"/>
                <w:sz w:val="21"/>
                <w:szCs w:val="21"/>
                <w:lang w:val="en-US"/>
              </w:rPr>
              <w:t>电动汽车充电设备检验试验规范 第1部分：非车载充电机</w:t>
            </w:r>
          </w:p>
        </w:tc>
      </w:tr>
      <w:tr w14:paraId="6EA3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129090E4">
            <w:pPr>
              <w:topLinePunct/>
              <w:snapToGrid w:val="0"/>
              <w:ind w:left="130" w:leftChars="59"/>
              <w:rPr>
                <w:rFonts w:cs="Times New Roman"/>
                <w:kern w:val="2"/>
                <w:sz w:val="21"/>
                <w:szCs w:val="21"/>
                <w:lang w:val="en-US"/>
              </w:rPr>
            </w:pPr>
            <w:r>
              <w:rPr>
                <w:rFonts w:hint="eastAsia" w:cs="Times New Roman"/>
                <w:kern w:val="2"/>
                <w:sz w:val="21"/>
                <w:szCs w:val="21"/>
                <w:lang w:val="en-US"/>
              </w:rPr>
              <w:t>GB/T 18487.1-2015</w:t>
            </w:r>
          </w:p>
        </w:tc>
        <w:tc>
          <w:tcPr>
            <w:tcW w:w="6872" w:type="dxa"/>
            <w:tcMar>
              <w:left w:w="0" w:type="dxa"/>
              <w:right w:w="0" w:type="dxa"/>
            </w:tcMar>
            <w:vAlign w:val="center"/>
          </w:tcPr>
          <w:p w14:paraId="05103AB6">
            <w:pPr>
              <w:topLinePunct/>
              <w:snapToGrid w:val="0"/>
              <w:ind w:left="130" w:leftChars="59"/>
              <w:rPr>
                <w:rFonts w:cs="Times New Roman"/>
                <w:kern w:val="2"/>
                <w:sz w:val="21"/>
                <w:szCs w:val="21"/>
                <w:lang w:val="en-US"/>
              </w:rPr>
            </w:pPr>
            <w:r>
              <w:rPr>
                <w:rFonts w:hint="eastAsia" w:cs="Times New Roman"/>
                <w:kern w:val="2"/>
                <w:sz w:val="21"/>
                <w:szCs w:val="21"/>
                <w:lang w:val="en-US"/>
              </w:rPr>
              <w:t>电动车辆传导充电系统 第1部分：一般要求</w:t>
            </w:r>
          </w:p>
        </w:tc>
      </w:tr>
      <w:tr w14:paraId="588D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56FF1FC2">
            <w:pPr>
              <w:topLinePunct/>
              <w:snapToGrid w:val="0"/>
              <w:ind w:left="130" w:leftChars="59"/>
              <w:rPr>
                <w:rFonts w:cs="Times New Roman"/>
                <w:kern w:val="2"/>
                <w:sz w:val="21"/>
                <w:szCs w:val="21"/>
                <w:lang w:val="en-US"/>
              </w:rPr>
            </w:pPr>
            <w:r>
              <w:rPr>
                <w:rFonts w:hint="eastAsia" w:cs="Times New Roman"/>
                <w:kern w:val="2"/>
                <w:sz w:val="21"/>
                <w:szCs w:val="21"/>
                <w:lang w:val="en-US"/>
              </w:rPr>
              <w:t>GB/T 18487.2-2017</w:t>
            </w:r>
          </w:p>
        </w:tc>
        <w:tc>
          <w:tcPr>
            <w:tcW w:w="6872" w:type="dxa"/>
            <w:tcMar>
              <w:left w:w="0" w:type="dxa"/>
              <w:right w:w="0" w:type="dxa"/>
            </w:tcMar>
            <w:vAlign w:val="center"/>
          </w:tcPr>
          <w:p w14:paraId="370D0010">
            <w:pPr>
              <w:topLinePunct/>
              <w:snapToGrid w:val="0"/>
              <w:ind w:left="130" w:leftChars="59"/>
              <w:rPr>
                <w:rFonts w:cs="Times New Roman"/>
                <w:kern w:val="2"/>
                <w:sz w:val="21"/>
                <w:szCs w:val="21"/>
                <w:lang w:val="en-US"/>
              </w:rPr>
            </w:pPr>
            <w:r>
              <w:rPr>
                <w:rFonts w:hint="eastAsia" w:cs="Times New Roman"/>
                <w:kern w:val="2"/>
                <w:sz w:val="21"/>
                <w:szCs w:val="21"/>
                <w:lang w:val="en-US"/>
              </w:rPr>
              <w:t>电动车辆传导充电系统 第2部分：非车载传导供电设备电磁兼容要求</w:t>
            </w:r>
          </w:p>
        </w:tc>
      </w:tr>
      <w:tr w14:paraId="26B9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62784DEA">
            <w:pPr>
              <w:topLinePunct/>
              <w:snapToGrid w:val="0"/>
              <w:ind w:left="130" w:leftChars="59"/>
              <w:rPr>
                <w:rFonts w:cs="Times New Roman"/>
                <w:kern w:val="2"/>
                <w:sz w:val="21"/>
                <w:szCs w:val="21"/>
                <w:lang w:val="en-US"/>
              </w:rPr>
            </w:pPr>
            <w:r>
              <w:rPr>
                <w:rFonts w:hint="eastAsia" w:cs="Times New Roman"/>
                <w:kern w:val="2"/>
                <w:sz w:val="21"/>
                <w:szCs w:val="21"/>
                <w:lang w:val="en-US"/>
              </w:rPr>
              <w:t>GB/T 27930-2015</w:t>
            </w:r>
          </w:p>
        </w:tc>
        <w:tc>
          <w:tcPr>
            <w:tcW w:w="6872" w:type="dxa"/>
            <w:tcMar>
              <w:left w:w="0" w:type="dxa"/>
              <w:right w:w="0" w:type="dxa"/>
            </w:tcMar>
            <w:vAlign w:val="center"/>
          </w:tcPr>
          <w:p w14:paraId="43409D2F">
            <w:pPr>
              <w:topLinePunct/>
              <w:snapToGrid w:val="0"/>
              <w:ind w:left="130" w:leftChars="59"/>
              <w:rPr>
                <w:rFonts w:cs="Times New Roman"/>
                <w:kern w:val="2"/>
                <w:sz w:val="21"/>
                <w:szCs w:val="21"/>
                <w:lang w:val="en-US"/>
              </w:rPr>
            </w:pPr>
            <w:r>
              <w:rPr>
                <w:rFonts w:hint="eastAsia" w:cs="Times New Roman"/>
                <w:kern w:val="2"/>
                <w:sz w:val="21"/>
                <w:szCs w:val="21"/>
                <w:lang w:val="en-US"/>
              </w:rPr>
              <w:t>电动汽车非车载传导式充电机与电池管理系统之间的通信协议</w:t>
            </w:r>
          </w:p>
        </w:tc>
      </w:tr>
      <w:tr w14:paraId="5E02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7A80A221">
            <w:pPr>
              <w:topLinePunct/>
              <w:snapToGrid w:val="0"/>
              <w:ind w:left="130" w:leftChars="59"/>
              <w:rPr>
                <w:rFonts w:cs="Times New Roman"/>
                <w:kern w:val="2"/>
                <w:sz w:val="21"/>
                <w:szCs w:val="21"/>
                <w:lang w:val="en-US"/>
              </w:rPr>
            </w:pPr>
            <w:r>
              <w:rPr>
                <w:rFonts w:hint="eastAsia" w:cs="Times New Roman"/>
                <w:kern w:val="2"/>
                <w:sz w:val="21"/>
                <w:szCs w:val="21"/>
                <w:lang w:val="en-US"/>
              </w:rPr>
              <w:t>GB/T 20244.1-2015</w:t>
            </w:r>
          </w:p>
        </w:tc>
        <w:tc>
          <w:tcPr>
            <w:tcW w:w="6872" w:type="dxa"/>
            <w:tcMar>
              <w:left w:w="0" w:type="dxa"/>
              <w:right w:w="0" w:type="dxa"/>
            </w:tcMar>
            <w:vAlign w:val="center"/>
          </w:tcPr>
          <w:p w14:paraId="29C9E116">
            <w:pPr>
              <w:topLinePunct/>
              <w:snapToGrid w:val="0"/>
              <w:ind w:left="130" w:leftChars="59"/>
              <w:rPr>
                <w:rFonts w:cs="Times New Roman"/>
                <w:kern w:val="2"/>
                <w:sz w:val="21"/>
                <w:szCs w:val="21"/>
                <w:lang w:val="en-US"/>
              </w:rPr>
            </w:pPr>
            <w:r>
              <w:rPr>
                <w:rFonts w:hint="eastAsia" w:cs="Times New Roman"/>
                <w:kern w:val="2"/>
                <w:sz w:val="21"/>
                <w:szCs w:val="21"/>
                <w:lang w:val="en-US"/>
              </w:rPr>
              <w:t>电动汽车传导充电用连接装置 第1部分：通用要求</w:t>
            </w:r>
          </w:p>
        </w:tc>
      </w:tr>
      <w:tr w14:paraId="4B13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72076878">
            <w:pPr>
              <w:topLinePunct/>
              <w:snapToGrid w:val="0"/>
              <w:ind w:left="130" w:leftChars="59"/>
              <w:rPr>
                <w:rFonts w:cs="Times New Roman"/>
                <w:kern w:val="2"/>
                <w:sz w:val="21"/>
                <w:szCs w:val="21"/>
                <w:lang w:val="en-US"/>
              </w:rPr>
            </w:pPr>
            <w:r>
              <w:rPr>
                <w:rFonts w:hint="eastAsia" w:cs="Times New Roman"/>
                <w:kern w:val="2"/>
                <w:sz w:val="21"/>
                <w:szCs w:val="21"/>
                <w:lang w:val="en-US"/>
              </w:rPr>
              <w:t>GB/T 20244.3-2015</w:t>
            </w:r>
          </w:p>
        </w:tc>
        <w:tc>
          <w:tcPr>
            <w:tcW w:w="6872" w:type="dxa"/>
            <w:tcMar>
              <w:left w:w="0" w:type="dxa"/>
              <w:right w:w="0" w:type="dxa"/>
            </w:tcMar>
            <w:vAlign w:val="center"/>
          </w:tcPr>
          <w:p w14:paraId="17436E75">
            <w:pPr>
              <w:topLinePunct/>
              <w:snapToGrid w:val="0"/>
              <w:ind w:left="130" w:leftChars="59"/>
              <w:rPr>
                <w:rFonts w:cs="Times New Roman"/>
                <w:kern w:val="2"/>
                <w:sz w:val="21"/>
                <w:szCs w:val="21"/>
                <w:lang w:val="en-US"/>
              </w:rPr>
            </w:pPr>
            <w:r>
              <w:rPr>
                <w:rFonts w:hint="eastAsia" w:cs="Times New Roman"/>
                <w:kern w:val="2"/>
                <w:sz w:val="21"/>
                <w:szCs w:val="21"/>
                <w:lang w:val="en-US"/>
              </w:rPr>
              <w:t>电动汽车传导充电用连接装置 第3部分：直流充电接口</w:t>
            </w:r>
          </w:p>
        </w:tc>
      </w:tr>
      <w:tr w14:paraId="4CE9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Mar>
              <w:left w:w="0" w:type="dxa"/>
              <w:right w:w="0" w:type="dxa"/>
            </w:tcMar>
            <w:vAlign w:val="center"/>
          </w:tcPr>
          <w:p w14:paraId="1C3D7E7B">
            <w:pPr>
              <w:topLinePunct/>
              <w:snapToGrid w:val="0"/>
              <w:ind w:left="130" w:leftChars="59"/>
              <w:rPr>
                <w:rFonts w:cs="Times New Roman"/>
                <w:kern w:val="2"/>
                <w:sz w:val="21"/>
                <w:szCs w:val="21"/>
                <w:lang w:val="en-US"/>
              </w:rPr>
            </w:pPr>
            <w:r>
              <w:rPr>
                <w:rFonts w:hint="eastAsia" w:cs="Times New Roman"/>
                <w:kern w:val="2"/>
                <w:sz w:val="21"/>
                <w:szCs w:val="21"/>
                <w:lang w:val="en-US"/>
              </w:rPr>
              <w:t>GB/T 34657.1-2017</w:t>
            </w:r>
          </w:p>
        </w:tc>
        <w:tc>
          <w:tcPr>
            <w:tcW w:w="6872" w:type="dxa"/>
            <w:tcMar>
              <w:left w:w="0" w:type="dxa"/>
              <w:right w:w="0" w:type="dxa"/>
            </w:tcMar>
            <w:vAlign w:val="center"/>
          </w:tcPr>
          <w:p w14:paraId="63A57D67">
            <w:pPr>
              <w:topLinePunct/>
              <w:snapToGrid w:val="0"/>
              <w:ind w:left="130" w:leftChars="59"/>
              <w:rPr>
                <w:rFonts w:cs="Times New Roman"/>
                <w:kern w:val="2"/>
                <w:sz w:val="21"/>
                <w:szCs w:val="21"/>
                <w:lang w:val="en-US"/>
              </w:rPr>
            </w:pPr>
            <w:r>
              <w:rPr>
                <w:rFonts w:hint="eastAsia" w:cs="Times New Roman"/>
                <w:kern w:val="2"/>
                <w:sz w:val="21"/>
                <w:szCs w:val="21"/>
                <w:lang w:val="en-US"/>
              </w:rPr>
              <w:t>电动汽车传导充电互操作性测试规范 第1部分:供电设备</w:t>
            </w:r>
          </w:p>
        </w:tc>
      </w:tr>
    </w:tbl>
    <w:p w14:paraId="50AD5239">
      <w:pPr>
        <w:spacing w:line="400" w:lineRule="exact"/>
        <w:ind w:firstLine="420" w:firstLineChars="200"/>
        <w:rPr>
          <w:rFonts w:cs="仿宋"/>
          <w:kern w:val="2"/>
          <w:sz w:val="21"/>
          <w:szCs w:val="21"/>
          <w:lang w:val="zh-TW" w:bidi="zh-TW"/>
        </w:rPr>
      </w:pPr>
      <w:bookmarkStart w:id="63" w:name="_Toc253150285"/>
      <w:bookmarkStart w:id="64" w:name="_Toc351107605"/>
      <w:bookmarkStart w:id="65" w:name="_Toc428997264"/>
      <w:bookmarkStart w:id="66" w:name="_Toc387646167"/>
      <w:bookmarkStart w:id="67" w:name="_Toc351107502"/>
      <w:bookmarkStart w:id="68" w:name="_Toc411176403"/>
      <w:bookmarkStart w:id="69" w:name="_Toc255074821"/>
      <w:bookmarkStart w:id="70" w:name="_Toc351107787"/>
      <w:r>
        <w:rPr>
          <w:rFonts w:hint="eastAsia" w:cs="仿宋"/>
          <w:kern w:val="2"/>
          <w:sz w:val="21"/>
          <w:szCs w:val="21"/>
          <w:lang w:val="zh-TW" w:bidi="zh-TW"/>
        </w:rPr>
        <w:t>说明：本次招标的所有设备必须满足但不限于上表中所列标准，国标、行标若有更新或作废，均按最新标准执行。</w:t>
      </w:r>
    </w:p>
    <w:p w14:paraId="5BA80F84">
      <w:pPr>
        <w:keepNext/>
        <w:keepLines/>
        <w:spacing w:line="400" w:lineRule="exact"/>
        <w:jc w:val="both"/>
        <w:outlineLvl w:val="1"/>
        <w:rPr>
          <w:rFonts w:cs="Times New Roman"/>
          <w:b/>
          <w:bCs/>
          <w:kern w:val="2"/>
          <w:sz w:val="21"/>
          <w:szCs w:val="21"/>
          <w:lang w:val="en-US"/>
        </w:rPr>
      </w:pPr>
      <w:bookmarkStart w:id="71" w:name="_Toc387646172"/>
      <w:bookmarkStart w:id="72" w:name="_Toc478404366"/>
      <w:bookmarkStart w:id="73" w:name="_Toc255074826"/>
      <w:bookmarkStart w:id="74" w:name="_Toc351107507"/>
      <w:bookmarkStart w:id="75" w:name="_Toc351107610"/>
      <w:bookmarkStart w:id="76" w:name="_Toc253150290"/>
      <w:bookmarkStart w:id="77" w:name="_Toc155151651"/>
      <w:bookmarkStart w:id="78" w:name="_Toc510514518"/>
      <w:bookmarkStart w:id="79" w:name="_Toc351107792"/>
      <w:bookmarkStart w:id="80" w:name="_Toc510514523"/>
      <w:bookmarkStart w:id="81" w:name="_Toc411176408"/>
      <w:r>
        <w:rPr>
          <w:rFonts w:hint="eastAsia" w:cs="Times New Roman"/>
          <w:b/>
          <w:bCs/>
          <w:kern w:val="2"/>
          <w:sz w:val="21"/>
          <w:szCs w:val="21"/>
          <w:lang w:val="en-US"/>
        </w:rPr>
        <w:t>一体式直流充电机技术要求</w:t>
      </w:r>
    </w:p>
    <w:p w14:paraId="5E8086D8">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技术参数</w:t>
      </w:r>
    </w:p>
    <w:p w14:paraId="3AF656DA">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环境条件</w:t>
      </w:r>
    </w:p>
    <w:p w14:paraId="4974C3ED">
      <w:pPr>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环境温度：</w:t>
      </w:r>
      <w:r>
        <w:rPr>
          <w:rFonts w:cs="Times New Roman"/>
          <w:color w:val="000000"/>
          <w:kern w:val="2"/>
          <w:sz w:val="21"/>
          <w:szCs w:val="21"/>
          <w:lang w:val="en-US"/>
        </w:rPr>
        <w:t>-20</w:t>
      </w:r>
      <w:r>
        <w:rPr>
          <w:rFonts w:hint="eastAsia" w:cs="Times New Roman"/>
          <w:color w:val="000000"/>
          <w:kern w:val="2"/>
          <w:sz w:val="21"/>
          <w:szCs w:val="21"/>
          <w:lang w:val="en-US"/>
        </w:rPr>
        <w:t>℃</w:t>
      </w:r>
      <w:r>
        <w:rPr>
          <w:rFonts w:cs="Times New Roman"/>
          <w:color w:val="000000"/>
          <w:kern w:val="2"/>
          <w:sz w:val="21"/>
          <w:szCs w:val="21"/>
          <w:lang w:val="en-US"/>
        </w:rPr>
        <w:t>～50</w:t>
      </w:r>
      <w:r>
        <w:rPr>
          <w:rFonts w:hint="eastAsia" w:cs="Times New Roman"/>
          <w:color w:val="000000"/>
          <w:kern w:val="2"/>
          <w:sz w:val="21"/>
          <w:szCs w:val="21"/>
          <w:lang w:val="en-US"/>
        </w:rPr>
        <w:t>℃</w:t>
      </w:r>
      <w:r>
        <w:rPr>
          <w:rFonts w:cs="Times New Roman"/>
          <w:color w:val="000000"/>
          <w:kern w:val="2"/>
          <w:sz w:val="21"/>
          <w:szCs w:val="21"/>
          <w:lang w:val="en-US"/>
        </w:rPr>
        <w:t>；</w:t>
      </w:r>
    </w:p>
    <w:p w14:paraId="73FC42BC">
      <w:pPr>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相对湿度：5％～95％；</w:t>
      </w:r>
    </w:p>
    <w:p w14:paraId="1DA8F6E7">
      <w:pPr>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海拔高度：≤2000m</w:t>
      </w:r>
      <w:r>
        <w:rPr>
          <w:rFonts w:hint="eastAsia" w:cs="Times New Roman"/>
          <w:color w:val="000000"/>
          <w:kern w:val="2"/>
          <w:sz w:val="21"/>
          <w:szCs w:val="21"/>
          <w:lang w:val="en-US"/>
        </w:rPr>
        <w:t>，2000</w:t>
      </w:r>
      <w:r>
        <w:rPr>
          <w:rFonts w:cs="Times New Roman"/>
          <w:color w:val="000000"/>
          <w:kern w:val="2"/>
          <w:sz w:val="21"/>
          <w:szCs w:val="21"/>
          <w:lang w:val="en-US"/>
        </w:rPr>
        <w:t>m以上降额输出；</w:t>
      </w:r>
    </w:p>
    <w:p w14:paraId="57EF375A">
      <w:pPr>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大气压强：80kPa～110kPa；</w:t>
      </w:r>
    </w:p>
    <w:p w14:paraId="4A079B96">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电源条件</w:t>
      </w:r>
    </w:p>
    <w:p w14:paraId="63826B9B">
      <w:pPr>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交流输入电压：380V±15％；</w:t>
      </w:r>
    </w:p>
    <w:p w14:paraId="230B94B7">
      <w:pPr>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交流电源频率：45HZ</w:t>
      </w:r>
      <w:r>
        <w:rPr>
          <w:rFonts w:hint="eastAsia" w:cs="Times New Roman"/>
          <w:color w:val="000000"/>
          <w:kern w:val="2"/>
          <w:sz w:val="21"/>
          <w:szCs w:val="21"/>
          <w:lang w:val="en-US"/>
        </w:rPr>
        <w:t>~</w:t>
      </w:r>
      <w:r>
        <w:rPr>
          <w:rFonts w:cs="Times New Roman"/>
          <w:color w:val="000000"/>
          <w:kern w:val="2"/>
          <w:sz w:val="21"/>
          <w:szCs w:val="21"/>
          <w:lang w:val="en-US"/>
        </w:rPr>
        <w:t>65HZ。</w:t>
      </w:r>
    </w:p>
    <w:p w14:paraId="371E6F49">
      <w:pPr>
        <w:keepNext/>
        <w:keepLines/>
        <w:spacing w:line="400" w:lineRule="exact"/>
        <w:jc w:val="both"/>
        <w:outlineLvl w:val="3"/>
        <w:rPr>
          <w:rFonts w:cs="Times New Roman"/>
          <w:b/>
          <w:bCs/>
          <w:color w:val="000000"/>
          <w:kern w:val="2"/>
          <w:sz w:val="21"/>
          <w:szCs w:val="21"/>
          <w:lang w:val="en-US"/>
        </w:rPr>
      </w:pPr>
      <w:bookmarkStart w:id="82" w:name="_Hlk101618858"/>
      <w:r>
        <w:rPr>
          <w:rFonts w:hint="eastAsia" w:cs="Times New Roman"/>
          <w:b/>
          <w:bCs/>
          <w:color w:val="000000"/>
          <w:kern w:val="2"/>
          <w:sz w:val="21"/>
          <w:szCs w:val="21"/>
          <w:lang w:val="en-US"/>
        </w:rPr>
        <w:t>输出电压和额定功率</w:t>
      </w:r>
    </w:p>
    <w:p w14:paraId="341CC24F">
      <w:pPr>
        <w:numPr>
          <w:ilvl w:val="0"/>
          <w:numId w:val="16"/>
        </w:numPr>
        <w:spacing w:line="400" w:lineRule="exact"/>
        <w:jc w:val="both"/>
        <w:rPr>
          <w:rFonts w:cs="Times New Roman"/>
          <w:color w:val="000000"/>
          <w:kern w:val="2"/>
          <w:sz w:val="21"/>
          <w:szCs w:val="21"/>
          <w:lang w:val="en-US"/>
        </w:rPr>
      </w:pPr>
      <w:r>
        <w:rPr>
          <w:rFonts w:cs="Times New Roman"/>
          <w:color w:val="000000"/>
          <w:kern w:val="2"/>
          <w:sz w:val="21"/>
          <w:szCs w:val="21"/>
          <w:lang w:val="en-US"/>
        </w:rPr>
        <w:t>▲</w:t>
      </w:r>
      <w:r>
        <w:rPr>
          <w:rFonts w:hint="eastAsia" w:cs="Times New Roman"/>
          <w:color w:val="000000"/>
          <w:kern w:val="2"/>
          <w:sz w:val="21"/>
          <w:szCs w:val="21"/>
          <w:lang w:val="en-US"/>
        </w:rPr>
        <w:t>直流</w:t>
      </w:r>
      <w:r>
        <w:rPr>
          <w:rFonts w:cs="Times New Roman"/>
          <w:color w:val="000000"/>
          <w:kern w:val="2"/>
          <w:sz w:val="21"/>
          <w:szCs w:val="21"/>
          <w:lang w:val="en-US"/>
        </w:rPr>
        <w:t>输出电压：</w:t>
      </w:r>
      <w:r>
        <w:rPr>
          <w:rFonts w:hint="eastAsia" w:cs="Times New Roman"/>
          <w:color w:val="000000"/>
          <w:kern w:val="2"/>
          <w:sz w:val="21"/>
          <w:szCs w:val="21"/>
          <w:lang w:val="en-US"/>
        </w:rPr>
        <w:t>D</w:t>
      </w:r>
      <w:r>
        <w:rPr>
          <w:rFonts w:cs="Times New Roman"/>
          <w:color w:val="000000"/>
          <w:kern w:val="2"/>
          <w:sz w:val="21"/>
          <w:szCs w:val="21"/>
          <w:lang w:val="en-US"/>
        </w:rPr>
        <w:t>C</w:t>
      </w:r>
      <w:r>
        <w:rPr>
          <w:rFonts w:hint="eastAsia" w:cs="Times New Roman"/>
          <w:color w:val="000000"/>
          <w:kern w:val="2"/>
          <w:sz w:val="21"/>
          <w:szCs w:val="21"/>
          <w:lang w:val="en-US"/>
        </w:rPr>
        <w:t>5</w:t>
      </w:r>
      <w:r>
        <w:rPr>
          <w:rFonts w:cs="Times New Roman"/>
          <w:color w:val="000000"/>
          <w:kern w:val="2"/>
          <w:sz w:val="21"/>
          <w:szCs w:val="21"/>
          <w:lang w:val="en-US"/>
        </w:rPr>
        <w:t>0V-1000V</w:t>
      </w:r>
      <w:r>
        <w:rPr>
          <w:rFonts w:hint="eastAsia" w:cs="Times New Roman"/>
          <w:color w:val="000000"/>
          <w:kern w:val="2"/>
          <w:sz w:val="21"/>
          <w:szCs w:val="21"/>
          <w:lang w:val="en-US"/>
        </w:rPr>
        <w:t>或更优；</w:t>
      </w:r>
    </w:p>
    <w:p w14:paraId="28530C19">
      <w:pPr>
        <w:numPr>
          <w:ilvl w:val="0"/>
          <w:numId w:val="16"/>
        </w:numPr>
        <w:spacing w:line="400" w:lineRule="exact"/>
        <w:jc w:val="both"/>
        <w:rPr>
          <w:rFonts w:cs="Times New Roman"/>
          <w:color w:val="000000"/>
          <w:kern w:val="2"/>
          <w:sz w:val="21"/>
          <w:szCs w:val="21"/>
          <w:lang w:val="en-US"/>
        </w:rPr>
      </w:pPr>
      <w:r>
        <w:rPr>
          <w:rFonts w:cs="Times New Roman"/>
          <w:color w:val="000000"/>
          <w:kern w:val="2"/>
          <w:sz w:val="21"/>
          <w:szCs w:val="21"/>
          <w:lang w:val="en-US"/>
        </w:rPr>
        <w:t>▲恒功率</w:t>
      </w:r>
      <w:r>
        <w:rPr>
          <w:rFonts w:hint="eastAsia" w:cs="Times New Roman"/>
          <w:color w:val="000000"/>
          <w:kern w:val="2"/>
          <w:sz w:val="21"/>
          <w:szCs w:val="21"/>
          <w:lang w:val="en-US"/>
        </w:rPr>
        <w:t>段：D</w:t>
      </w:r>
      <w:r>
        <w:rPr>
          <w:rFonts w:cs="Times New Roman"/>
          <w:color w:val="000000"/>
          <w:kern w:val="2"/>
          <w:sz w:val="21"/>
          <w:szCs w:val="21"/>
          <w:lang w:val="en-US"/>
        </w:rPr>
        <w:t>C</w:t>
      </w:r>
      <w:r>
        <w:rPr>
          <w:rFonts w:hint="eastAsia" w:cs="Times New Roman"/>
          <w:color w:val="000000"/>
          <w:kern w:val="2"/>
          <w:sz w:val="21"/>
          <w:szCs w:val="21"/>
          <w:lang w:val="en-US"/>
        </w:rPr>
        <w:t>300V-</w:t>
      </w:r>
      <w:r>
        <w:rPr>
          <w:rFonts w:cs="Times New Roman"/>
          <w:color w:val="000000"/>
          <w:kern w:val="2"/>
          <w:sz w:val="21"/>
          <w:szCs w:val="21"/>
          <w:lang w:val="en-US"/>
        </w:rPr>
        <w:t>100</w:t>
      </w:r>
      <w:r>
        <w:rPr>
          <w:rFonts w:hint="eastAsia" w:cs="Times New Roman"/>
          <w:color w:val="000000"/>
          <w:kern w:val="2"/>
          <w:sz w:val="21"/>
          <w:szCs w:val="21"/>
          <w:lang w:val="en-US"/>
        </w:rPr>
        <w:t>0V或更优。</w:t>
      </w:r>
    </w:p>
    <w:p w14:paraId="1608DD32">
      <w:pPr>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3）额定</w:t>
      </w:r>
      <w:r>
        <w:rPr>
          <w:rFonts w:cs="Times New Roman"/>
          <w:color w:val="000000"/>
          <w:kern w:val="2"/>
          <w:sz w:val="21"/>
          <w:szCs w:val="21"/>
          <w:lang w:val="en-US"/>
        </w:rPr>
        <w:t>功率</w:t>
      </w:r>
      <w:r>
        <w:rPr>
          <w:rFonts w:hint="eastAsia" w:cs="Times New Roman"/>
          <w:color w:val="000000"/>
          <w:kern w:val="2"/>
          <w:sz w:val="21"/>
          <w:szCs w:val="21"/>
          <w:lang w:val="en-US"/>
        </w:rPr>
        <w:t>：单模块</w:t>
      </w:r>
      <w:r>
        <w:rPr>
          <w:rFonts w:cs="Times New Roman"/>
          <w:color w:val="000000"/>
          <w:kern w:val="2"/>
          <w:sz w:val="21"/>
          <w:szCs w:val="21"/>
          <w:lang w:val="en-US"/>
        </w:rPr>
        <w:t>额定输出功率</w:t>
      </w:r>
      <w:r>
        <w:rPr>
          <w:rFonts w:hint="eastAsia" w:cs="Times New Roman"/>
          <w:color w:val="000000"/>
          <w:kern w:val="2"/>
          <w:sz w:val="21"/>
          <w:szCs w:val="21"/>
          <w:lang w:val="en-US"/>
        </w:rPr>
        <w:t>4</w:t>
      </w:r>
      <w:r>
        <w:rPr>
          <w:rFonts w:cs="Times New Roman"/>
          <w:color w:val="000000"/>
          <w:kern w:val="2"/>
          <w:sz w:val="21"/>
          <w:szCs w:val="21"/>
          <w:lang w:val="en-US"/>
        </w:rPr>
        <w:t>0</w:t>
      </w:r>
      <w:r>
        <w:rPr>
          <w:rFonts w:hint="eastAsia" w:cs="Times New Roman"/>
          <w:color w:val="000000"/>
          <w:kern w:val="2"/>
          <w:sz w:val="21"/>
          <w:szCs w:val="21"/>
          <w:lang w:val="en-US"/>
        </w:rPr>
        <w:t>kW。</w:t>
      </w:r>
    </w:p>
    <w:p w14:paraId="54A67F1B">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低压辅助电源</w:t>
      </w:r>
    </w:p>
    <w:p w14:paraId="64FE870A">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充电机应能为电动汽车提供低压辅助电源，</w:t>
      </w:r>
      <w:r>
        <w:rPr>
          <w:rFonts w:cs="Times New Roman"/>
          <w:caps/>
          <w:color w:val="000000"/>
          <w:sz w:val="21"/>
          <w:szCs w:val="21"/>
          <w:lang w:val="en-US"/>
        </w:rPr>
        <w:t>且具备过负荷、过压、过温保护</w:t>
      </w:r>
      <w:r>
        <w:rPr>
          <w:rFonts w:hint="eastAsia" w:cs="Times New Roman"/>
          <w:caps/>
          <w:color w:val="000000"/>
          <w:sz w:val="21"/>
          <w:szCs w:val="21"/>
          <w:lang w:val="en-US"/>
        </w:rPr>
        <w:t>功能。</w:t>
      </w:r>
    </w:p>
    <w:p w14:paraId="5D1DCFD9">
      <w:pPr>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1）</w:t>
      </w:r>
      <w:r>
        <w:rPr>
          <w:rFonts w:cs="Times New Roman"/>
          <w:color w:val="000000"/>
          <w:kern w:val="2"/>
          <w:sz w:val="21"/>
          <w:szCs w:val="21"/>
          <w:lang w:val="en-US"/>
        </w:rPr>
        <w:t>辅助电源电压：12</w:t>
      </w:r>
      <w:r>
        <w:rPr>
          <w:rFonts w:hint="eastAsia" w:cs="Times New Roman"/>
          <w:color w:val="000000"/>
          <w:kern w:val="2"/>
          <w:sz w:val="21"/>
          <w:szCs w:val="21"/>
          <w:lang w:val="en-US"/>
        </w:rPr>
        <w:t>V</w:t>
      </w:r>
    </w:p>
    <w:p w14:paraId="5BFBF12F">
      <w:pPr>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2）充电机辅助电源满足GB/T 18487</w:t>
      </w:r>
      <w:r>
        <w:rPr>
          <w:rFonts w:cs="Times New Roman"/>
          <w:color w:val="000000"/>
          <w:kern w:val="2"/>
          <w:sz w:val="21"/>
          <w:szCs w:val="21"/>
          <w:lang w:val="en-US"/>
        </w:rPr>
        <w:t>.1-2015</w:t>
      </w:r>
      <w:r>
        <w:rPr>
          <w:rFonts w:hint="eastAsia" w:cs="Times New Roman"/>
          <w:color w:val="000000"/>
          <w:kern w:val="2"/>
          <w:sz w:val="21"/>
          <w:szCs w:val="21"/>
          <w:lang w:val="en-US"/>
        </w:rPr>
        <w:t>和Q/GDW</w:t>
      </w:r>
      <w:r>
        <w:rPr>
          <w:rFonts w:cs="Times New Roman"/>
          <w:color w:val="000000"/>
          <w:kern w:val="2"/>
          <w:sz w:val="21"/>
          <w:szCs w:val="21"/>
          <w:lang w:val="en-US"/>
        </w:rPr>
        <w:t xml:space="preserve"> 1594-2014</w:t>
      </w:r>
      <w:r>
        <w:rPr>
          <w:rFonts w:hint="eastAsia" w:cs="Times New Roman"/>
          <w:color w:val="000000"/>
          <w:kern w:val="2"/>
          <w:sz w:val="21"/>
          <w:szCs w:val="21"/>
          <w:lang w:val="en-US"/>
        </w:rPr>
        <w:t>中的要求</w:t>
      </w:r>
      <w:r>
        <w:rPr>
          <w:rFonts w:cs="Times New Roman"/>
          <w:color w:val="000000"/>
          <w:kern w:val="2"/>
          <w:sz w:val="21"/>
          <w:szCs w:val="21"/>
          <w:lang w:val="en-US"/>
        </w:rPr>
        <w:t>；</w:t>
      </w:r>
    </w:p>
    <w:p w14:paraId="5867FD59">
      <w:pPr>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3）</w:t>
      </w:r>
      <w:r>
        <w:rPr>
          <w:rFonts w:cs="Times New Roman"/>
          <w:color w:val="000000"/>
          <w:kern w:val="2"/>
          <w:sz w:val="21"/>
          <w:szCs w:val="21"/>
          <w:lang w:val="en-US"/>
        </w:rPr>
        <w:t>纹波峰值系数：不超过±1%</w:t>
      </w:r>
      <w:r>
        <w:rPr>
          <w:rFonts w:hint="eastAsia" w:cs="Times New Roman"/>
          <w:color w:val="000000"/>
          <w:kern w:val="2"/>
          <w:sz w:val="21"/>
          <w:szCs w:val="21"/>
          <w:lang w:val="en-US"/>
        </w:rPr>
        <w:t>。</w:t>
      </w:r>
    </w:p>
    <w:bookmarkEnd w:id="82"/>
    <w:p w14:paraId="7338542E">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待机损耗</w:t>
      </w:r>
    </w:p>
    <w:p w14:paraId="1A7DDC85">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w:t>
      </w:r>
      <w:r>
        <w:rPr>
          <w:rFonts w:hint="eastAsia" w:cs="Times New Roman"/>
          <w:caps/>
          <w:color w:val="000000"/>
          <w:sz w:val="21"/>
          <w:szCs w:val="21"/>
          <w:lang w:val="en-US"/>
        </w:rPr>
        <w:t>整机待机损耗小于等于N</w:t>
      </w:r>
      <w:r>
        <w:rPr>
          <w:rFonts w:cs="Times New Roman"/>
          <w:caps/>
          <w:color w:val="000000"/>
          <w:sz w:val="21"/>
          <w:szCs w:val="21"/>
          <w:lang w:val="en-US"/>
        </w:rPr>
        <w:t>*20</w:t>
      </w:r>
      <w:r>
        <w:rPr>
          <w:rFonts w:hint="eastAsia" w:cs="Times New Roman"/>
          <w:caps/>
          <w:color w:val="000000"/>
          <w:sz w:val="21"/>
          <w:szCs w:val="21"/>
          <w:lang w:val="en-US"/>
        </w:rPr>
        <w:t>W。（N表示车辆接口数量）</w:t>
      </w:r>
    </w:p>
    <w:p w14:paraId="65D502DD">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结构要求</w:t>
      </w:r>
    </w:p>
    <w:p w14:paraId="7E19B620">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一体式直流充电机，</w:t>
      </w:r>
      <w:r>
        <w:rPr>
          <w:rFonts w:cs="Times New Roman"/>
          <w:caps/>
          <w:color w:val="000000"/>
          <w:sz w:val="21"/>
          <w:szCs w:val="21"/>
          <w:lang w:val="en-US"/>
        </w:rPr>
        <w:t>基本</w:t>
      </w:r>
      <w:r>
        <w:rPr>
          <w:rFonts w:hint="eastAsia" w:cs="Times New Roman"/>
          <w:caps/>
          <w:color w:val="000000"/>
          <w:sz w:val="21"/>
          <w:szCs w:val="21"/>
          <w:lang w:val="en-US"/>
        </w:rPr>
        <w:t>构成包括：充电模块、配电单元、控制单元、人机交互单元、</w:t>
      </w:r>
      <w:r>
        <w:rPr>
          <w:rFonts w:cs="Times New Roman"/>
          <w:caps/>
          <w:color w:val="000000"/>
          <w:sz w:val="21"/>
          <w:szCs w:val="21"/>
          <w:lang w:val="en-US"/>
        </w:rPr>
        <w:t>计量</w:t>
      </w:r>
      <w:r>
        <w:rPr>
          <w:rFonts w:hint="eastAsia" w:cs="Times New Roman"/>
          <w:caps/>
          <w:color w:val="000000"/>
          <w:sz w:val="21"/>
          <w:szCs w:val="21"/>
          <w:lang w:val="en-US"/>
        </w:rPr>
        <w:t>单元、</w:t>
      </w:r>
      <w:r>
        <w:rPr>
          <w:rFonts w:cs="Times New Roman"/>
          <w:caps/>
          <w:color w:val="000000"/>
          <w:sz w:val="21"/>
          <w:szCs w:val="21"/>
          <w:lang w:val="en-US"/>
        </w:rPr>
        <w:t>充电接口</w:t>
      </w:r>
      <w:r>
        <w:rPr>
          <w:rFonts w:hint="eastAsia" w:cs="Times New Roman"/>
          <w:caps/>
          <w:color w:val="000000"/>
          <w:sz w:val="21"/>
          <w:szCs w:val="21"/>
          <w:lang w:val="en-US"/>
        </w:rPr>
        <w:t>等，充电机左、右、</w:t>
      </w:r>
      <w:r>
        <w:rPr>
          <w:rFonts w:cs="Times New Roman"/>
          <w:caps/>
          <w:color w:val="000000"/>
          <w:sz w:val="21"/>
          <w:szCs w:val="21"/>
          <w:lang w:val="en-US"/>
        </w:rPr>
        <w:t>前</w:t>
      </w:r>
      <w:r>
        <w:rPr>
          <w:rFonts w:hint="eastAsia" w:cs="Times New Roman"/>
          <w:caps/>
          <w:color w:val="000000"/>
          <w:sz w:val="21"/>
          <w:szCs w:val="21"/>
          <w:lang w:val="en-US"/>
        </w:rPr>
        <w:t>开门，可支持靠墙安装。</w:t>
      </w:r>
    </w:p>
    <w:p w14:paraId="3E6C504D">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结构形式</w:t>
      </w:r>
    </w:p>
    <w:p w14:paraId="0F95E557">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一体式直流充电机，柜体带有A、B两把枪，出线方式均为上出线。</w:t>
      </w:r>
      <w:r>
        <w:rPr>
          <w:rFonts w:cs="Times New Roman"/>
          <w:caps/>
          <w:color w:val="000000"/>
          <w:sz w:val="21"/>
          <w:szCs w:val="21"/>
          <w:lang w:val="en-US"/>
        </w:rPr>
        <w:t xml:space="preserve"> </w:t>
      </w:r>
    </w:p>
    <w:p w14:paraId="6A475DFA">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外壳要求</w:t>
      </w:r>
    </w:p>
    <w:p w14:paraId="05AEA70B">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充电机采用抗冲击力强、抗老化的材质，</w:t>
      </w:r>
      <w:r>
        <w:rPr>
          <w:rFonts w:cs="Times New Roman"/>
          <w:caps/>
          <w:color w:val="000000"/>
          <w:sz w:val="21"/>
          <w:szCs w:val="21"/>
          <w:lang w:val="en-US"/>
        </w:rPr>
        <w:t>可靠性</w:t>
      </w:r>
      <w:r>
        <w:rPr>
          <w:rFonts w:hint="eastAsia" w:cs="Times New Roman"/>
          <w:caps/>
          <w:color w:val="000000"/>
          <w:sz w:val="21"/>
          <w:szCs w:val="21"/>
          <w:lang w:val="en-US"/>
        </w:rPr>
        <w:t>高，充电机钣金外壳和暴露在外的钣金支架、零件应采取双层防锈措施，非金属外壳也应具有防老化处理</w:t>
      </w:r>
      <w:r>
        <w:rPr>
          <w:rFonts w:cs="Times New Roman"/>
          <w:caps/>
          <w:color w:val="000000"/>
          <w:sz w:val="21"/>
          <w:szCs w:val="21"/>
          <w:lang w:val="en-US"/>
        </w:rPr>
        <w:t>。</w:t>
      </w:r>
    </w:p>
    <w:p w14:paraId="4AECDA0B">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功能要求</w:t>
      </w:r>
    </w:p>
    <w:p w14:paraId="05A1553E">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充电控制功能</w:t>
      </w:r>
    </w:p>
    <w:p w14:paraId="2B8D4509">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充电机应具备自动充电控制功能，可具备手动充电控制功能。充电机采用手动充电控制时，应具有明显的操作提示信息，仅限于专业人员在特殊情况下对充电机设备进行调试或维护时使用。</w:t>
      </w:r>
    </w:p>
    <w:p w14:paraId="298F9866">
      <w:pPr>
        <w:keepNext/>
        <w:keepLines/>
        <w:spacing w:line="400" w:lineRule="exact"/>
        <w:jc w:val="both"/>
        <w:outlineLvl w:val="3"/>
        <w:rPr>
          <w:rFonts w:cs="Times New Roman"/>
          <w:b/>
          <w:bCs/>
          <w:kern w:val="2"/>
          <w:sz w:val="21"/>
          <w:szCs w:val="21"/>
          <w:lang w:val="en-US"/>
        </w:rPr>
      </w:pPr>
      <w:r>
        <w:rPr>
          <w:rFonts w:hint="eastAsia" w:cs="Times New Roman"/>
          <w:b/>
          <w:bCs/>
          <w:kern w:val="2"/>
          <w:sz w:val="21"/>
          <w:szCs w:val="21"/>
          <w:lang w:val="en-US"/>
        </w:rPr>
        <w:t>人机交互功能</w:t>
      </w:r>
    </w:p>
    <w:p w14:paraId="346B33BE">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充电机显示下列状态信息：</w:t>
      </w:r>
    </w:p>
    <w:p w14:paraId="5E2DFBAD">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（1）充电机的运行状态指示：待机、插枪、充电、告警。</w:t>
      </w:r>
    </w:p>
    <w:p w14:paraId="3D739EBF">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 xml:space="preserve">（2）具有手动充电控制功能的充电机应显示人工输入信息。 </w:t>
      </w:r>
    </w:p>
    <w:p w14:paraId="73596FAC">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充电机显示下列信息：</w:t>
      </w:r>
    </w:p>
    <w:p w14:paraId="75F0F41B">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（1）电池当前荷电状态（state of charge, SOC）、充电电压、充电电流、充电功率；</w:t>
      </w:r>
    </w:p>
    <w:p w14:paraId="3DAD69FB">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（2）己充电时间、己充电电量、己充电金额。</w:t>
      </w:r>
    </w:p>
    <w:p w14:paraId="758A89A1">
      <w:pPr>
        <w:keepNext/>
        <w:keepLines/>
        <w:spacing w:line="400" w:lineRule="exact"/>
        <w:jc w:val="both"/>
        <w:outlineLvl w:val="3"/>
        <w:rPr>
          <w:rFonts w:cs="Times New Roman"/>
          <w:b/>
          <w:bCs/>
          <w:kern w:val="2"/>
          <w:sz w:val="21"/>
          <w:szCs w:val="21"/>
          <w:lang w:val="en-US"/>
        </w:rPr>
      </w:pPr>
      <w:r>
        <w:rPr>
          <w:rFonts w:hint="eastAsia" w:cs="Times New Roman"/>
          <w:b/>
          <w:bCs/>
          <w:kern w:val="2"/>
          <w:sz w:val="21"/>
          <w:szCs w:val="21"/>
          <w:lang w:val="en-US"/>
        </w:rPr>
        <w:t>充电启动方式设定</w:t>
      </w:r>
    </w:p>
    <w:p w14:paraId="500E0BE9">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充电机支持离线运行和联网运行，多种启动方式可选。</w:t>
      </w:r>
      <w:r>
        <w:rPr>
          <w:rFonts w:cs="Times New Roman"/>
          <w:color w:val="000000"/>
          <w:kern w:val="2"/>
          <w:sz w:val="21"/>
          <w:szCs w:val="21"/>
          <w:lang w:val="en-US"/>
        </w:rPr>
        <w:t>离线</w:t>
      </w:r>
      <w:r>
        <w:rPr>
          <w:rFonts w:hint="eastAsia" w:cs="Times New Roman"/>
          <w:color w:val="000000"/>
          <w:kern w:val="2"/>
          <w:sz w:val="21"/>
          <w:szCs w:val="21"/>
          <w:lang w:val="en-US"/>
        </w:rPr>
        <w:t>支持刷卡、</w:t>
      </w:r>
      <w:r>
        <w:rPr>
          <w:rFonts w:cs="Times New Roman"/>
          <w:color w:val="000000"/>
          <w:kern w:val="2"/>
          <w:sz w:val="21"/>
          <w:szCs w:val="21"/>
          <w:lang w:val="en-US"/>
        </w:rPr>
        <w:t>密码</w:t>
      </w:r>
      <w:r>
        <w:rPr>
          <w:rFonts w:hint="eastAsia" w:cs="Times New Roman"/>
          <w:color w:val="000000"/>
          <w:kern w:val="2"/>
          <w:sz w:val="21"/>
          <w:szCs w:val="21"/>
          <w:lang w:val="en-US"/>
        </w:rPr>
        <w:t>启动方式；联网支持APP、小程序、</w:t>
      </w:r>
      <w:r>
        <w:rPr>
          <w:rFonts w:cs="Times New Roman"/>
          <w:color w:val="000000"/>
          <w:kern w:val="2"/>
          <w:sz w:val="21"/>
          <w:szCs w:val="21"/>
          <w:lang w:val="en-US"/>
        </w:rPr>
        <w:t>刷卡</w:t>
      </w:r>
      <w:r>
        <w:rPr>
          <w:rFonts w:hint="eastAsia" w:cs="Times New Roman"/>
          <w:color w:val="000000"/>
          <w:kern w:val="2"/>
          <w:sz w:val="21"/>
          <w:szCs w:val="21"/>
          <w:lang w:val="en-US"/>
        </w:rPr>
        <w:t>启动方式。</w:t>
      </w:r>
    </w:p>
    <w:p w14:paraId="59FB83E2">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充电模式和连接方式</w:t>
      </w:r>
    </w:p>
    <w:p w14:paraId="60A97D1C">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充电机采用GB/T18487.1-2015附录B中规定的充电模式4和连接方式C对电动汽车进行充电。充电接口应满足GB/T20234.1-2015和 GB/T20234.3-2015的规定。</w:t>
      </w:r>
    </w:p>
    <w:p w14:paraId="02F0E4C8">
      <w:pPr>
        <w:keepNext/>
        <w:keepLines/>
        <w:spacing w:line="400" w:lineRule="exact"/>
        <w:jc w:val="both"/>
        <w:outlineLvl w:val="3"/>
        <w:rPr>
          <w:rFonts w:cs="Times New Roman"/>
          <w:b/>
          <w:bCs/>
          <w:kern w:val="2"/>
          <w:sz w:val="21"/>
          <w:szCs w:val="21"/>
          <w:lang w:val="en-US"/>
        </w:rPr>
      </w:pPr>
      <w:r>
        <w:rPr>
          <w:rFonts w:hint="eastAsia" w:cs="Times New Roman"/>
          <w:b/>
          <w:bCs/>
          <w:kern w:val="2"/>
          <w:sz w:val="21"/>
          <w:szCs w:val="21"/>
          <w:lang w:val="en-US"/>
        </w:rPr>
        <w:t>与电池管理系统通信功能</w:t>
      </w:r>
    </w:p>
    <w:p w14:paraId="6F497516">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充电机应具有与电池管理系统通信的CAN接口，获得电池管理系统的充电参数和充电实时数据，通信协议应能满足 GB/T 27930-2015的规定。</w:t>
      </w:r>
    </w:p>
    <w:p w14:paraId="5A52D903">
      <w:pPr>
        <w:keepNext/>
        <w:keepLines/>
        <w:spacing w:line="400" w:lineRule="exact"/>
        <w:jc w:val="both"/>
        <w:outlineLvl w:val="3"/>
        <w:rPr>
          <w:rFonts w:cs="Times New Roman"/>
          <w:b/>
          <w:bCs/>
          <w:kern w:val="2"/>
          <w:sz w:val="21"/>
          <w:szCs w:val="21"/>
          <w:lang w:val="en-US"/>
        </w:rPr>
      </w:pPr>
      <w:r>
        <w:rPr>
          <w:rFonts w:hint="eastAsia" w:cs="Times New Roman"/>
          <w:b/>
          <w:bCs/>
          <w:kern w:val="2"/>
          <w:sz w:val="21"/>
          <w:szCs w:val="21"/>
          <w:lang w:val="en-US"/>
        </w:rPr>
        <w:t>主动</w:t>
      </w:r>
      <w:r>
        <w:rPr>
          <w:rFonts w:cs="Times New Roman"/>
          <w:b/>
          <w:bCs/>
          <w:kern w:val="2"/>
          <w:sz w:val="21"/>
          <w:szCs w:val="21"/>
          <w:lang w:val="en-US"/>
        </w:rPr>
        <w:t>防护过</w:t>
      </w:r>
      <w:r>
        <w:rPr>
          <w:rFonts w:hint="eastAsia" w:cs="Times New Roman"/>
          <w:b/>
          <w:bCs/>
          <w:kern w:val="2"/>
          <w:sz w:val="21"/>
          <w:szCs w:val="21"/>
          <w:lang w:val="en-US"/>
        </w:rPr>
        <w:t>充</w:t>
      </w:r>
      <w:r>
        <w:rPr>
          <w:rFonts w:cs="Times New Roman"/>
          <w:b/>
          <w:bCs/>
          <w:kern w:val="2"/>
          <w:sz w:val="21"/>
          <w:szCs w:val="21"/>
          <w:lang w:val="en-US"/>
        </w:rPr>
        <w:t>设计</w:t>
      </w:r>
    </w:p>
    <w:p w14:paraId="74631BC6">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具备主动监测电动汽车BMS运行状态、电池特性参数及充电机自身的运行状态等功能。</w:t>
      </w:r>
      <w:r>
        <w:rPr>
          <w:rFonts w:hint="eastAsia" w:cs="Times New Roman"/>
          <w:kern w:val="2"/>
          <w:sz w:val="21"/>
          <w:szCs w:val="21"/>
          <w:lang w:val="en-US"/>
        </w:rPr>
        <w:t>通过输入输出保护、通信保护、充电过程保护、功能性保护方面内容，</w:t>
      </w:r>
      <w:r>
        <w:rPr>
          <w:rFonts w:hint="eastAsia" w:cs="Times New Roman"/>
          <w:color w:val="000000"/>
          <w:kern w:val="2"/>
          <w:sz w:val="21"/>
          <w:szCs w:val="21"/>
          <w:lang w:val="en-US"/>
        </w:rPr>
        <w:t>主动诊断并处理故障和异常，实现电动汽车充电过程的主动防护。</w:t>
      </w:r>
    </w:p>
    <w:p w14:paraId="41085149">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充电控制</w:t>
      </w:r>
    </w:p>
    <w:p w14:paraId="33D01332">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w:t>
      </w:r>
      <w:r>
        <w:rPr>
          <w:rFonts w:cs="Times New Roman"/>
          <w:caps/>
          <w:color w:val="000000"/>
          <w:sz w:val="21"/>
          <w:szCs w:val="21"/>
          <w:lang w:val="en-US"/>
        </w:rPr>
        <w:t>具备VIN自动识别充电：通过插枪，</w:t>
      </w:r>
      <w:r>
        <w:rPr>
          <w:rFonts w:hint="eastAsia" w:cs="Times New Roman"/>
          <w:caps/>
          <w:color w:val="000000"/>
          <w:sz w:val="21"/>
          <w:szCs w:val="21"/>
          <w:lang w:val="en-US"/>
        </w:rPr>
        <w:t>自动</w:t>
      </w:r>
      <w:r>
        <w:rPr>
          <w:rFonts w:cs="Times New Roman"/>
          <w:caps/>
          <w:color w:val="000000"/>
          <w:sz w:val="21"/>
          <w:szCs w:val="21"/>
          <w:lang w:val="en-US"/>
        </w:rPr>
        <w:t>识别车辆BMS传回的VIN</w:t>
      </w:r>
      <w:r>
        <w:rPr>
          <w:rFonts w:hint="eastAsia" w:cs="Times New Roman"/>
          <w:caps/>
          <w:color w:val="000000"/>
          <w:sz w:val="21"/>
          <w:szCs w:val="21"/>
          <w:lang w:val="en-US"/>
        </w:rPr>
        <w:t>码</w:t>
      </w:r>
      <w:r>
        <w:rPr>
          <w:rFonts w:cs="Times New Roman"/>
          <w:caps/>
          <w:color w:val="000000"/>
          <w:sz w:val="21"/>
          <w:szCs w:val="21"/>
          <w:lang w:val="en-US"/>
        </w:rPr>
        <w:t>，集中控制器识别正确，</w:t>
      </w:r>
      <w:r>
        <w:rPr>
          <w:rFonts w:hint="eastAsia" w:cs="Times New Roman"/>
          <w:caps/>
          <w:color w:val="000000"/>
          <w:sz w:val="21"/>
          <w:szCs w:val="21"/>
          <w:lang w:val="en-US"/>
        </w:rPr>
        <w:t>自动</w:t>
      </w:r>
      <w:r>
        <w:rPr>
          <w:rFonts w:cs="Times New Roman"/>
          <w:caps/>
          <w:color w:val="000000"/>
          <w:sz w:val="21"/>
          <w:szCs w:val="21"/>
          <w:lang w:val="en-US"/>
        </w:rPr>
        <w:t>启动充电或遵循后台设置的</w:t>
      </w:r>
      <w:r>
        <w:rPr>
          <w:rFonts w:hint="eastAsia" w:cs="Times New Roman"/>
          <w:caps/>
          <w:color w:val="000000"/>
          <w:sz w:val="21"/>
          <w:szCs w:val="21"/>
          <w:lang w:val="en-US"/>
        </w:rPr>
        <w:t>启动</w:t>
      </w:r>
      <w:r>
        <w:rPr>
          <w:rFonts w:cs="Times New Roman"/>
          <w:caps/>
          <w:color w:val="000000"/>
          <w:sz w:val="21"/>
          <w:szCs w:val="21"/>
          <w:lang w:val="en-US"/>
        </w:rPr>
        <w:t>充电时间，</w:t>
      </w:r>
      <w:r>
        <w:rPr>
          <w:rFonts w:hint="eastAsia" w:cs="Times New Roman"/>
          <w:caps/>
          <w:color w:val="000000"/>
          <w:sz w:val="21"/>
          <w:szCs w:val="21"/>
          <w:lang w:val="en-US"/>
        </w:rPr>
        <w:t>自动</w:t>
      </w:r>
      <w:r>
        <w:rPr>
          <w:rFonts w:cs="Times New Roman"/>
          <w:caps/>
          <w:color w:val="000000"/>
          <w:sz w:val="21"/>
          <w:szCs w:val="21"/>
          <w:lang w:val="en-US"/>
        </w:rPr>
        <w:t>启动；</w:t>
      </w:r>
      <w:r>
        <w:rPr>
          <w:rFonts w:hint="eastAsia" w:cs="Times New Roman"/>
          <w:caps/>
          <w:color w:val="000000"/>
          <w:sz w:val="21"/>
          <w:szCs w:val="21"/>
          <w:lang w:val="en-US"/>
        </w:rPr>
        <w:t>充电结束</w:t>
      </w:r>
      <w:r>
        <w:rPr>
          <w:rFonts w:cs="Times New Roman"/>
          <w:caps/>
          <w:color w:val="000000"/>
          <w:sz w:val="21"/>
          <w:szCs w:val="21"/>
          <w:lang w:val="en-US"/>
        </w:rPr>
        <w:t>后，</w:t>
      </w:r>
      <w:r>
        <w:rPr>
          <w:rFonts w:hint="eastAsia" w:cs="Times New Roman"/>
          <w:caps/>
          <w:color w:val="000000"/>
          <w:sz w:val="21"/>
          <w:szCs w:val="21"/>
          <w:lang w:val="en-US"/>
        </w:rPr>
        <w:t>自动</w:t>
      </w:r>
      <w:r>
        <w:rPr>
          <w:rFonts w:cs="Times New Roman"/>
          <w:caps/>
          <w:color w:val="000000"/>
          <w:sz w:val="21"/>
          <w:szCs w:val="21"/>
          <w:lang w:val="en-US"/>
        </w:rPr>
        <w:t>停止，</w:t>
      </w:r>
      <w:r>
        <w:rPr>
          <w:rFonts w:hint="eastAsia" w:cs="Times New Roman"/>
          <w:caps/>
          <w:color w:val="000000"/>
          <w:sz w:val="21"/>
          <w:szCs w:val="21"/>
          <w:lang w:val="en-US"/>
        </w:rPr>
        <w:t>充电未结束</w:t>
      </w:r>
      <w:r>
        <w:rPr>
          <w:rFonts w:cs="Times New Roman"/>
          <w:caps/>
          <w:color w:val="000000"/>
          <w:sz w:val="21"/>
          <w:szCs w:val="21"/>
          <w:lang w:val="en-US"/>
        </w:rPr>
        <w:t>时，</w:t>
      </w:r>
      <w:r>
        <w:rPr>
          <w:rFonts w:hint="eastAsia" w:cs="Times New Roman"/>
          <w:caps/>
          <w:color w:val="000000"/>
          <w:sz w:val="21"/>
          <w:szCs w:val="21"/>
          <w:lang w:val="en-US"/>
        </w:rPr>
        <w:t>通过</w:t>
      </w:r>
      <w:r>
        <w:rPr>
          <w:rFonts w:cs="Times New Roman"/>
          <w:caps/>
          <w:color w:val="000000"/>
          <w:sz w:val="21"/>
          <w:szCs w:val="21"/>
          <w:lang w:val="en-US"/>
        </w:rPr>
        <w:t>手机、</w:t>
      </w:r>
      <w:r>
        <w:rPr>
          <w:rFonts w:hint="eastAsia" w:cs="Times New Roman"/>
          <w:caps/>
          <w:color w:val="000000"/>
          <w:sz w:val="21"/>
          <w:szCs w:val="21"/>
          <w:lang w:val="en-US"/>
        </w:rPr>
        <w:t>PAD</w:t>
      </w:r>
      <w:r>
        <w:rPr>
          <w:rFonts w:cs="Times New Roman"/>
          <w:caps/>
          <w:color w:val="000000"/>
          <w:sz w:val="21"/>
          <w:szCs w:val="21"/>
          <w:lang w:val="en-US"/>
        </w:rPr>
        <w:t>、</w:t>
      </w:r>
      <w:r>
        <w:rPr>
          <w:rFonts w:hint="eastAsia" w:cs="Times New Roman"/>
          <w:caps/>
          <w:color w:val="000000"/>
          <w:sz w:val="21"/>
          <w:szCs w:val="21"/>
          <w:lang w:val="en-US"/>
        </w:rPr>
        <w:t>PC</w:t>
      </w:r>
      <w:r>
        <w:rPr>
          <w:rFonts w:cs="Times New Roman"/>
          <w:caps/>
          <w:color w:val="000000"/>
          <w:sz w:val="21"/>
          <w:szCs w:val="21"/>
          <w:lang w:val="en-US"/>
        </w:rPr>
        <w:t>等终端，</w:t>
      </w:r>
      <w:r>
        <w:rPr>
          <w:rFonts w:hint="eastAsia" w:cs="Times New Roman"/>
          <w:caps/>
          <w:color w:val="000000"/>
          <w:sz w:val="21"/>
          <w:szCs w:val="21"/>
          <w:lang w:val="en-US"/>
        </w:rPr>
        <w:t>可</w:t>
      </w:r>
      <w:r>
        <w:rPr>
          <w:rFonts w:cs="Times New Roman"/>
          <w:caps/>
          <w:color w:val="000000"/>
          <w:sz w:val="21"/>
          <w:szCs w:val="21"/>
          <w:lang w:val="en-US"/>
        </w:rPr>
        <w:t>直接选择充电枪，</w:t>
      </w:r>
      <w:r>
        <w:rPr>
          <w:rFonts w:hint="eastAsia" w:cs="Times New Roman"/>
          <w:caps/>
          <w:color w:val="000000"/>
          <w:sz w:val="21"/>
          <w:szCs w:val="21"/>
          <w:lang w:val="en-US"/>
        </w:rPr>
        <w:t>终止</w:t>
      </w:r>
      <w:r>
        <w:rPr>
          <w:rFonts w:cs="Times New Roman"/>
          <w:caps/>
          <w:color w:val="000000"/>
          <w:sz w:val="21"/>
          <w:szCs w:val="21"/>
          <w:lang w:val="en-US"/>
        </w:rPr>
        <w:t>充电。</w:t>
      </w:r>
    </w:p>
    <w:p w14:paraId="009D6109">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2）定时充电功能</w:t>
      </w:r>
      <w:r>
        <w:rPr>
          <w:rFonts w:cs="Times New Roman"/>
          <w:caps/>
          <w:color w:val="000000"/>
          <w:sz w:val="21"/>
          <w:szCs w:val="21"/>
          <w:lang w:val="en-US"/>
        </w:rPr>
        <w:t>：</w:t>
      </w:r>
      <w:r>
        <w:rPr>
          <w:rFonts w:hint="eastAsia" w:cs="Times New Roman"/>
          <w:caps/>
          <w:color w:val="000000"/>
          <w:sz w:val="21"/>
          <w:szCs w:val="21"/>
          <w:lang w:val="en-US"/>
        </w:rPr>
        <w:t>可以自动或</w:t>
      </w:r>
      <w:r>
        <w:rPr>
          <w:rFonts w:cs="Times New Roman"/>
          <w:caps/>
          <w:color w:val="000000"/>
          <w:sz w:val="21"/>
          <w:szCs w:val="21"/>
          <w:lang w:val="en-US"/>
        </w:rPr>
        <w:t>手动</w:t>
      </w:r>
      <w:r>
        <w:rPr>
          <w:rFonts w:hint="eastAsia" w:cs="Times New Roman"/>
          <w:caps/>
          <w:color w:val="000000"/>
          <w:sz w:val="21"/>
          <w:szCs w:val="21"/>
          <w:lang w:val="en-US"/>
        </w:rPr>
        <w:t>设置充电时间，充分利用低谷电价，降低运营成本</w:t>
      </w:r>
      <w:r>
        <w:rPr>
          <w:rFonts w:cs="Times New Roman"/>
          <w:caps/>
          <w:color w:val="000000"/>
          <w:sz w:val="21"/>
          <w:szCs w:val="21"/>
          <w:lang w:val="en-US"/>
        </w:rPr>
        <w:t>。</w:t>
      </w:r>
    </w:p>
    <w:p w14:paraId="0B298955">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3）智能</w:t>
      </w:r>
      <w:r>
        <w:rPr>
          <w:rFonts w:cs="Times New Roman"/>
          <w:caps/>
          <w:color w:val="000000"/>
          <w:sz w:val="21"/>
          <w:szCs w:val="21"/>
          <w:lang w:val="en-US"/>
        </w:rPr>
        <w:t>充电功能；区域组网，</w:t>
      </w:r>
      <w:r>
        <w:rPr>
          <w:rFonts w:hint="eastAsia" w:cs="Times New Roman"/>
          <w:caps/>
          <w:color w:val="000000"/>
          <w:sz w:val="21"/>
          <w:szCs w:val="21"/>
          <w:lang w:val="en-US"/>
        </w:rPr>
        <w:t>本地</w:t>
      </w:r>
      <w:r>
        <w:rPr>
          <w:rFonts w:cs="Times New Roman"/>
          <w:caps/>
          <w:color w:val="000000"/>
          <w:sz w:val="21"/>
          <w:szCs w:val="21"/>
          <w:lang w:val="en-US"/>
        </w:rPr>
        <w:t>所有充电机</w:t>
      </w:r>
      <w:r>
        <w:rPr>
          <w:rFonts w:hint="eastAsia" w:cs="Times New Roman"/>
          <w:caps/>
          <w:color w:val="000000"/>
          <w:sz w:val="21"/>
          <w:szCs w:val="21"/>
          <w:lang w:val="en-US"/>
        </w:rPr>
        <w:t>协同</w:t>
      </w:r>
      <w:r>
        <w:rPr>
          <w:rFonts w:cs="Times New Roman"/>
          <w:caps/>
          <w:color w:val="000000"/>
          <w:sz w:val="21"/>
          <w:szCs w:val="21"/>
          <w:lang w:val="en-US"/>
        </w:rPr>
        <w:t>，智能错峰充电。</w:t>
      </w:r>
    </w:p>
    <w:p w14:paraId="56730B80">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与电池管理系统通信功能</w:t>
      </w:r>
    </w:p>
    <w:p w14:paraId="754DC8B9">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充电机应具有与电池管理系统通信的CAN接口，获得电池管理系统的充电参数和充电实时数据。通信协议应能满足 GB/T 27930-2015的规定。</w:t>
      </w:r>
    </w:p>
    <w:p w14:paraId="2C67FD3B">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计量功能</w:t>
      </w:r>
    </w:p>
    <w:p w14:paraId="54F9424B">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充电机采用直流侧计量，</w:t>
      </w:r>
      <w:r>
        <w:rPr>
          <w:rFonts w:hint="eastAsia" w:cs="Times New Roman"/>
          <w:caps/>
          <w:color w:val="000000"/>
          <w:sz w:val="21"/>
          <w:szCs w:val="21"/>
          <w:lang w:val="en-US"/>
        </w:rPr>
        <w:t>应具有对每个充电接口输出电能进行计量的功能。电能计量装置应符合国家计量</w:t>
      </w:r>
      <w:r>
        <w:rPr>
          <w:rFonts w:cs="Times New Roman"/>
          <w:caps/>
          <w:color w:val="000000"/>
          <w:sz w:val="21"/>
          <w:szCs w:val="21"/>
          <w:lang w:val="en-US"/>
        </w:rPr>
        <w:t>器具检定</w:t>
      </w:r>
      <w:r>
        <w:rPr>
          <w:rFonts w:hint="eastAsia" w:cs="Times New Roman"/>
          <w:caps/>
          <w:color w:val="000000"/>
          <w:sz w:val="21"/>
          <w:szCs w:val="21"/>
          <w:lang w:val="en-US"/>
        </w:rPr>
        <w:t>相关要求。精确度等级1.0级，电能计量装置具备1个RS485接口，通信协议遵循《DL/T 645-2007多功能电能表通信协议》技术要求。</w:t>
      </w:r>
    </w:p>
    <w:p w14:paraId="6978C749">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w:t>
      </w:r>
      <w:r>
        <w:rPr>
          <w:rFonts w:hint="eastAsia" w:cs="Times New Roman"/>
          <w:caps/>
          <w:color w:val="000000"/>
          <w:sz w:val="21"/>
          <w:szCs w:val="21"/>
          <w:lang w:val="en-US"/>
        </w:rPr>
        <w:t>当充电机的电表校验发生异常时，充电机应能进行告警，并且出现离网状态时，支持通过屏幕或刷卡方式本地启动设备。</w:t>
      </w:r>
    </w:p>
    <w:p w14:paraId="2766895C">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通信功能</w:t>
      </w:r>
    </w:p>
    <w:p w14:paraId="4244ADA7">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配置4</w:t>
      </w:r>
      <w:r>
        <w:rPr>
          <w:rFonts w:hint="eastAsia" w:cs="Times New Roman"/>
          <w:caps/>
          <w:color w:val="000000"/>
          <w:sz w:val="21"/>
          <w:szCs w:val="21"/>
          <w:lang w:val="en-US"/>
        </w:rPr>
        <w:t>G</w:t>
      </w:r>
      <w:r>
        <w:rPr>
          <w:rFonts w:cs="Times New Roman"/>
          <w:caps/>
          <w:color w:val="000000"/>
          <w:sz w:val="21"/>
          <w:szCs w:val="21"/>
          <w:lang w:val="en-US"/>
        </w:rPr>
        <w:t>通讯模块，</w:t>
      </w:r>
      <w:r>
        <w:rPr>
          <w:rFonts w:hint="eastAsia" w:cs="Times New Roman"/>
          <w:caps/>
          <w:color w:val="000000"/>
          <w:sz w:val="21"/>
          <w:szCs w:val="21"/>
          <w:lang w:val="en-US"/>
        </w:rPr>
        <w:t>采用</w:t>
      </w:r>
      <w:r>
        <w:rPr>
          <w:rFonts w:cs="Times New Roman"/>
          <w:caps/>
          <w:color w:val="000000"/>
          <w:sz w:val="21"/>
          <w:szCs w:val="21"/>
          <w:lang w:val="en-US"/>
        </w:rPr>
        <w:t>4</w:t>
      </w:r>
      <w:r>
        <w:rPr>
          <w:rFonts w:hint="eastAsia" w:cs="Times New Roman"/>
          <w:caps/>
          <w:color w:val="000000"/>
          <w:sz w:val="21"/>
          <w:szCs w:val="21"/>
          <w:lang w:val="en-US"/>
        </w:rPr>
        <w:t>G通讯流量卡连接网络，</w:t>
      </w:r>
      <w:r>
        <w:rPr>
          <w:rFonts w:cs="Times New Roman"/>
          <w:caps/>
          <w:color w:val="000000"/>
          <w:sz w:val="21"/>
          <w:szCs w:val="21"/>
          <w:lang w:val="en-US"/>
        </w:rPr>
        <w:t>手机</w:t>
      </w:r>
      <w:r>
        <w:rPr>
          <w:rFonts w:hint="eastAsia" w:cs="Times New Roman"/>
          <w:caps/>
          <w:color w:val="000000"/>
          <w:sz w:val="21"/>
          <w:szCs w:val="21"/>
          <w:lang w:val="en-US"/>
        </w:rPr>
        <w:t>APP</w:t>
      </w:r>
      <w:r>
        <w:rPr>
          <w:rFonts w:cs="Times New Roman"/>
          <w:caps/>
          <w:color w:val="000000"/>
          <w:sz w:val="21"/>
          <w:szCs w:val="21"/>
          <w:lang w:val="en-US"/>
        </w:rPr>
        <w:t>、PAD、PC</w:t>
      </w:r>
      <w:r>
        <w:rPr>
          <w:rFonts w:hint="eastAsia" w:cs="Times New Roman"/>
          <w:caps/>
          <w:color w:val="000000"/>
          <w:sz w:val="21"/>
          <w:szCs w:val="21"/>
          <w:lang w:val="en-US"/>
        </w:rPr>
        <w:t>登陆云平台进行充电状态的监控</w:t>
      </w:r>
      <w:r>
        <w:rPr>
          <w:rFonts w:cs="Times New Roman"/>
          <w:caps/>
          <w:color w:val="000000"/>
          <w:sz w:val="21"/>
          <w:szCs w:val="21"/>
          <w:lang w:val="en-US"/>
        </w:rPr>
        <w:t>、</w:t>
      </w:r>
      <w:r>
        <w:rPr>
          <w:rFonts w:hint="eastAsia" w:cs="Times New Roman"/>
          <w:caps/>
          <w:color w:val="000000"/>
          <w:sz w:val="21"/>
          <w:szCs w:val="21"/>
          <w:lang w:val="en-US"/>
        </w:rPr>
        <w:t>查询及控制</w:t>
      </w:r>
      <w:r>
        <w:rPr>
          <w:rFonts w:cs="Times New Roman"/>
          <w:caps/>
          <w:color w:val="000000"/>
          <w:sz w:val="21"/>
          <w:szCs w:val="21"/>
          <w:lang w:val="en-US"/>
        </w:rPr>
        <w:t>功能。受后台通讯频次与数据</w:t>
      </w:r>
      <w:r>
        <w:rPr>
          <w:rFonts w:hint="eastAsia" w:cs="Times New Roman"/>
          <w:caps/>
          <w:color w:val="000000"/>
          <w:sz w:val="21"/>
          <w:szCs w:val="21"/>
          <w:lang w:val="en-US"/>
        </w:rPr>
        <w:t>要求</w:t>
      </w:r>
      <w:r>
        <w:rPr>
          <w:rFonts w:cs="Times New Roman"/>
          <w:caps/>
          <w:color w:val="000000"/>
          <w:sz w:val="21"/>
          <w:szCs w:val="21"/>
          <w:lang w:val="en-US"/>
        </w:rPr>
        <w:t>，</w:t>
      </w:r>
      <w:r>
        <w:rPr>
          <w:rFonts w:hint="eastAsia" w:cs="Times New Roman"/>
          <w:caps/>
          <w:color w:val="000000"/>
          <w:sz w:val="21"/>
          <w:szCs w:val="21"/>
          <w:lang w:val="en-US"/>
        </w:rPr>
        <w:t>配置流量卡</w:t>
      </w:r>
      <w:r>
        <w:rPr>
          <w:rFonts w:cs="Times New Roman"/>
          <w:caps/>
          <w:color w:val="000000"/>
          <w:sz w:val="21"/>
          <w:szCs w:val="21"/>
          <w:lang w:val="en-US"/>
        </w:rPr>
        <w:t>具备每月不低于500</w:t>
      </w:r>
      <w:r>
        <w:rPr>
          <w:rFonts w:hint="eastAsia" w:cs="Times New Roman"/>
          <w:caps/>
          <w:color w:val="000000"/>
          <w:sz w:val="21"/>
          <w:szCs w:val="21"/>
          <w:lang w:val="en-US"/>
        </w:rPr>
        <w:t>M</w:t>
      </w:r>
      <w:r>
        <w:rPr>
          <w:rFonts w:cs="Times New Roman"/>
          <w:caps/>
          <w:color w:val="000000"/>
          <w:sz w:val="21"/>
          <w:szCs w:val="21"/>
          <w:lang w:val="en-US"/>
        </w:rPr>
        <w:t>流量／</w:t>
      </w:r>
      <w:r>
        <w:rPr>
          <w:rFonts w:hint="eastAsia" w:cs="Times New Roman"/>
          <w:caps/>
          <w:color w:val="000000"/>
          <w:sz w:val="21"/>
          <w:szCs w:val="21"/>
          <w:lang w:val="en-US"/>
        </w:rPr>
        <w:t>桩</w:t>
      </w:r>
      <w:r>
        <w:rPr>
          <w:rFonts w:cs="Times New Roman"/>
          <w:caps/>
          <w:color w:val="000000"/>
          <w:sz w:val="21"/>
          <w:szCs w:val="21"/>
          <w:lang w:val="en-US"/>
        </w:rPr>
        <w:t>，</w:t>
      </w:r>
      <w:r>
        <w:rPr>
          <w:rFonts w:hint="eastAsia" w:cs="Times New Roman"/>
          <w:caps/>
          <w:color w:val="000000"/>
          <w:sz w:val="21"/>
          <w:szCs w:val="21"/>
          <w:lang w:val="en-US"/>
        </w:rPr>
        <w:t>每个</w:t>
      </w:r>
      <w:r>
        <w:rPr>
          <w:rFonts w:cs="Times New Roman"/>
          <w:caps/>
          <w:color w:val="000000"/>
          <w:sz w:val="21"/>
          <w:szCs w:val="21"/>
          <w:lang w:val="en-US"/>
        </w:rPr>
        <w:t>车位可单独计量、</w:t>
      </w:r>
      <w:r>
        <w:rPr>
          <w:rFonts w:hint="eastAsia" w:cs="Times New Roman"/>
          <w:caps/>
          <w:color w:val="000000"/>
          <w:sz w:val="21"/>
          <w:szCs w:val="21"/>
          <w:lang w:val="en-US"/>
        </w:rPr>
        <w:t>计费</w:t>
      </w:r>
      <w:r>
        <w:rPr>
          <w:rFonts w:cs="Times New Roman"/>
          <w:caps/>
          <w:color w:val="000000"/>
          <w:sz w:val="21"/>
          <w:szCs w:val="21"/>
          <w:lang w:val="en-US"/>
        </w:rPr>
        <w:t>、</w:t>
      </w:r>
      <w:r>
        <w:rPr>
          <w:rFonts w:hint="eastAsia" w:cs="Times New Roman"/>
          <w:caps/>
          <w:color w:val="000000"/>
          <w:sz w:val="21"/>
          <w:szCs w:val="21"/>
          <w:lang w:val="en-US"/>
        </w:rPr>
        <w:t>通信</w:t>
      </w:r>
      <w:r>
        <w:rPr>
          <w:rFonts w:cs="Times New Roman"/>
          <w:caps/>
          <w:color w:val="000000"/>
          <w:sz w:val="21"/>
          <w:szCs w:val="21"/>
          <w:lang w:val="en-US"/>
        </w:rPr>
        <w:t>，流量卡由</w:t>
      </w:r>
      <w:r>
        <w:rPr>
          <w:rFonts w:hint="eastAsia" w:cs="Times New Roman"/>
          <w:caps/>
          <w:color w:val="000000"/>
          <w:sz w:val="21"/>
          <w:szCs w:val="21"/>
          <w:lang w:val="en-US"/>
        </w:rPr>
        <w:t>投标人</w:t>
      </w:r>
      <w:r>
        <w:rPr>
          <w:rFonts w:cs="Times New Roman"/>
          <w:caps/>
          <w:color w:val="000000"/>
          <w:sz w:val="21"/>
          <w:szCs w:val="21"/>
          <w:lang w:val="en-US"/>
        </w:rPr>
        <w:t>提供，</w:t>
      </w:r>
      <w:r>
        <w:rPr>
          <w:rFonts w:hint="eastAsia" w:cs="Times New Roman"/>
          <w:caps/>
          <w:color w:val="000000"/>
          <w:sz w:val="21"/>
          <w:szCs w:val="21"/>
          <w:lang w:val="en-US"/>
        </w:rPr>
        <w:t>自行计入</w:t>
      </w:r>
      <w:r>
        <w:rPr>
          <w:rFonts w:cs="Times New Roman"/>
          <w:caps/>
          <w:color w:val="000000"/>
          <w:sz w:val="21"/>
          <w:szCs w:val="21"/>
          <w:lang w:val="en-US"/>
        </w:rPr>
        <w:t>成本，</w:t>
      </w:r>
      <w:r>
        <w:rPr>
          <w:rFonts w:hint="eastAsia" w:cs="Times New Roman"/>
          <w:caps/>
          <w:color w:val="000000"/>
          <w:sz w:val="21"/>
          <w:szCs w:val="21"/>
          <w:lang w:val="en-US"/>
        </w:rPr>
        <w:t>通讯运营商</w:t>
      </w:r>
      <w:r>
        <w:rPr>
          <w:rFonts w:cs="Times New Roman"/>
          <w:caps/>
          <w:color w:val="000000"/>
          <w:sz w:val="21"/>
          <w:szCs w:val="21"/>
          <w:lang w:val="en-US"/>
        </w:rPr>
        <w:t>的选择根据充电站所在位置选择网络较好的运营商，由招标人在下单时提供。自行配</w:t>
      </w:r>
      <w:r>
        <w:rPr>
          <w:rFonts w:hint="eastAsia" w:cs="Times New Roman"/>
          <w:caps/>
          <w:color w:val="000000"/>
          <w:sz w:val="21"/>
          <w:szCs w:val="21"/>
          <w:lang w:val="en-US"/>
        </w:rPr>
        <w:t>置</w:t>
      </w:r>
      <w:r>
        <w:rPr>
          <w:rFonts w:cs="Times New Roman"/>
          <w:caps/>
          <w:color w:val="000000"/>
          <w:sz w:val="21"/>
          <w:szCs w:val="21"/>
          <w:lang w:val="en-US"/>
        </w:rPr>
        <w:t>工业级无线路由器（全网通通信模块，兼容4G/3G/2G频段，</w:t>
      </w:r>
      <w:r>
        <w:rPr>
          <w:rFonts w:hint="eastAsia" w:cs="Times New Roman"/>
          <w:caps/>
          <w:color w:val="000000"/>
          <w:sz w:val="21"/>
          <w:szCs w:val="21"/>
          <w:lang w:val="en-US"/>
        </w:rPr>
        <w:t>有线</w:t>
      </w:r>
      <w:r>
        <w:rPr>
          <w:rFonts w:cs="Times New Roman"/>
          <w:caps/>
          <w:color w:val="000000"/>
          <w:sz w:val="21"/>
          <w:szCs w:val="21"/>
          <w:lang w:val="en-US"/>
        </w:rPr>
        <w:t>加无线双网互备）。</w:t>
      </w:r>
    </w:p>
    <w:p w14:paraId="35B609B1">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流量统计功能</w:t>
      </w:r>
    </w:p>
    <w:p w14:paraId="18D71B46">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具有对外通信流量统计功能，并显示流量信息。</w:t>
      </w:r>
    </w:p>
    <w:p w14:paraId="63A3ED0C">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▲远程</w:t>
      </w:r>
      <w:r>
        <w:rPr>
          <w:rFonts w:hint="eastAsia" w:cs="Times New Roman"/>
          <w:b/>
          <w:bCs/>
          <w:color w:val="000000"/>
          <w:kern w:val="2"/>
          <w:sz w:val="21"/>
          <w:szCs w:val="21"/>
          <w:lang w:val="en-US"/>
        </w:rPr>
        <w:t>运维</w:t>
      </w:r>
    </w:p>
    <w:p w14:paraId="0045FB1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为保证充电机运维售后的及时性，充电机应具备以下功能：</w:t>
      </w:r>
    </w:p>
    <w:p w14:paraId="21DE4EDB">
      <w:pPr>
        <w:numPr>
          <w:ilvl w:val="0"/>
          <w:numId w:val="17"/>
        </w:numPr>
        <w:spacing w:line="400" w:lineRule="exact"/>
        <w:jc w:val="both"/>
        <w:rPr>
          <w:rFonts w:cs="Times New Roman"/>
          <w:caps/>
          <w:color w:val="000000"/>
          <w:sz w:val="21"/>
          <w:szCs w:val="21"/>
          <w:lang w:val="en-US"/>
        </w:rPr>
      </w:pPr>
      <w:r>
        <w:rPr>
          <w:rFonts w:hint="eastAsia" w:cs="Times New Roman"/>
          <w:caps/>
          <w:color w:val="000000"/>
          <w:sz w:val="21"/>
          <w:szCs w:val="21"/>
          <w:lang w:val="en-US"/>
        </w:rPr>
        <w:t>远程系统程序升级、设置充电参数、故障监控运维功能；</w:t>
      </w:r>
    </w:p>
    <w:p w14:paraId="2675E497">
      <w:pPr>
        <w:numPr>
          <w:ilvl w:val="0"/>
          <w:numId w:val="17"/>
        </w:numPr>
        <w:spacing w:line="400" w:lineRule="exact"/>
        <w:jc w:val="both"/>
        <w:rPr>
          <w:rFonts w:cs="Times New Roman"/>
          <w:caps/>
          <w:color w:val="000000"/>
          <w:sz w:val="21"/>
          <w:szCs w:val="21"/>
          <w:lang w:val="en-US"/>
        </w:rPr>
      </w:pPr>
      <w:r>
        <w:rPr>
          <w:rFonts w:hint="eastAsia" w:cs="Times New Roman"/>
          <w:caps/>
          <w:color w:val="000000"/>
          <w:sz w:val="21"/>
          <w:szCs w:val="21"/>
          <w:lang w:val="en-US"/>
        </w:rPr>
        <w:t>具备便携式</w:t>
      </w:r>
      <w:r>
        <w:rPr>
          <w:rFonts w:cs="Times New Roman"/>
          <w:caps/>
          <w:color w:val="000000"/>
          <w:sz w:val="21"/>
          <w:szCs w:val="21"/>
          <w:lang w:val="en-US"/>
        </w:rPr>
        <w:t>BMS 报文抓取接口，无须拆除其他接线及端子</w:t>
      </w:r>
      <w:r>
        <w:rPr>
          <w:rFonts w:hint="eastAsia" w:cs="Times New Roman"/>
          <w:caps/>
          <w:color w:val="000000"/>
          <w:sz w:val="21"/>
          <w:szCs w:val="21"/>
          <w:lang w:val="en-US"/>
        </w:rPr>
        <w:t>。</w:t>
      </w:r>
    </w:p>
    <w:p w14:paraId="480F1A48">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开门断电功能</w:t>
      </w:r>
    </w:p>
    <w:p w14:paraId="24BFC7FA">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充电机应在开门有裸露电气部分的门位置安装信号开关，当在充电前或充电中开门时，其信号开关应将信号传至总开关，并执行断开交流电源动作，以保证人身安全。</w:t>
      </w:r>
    </w:p>
    <w:p w14:paraId="094A6081">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辅助检修功能</w:t>
      </w:r>
    </w:p>
    <w:p w14:paraId="63E4FB4F">
      <w:pPr>
        <w:spacing w:line="400" w:lineRule="exact"/>
        <w:ind w:firstLine="480"/>
        <w:jc w:val="both"/>
        <w:rPr>
          <w:rFonts w:cs="Times New Roman"/>
          <w:caps/>
          <w:sz w:val="21"/>
          <w:szCs w:val="21"/>
          <w:lang w:val="en-US"/>
        </w:rPr>
      </w:pPr>
      <w:r>
        <w:rPr>
          <w:rFonts w:hint="eastAsia" w:cs="Times New Roman"/>
          <w:caps/>
          <w:color w:val="000000"/>
          <w:sz w:val="21"/>
          <w:szCs w:val="21"/>
          <w:lang w:val="en-US"/>
        </w:rPr>
        <w:t>充电机具有柜内照明灯和柜内220V维护插座，便于后期现场运维检修。</w:t>
      </w:r>
    </w:p>
    <w:p w14:paraId="436EA456">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双枪同充功能</w:t>
      </w:r>
    </w:p>
    <w:p w14:paraId="08D4DC33">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充电机支持双枪同充功能，可两把枪同时给一辆车充电，实现最大功率输出，在充电完成拔枪后未归位，系统提示请还枪归位，可减少枪头随意放置的情况。</w:t>
      </w:r>
    </w:p>
    <w:p w14:paraId="0AEE6AA9">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备份</w:t>
      </w:r>
      <w:r>
        <w:rPr>
          <w:rFonts w:cs="Times New Roman"/>
          <w:b/>
          <w:bCs/>
          <w:color w:val="000000"/>
          <w:kern w:val="2"/>
          <w:sz w:val="21"/>
          <w:szCs w:val="21"/>
          <w:lang w:val="en-US"/>
        </w:rPr>
        <w:t>存储自动上传</w:t>
      </w:r>
    </w:p>
    <w:p w14:paraId="0D625F7D">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本地系统自动备份</w:t>
      </w:r>
      <w:r>
        <w:rPr>
          <w:rFonts w:hint="eastAsia" w:cs="Times New Roman"/>
          <w:caps/>
          <w:color w:val="000000"/>
          <w:sz w:val="21"/>
          <w:szCs w:val="21"/>
          <w:lang w:val="en-US"/>
        </w:rPr>
        <w:t>离网</w:t>
      </w:r>
      <w:r>
        <w:rPr>
          <w:rFonts w:cs="Times New Roman"/>
          <w:caps/>
          <w:color w:val="000000"/>
          <w:sz w:val="21"/>
          <w:szCs w:val="21"/>
          <w:lang w:val="en-US"/>
        </w:rPr>
        <w:t>数据，</w:t>
      </w:r>
      <w:r>
        <w:rPr>
          <w:rFonts w:hint="eastAsia" w:cs="Times New Roman"/>
          <w:caps/>
          <w:color w:val="000000"/>
          <w:sz w:val="21"/>
          <w:szCs w:val="21"/>
          <w:lang w:val="en-US"/>
        </w:rPr>
        <w:t>并实现</w:t>
      </w:r>
      <w:r>
        <w:rPr>
          <w:rFonts w:cs="Times New Roman"/>
          <w:caps/>
          <w:color w:val="000000"/>
          <w:sz w:val="21"/>
          <w:szCs w:val="21"/>
          <w:lang w:val="en-US"/>
        </w:rPr>
        <w:t>上传。</w:t>
      </w:r>
      <w:r>
        <w:rPr>
          <w:rFonts w:hint="eastAsia" w:cs="Times New Roman"/>
          <w:caps/>
          <w:color w:val="000000"/>
          <w:sz w:val="21"/>
          <w:szCs w:val="21"/>
          <w:lang w:val="en-US"/>
        </w:rPr>
        <w:t>并且具有U盘鉴权能力，具有通过有加密的特殊U盘才能进行软件升级和拷贝数据的功能。</w:t>
      </w:r>
    </w:p>
    <w:p w14:paraId="34B91C1B">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w:t>
      </w:r>
      <w:r>
        <w:rPr>
          <w:rFonts w:hint="eastAsia" w:cs="Times New Roman"/>
          <w:b/>
          <w:bCs/>
          <w:color w:val="000000"/>
          <w:kern w:val="2"/>
          <w:sz w:val="21"/>
          <w:szCs w:val="21"/>
          <w:lang w:val="en-US"/>
        </w:rPr>
        <w:t>模块自主休眠</w:t>
      </w:r>
    </w:p>
    <w:p w14:paraId="6CD759C1">
      <w:pPr>
        <w:adjustRightInd w:val="0"/>
        <w:snapToGrid w:val="0"/>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充电</w:t>
      </w:r>
      <w:r>
        <w:rPr>
          <w:rFonts w:hint="eastAsia" w:cs="Times New Roman"/>
          <w:color w:val="000000"/>
          <w:kern w:val="2"/>
          <w:sz w:val="21"/>
          <w:szCs w:val="21"/>
          <w:lang w:val="en-US"/>
        </w:rPr>
        <w:t>机在不充电情况下，可以切掉主功率模块，减少待机功率。</w:t>
      </w:r>
    </w:p>
    <w:p w14:paraId="09D4FE7C">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锁止功能</w:t>
      </w:r>
    </w:p>
    <w:p w14:paraId="39C813D7">
      <w:pPr>
        <w:adjustRightInd w:val="0"/>
        <w:snapToGrid w:val="0"/>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充电</w:t>
      </w:r>
      <w:r>
        <w:rPr>
          <w:rFonts w:hint="eastAsia" w:cs="Times New Roman"/>
          <w:color w:val="000000"/>
          <w:kern w:val="2"/>
          <w:sz w:val="21"/>
          <w:szCs w:val="21"/>
          <w:lang w:val="en-US"/>
        </w:rPr>
        <w:t>枪应安装电子锁止装置，具有枪头锁止功能，防止充电过程中意外</w:t>
      </w:r>
      <w:r>
        <w:rPr>
          <w:rFonts w:cs="Times New Roman"/>
          <w:color w:val="000000"/>
          <w:kern w:val="2"/>
          <w:sz w:val="21"/>
          <w:szCs w:val="21"/>
          <w:lang w:val="en-US"/>
        </w:rPr>
        <w:t>拔枪</w:t>
      </w:r>
      <w:r>
        <w:rPr>
          <w:rFonts w:hint="eastAsia" w:cs="Times New Roman"/>
          <w:color w:val="000000"/>
          <w:kern w:val="2"/>
          <w:sz w:val="21"/>
          <w:szCs w:val="21"/>
          <w:lang w:val="en-US"/>
        </w:rPr>
        <w:t>，当电子锁未可靠锁止时，充电机应不能启动充电或立即停止充电。</w:t>
      </w:r>
    </w:p>
    <w:p w14:paraId="789CE45B">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超温断电</w:t>
      </w:r>
    </w:p>
    <w:p w14:paraId="09B1C5D8">
      <w:pPr>
        <w:adjustRightInd w:val="0"/>
        <w:snapToGrid w:val="0"/>
        <w:spacing w:line="400" w:lineRule="exact"/>
        <w:ind w:firstLine="420" w:firstLineChars="200"/>
        <w:jc w:val="both"/>
        <w:rPr>
          <w:rFonts w:cs="Times New Roman"/>
          <w:color w:val="000000"/>
          <w:kern w:val="2"/>
          <w:sz w:val="21"/>
          <w:szCs w:val="21"/>
          <w:lang w:val="en-US"/>
        </w:rPr>
      </w:pPr>
      <w:r>
        <w:rPr>
          <w:rFonts w:cs="Times New Roman"/>
          <w:color w:val="000000"/>
          <w:kern w:val="2"/>
          <w:sz w:val="21"/>
          <w:szCs w:val="21"/>
          <w:lang w:val="en-US"/>
        </w:rPr>
        <w:t>充电枪带有</w:t>
      </w:r>
      <w:r>
        <w:rPr>
          <w:rFonts w:hint="eastAsia" w:cs="Times New Roman"/>
          <w:color w:val="000000"/>
          <w:kern w:val="2"/>
          <w:sz w:val="21"/>
          <w:szCs w:val="21"/>
          <w:lang w:val="en-US"/>
        </w:rPr>
        <w:t>温度检测功能，充电过程对枪头DC+/DC-端子连接处进行温度实时检测</w:t>
      </w:r>
      <w:r>
        <w:rPr>
          <w:rFonts w:cs="Times New Roman"/>
          <w:color w:val="000000"/>
          <w:kern w:val="2"/>
          <w:sz w:val="21"/>
          <w:szCs w:val="21"/>
          <w:lang w:val="en-US"/>
        </w:rPr>
        <w:t>。</w:t>
      </w:r>
      <w:r>
        <w:rPr>
          <w:rFonts w:hint="eastAsia" w:cs="Times New Roman"/>
          <w:color w:val="000000"/>
          <w:kern w:val="2"/>
          <w:sz w:val="21"/>
          <w:szCs w:val="21"/>
          <w:lang w:val="en-US"/>
        </w:rPr>
        <w:t>当确认充电枪头温度达到90℃两分钟后，充电机限制输出电流为当前直流电表检测值的90%；当确认充电枪头温度达到95℃两分钟后，充电机限制输出电流为当前直流电表检测值的80%；当确认充电枪头温度达到100℃两分钟后，充电机限制输出电流为当前直流电表检测值的70%；当确认充电枪头温度达到110℃两秒钟后，充电机立即停止充电，</w:t>
      </w:r>
      <w:r>
        <w:rPr>
          <w:rFonts w:cs="Times New Roman"/>
          <w:color w:val="000000"/>
          <w:kern w:val="2"/>
          <w:sz w:val="21"/>
          <w:szCs w:val="21"/>
          <w:lang w:val="en-US"/>
        </w:rPr>
        <w:t>并</w:t>
      </w:r>
      <w:r>
        <w:rPr>
          <w:rFonts w:hint="eastAsia" w:cs="Times New Roman"/>
          <w:color w:val="000000"/>
          <w:kern w:val="2"/>
          <w:sz w:val="21"/>
          <w:szCs w:val="21"/>
          <w:lang w:val="en-US"/>
        </w:rPr>
        <w:t>发出过温故障提示。</w:t>
      </w:r>
    </w:p>
    <w:p w14:paraId="019D0715">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GPS</w:t>
      </w:r>
      <w:r>
        <w:rPr>
          <w:rFonts w:hint="eastAsia" w:cs="Times New Roman"/>
          <w:b/>
          <w:bCs/>
          <w:color w:val="000000"/>
          <w:kern w:val="2"/>
          <w:sz w:val="21"/>
          <w:szCs w:val="21"/>
          <w:lang w:val="en-US"/>
        </w:rPr>
        <w:t>定位功能</w:t>
      </w:r>
    </w:p>
    <w:p w14:paraId="746B1AA3">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具有定位设备所在地理位置，并记录信息，定位精度小于200m。</w:t>
      </w:r>
    </w:p>
    <w:p w14:paraId="5EDFFEC8">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耐气候环境要求</w:t>
      </w:r>
    </w:p>
    <w:p w14:paraId="4707EBF3">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防护等级</w:t>
      </w:r>
    </w:p>
    <w:p w14:paraId="2B2AED41">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w:t>
      </w:r>
      <w:r>
        <w:rPr>
          <w:rFonts w:hint="eastAsia" w:cs="Times New Roman"/>
          <w:caps/>
          <w:color w:val="000000"/>
          <w:sz w:val="21"/>
          <w:szCs w:val="21"/>
          <w:lang w:val="en-US"/>
        </w:rPr>
        <w:t>充电机的柜体防护等级不应低于IP5</w:t>
      </w:r>
      <w:r>
        <w:rPr>
          <w:rFonts w:cs="Times New Roman"/>
          <w:caps/>
          <w:color w:val="000000"/>
          <w:sz w:val="21"/>
          <w:szCs w:val="21"/>
          <w:lang w:val="en-US"/>
        </w:rPr>
        <w:t>5</w:t>
      </w:r>
      <w:r>
        <w:rPr>
          <w:rFonts w:hint="eastAsia" w:cs="Times New Roman"/>
          <w:caps/>
          <w:color w:val="000000"/>
          <w:sz w:val="21"/>
          <w:szCs w:val="21"/>
          <w:lang w:val="en-US"/>
        </w:rPr>
        <w:t>，至少具备双层分离式防尘网防护。</w:t>
      </w:r>
    </w:p>
    <w:p w14:paraId="4BB0870A">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三防（防潮湿，防霉变，防盐雾）保护</w:t>
      </w:r>
    </w:p>
    <w:p w14:paraId="68095F8B">
      <w:pPr>
        <w:adjustRightInd w:val="0"/>
        <w:snapToGrid w:val="0"/>
        <w:spacing w:line="400" w:lineRule="exact"/>
        <w:ind w:firstLine="420" w:firstLineChars="200"/>
        <w:jc w:val="both"/>
        <w:rPr>
          <w:rFonts w:cs="Times New Roman"/>
          <w:color w:val="000000"/>
          <w:kern w:val="2"/>
          <w:sz w:val="21"/>
          <w:szCs w:val="21"/>
          <w:lang w:val="en-US"/>
        </w:rPr>
      </w:pPr>
      <w:r>
        <w:rPr>
          <w:rFonts w:hint="eastAsia" w:cs="Times New Roman"/>
          <w:color w:val="000000"/>
          <w:kern w:val="2"/>
          <w:sz w:val="21"/>
          <w:szCs w:val="21"/>
          <w:lang w:val="en-US"/>
        </w:rPr>
        <w:t>充电机内印刷线路板、接插件等电路应进行防潮湿、防霉变、防盐雾处理，</w:t>
      </w:r>
      <w:r>
        <w:rPr>
          <w:rFonts w:cs="Times New Roman"/>
          <w:color w:val="000000"/>
          <w:kern w:val="2"/>
          <w:sz w:val="21"/>
          <w:szCs w:val="21"/>
          <w:lang w:val="en-US"/>
        </w:rPr>
        <w:t>关键</w:t>
      </w:r>
      <w:r>
        <w:rPr>
          <w:rFonts w:hint="eastAsia" w:cs="Times New Roman"/>
          <w:color w:val="000000"/>
          <w:kern w:val="2"/>
          <w:sz w:val="21"/>
          <w:szCs w:val="21"/>
          <w:lang w:val="en-US"/>
        </w:rPr>
        <w:t>器件充电模块、</w:t>
      </w:r>
      <w:r>
        <w:rPr>
          <w:rFonts w:cs="Times New Roman"/>
          <w:color w:val="000000"/>
          <w:kern w:val="2"/>
          <w:sz w:val="21"/>
          <w:szCs w:val="21"/>
          <w:lang w:val="en-US"/>
        </w:rPr>
        <w:t>辅源</w:t>
      </w:r>
      <w:r>
        <w:rPr>
          <w:rFonts w:hint="eastAsia" w:cs="Times New Roman"/>
          <w:color w:val="000000"/>
          <w:kern w:val="2"/>
          <w:sz w:val="21"/>
          <w:szCs w:val="21"/>
          <w:lang w:val="en-US"/>
        </w:rPr>
        <w:t>采用全灌胶工艺。</w:t>
      </w:r>
    </w:p>
    <w:p w14:paraId="2F0E66EA">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防锈(防氧化)保护</w:t>
      </w:r>
    </w:p>
    <w:p w14:paraId="71E12DF5">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充电机铁质外壳和暴露在外的铁质支架、零件应采取双层防锈措施，非铁质的金属外壳也应具有防氧化保护膜或进行防氧化处理</w:t>
      </w:r>
      <w:r>
        <w:rPr>
          <w:rFonts w:cs="Times New Roman"/>
          <w:caps/>
          <w:color w:val="000000"/>
          <w:sz w:val="21"/>
          <w:szCs w:val="21"/>
          <w:lang w:val="en-US"/>
        </w:rPr>
        <w:t>。</w:t>
      </w:r>
    </w:p>
    <w:p w14:paraId="5CF29BAE">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防风保护</w:t>
      </w:r>
    </w:p>
    <w:p w14:paraId="70ABA82F">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充电机应能承受GB/T 4797.5-2008中规定的不同地区最大风速的侵袭。</w:t>
      </w:r>
    </w:p>
    <w:p w14:paraId="334D29A4">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防护要求</w:t>
      </w:r>
    </w:p>
    <w:p w14:paraId="080AD15F">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允许温度</w:t>
      </w:r>
    </w:p>
    <w:p w14:paraId="7A54CAD6">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w:t>
      </w:r>
      <w:r>
        <w:rPr>
          <w:rFonts w:cs="Times New Roman"/>
          <w:caps/>
          <w:color w:val="000000"/>
          <w:sz w:val="21"/>
          <w:szCs w:val="21"/>
          <w:lang w:val="en-US"/>
        </w:rPr>
        <w:t>在40</w:t>
      </w:r>
      <w:r>
        <w:rPr>
          <w:rFonts w:hint="eastAsia" w:cs="Times New Roman"/>
          <w:caps/>
          <w:color w:val="000000"/>
          <w:sz w:val="21"/>
          <w:szCs w:val="21"/>
          <w:lang w:val="en-US"/>
        </w:rPr>
        <w:t>℃</w:t>
      </w:r>
      <w:r>
        <w:rPr>
          <w:rFonts w:cs="Times New Roman"/>
          <w:caps/>
          <w:color w:val="000000"/>
          <w:sz w:val="21"/>
          <w:szCs w:val="21"/>
          <w:lang w:val="en-US"/>
        </w:rPr>
        <w:t>环境温度下，充电机可用手接触部分允许的最高温度应为：</w:t>
      </w:r>
    </w:p>
    <w:p w14:paraId="2AA5E934">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——金属部分，50</w:t>
      </w:r>
      <w:r>
        <w:rPr>
          <w:rFonts w:hint="eastAsia" w:cs="Times New Roman"/>
          <w:caps/>
          <w:color w:val="000000"/>
          <w:sz w:val="21"/>
          <w:szCs w:val="21"/>
          <w:lang w:val="en-US"/>
        </w:rPr>
        <w:t>℃</w:t>
      </w:r>
      <w:r>
        <w:rPr>
          <w:rFonts w:cs="Times New Roman"/>
          <w:caps/>
          <w:color w:val="000000"/>
          <w:sz w:val="21"/>
          <w:szCs w:val="21"/>
          <w:lang w:val="en-US"/>
        </w:rPr>
        <w:t>；</w:t>
      </w:r>
    </w:p>
    <w:p w14:paraId="2CFF3CB0">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——非金属部分，60</w:t>
      </w:r>
      <w:r>
        <w:rPr>
          <w:rFonts w:hint="eastAsia" w:cs="Times New Roman"/>
          <w:caps/>
          <w:color w:val="000000"/>
          <w:sz w:val="21"/>
          <w:szCs w:val="21"/>
          <w:lang w:val="en-US"/>
        </w:rPr>
        <w:t>℃。</w:t>
      </w:r>
    </w:p>
    <w:p w14:paraId="0139D9F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2）可以用手接触但不必紧握的部分，在同样条件下允许的最高温度应为：</w:t>
      </w:r>
    </w:p>
    <w:p w14:paraId="0379BF8C">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——金属部分，60</w:t>
      </w:r>
      <w:r>
        <w:rPr>
          <w:rFonts w:hint="eastAsia" w:cs="Times New Roman"/>
          <w:caps/>
          <w:color w:val="000000"/>
          <w:sz w:val="21"/>
          <w:szCs w:val="21"/>
          <w:lang w:val="en-US"/>
        </w:rPr>
        <w:t>℃</w:t>
      </w:r>
      <w:r>
        <w:rPr>
          <w:rFonts w:cs="Times New Roman"/>
          <w:caps/>
          <w:color w:val="000000"/>
          <w:sz w:val="21"/>
          <w:szCs w:val="21"/>
          <w:lang w:val="en-US"/>
        </w:rPr>
        <w:t>；</w:t>
      </w:r>
    </w:p>
    <w:p w14:paraId="795B0563">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——非金属部分，85</w:t>
      </w:r>
      <w:r>
        <w:rPr>
          <w:rFonts w:hint="eastAsia" w:cs="Times New Roman"/>
          <w:caps/>
          <w:color w:val="000000"/>
          <w:sz w:val="21"/>
          <w:szCs w:val="21"/>
          <w:lang w:val="en-US"/>
        </w:rPr>
        <w:t>℃。</w:t>
      </w:r>
    </w:p>
    <w:p w14:paraId="72D34EA1">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电击防护</w:t>
      </w:r>
    </w:p>
    <w:p w14:paraId="7468A2D5">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充电机的电击防护应符合GB/T 18487.1-20</w:t>
      </w:r>
      <w:r>
        <w:rPr>
          <w:rFonts w:hint="eastAsia" w:cs="Times New Roman"/>
          <w:caps/>
          <w:color w:val="000000"/>
          <w:sz w:val="21"/>
          <w:szCs w:val="21"/>
          <w:lang w:val="en-US"/>
        </w:rPr>
        <w:t>15</w:t>
      </w:r>
      <w:r>
        <w:rPr>
          <w:rFonts w:cs="Times New Roman"/>
          <w:caps/>
          <w:color w:val="000000"/>
          <w:sz w:val="21"/>
          <w:szCs w:val="21"/>
          <w:lang w:val="en-US"/>
        </w:rPr>
        <w:t>中第</w:t>
      </w:r>
      <w:r>
        <w:rPr>
          <w:rFonts w:hint="eastAsia" w:cs="Times New Roman"/>
          <w:caps/>
          <w:color w:val="000000"/>
          <w:sz w:val="21"/>
          <w:szCs w:val="21"/>
          <w:lang w:val="en-US"/>
        </w:rPr>
        <w:t>7</w:t>
      </w:r>
      <w:r>
        <w:rPr>
          <w:rFonts w:cs="Times New Roman"/>
          <w:caps/>
          <w:color w:val="000000"/>
          <w:sz w:val="21"/>
          <w:szCs w:val="21"/>
          <w:lang w:val="en-US"/>
        </w:rPr>
        <w:t>章的要求。</w:t>
      </w:r>
    </w:p>
    <w:p w14:paraId="57774ABA">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电气间隙和爬电距离</w:t>
      </w:r>
    </w:p>
    <w:p w14:paraId="2DCF9555">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充电机的电气间隙和爬电距离应符合的规定。</w:t>
      </w:r>
    </w:p>
    <w:p w14:paraId="6E3A19E4">
      <w:pPr>
        <w:widowControl/>
        <w:spacing w:line="400" w:lineRule="exact"/>
        <w:jc w:val="center"/>
        <w:rPr>
          <w:rFonts w:cs="Times New Roman"/>
          <w:color w:val="000000"/>
          <w:sz w:val="21"/>
          <w:szCs w:val="21"/>
          <w:lang w:val="en-US"/>
        </w:rPr>
      </w:pPr>
      <w:r>
        <w:rPr>
          <w:rFonts w:cs="Times New Roman"/>
          <w:color w:val="000000"/>
          <w:sz w:val="21"/>
          <w:szCs w:val="21"/>
          <w:lang w:val="en-US"/>
        </w:rPr>
        <w:t>电气间隙和爬电距离</w:t>
      </w:r>
    </w:p>
    <w:tbl>
      <w:tblPr>
        <w:tblStyle w:val="50"/>
        <w:tblW w:w="8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628"/>
        <w:gridCol w:w="2763"/>
      </w:tblGrid>
      <w:tr w14:paraId="4A065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895" w:type="dxa"/>
            <w:tcBorders>
              <w:top w:val="single" w:color="auto" w:sz="8" w:space="0"/>
              <w:bottom w:val="single" w:color="auto" w:sz="8" w:space="0"/>
            </w:tcBorders>
            <w:vAlign w:val="center"/>
          </w:tcPr>
          <w:p w14:paraId="360AA2CE">
            <w:pPr>
              <w:widowControl/>
              <w:jc w:val="center"/>
              <w:rPr>
                <w:rFonts w:cs="Times New Roman"/>
                <w:color w:val="000000"/>
                <w:kern w:val="2"/>
                <w:sz w:val="21"/>
                <w:szCs w:val="21"/>
                <w:lang w:val="en-US"/>
              </w:rPr>
            </w:pPr>
            <w:r>
              <w:rPr>
                <w:rFonts w:cs="Times New Roman"/>
                <w:color w:val="000000"/>
                <w:kern w:val="2"/>
                <w:sz w:val="21"/>
                <w:szCs w:val="21"/>
                <w:lang w:val="en-US"/>
              </w:rPr>
              <w:t>额定绝缘电压Ui（V）</w:t>
            </w:r>
          </w:p>
        </w:tc>
        <w:tc>
          <w:tcPr>
            <w:tcW w:w="2628" w:type="dxa"/>
            <w:tcBorders>
              <w:top w:val="single" w:color="auto" w:sz="8" w:space="0"/>
              <w:bottom w:val="single" w:color="auto" w:sz="8" w:space="0"/>
            </w:tcBorders>
            <w:vAlign w:val="center"/>
          </w:tcPr>
          <w:p w14:paraId="4DC7AFF6">
            <w:pPr>
              <w:widowControl/>
              <w:jc w:val="center"/>
              <w:rPr>
                <w:rFonts w:cs="Times New Roman"/>
                <w:color w:val="000000"/>
                <w:kern w:val="2"/>
                <w:sz w:val="21"/>
                <w:szCs w:val="21"/>
                <w:lang w:val="en-US"/>
              </w:rPr>
            </w:pPr>
            <w:r>
              <w:rPr>
                <w:rFonts w:cs="Times New Roman"/>
                <w:color w:val="000000"/>
                <w:kern w:val="2"/>
                <w:sz w:val="21"/>
                <w:szCs w:val="21"/>
                <w:lang w:val="en-US"/>
              </w:rPr>
              <w:t>电气间隙（mm）</w:t>
            </w:r>
          </w:p>
        </w:tc>
        <w:tc>
          <w:tcPr>
            <w:tcW w:w="2763" w:type="dxa"/>
            <w:tcBorders>
              <w:top w:val="single" w:color="auto" w:sz="8" w:space="0"/>
              <w:bottom w:val="single" w:color="auto" w:sz="8" w:space="0"/>
            </w:tcBorders>
            <w:vAlign w:val="center"/>
          </w:tcPr>
          <w:p w14:paraId="7774D91B">
            <w:pPr>
              <w:widowControl/>
              <w:jc w:val="center"/>
              <w:rPr>
                <w:rFonts w:cs="Times New Roman"/>
                <w:color w:val="000000"/>
                <w:kern w:val="2"/>
                <w:sz w:val="21"/>
                <w:szCs w:val="21"/>
                <w:lang w:val="en-US"/>
              </w:rPr>
            </w:pPr>
            <w:r>
              <w:rPr>
                <w:rFonts w:cs="Times New Roman"/>
                <w:color w:val="000000"/>
                <w:kern w:val="2"/>
                <w:sz w:val="21"/>
                <w:szCs w:val="21"/>
                <w:lang w:val="en-US"/>
              </w:rPr>
              <w:t>爬电距离（mm）</w:t>
            </w:r>
          </w:p>
        </w:tc>
      </w:tr>
      <w:tr w14:paraId="6B81C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895" w:type="dxa"/>
            <w:tcBorders>
              <w:top w:val="single" w:color="auto" w:sz="8" w:space="0"/>
              <w:bottom w:val="single" w:color="auto" w:sz="8" w:space="0"/>
            </w:tcBorders>
            <w:vAlign w:val="center"/>
          </w:tcPr>
          <w:p w14:paraId="7D9CE62A">
            <w:pPr>
              <w:widowControl/>
              <w:jc w:val="center"/>
              <w:rPr>
                <w:rFonts w:cs="Times New Roman"/>
                <w:color w:val="000000"/>
                <w:kern w:val="2"/>
                <w:sz w:val="21"/>
                <w:szCs w:val="21"/>
                <w:lang w:val="en-US"/>
              </w:rPr>
            </w:pPr>
            <w:r>
              <w:rPr>
                <w:rFonts w:cs="Times New Roman"/>
                <w:i/>
                <w:color w:val="000000"/>
                <w:kern w:val="2"/>
                <w:sz w:val="21"/>
                <w:szCs w:val="21"/>
                <w:lang w:val="en-US"/>
              </w:rPr>
              <w:t>Ui</w:t>
            </w:r>
            <w:r>
              <w:rPr>
                <w:rFonts w:cs="Times New Roman"/>
                <w:color w:val="000000"/>
                <w:kern w:val="2"/>
                <w:sz w:val="21"/>
                <w:szCs w:val="21"/>
                <w:lang w:val="en-US"/>
              </w:rPr>
              <w:t>≤60</w:t>
            </w:r>
          </w:p>
        </w:tc>
        <w:tc>
          <w:tcPr>
            <w:tcW w:w="2628" w:type="dxa"/>
            <w:tcBorders>
              <w:top w:val="single" w:color="auto" w:sz="8" w:space="0"/>
              <w:bottom w:val="single" w:color="auto" w:sz="8" w:space="0"/>
            </w:tcBorders>
            <w:vAlign w:val="center"/>
          </w:tcPr>
          <w:p w14:paraId="76E14417">
            <w:pPr>
              <w:widowControl/>
              <w:jc w:val="center"/>
              <w:rPr>
                <w:rFonts w:cs="Times New Roman"/>
                <w:color w:val="000000"/>
                <w:kern w:val="2"/>
                <w:sz w:val="21"/>
                <w:szCs w:val="21"/>
                <w:lang w:val="en-US"/>
              </w:rPr>
            </w:pPr>
            <w:r>
              <w:rPr>
                <w:rFonts w:cs="Times New Roman"/>
                <w:color w:val="000000"/>
                <w:kern w:val="2"/>
                <w:sz w:val="21"/>
                <w:szCs w:val="21"/>
                <w:lang w:val="en-US"/>
              </w:rPr>
              <w:t>3</w:t>
            </w:r>
            <w:r>
              <w:rPr>
                <w:rFonts w:hint="eastAsia" w:cs="Times New Roman"/>
                <w:color w:val="000000"/>
                <w:kern w:val="2"/>
                <w:sz w:val="21"/>
                <w:szCs w:val="21"/>
                <w:lang w:val="en-US"/>
              </w:rPr>
              <w:t>.0</w:t>
            </w:r>
          </w:p>
        </w:tc>
        <w:tc>
          <w:tcPr>
            <w:tcW w:w="2763" w:type="dxa"/>
            <w:tcBorders>
              <w:top w:val="single" w:color="auto" w:sz="8" w:space="0"/>
              <w:bottom w:val="single" w:color="auto" w:sz="8" w:space="0"/>
            </w:tcBorders>
            <w:vAlign w:val="center"/>
          </w:tcPr>
          <w:p w14:paraId="12D379E4">
            <w:pPr>
              <w:widowControl/>
              <w:jc w:val="center"/>
              <w:rPr>
                <w:rFonts w:cs="Times New Roman"/>
                <w:color w:val="000000"/>
                <w:kern w:val="2"/>
                <w:sz w:val="21"/>
                <w:szCs w:val="21"/>
                <w:lang w:val="en-US"/>
              </w:rPr>
            </w:pPr>
            <w:r>
              <w:rPr>
                <w:rFonts w:cs="Times New Roman"/>
                <w:color w:val="000000"/>
                <w:kern w:val="2"/>
                <w:sz w:val="21"/>
                <w:szCs w:val="21"/>
                <w:lang w:val="en-US"/>
              </w:rPr>
              <w:t>3</w:t>
            </w:r>
            <w:r>
              <w:rPr>
                <w:rFonts w:hint="eastAsia" w:cs="Times New Roman"/>
                <w:color w:val="000000"/>
                <w:kern w:val="2"/>
                <w:sz w:val="21"/>
                <w:szCs w:val="21"/>
                <w:lang w:val="en-US"/>
              </w:rPr>
              <w:t>.0</w:t>
            </w:r>
          </w:p>
        </w:tc>
      </w:tr>
      <w:tr w14:paraId="47A54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895" w:type="dxa"/>
            <w:tcBorders>
              <w:top w:val="single" w:color="auto" w:sz="8" w:space="0"/>
              <w:bottom w:val="single" w:color="auto" w:sz="8" w:space="0"/>
            </w:tcBorders>
            <w:vAlign w:val="center"/>
          </w:tcPr>
          <w:p w14:paraId="64986DE7">
            <w:pPr>
              <w:widowControl/>
              <w:jc w:val="center"/>
              <w:rPr>
                <w:rFonts w:cs="Times New Roman"/>
                <w:color w:val="000000"/>
                <w:kern w:val="2"/>
                <w:sz w:val="21"/>
                <w:szCs w:val="21"/>
                <w:lang w:val="en-US"/>
              </w:rPr>
            </w:pPr>
            <w:r>
              <w:rPr>
                <w:rFonts w:cs="Times New Roman"/>
                <w:color w:val="000000"/>
                <w:kern w:val="2"/>
                <w:sz w:val="21"/>
                <w:szCs w:val="21"/>
                <w:lang w:val="en-US"/>
              </w:rPr>
              <w:t>60＜</w:t>
            </w:r>
            <w:r>
              <w:rPr>
                <w:rFonts w:cs="Times New Roman"/>
                <w:i/>
                <w:color w:val="000000"/>
                <w:kern w:val="2"/>
                <w:sz w:val="21"/>
                <w:szCs w:val="21"/>
                <w:lang w:val="en-US"/>
              </w:rPr>
              <w:t>Ui</w:t>
            </w:r>
            <w:r>
              <w:rPr>
                <w:rFonts w:cs="Times New Roman"/>
                <w:color w:val="000000"/>
                <w:kern w:val="2"/>
                <w:sz w:val="21"/>
                <w:szCs w:val="21"/>
                <w:lang w:val="en-US"/>
              </w:rPr>
              <w:t>≤300</w:t>
            </w:r>
          </w:p>
        </w:tc>
        <w:tc>
          <w:tcPr>
            <w:tcW w:w="2628" w:type="dxa"/>
            <w:tcBorders>
              <w:top w:val="single" w:color="auto" w:sz="8" w:space="0"/>
              <w:bottom w:val="single" w:color="auto" w:sz="8" w:space="0"/>
            </w:tcBorders>
            <w:vAlign w:val="center"/>
          </w:tcPr>
          <w:p w14:paraId="501C8B9A">
            <w:pPr>
              <w:widowControl/>
              <w:jc w:val="center"/>
              <w:rPr>
                <w:rFonts w:cs="Times New Roman"/>
                <w:color w:val="000000"/>
                <w:kern w:val="2"/>
                <w:sz w:val="21"/>
                <w:szCs w:val="21"/>
                <w:lang w:val="en-US"/>
              </w:rPr>
            </w:pPr>
            <w:r>
              <w:rPr>
                <w:rFonts w:cs="Times New Roman"/>
                <w:color w:val="000000"/>
                <w:kern w:val="2"/>
                <w:sz w:val="21"/>
                <w:szCs w:val="21"/>
                <w:lang w:val="en-US"/>
              </w:rPr>
              <w:t>5</w:t>
            </w:r>
            <w:r>
              <w:rPr>
                <w:rFonts w:hint="eastAsia" w:cs="Times New Roman"/>
                <w:color w:val="000000"/>
                <w:kern w:val="2"/>
                <w:sz w:val="21"/>
                <w:szCs w:val="21"/>
                <w:lang w:val="en-US"/>
              </w:rPr>
              <w:t>.0</w:t>
            </w:r>
          </w:p>
        </w:tc>
        <w:tc>
          <w:tcPr>
            <w:tcW w:w="2763" w:type="dxa"/>
            <w:tcBorders>
              <w:top w:val="single" w:color="auto" w:sz="8" w:space="0"/>
              <w:bottom w:val="single" w:color="auto" w:sz="8" w:space="0"/>
            </w:tcBorders>
            <w:vAlign w:val="center"/>
          </w:tcPr>
          <w:p w14:paraId="14B8A04F">
            <w:pPr>
              <w:widowControl/>
              <w:jc w:val="center"/>
              <w:rPr>
                <w:rFonts w:cs="Times New Roman"/>
                <w:color w:val="000000"/>
                <w:kern w:val="2"/>
                <w:sz w:val="21"/>
                <w:szCs w:val="21"/>
                <w:lang w:val="en-US"/>
              </w:rPr>
            </w:pPr>
            <w:r>
              <w:rPr>
                <w:rFonts w:cs="Times New Roman"/>
                <w:color w:val="000000"/>
                <w:kern w:val="2"/>
                <w:sz w:val="21"/>
                <w:szCs w:val="21"/>
                <w:lang w:val="en-US"/>
              </w:rPr>
              <w:t>6</w:t>
            </w:r>
            <w:r>
              <w:rPr>
                <w:rFonts w:hint="eastAsia" w:cs="Times New Roman"/>
                <w:color w:val="000000"/>
                <w:kern w:val="2"/>
                <w:sz w:val="21"/>
                <w:szCs w:val="21"/>
                <w:lang w:val="en-US"/>
              </w:rPr>
              <w:t>.0</w:t>
            </w:r>
          </w:p>
        </w:tc>
      </w:tr>
      <w:tr w14:paraId="168D7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895" w:type="dxa"/>
            <w:tcBorders>
              <w:top w:val="single" w:color="auto" w:sz="8" w:space="0"/>
              <w:bottom w:val="single" w:color="auto" w:sz="8" w:space="0"/>
            </w:tcBorders>
            <w:vAlign w:val="center"/>
          </w:tcPr>
          <w:p w14:paraId="5E90A7F2">
            <w:pPr>
              <w:widowControl/>
              <w:jc w:val="center"/>
              <w:rPr>
                <w:rFonts w:cs="Times New Roman"/>
                <w:color w:val="000000"/>
                <w:kern w:val="2"/>
                <w:sz w:val="21"/>
                <w:szCs w:val="21"/>
                <w:lang w:val="en-US"/>
              </w:rPr>
            </w:pPr>
            <w:r>
              <w:rPr>
                <w:rFonts w:cs="Times New Roman"/>
                <w:color w:val="000000"/>
                <w:kern w:val="2"/>
                <w:sz w:val="21"/>
                <w:szCs w:val="21"/>
                <w:lang w:val="en-US"/>
              </w:rPr>
              <w:t>300＜</w:t>
            </w:r>
            <w:r>
              <w:rPr>
                <w:rFonts w:cs="Times New Roman"/>
                <w:i/>
                <w:color w:val="000000"/>
                <w:kern w:val="2"/>
                <w:sz w:val="21"/>
                <w:szCs w:val="21"/>
                <w:lang w:val="en-US"/>
              </w:rPr>
              <w:t>Ui</w:t>
            </w:r>
            <w:r>
              <w:rPr>
                <w:rFonts w:cs="Times New Roman"/>
                <w:color w:val="000000"/>
                <w:kern w:val="2"/>
                <w:sz w:val="21"/>
                <w:szCs w:val="21"/>
                <w:lang w:val="en-US"/>
              </w:rPr>
              <w:t>≤700</w:t>
            </w:r>
          </w:p>
        </w:tc>
        <w:tc>
          <w:tcPr>
            <w:tcW w:w="2628" w:type="dxa"/>
            <w:tcBorders>
              <w:top w:val="single" w:color="auto" w:sz="8" w:space="0"/>
              <w:bottom w:val="single" w:color="auto" w:sz="8" w:space="0"/>
            </w:tcBorders>
            <w:vAlign w:val="center"/>
          </w:tcPr>
          <w:p w14:paraId="738AE91E">
            <w:pPr>
              <w:widowControl/>
              <w:jc w:val="center"/>
              <w:rPr>
                <w:rFonts w:cs="Times New Roman"/>
                <w:color w:val="000000"/>
                <w:kern w:val="2"/>
                <w:sz w:val="21"/>
                <w:szCs w:val="21"/>
                <w:lang w:val="en-US"/>
              </w:rPr>
            </w:pPr>
            <w:r>
              <w:rPr>
                <w:rFonts w:cs="Times New Roman"/>
                <w:color w:val="000000"/>
                <w:kern w:val="2"/>
                <w:sz w:val="21"/>
                <w:szCs w:val="21"/>
                <w:lang w:val="en-US"/>
              </w:rPr>
              <w:t>8</w:t>
            </w:r>
            <w:r>
              <w:rPr>
                <w:rFonts w:hint="eastAsia" w:cs="Times New Roman"/>
                <w:color w:val="000000"/>
                <w:kern w:val="2"/>
                <w:sz w:val="21"/>
                <w:szCs w:val="21"/>
                <w:lang w:val="en-US"/>
              </w:rPr>
              <w:t>.0</w:t>
            </w:r>
          </w:p>
        </w:tc>
        <w:tc>
          <w:tcPr>
            <w:tcW w:w="2763" w:type="dxa"/>
            <w:tcBorders>
              <w:top w:val="single" w:color="auto" w:sz="8" w:space="0"/>
              <w:bottom w:val="single" w:color="auto" w:sz="8" w:space="0"/>
            </w:tcBorders>
            <w:vAlign w:val="center"/>
          </w:tcPr>
          <w:p w14:paraId="4A4A9DD9">
            <w:pPr>
              <w:widowControl/>
              <w:jc w:val="center"/>
              <w:rPr>
                <w:rFonts w:cs="Times New Roman"/>
                <w:color w:val="000000"/>
                <w:kern w:val="2"/>
                <w:sz w:val="21"/>
                <w:szCs w:val="21"/>
                <w:lang w:val="en-US"/>
              </w:rPr>
            </w:pPr>
            <w:r>
              <w:rPr>
                <w:rFonts w:cs="Times New Roman"/>
                <w:color w:val="000000"/>
                <w:kern w:val="2"/>
                <w:sz w:val="21"/>
                <w:szCs w:val="21"/>
                <w:lang w:val="en-US"/>
              </w:rPr>
              <w:t>10</w:t>
            </w:r>
            <w:r>
              <w:rPr>
                <w:rFonts w:hint="eastAsia" w:cs="Times New Roman"/>
                <w:color w:val="000000"/>
                <w:kern w:val="2"/>
                <w:sz w:val="21"/>
                <w:szCs w:val="21"/>
                <w:lang w:val="en-US"/>
              </w:rPr>
              <w:t>.0</w:t>
            </w:r>
          </w:p>
        </w:tc>
      </w:tr>
      <w:tr w14:paraId="73E8A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895" w:type="dxa"/>
            <w:tcBorders>
              <w:top w:val="single" w:color="auto" w:sz="8" w:space="0"/>
              <w:bottom w:val="single" w:color="auto" w:sz="8" w:space="0"/>
            </w:tcBorders>
            <w:vAlign w:val="center"/>
          </w:tcPr>
          <w:p w14:paraId="334E9CEF">
            <w:pPr>
              <w:widowControl/>
              <w:jc w:val="center"/>
              <w:rPr>
                <w:rFonts w:cs="Times New Roman"/>
                <w:color w:val="000000"/>
                <w:kern w:val="2"/>
                <w:sz w:val="21"/>
                <w:szCs w:val="21"/>
                <w:lang w:val="en-US"/>
              </w:rPr>
            </w:pPr>
            <w:r>
              <w:rPr>
                <w:rFonts w:cs="Times New Roman"/>
                <w:color w:val="000000"/>
                <w:kern w:val="2"/>
                <w:sz w:val="21"/>
                <w:szCs w:val="21"/>
                <w:lang w:val="en-US"/>
              </w:rPr>
              <w:t>700＜</w:t>
            </w:r>
            <w:r>
              <w:rPr>
                <w:rFonts w:cs="Times New Roman"/>
                <w:i/>
                <w:color w:val="000000"/>
                <w:kern w:val="2"/>
                <w:sz w:val="21"/>
                <w:szCs w:val="21"/>
                <w:lang w:val="en-US"/>
              </w:rPr>
              <w:t>Ui</w:t>
            </w:r>
            <w:r>
              <w:rPr>
                <w:rFonts w:cs="Times New Roman"/>
                <w:color w:val="000000"/>
                <w:kern w:val="2"/>
                <w:sz w:val="21"/>
                <w:szCs w:val="21"/>
                <w:lang w:val="en-US"/>
              </w:rPr>
              <w:t>≤950</w:t>
            </w:r>
          </w:p>
        </w:tc>
        <w:tc>
          <w:tcPr>
            <w:tcW w:w="2628" w:type="dxa"/>
            <w:tcBorders>
              <w:top w:val="single" w:color="auto" w:sz="8" w:space="0"/>
              <w:bottom w:val="single" w:color="auto" w:sz="8" w:space="0"/>
            </w:tcBorders>
            <w:vAlign w:val="center"/>
          </w:tcPr>
          <w:p w14:paraId="34459024">
            <w:pPr>
              <w:widowControl/>
              <w:jc w:val="center"/>
              <w:rPr>
                <w:rFonts w:cs="Times New Roman"/>
                <w:color w:val="000000"/>
                <w:kern w:val="2"/>
                <w:sz w:val="21"/>
                <w:szCs w:val="21"/>
                <w:lang w:val="en-US"/>
              </w:rPr>
            </w:pPr>
            <w:r>
              <w:rPr>
                <w:rFonts w:hint="eastAsia" w:cs="Times New Roman"/>
                <w:color w:val="000000"/>
                <w:kern w:val="2"/>
                <w:sz w:val="21"/>
                <w:szCs w:val="21"/>
                <w:lang w:val="en-US"/>
              </w:rPr>
              <w:t>14.0</w:t>
            </w:r>
          </w:p>
        </w:tc>
        <w:tc>
          <w:tcPr>
            <w:tcW w:w="2763" w:type="dxa"/>
            <w:tcBorders>
              <w:top w:val="single" w:color="auto" w:sz="8" w:space="0"/>
              <w:bottom w:val="single" w:color="auto" w:sz="8" w:space="0"/>
            </w:tcBorders>
            <w:vAlign w:val="center"/>
          </w:tcPr>
          <w:p w14:paraId="383054D2">
            <w:pPr>
              <w:widowControl/>
              <w:jc w:val="center"/>
              <w:rPr>
                <w:rFonts w:cs="Times New Roman"/>
                <w:color w:val="000000"/>
                <w:kern w:val="2"/>
                <w:sz w:val="21"/>
                <w:szCs w:val="21"/>
                <w:lang w:val="en-US"/>
              </w:rPr>
            </w:pPr>
            <w:r>
              <w:rPr>
                <w:rFonts w:hint="eastAsia" w:cs="Times New Roman"/>
                <w:color w:val="000000"/>
                <w:kern w:val="2"/>
                <w:sz w:val="21"/>
                <w:szCs w:val="21"/>
                <w:lang w:val="en-US"/>
              </w:rPr>
              <w:t>20.0</w:t>
            </w:r>
          </w:p>
        </w:tc>
      </w:tr>
      <w:tr w14:paraId="3A7D4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286" w:type="dxa"/>
            <w:gridSpan w:val="3"/>
            <w:tcBorders>
              <w:top w:val="single" w:color="auto" w:sz="8" w:space="0"/>
              <w:bottom w:val="single" w:color="auto" w:sz="8" w:space="0"/>
            </w:tcBorders>
            <w:vAlign w:val="center"/>
          </w:tcPr>
          <w:p w14:paraId="3B01285B">
            <w:pPr>
              <w:widowControl/>
              <w:rPr>
                <w:rFonts w:cs="Times New Roman"/>
                <w:color w:val="000000"/>
                <w:kern w:val="2"/>
                <w:sz w:val="21"/>
                <w:szCs w:val="21"/>
                <w:lang w:val="en-US"/>
              </w:rPr>
            </w:pPr>
            <w:r>
              <w:rPr>
                <w:rFonts w:cs="Times New Roman"/>
                <w:color w:val="000000"/>
                <w:kern w:val="2"/>
                <w:sz w:val="21"/>
                <w:szCs w:val="21"/>
                <w:lang w:val="en-US"/>
              </w:rPr>
              <w:t>注1：当主电路与控制电路或辅助电路的额定绝缘电压不一致时，其电气间隙和爬电距离可分别按其额定值选取。</w:t>
            </w:r>
          </w:p>
          <w:p w14:paraId="75036AAE">
            <w:pPr>
              <w:widowControl/>
              <w:rPr>
                <w:rFonts w:cs="Times New Roman"/>
                <w:color w:val="000000"/>
                <w:kern w:val="2"/>
                <w:sz w:val="21"/>
                <w:szCs w:val="21"/>
                <w:lang w:val="en-US"/>
              </w:rPr>
            </w:pPr>
            <w:r>
              <w:rPr>
                <w:rFonts w:cs="Times New Roman"/>
                <w:color w:val="000000"/>
                <w:kern w:val="2"/>
                <w:sz w:val="21"/>
                <w:szCs w:val="21"/>
                <w:lang w:val="en-US"/>
              </w:rPr>
              <w:t>注2：具有不同额定值主电路或控制电路导电部分之间的电气间隙与爬电距离，应按最高额定绝缘电压选取。</w:t>
            </w:r>
          </w:p>
          <w:p w14:paraId="630BF4E1">
            <w:pPr>
              <w:widowControl/>
              <w:rPr>
                <w:rFonts w:cs="Times New Roman"/>
                <w:color w:val="000000"/>
                <w:kern w:val="2"/>
                <w:sz w:val="21"/>
                <w:szCs w:val="21"/>
                <w:lang w:val="en-US"/>
              </w:rPr>
            </w:pPr>
            <w:r>
              <w:rPr>
                <w:rFonts w:hint="eastAsia" w:cs="Times New Roman"/>
                <w:color w:val="000000"/>
                <w:kern w:val="2"/>
                <w:sz w:val="21"/>
                <w:szCs w:val="21"/>
                <w:lang w:val="en-US"/>
              </w:rPr>
              <w:t>注3：小母线、汇流排或不同级的裸露的带电导体之间，以及裸露的带电导体与未经绝缘的不带电导体之间的电气间隙不小于12mm，爬电距离不小于20mm。</w:t>
            </w:r>
          </w:p>
        </w:tc>
      </w:tr>
    </w:tbl>
    <w:p w14:paraId="631DEEB7">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接地要求</w:t>
      </w:r>
    </w:p>
    <w:p w14:paraId="2034AB50">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充电机的接地要求应能满足以下的规定：</w:t>
      </w:r>
    </w:p>
    <w:p w14:paraId="296146DA">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w:t>
      </w:r>
      <w:r>
        <w:rPr>
          <w:rFonts w:cs="Times New Roman"/>
          <w:caps/>
          <w:color w:val="000000"/>
          <w:sz w:val="21"/>
          <w:szCs w:val="21"/>
          <w:lang w:val="en-US"/>
        </w:rPr>
        <w:t>充电机金属壳体应设置接地螺栓，其直径不得小于6mm，并应有接地标志。</w:t>
      </w:r>
    </w:p>
    <w:p w14:paraId="5D06797C">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w:t>
      </w:r>
      <w:r>
        <w:rPr>
          <w:rFonts w:cs="Times New Roman"/>
          <w:caps/>
          <w:color w:val="000000"/>
          <w:sz w:val="21"/>
          <w:szCs w:val="21"/>
          <w:lang w:val="en-US"/>
        </w:rPr>
        <w:t>所有作为隔离带电导体的金属隔板、电气元件的金属外壳以及金属手柄等均应有效接地，连续性电阻不应大于0.1Ω。</w:t>
      </w:r>
    </w:p>
    <w:p w14:paraId="1FDF640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w:t>
      </w:r>
      <w:r>
        <w:rPr>
          <w:rFonts w:cs="Times New Roman"/>
          <w:caps/>
          <w:color w:val="000000"/>
          <w:sz w:val="21"/>
          <w:szCs w:val="21"/>
          <w:lang w:val="en-US"/>
        </w:rPr>
        <w:t>充电机的门、盖板、覆板和类似部件，应采用保护导体将这些部件和充电机主体框架连接，此保护导体的截面积不得小于2.5mm2。</w:t>
      </w:r>
    </w:p>
    <w:p w14:paraId="6F9AE1C8">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4）</w:t>
      </w:r>
      <w:r>
        <w:rPr>
          <w:rFonts w:cs="Times New Roman"/>
          <w:caps/>
          <w:color w:val="000000"/>
          <w:sz w:val="21"/>
          <w:szCs w:val="21"/>
          <w:lang w:val="en-US"/>
        </w:rPr>
        <w:t>接地母线和柜体之间的所有连接应躲开（或穿透绝缘层）喷漆层，以保证有效的电气连接。</w:t>
      </w:r>
    </w:p>
    <w:p w14:paraId="5775F90F">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绝缘性能</w:t>
      </w:r>
    </w:p>
    <w:p w14:paraId="7B130814">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绝缘电阻</w:t>
      </w:r>
    </w:p>
    <w:p w14:paraId="19981536">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用开路电压为规定电压的测试仪器测量，充电机非电气连接的各带电回路之间、各独立带电回路与地（金属外壳）之间绝缘电阻</w:t>
      </w:r>
      <w:r>
        <w:rPr>
          <w:rFonts w:hint="eastAsia" w:cs="Times New Roman"/>
          <w:caps/>
          <w:color w:val="000000"/>
          <w:sz w:val="21"/>
          <w:szCs w:val="21"/>
          <w:lang w:val="en-US"/>
        </w:rPr>
        <w:t>不应小于</w:t>
      </w:r>
      <w:r>
        <w:rPr>
          <w:rFonts w:cs="Times New Roman"/>
          <w:caps/>
          <w:color w:val="000000"/>
          <w:sz w:val="21"/>
          <w:szCs w:val="21"/>
          <w:lang w:val="en-US"/>
        </w:rPr>
        <w:t>10MΩ。</w:t>
      </w:r>
    </w:p>
    <w:p w14:paraId="7F121C23">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工频耐压</w:t>
      </w:r>
    </w:p>
    <w:p w14:paraId="2F6848CE">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充电机非电气连接的各带电回路之间、各独立带电回路与地（金属外壳）之间，按其工作电压应能承受所规定历时1 min的工频耐压试验（也可采用直流电压，试验电压为交流电压有效值的1.4倍）。试验过程中应无绝缘击穿和闪络现象。</w:t>
      </w:r>
    </w:p>
    <w:p w14:paraId="24F993AE">
      <w:pPr>
        <w:keepNext/>
        <w:keepLines/>
        <w:spacing w:line="400" w:lineRule="exact"/>
        <w:jc w:val="both"/>
        <w:outlineLvl w:val="3"/>
        <w:rPr>
          <w:rFonts w:cs="Times New Roman"/>
          <w:b/>
          <w:bCs/>
          <w:color w:val="000000"/>
          <w:kern w:val="2"/>
          <w:sz w:val="21"/>
          <w:szCs w:val="21"/>
          <w:lang w:val="en-US"/>
        </w:rPr>
      </w:pPr>
      <w:r>
        <w:rPr>
          <w:rFonts w:cs="Times New Roman"/>
          <w:b/>
          <w:bCs/>
          <w:color w:val="000000"/>
          <w:kern w:val="2"/>
          <w:sz w:val="21"/>
          <w:szCs w:val="21"/>
          <w:lang w:val="en-US"/>
        </w:rPr>
        <w:t>冲击电压</w:t>
      </w:r>
    </w:p>
    <w:p w14:paraId="42BAE4B6">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充电机各带电回路、各带电电路对地（金属外壳）之间，按其工作电压应能承受所规定标准雷电波的短时冲击电压试验。试验过程中应无击穿放电。</w:t>
      </w:r>
    </w:p>
    <w:p w14:paraId="2CB14C6B">
      <w:pPr>
        <w:widowControl/>
        <w:spacing w:line="400" w:lineRule="exact"/>
        <w:jc w:val="center"/>
        <w:rPr>
          <w:rFonts w:cs="Times New Roman"/>
          <w:color w:val="000000"/>
          <w:sz w:val="21"/>
          <w:szCs w:val="21"/>
          <w:lang w:val="en-US"/>
        </w:rPr>
      </w:pPr>
      <w:r>
        <w:rPr>
          <w:rFonts w:hint="eastAsia" w:cs="Times New Roman"/>
          <w:color w:val="000000"/>
          <w:sz w:val="21"/>
          <w:szCs w:val="21"/>
          <w:lang w:val="en-US"/>
        </w:rPr>
        <w:t>绝缘试验的试验等级</w:t>
      </w:r>
    </w:p>
    <w:tbl>
      <w:tblPr>
        <w:tblStyle w:val="50"/>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51"/>
        <w:gridCol w:w="2966"/>
        <w:gridCol w:w="2128"/>
        <w:gridCol w:w="1929"/>
      </w:tblGrid>
      <w:tr w14:paraId="51E6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 w:hRule="atLeast"/>
          <w:jc w:val="center"/>
        </w:trPr>
        <w:tc>
          <w:tcPr>
            <w:tcW w:w="1851" w:type="dxa"/>
            <w:vAlign w:val="center"/>
          </w:tcPr>
          <w:p w14:paraId="514E669B">
            <w:pPr>
              <w:adjustRightInd w:val="0"/>
              <w:jc w:val="center"/>
              <w:rPr>
                <w:rFonts w:cs="Times New Roman"/>
                <w:color w:val="000000"/>
                <w:kern w:val="2"/>
                <w:sz w:val="21"/>
                <w:szCs w:val="21"/>
                <w:lang w:val="en-US"/>
              </w:rPr>
            </w:pPr>
            <w:r>
              <w:rPr>
                <w:rFonts w:cs="Times New Roman"/>
                <w:color w:val="000000"/>
                <w:kern w:val="2"/>
                <w:sz w:val="21"/>
                <w:szCs w:val="21"/>
                <w:lang w:val="en-US"/>
              </w:rPr>
              <w:t>额定绝缘电压Ui（V）</w:t>
            </w:r>
          </w:p>
        </w:tc>
        <w:tc>
          <w:tcPr>
            <w:tcW w:w="2966" w:type="dxa"/>
            <w:vAlign w:val="center"/>
          </w:tcPr>
          <w:p w14:paraId="14B6357E">
            <w:pPr>
              <w:adjustRightInd w:val="0"/>
              <w:jc w:val="center"/>
              <w:rPr>
                <w:rFonts w:cs="Times New Roman"/>
                <w:color w:val="000000"/>
                <w:kern w:val="2"/>
                <w:sz w:val="21"/>
                <w:szCs w:val="21"/>
                <w:lang w:val="en-US"/>
              </w:rPr>
            </w:pPr>
            <w:r>
              <w:rPr>
                <w:rFonts w:cs="Times New Roman"/>
                <w:color w:val="000000"/>
                <w:kern w:val="2"/>
                <w:sz w:val="21"/>
                <w:szCs w:val="21"/>
                <w:lang w:val="en-US"/>
              </w:rPr>
              <w:t>绝缘电阻测试仪器的电压等级（V）</w:t>
            </w:r>
          </w:p>
        </w:tc>
        <w:tc>
          <w:tcPr>
            <w:tcW w:w="2128" w:type="dxa"/>
            <w:vAlign w:val="center"/>
          </w:tcPr>
          <w:p w14:paraId="461AF7A8">
            <w:pPr>
              <w:adjustRightInd w:val="0"/>
              <w:jc w:val="center"/>
              <w:rPr>
                <w:rFonts w:cs="Times New Roman"/>
                <w:color w:val="000000"/>
                <w:kern w:val="2"/>
                <w:sz w:val="21"/>
                <w:szCs w:val="21"/>
                <w:lang w:val="en-US"/>
              </w:rPr>
            </w:pPr>
            <w:r>
              <w:rPr>
                <w:rFonts w:cs="Times New Roman"/>
                <w:color w:val="000000"/>
                <w:kern w:val="2"/>
                <w:sz w:val="21"/>
                <w:szCs w:val="21"/>
                <w:lang w:val="en-US"/>
              </w:rPr>
              <w:t>工频耐压试验电压（kV）</w:t>
            </w:r>
          </w:p>
        </w:tc>
        <w:tc>
          <w:tcPr>
            <w:tcW w:w="1929" w:type="dxa"/>
            <w:vAlign w:val="center"/>
          </w:tcPr>
          <w:p w14:paraId="42DE3D71">
            <w:pPr>
              <w:adjustRightInd w:val="0"/>
              <w:jc w:val="center"/>
              <w:rPr>
                <w:rFonts w:cs="Times New Roman"/>
                <w:color w:val="000000"/>
                <w:kern w:val="2"/>
                <w:sz w:val="21"/>
                <w:szCs w:val="21"/>
                <w:lang w:val="en-US"/>
              </w:rPr>
            </w:pPr>
            <w:r>
              <w:rPr>
                <w:rFonts w:cs="Times New Roman"/>
                <w:color w:val="000000"/>
                <w:kern w:val="2"/>
                <w:sz w:val="21"/>
                <w:szCs w:val="21"/>
                <w:lang w:val="en-US"/>
              </w:rPr>
              <w:t>冲击耐压试验电压（kV）</w:t>
            </w:r>
          </w:p>
        </w:tc>
      </w:tr>
      <w:tr w14:paraId="1DAE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51" w:type="dxa"/>
            <w:vAlign w:val="center"/>
          </w:tcPr>
          <w:p w14:paraId="4CCF3717">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 60</w:t>
            </w:r>
          </w:p>
        </w:tc>
        <w:tc>
          <w:tcPr>
            <w:tcW w:w="2966" w:type="dxa"/>
            <w:vAlign w:val="center"/>
          </w:tcPr>
          <w:p w14:paraId="3F0BEEC0">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250</w:t>
            </w:r>
          </w:p>
        </w:tc>
        <w:tc>
          <w:tcPr>
            <w:tcW w:w="2128" w:type="dxa"/>
            <w:vAlign w:val="center"/>
          </w:tcPr>
          <w:p w14:paraId="5228CC47">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1.0(1.4)</w:t>
            </w:r>
          </w:p>
        </w:tc>
        <w:tc>
          <w:tcPr>
            <w:tcW w:w="1929" w:type="dxa"/>
            <w:vAlign w:val="center"/>
          </w:tcPr>
          <w:p w14:paraId="50D0E70C">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1</w:t>
            </w:r>
          </w:p>
        </w:tc>
      </w:tr>
      <w:tr w14:paraId="3230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Align w:val="center"/>
          </w:tcPr>
          <w:p w14:paraId="5C9F5888">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60 ＜ U</w:t>
            </w:r>
            <w:r>
              <w:rPr>
                <w:rFonts w:hint="eastAsia" w:cs="Times New Roman"/>
                <w:color w:val="000000"/>
                <w:kern w:val="2"/>
                <w:sz w:val="21"/>
                <w:szCs w:val="21"/>
                <w:vertAlign w:val="subscript"/>
                <w:lang w:val="en-US"/>
              </w:rPr>
              <w:t xml:space="preserve">I </w:t>
            </w:r>
            <w:r>
              <w:rPr>
                <w:rFonts w:hint="eastAsia" w:cs="Times New Roman"/>
                <w:color w:val="000000"/>
                <w:kern w:val="2"/>
                <w:sz w:val="21"/>
                <w:szCs w:val="21"/>
                <w:lang w:val="en-US"/>
              </w:rPr>
              <w:t>≤ 300</w:t>
            </w:r>
          </w:p>
        </w:tc>
        <w:tc>
          <w:tcPr>
            <w:tcW w:w="2966" w:type="dxa"/>
            <w:vAlign w:val="center"/>
          </w:tcPr>
          <w:p w14:paraId="16DFAF48">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500</w:t>
            </w:r>
          </w:p>
        </w:tc>
        <w:tc>
          <w:tcPr>
            <w:tcW w:w="2128" w:type="dxa"/>
            <w:vAlign w:val="center"/>
          </w:tcPr>
          <w:p w14:paraId="7807D4F1">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2.0(2.8)</w:t>
            </w:r>
          </w:p>
        </w:tc>
        <w:tc>
          <w:tcPr>
            <w:tcW w:w="1929" w:type="dxa"/>
            <w:vAlign w:val="center"/>
          </w:tcPr>
          <w:p w14:paraId="4B390F3C">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±2.5</w:t>
            </w:r>
          </w:p>
        </w:tc>
      </w:tr>
      <w:tr w14:paraId="22B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Align w:val="center"/>
          </w:tcPr>
          <w:p w14:paraId="7B2134CB">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300 ＜ U</w:t>
            </w:r>
            <w:r>
              <w:rPr>
                <w:rFonts w:hint="eastAsia" w:cs="Times New Roman"/>
                <w:color w:val="000000"/>
                <w:kern w:val="2"/>
                <w:sz w:val="21"/>
                <w:szCs w:val="21"/>
                <w:vertAlign w:val="subscript"/>
                <w:lang w:val="en-US"/>
              </w:rPr>
              <w:t xml:space="preserve">I </w:t>
            </w:r>
            <w:r>
              <w:rPr>
                <w:rFonts w:hint="eastAsia" w:cs="Times New Roman"/>
                <w:color w:val="000000"/>
                <w:kern w:val="2"/>
                <w:sz w:val="21"/>
                <w:szCs w:val="21"/>
                <w:lang w:val="en-US"/>
              </w:rPr>
              <w:t>≤ 700</w:t>
            </w:r>
          </w:p>
        </w:tc>
        <w:tc>
          <w:tcPr>
            <w:tcW w:w="2966" w:type="dxa"/>
            <w:vAlign w:val="center"/>
          </w:tcPr>
          <w:p w14:paraId="153987BF">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1000</w:t>
            </w:r>
          </w:p>
        </w:tc>
        <w:tc>
          <w:tcPr>
            <w:tcW w:w="2128" w:type="dxa"/>
            <w:vAlign w:val="center"/>
          </w:tcPr>
          <w:p w14:paraId="422A4484">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2.4(3.36)</w:t>
            </w:r>
          </w:p>
        </w:tc>
        <w:tc>
          <w:tcPr>
            <w:tcW w:w="1929" w:type="dxa"/>
            <w:vAlign w:val="center"/>
          </w:tcPr>
          <w:p w14:paraId="33F355D6">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±6</w:t>
            </w:r>
          </w:p>
        </w:tc>
      </w:tr>
      <w:tr w14:paraId="3024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Align w:val="center"/>
          </w:tcPr>
          <w:p w14:paraId="129A9A27">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700 ＜ UI ≤ 950</w:t>
            </w:r>
          </w:p>
        </w:tc>
        <w:tc>
          <w:tcPr>
            <w:tcW w:w="2966" w:type="dxa"/>
            <w:vAlign w:val="center"/>
          </w:tcPr>
          <w:p w14:paraId="26FDF904">
            <w:pPr>
              <w:adjustRightInd w:val="0"/>
              <w:snapToGrid w:val="0"/>
              <w:jc w:val="center"/>
              <w:rPr>
                <w:rFonts w:cs="Times New Roman"/>
                <w:color w:val="000000"/>
                <w:kern w:val="2"/>
                <w:sz w:val="21"/>
                <w:szCs w:val="21"/>
                <w:lang w:val="en-US"/>
              </w:rPr>
            </w:pPr>
            <w:r>
              <w:rPr>
                <w:rFonts w:cs="Times New Roman"/>
                <w:color w:val="000000"/>
                <w:kern w:val="2"/>
                <w:sz w:val="21"/>
                <w:szCs w:val="21"/>
                <w:lang w:val="en-US"/>
              </w:rPr>
              <w:t>1000</w:t>
            </w:r>
          </w:p>
        </w:tc>
        <w:tc>
          <w:tcPr>
            <w:tcW w:w="2128" w:type="dxa"/>
            <w:vAlign w:val="center"/>
          </w:tcPr>
          <w:p w14:paraId="2FF51C93">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2×UI +1.0</w:t>
            </w:r>
          </w:p>
          <w:p w14:paraId="267A23D2">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(2.8×UI +1.4)</w:t>
            </w:r>
          </w:p>
        </w:tc>
        <w:tc>
          <w:tcPr>
            <w:tcW w:w="1929" w:type="dxa"/>
            <w:vAlign w:val="center"/>
          </w:tcPr>
          <w:p w14:paraId="342259CD">
            <w:pPr>
              <w:adjustRightInd w:val="0"/>
              <w:snapToGrid w:val="0"/>
              <w:jc w:val="center"/>
              <w:rPr>
                <w:rFonts w:cs="Times New Roman"/>
                <w:color w:val="000000"/>
                <w:kern w:val="2"/>
                <w:sz w:val="21"/>
                <w:szCs w:val="21"/>
                <w:lang w:val="en-US"/>
              </w:rPr>
            </w:pPr>
            <w:r>
              <w:rPr>
                <w:rFonts w:hint="eastAsia" w:cs="Times New Roman"/>
                <w:color w:val="000000"/>
                <w:kern w:val="2"/>
                <w:sz w:val="21"/>
                <w:szCs w:val="21"/>
                <w:lang w:val="en-US"/>
              </w:rPr>
              <w:t>±6</w:t>
            </w:r>
          </w:p>
        </w:tc>
      </w:tr>
      <w:tr w14:paraId="1D25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8874" w:type="dxa"/>
            <w:gridSpan w:val="4"/>
            <w:vAlign w:val="center"/>
          </w:tcPr>
          <w:p w14:paraId="74E077FE">
            <w:pPr>
              <w:jc w:val="center"/>
              <w:rPr>
                <w:rFonts w:cs="Times New Roman"/>
                <w:color w:val="000000"/>
                <w:kern w:val="2"/>
                <w:sz w:val="21"/>
                <w:szCs w:val="21"/>
                <w:lang w:val="en-US"/>
              </w:rPr>
            </w:pPr>
            <w:r>
              <w:rPr>
                <w:rFonts w:cs="Times New Roman"/>
                <w:color w:val="000000"/>
                <w:kern w:val="2"/>
                <w:sz w:val="21"/>
                <w:szCs w:val="21"/>
                <w:lang w:val="en-US"/>
              </w:rPr>
              <w:t>注：括号内数据为直流介质强度试验值。</w:t>
            </w:r>
          </w:p>
        </w:tc>
      </w:tr>
    </w:tbl>
    <w:p w14:paraId="28E4E80C">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安全要求</w:t>
      </w:r>
    </w:p>
    <w:p w14:paraId="05890F6F">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充电机的安全性要求应满足GB/T 18487.1-2015附录B中对应的描述及技术参数要求。</w:t>
      </w:r>
    </w:p>
    <w:p w14:paraId="2EEDD750">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1）充电机应具备电源输入侧的过压保护和欠压保护。</w:t>
      </w:r>
    </w:p>
    <w:p w14:paraId="1BE502D8">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2</w:t>
      </w:r>
      <w:r>
        <w:rPr>
          <w:rFonts w:hint="eastAsia" w:cs="Times New Roman"/>
          <w:kern w:val="2"/>
          <w:sz w:val="21"/>
          <w:szCs w:val="21"/>
          <w:lang w:val="en-US"/>
        </w:rPr>
        <w:t>）充电机应具备输出过压保护。</w:t>
      </w:r>
    </w:p>
    <w:p w14:paraId="3754490E">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3</w:t>
      </w:r>
      <w:r>
        <w:rPr>
          <w:rFonts w:hint="eastAsia" w:cs="Times New Roman"/>
          <w:kern w:val="2"/>
          <w:sz w:val="21"/>
          <w:szCs w:val="21"/>
          <w:lang w:val="en-US"/>
        </w:rPr>
        <w:t>）充电机应具备输出过电流和短路保护。</w:t>
      </w:r>
    </w:p>
    <w:p w14:paraId="660C16A4">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4</w:t>
      </w:r>
      <w:r>
        <w:rPr>
          <w:rFonts w:hint="eastAsia" w:cs="Times New Roman"/>
          <w:kern w:val="2"/>
          <w:sz w:val="21"/>
          <w:szCs w:val="21"/>
          <w:lang w:val="en-US"/>
        </w:rPr>
        <w:t>）充电机应具备内部过温保护，当内部温度达到保护值时，采取降功率或停止输出。需具备超温断电功能，当温度过高时，可自动切断充电，防止发生高温自燃等意外，保护充电设备及新能源汽车安全</w:t>
      </w:r>
      <w:r>
        <w:rPr>
          <w:rFonts w:cs="Times New Roman"/>
          <w:kern w:val="2"/>
          <w:sz w:val="21"/>
          <w:szCs w:val="21"/>
          <w:lang w:val="en-US"/>
        </w:rPr>
        <w:t>。</w:t>
      </w:r>
    </w:p>
    <w:p w14:paraId="38D829C5">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5）</w:t>
      </w:r>
      <w:r>
        <w:rPr>
          <w:rFonts w:cs="Times New Roman"/>
          <w:kern w:val="2"/>
          <w:sz w:val="21"/>
          <w:szCs w:val="21"/>
          <w:lang w:val="en-US"/>
        </w:rPr>
        <w:t>充电过程中20</w:t>
      </w:r>
      <w:r>
        <w:rPr>
          <w:rFonts w:hint="eastAsia" w:cs="Times New Roman"/>
          <w:kern w:val="2"/>
          <w:sz w:val="21"/>
          <w:szCs w:val="21"/>
          <w:lang w:val="en-US"/>
        </w:rPr>
        <w:t>分钟内</w:t>
      </w:r>
      <w:r>
        <w:rPr>
          <w:rFonts w:cs="Times New Roman"/>
          <w:kern w:val="2"/>
          <w:sz w:val="21"/>
          <w:szCs w:val="21"/>
          <w:lang w:val="en-US"/>
        </w:rPr>
        <w:t>温度升高超过15度保护。</w:t>
      </w:r>
    </w:p>
    <w:p w14:paraId="4703140F">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6）充电机的绝缘检测功能应与车辆绝缘检测功能相配合。</w:t>
      </w:r>
    </w:p>
    <w:p w14:paraId="7B88B2B3">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7</w:t>
      </w:r>
      <w:r>
        <w:rPr>
          <w:rFonts w:hint="eastAsia" w:cs="Times New Roman"/>
          <w:kern w:val="2"/>
          <w:sz w:val="21"/>
          <w:szCs w:val="21"/>
          <w:lang w:val="en-US"/>
        </w:rPr>
        <w:t>）充电过程中当发生下列情况时，充电机应能在100ms内断开直流输出接触器，且直流输出电压应在1s内下降至60V以下。</w:t>
      </w:r>
    </w:p>
    <w:p w14:paraId="555962A3">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启动急停开关；</w:t>
      </w:r>
    </w:p>
    <w:p w14:paraId="080473D4">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控制导引故障。</w:t>
      </w:r>
    </w:p>
    <w:p w14:paraId="55EFF4B4">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8）充电机在启动充电时应人工确认启动。</w:t>
      </w:r>
    </w:p>
    <w:p w14:paraId="69E130EE">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9</w:t>
      </w:r>
      <w:r>
        <w:rPr>
          <w:rFonts w:hint="eastAsia" w:cs="Times New Roman"/>
          <w:kern w:val="2"/>
          <w:sz w:val="21"/>
          <w:szCs w:val="21"/>
          <w:lang w:val="en-US"/>
        </w:rPr>
        <w:t>）充电机应具备限制冲击电流功能，冲击电流不应超过额定输入电流的110%。</w:t>
      </w:r>
    </w:p>
    <w:p w14:paraId="6E1728E1">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10</w:t>
      </w:r>
      <w:r>
        <w:rPr>
          <w:rFonts w:hint="eastAsia" w:cs="Times New Roman"/>
          <w:kern w:val="2"/>
          <w:sz w:val="21"/>
          <w:szCs w:val="21"/>
          <w:lang w:val="en-US"/>
        </w:rPr>
        <w:t>）充电机应具备电池反接保护功能。</w:t>
      </w:r>
    </w:p>
    <w:p w14:paraId="3C895057">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11</w:t>
      </w:r>
      <w:r>
        <w:rPr>
          <w:rFonts w:hint="eastAsia" w:cs="Times New Roman"/>
          <w:kern w:val="2"/>
          <w:sz w:val="21"/>
          <w:szCs w:val="21"/>
          <w:lang w:val="en-US"/>
        </w:rPr>
        <w:t>）充电机在自动充电前，应具有电池电压检测功能。</w:t>
      </w:r>
    </w:p>
    <w:p w14:paraId="47768224">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12</w:t>
      </w:r>
      <w:r>
        <w:rPr>
          <w:rFonts w:hint="eastAsia" w:cs="Times New Roman"/>
          <w:kern w:val="2"/>
          <w:sz w:val="21"/>
          <w:szCs w:val="21"/>
          <w:lang w:val="en-US"/>
        </w:rPr>
        <w:t>）充电机在充电过程中应具有防止充电连接器意外脱落的锁止装置，直流充电时，车辆接口应具有锁止功能，该锁止功能应符合GB/T20234.1的相关要求。车辆插头端应安装机械锁止装置，供电设备应能判断机械锁是否可靠锁止。车辆插头应安装电子锁止装置，电子锁处于锁止位置时，机械锁应无法操作，供电设备应能判断电子锁是否可靠锁止。当机械锁或电子锁未可靠锁止时，供电设备应停止充电或不启动充电。直流充电车辆接口锁止装置工作示例参见GB/T18487.1-2015附录C。</w:t>
      </w:r>
    </w:p>
    <w:p w14:paraId="162AB48A">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1</w:t>
      </w:r>
      <w:r>
        <w:rPr>
          <w:rFonts w:cs="Times New Roman"/>
          <w:kern w:val="2"/>
          <w:sz w:val="21"/>
          <w:szCs w:val="21"/>
          <w:lang w:val="en-US"/>
        </w:rPr>
        <w:t>3</w:t>
      </w:r>
      <w:r>
        <w:rPr>
          <w:rFonts w:hint="eastAsia" w:cs="Times New Roman"/>
          <w:kern w:val="2"/>
          <w:sz w:val="21"/>
          <w:szCs w:val="21"/>
          <w:lang w:val="en-US"/>
        </w:rPr>
        <w:t>）</w:t>
      </w:r>
      <w:r>
        <w:rPr>
          <w:rFonts w:cs="Times New Roman"/>
          <w:kern w:val="2"/>
          <w:sz w:val="21"/>
          <w:szCs w:val="21"/>
          <w:lang w:val="en-US"/>
        </w:rPr>
        <w:t>充电过程中BMS传递的SOC/V/</w:t>
      </w:r>
      <w:r>
        <w:rPr>
          <w:rFonts w:hint="eastAsia" w:cs="Times New Roman"/>
          <w:kern w:val="2"/>
          <w:sz w:val="21"/>
          <w:szCs w:val="21"/>
          <w:lang w:val="en-US"/>
        </w:rPr>
        <w:t>I</w:t>
      </w:r>
      <w:r>
        <w:rPr>
          <w:rFonts w:cs="Times New Roman"/>
          <w:kern w:val="2"/>
          <w:sz w:val="21"/>
          <w:szCs w:val="21"/>
          <w:lang w:val="en-US"/>
        </w:rPr>
        <w:t xml:space="preserve">/Vcell </w:t>
      </w:r>
      <w:r>
        <w:rPr>
          <w:rFonts w:hint="eastAsia" w:cs="Times New Roman"/>
          <w:kern w:val="2"/>
          <w:sz w:val="21"/>
          <w:szCs w:val="21"/>
          <w:lang w:val="en-US"/>
        </w:rPr>
        <w:t>Max</w:t>
      </w:r>
      <w:r>
        <w:rPr>
          <w:rFonts w:cs="Times New Roman"/>
          <w:kern w:val="2"/>
          <w:sz w:val="21"/>
          <w:szCs w:val="21"/>
          <w:lang w:val="en-US"/>
        </w:rPr>
        <w:t>/</w:t>
      </w:r>
      <w:r>
        <w:rPr>
          <w:rFonts w:hint="eastAsia" w:cs="Times New Roman"/>
          <w:kern w:val="2"/>
          <w:sz w:val="21"/>
          <w:szCs w:val="21"/>
          <w:lang w:val="en-US"/>
        </w:rPr>
        <w:t>Tempture</w:t>
      </w:r>
      <w:r>
        <w:rPr>
          <w:rFonts w:cs="Times New Roman"/>
          <w:kern w:val="2"/>
          <w:sz w:val="21"/>
          <w:szCs w:val="21"/>
          <w:lang w:val="en-US"/>
        </w:rPr>
        <w:t>这些信息维持不变超过3分钟保护。</w:t>
      </w:r>
    </w:p>
    <w:p w14:paraId="682566B8">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14</w:t>
      </w:r>
      <w:r>
        <w:rPr>
          <w:rFonts w:hint="eastAsia" w:cs="Times New Roman"/>
          <w:kern w:val="2"/>
          <w:sz w:val="21"/>
          <w:szCs w:val="21"/>
          <w:lang w:val="en-US"/>
        </w:rPr>
        <w:t>）充电机应具备防止电池电流倒灌功能。</w:t>
      </w:r>
    </w:p>
    <w:p w14:paraId="4EC2C3D9">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15</w:t>
      </w:r>
      <w:r>
        <w:rPr>
          <w:rFonts w:hint="eastAsia" w:cs="Times New Roman"/>
          <w:kern w:val="2"/>
          <w:sz w:val="21"/>
          <w:szCs w:val="21"/>
          <w:lang w:val="en-US"/>
        </w:rPr>
        <w:t>）充电机应具备预充电功能。当充电机检测到电动汽车直流接触器闭合后，充电机应检测电池端电压；充电机检测到电池端电压后需进行预充，将功率模块输出电压升到与电池端电压测量值之差小于10V后，方可闭合充电机输出接触器。</w:t>
      </w:r>
    </w:p>
    <w:p w14:paraId="10F4E056">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1</w:t>
      </w:r>
      <w:r>
        <w:rPr>
          <w:rFonts w:cs="Times New Roman"/>
          <w:kern w:val="2"/>
          <w:sz w:val="21"/>
          <w:szCs w:val="21"/>
          <w:lang w:val="en-US"/>
        </w:rPr>
        <w:t>6</w:t>
      </w:r>
      <w:r>
        <w:rPr>
          <w:rFonts w:hint="eastAsia" w:cs="Times New Roman"/>
          <w:kern w:val="2"/>
          <w:sz w:val="21"/>
          <w:szCs w:val="21"/>
          <w:lang w:val="en-US"/>
        </w:rPr>
        <w:t>）充电机在每个充电周期内进行接触器触点烧结检测。当检测到接触器触点出现粘连的情况后，充电机不得继续工作。</w:t>
      </w:r>
    </w:p>
    <w:p w14:paraId="7F32479C">
      <w:pPr>
        <w:overflowPunct w:val="0"/>
        <w:topLinePunct/>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1</w:t>
      </w:r>
      <w:r>
        <w:rPr>
          <w:rFonts w:cs="Times New Roman"/>
          <w:kern w:val="2"/>
          <w:sz w:val="21"/>
          <w:szCs w:val="21"/>
          <w:lang w:val="en-US"/>
        </w:rPr>
        <w:t>7</w:t>
      </w:r>
      <w:r>
        <w:rPr>
          <w:rFonts w:hint="eastAsia" w:cs="Times New Roman"/>
          <w:kern w:val="2"/>
          <w:sz w:val="21"/>
          <w:szCs w:val="21"/>
          <w:lang w:val="en-US"/>
        </w:rPr>
        <w:t>）充电机必须保证充电机输出接触器闭合发生在车辆直流充电接触器闭合之后，其时间间隔不得低于500ms。</w:t>
      </w:r>
    </w:p>
    <w:p w14:paraId="78136CA2">
      <w:pPr>
        <w:overflowPunct w:val="0"/>
        <w:topLinePunct/>
        <w:spacing w:line="400" w:lineRule="exact"/>
        <w:ind w:firstLine="420" w:firstLineChars="200"/>
        <w:jc w:val="both"/>
        <w:rPr>
          <w:rFonts w:cs="Times New Roman"/>
          <w:kern w:val="2"/>
          <w:sz w:val="21"/>
          <w:szCs w:val="21"/>
          <w:lang w:val="en-US"/>
        </w:rPr>
      </w:pPr>
      <w:r>
        <w:rPr>
          <w:rFonts w:cs="Times New Roman"/>
          <w:kern w:val="2"/>
          <w:sz w:val="21"/>
          <w:szCs w:val="21"/>
          <w:lang w:val="en-US"/>
        </w:rPr>
        <w:t>18</w:t>
      </w:r>
      <w:r>
        <w:rPr>
          <w:rFonts w:hint="eastAsia" w:cs="Times New Roman"/>
          <w:kern w:val="2"/>
          <w:sz w:val="21"/>
          <w:szCs w:val="21"/>
          <w:lang w:val="en-US"/>
        </w:rPr>
        <w:t>）充电机在充电停止状态下，应保证直流输出回路处于断开状态。</w:t>
      </w:r>
    </w:p>
    <w:p w14:paraId="007A4846">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温升</w:t>
      </w:r>
    </w:p>
    <w:p w14:paraId="61C0776D">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正常试验条件下，交流输入为额定值，在额定负载下长期连续运行，充电机内部各发热元器件及各部位的温升不应超过中的规定。</w:t>
      </w:r>
    </w:p>
    <w:p w14:paraId="6AC3E2CD">
      <w:pPr>
        <w:widowControl/>
        <w:spacing w:line="400" w:lineRule="exact"/>
        <w:jc w:val="center"/>
        <w:rPr>
          <w:rFonts w:cs="Times New Roman"/>
          <w:color w:val="000000"/>
          <w:sz w:val="21"/>
          <w:szCs w:val="21"/>
          <w:lang w:val="en-US"/>
        </w:rPr>
      </w:pPr>
      <w:r>
        <w:rPr>
          <w:rFonts w:hint="eastAsia" w:cs="Times New Roman"/>
          <w:color w:val="000000"/>
          <w:sz w:val="21"/>
          <w:szCs w:val="21"/>
          <w:lang w:val="en-US"/>
        </w:rPr>
        <w:t>充电机各部件极限温升</w:t>
      </w:r>
    </w:p>
    <w:tbl>
      <w:tblPr>
        <w:tblStyle w:val="50"/>
        <w:tblW w:w="8976" w:type="dxa"/>
        <w:jc w:val="center"/>
        <w:tblLayout w:type="fixed"/>
        <w:tblCellMar>
          <w:top w:w="0" w:type="dxa"/>
          <w:left w:w="108" w:type="dxa"/>
          <w:bottom w:w="0" w:type="dxa"/>
          <w:right w:w="108" w:type="dxa"/>
        </w:tblCellMar>
      </w:tblPr>
      <w:tblGrid>
        <w:gridCol w:w="4793"/>
        <w:gridCol w:w="4183"/>
      </w:tblGrid>
      <w:tr w14:paraId="1A938E77">
        <w:tblPrEx>
          <w:tblCellMar>
            <w:top w:w="0" w:type="dxa"/>
            <w:left w:w="108" w:type="dxa"/>
            <w:bottom w:w="0" w:type="dxa"/>
            <w:right w:w="108" w:type="dxa"/>
          </w:tblCellMar>
        </w:tblPrEx>
        <w:trPr>
          <w:trHeight w:val="124"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34098BCD">
            <w:pPr>
              <w:adjustRightInd w:val="0"/>
              <w:jc w:val="center"/>
              <w:rPr>
                <w:rFonts w:cs="Times New Roman"/>
                <w:color w:val="000000"/>
                <w:kern w:val="2"/>
                <w:sz w:val="21"/>
                <w:szCs w:val="21"/>
                <w:lang w:val="en-US"/>
              </w:rPr>
            </w:pPr>
            <w:r>
              <w:rPr>
                <w:rFonts w:cs="Times New Roman"/>
                <w:color w:val="000000"/>
                <w:kern w:val="2"/>
                <w:sz w:val="21"/>
                <w:szCs w:val="21"/>
                <w:lang w:val="en-US"/>
              </w:rPr>
              <w:t>部 件 或 器 件</w:t>
            </w:r>
          </w:p>
        </w:tc>
        <w:tc>
          <w:tcPr>
            <w:tcW w:w="4183" w:type="dxa"/>
            <w:tcBorders>
              <w:top w:val="single" w:color="000000" w:sz="8" w:space="0"/>
              <w:left w:val="single" w:color="000000" w:sz="8" w:space="0"/>
              <w:bottom w:val="single" w:color="000000" w:sz="8" w:space="0"/>
              <w:right w:val="single" w:color="000000" w:sz="8" w:space="0"/>
            </w:tcBorders>
            <w:vAlign w:val="center"/>
          </w:tcPr>
          <w:p w14:paraId="4044E5AB">
            <w:pPr>
              <w:adjustRightInd w:val="0"/>
              <w:jc w:val="center"/>
              <w:rPr>
                <w:rFonts w:cs="Times New Roman"/>
                <w:color w:val="000000"/>
                <w:kern w:val="2"/>
                <w:sz w:val="21"/>
                <w:szCs w:val="21"/>
                <w:lang w:val="en-US"/>
              </w:rPr>
            </w:pPr>
            <w:r>
              <w:rPr>
                <w:rFonts w:cs="Times New Roman"/>
                <w:color w:val="000000"/>
                <w:kern w:val="2"/>
                <w:sz w:val="21"/>
                <w:szCs w:val="21"/>
                <w:lang w:val="en-US"/>
              </w:rPr>
              <w:t>极 限 温 升（K）</w:t>
            </w:r>
          </w:p>
        </w:tc>
      </w:tr>
      <w:tr w14:paraId="29D65B61">
        <w:tblPrEx>
          <w:tblCellMar>
            <w:top w:w="0" w:type="dxa"/>
            <w:left w:w="108" w:type="dxa"/>
            <w:bottom w:w="0" w:type="dxa"/>
            <w:right w:w="108" w:type="dxa"/>
          </w:tblCellMar>
        </w:tblPrEx>
        <w:trPr>
          <w:trHeight w:val="186"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5501264E">
            <w:pPr>
              <w:adjustRightInd w:val="0"/>
              <w:jc w:val="center"/>
              <w:rPr>
                <w:rFonts w:cs="Times New Roman"/>
                <w:color w:val="000000"/>
                <w:kern w:val="2"/>
                <w:sz w:val="21"/>
                <w:szCs w:val="21"/>
                <w:lang w:val="en-US"/>
              </w:rPr>
            </w:pPr>
            <w:r>
              <w:rPr>
                <w:rFonts w:cs="Times New Roman"/>
                <w:color w:val="000000"/>
                <w:kern w:val="2"/>
                <w:sz w:val="21"/>
                <w:szCs w:val="21"/>
                <w:lang w:val="en-US"/>
              </w:rPr>
              <w:t>功率开关器件</w:t>
            </w:r>
          </w:p>
        </w:tc>
        <w:tc>
          <w:tcPr>
            <w:tcW w:w="4183" w:type="dxa"/>
            <w:tcBorders>
              <w:top w:val="single" w:color="000000" w:sz="8" w:space="0"/>
              <w:left w:val="single" w:color="000000" w:sz="8" w:space="0"/>
              <w:bottom w:val="single" w:color="000000" w:sz="8" w:space="0"/>
              <w:right w:val="single" w:color="000000" w:sz="8" w:space="0"/>
            </w:tcBorders>
            <w:vAlign w:val="center"/>
          </w:tcPr>
          <w:p w14:paraId="185F470B">
            <w:pPr>
              <w:adjustRightInd w:val="0"/>
              <w:jc w:val="center"/>
              <w:rPr>
                <w:rFonts w:cs="Times New Roman"/>
                <w:color w:val="000000"/>
                <w:kern w:val="2"/>
                <w:sz w:val="21"/>
                <w:szCs w:val="21"/>
                <w:lang w:val="en-US"/>
              </w:rPr>
            </w:pPr>
            <w:r>
              <w:rPr>
                <w:rFonts w:cs="Times New Roman"/>
                <w:color w:val="000000"/>
                <w:kern w:val="2"/>
                <w:sz w:val="21"/>
                <w:szCs w:val="21"/>
                <w:lang w:val="en-US"/>
              </w:rPr>
              <w:t>70</w:t>
            </w:r>
          </w:p>
        </w:tc>
      </w:tr>
      <w:tr w14:paraId="16A68557">
        <w:tblPrEx>
          <w:tblCellMar>
            <w:top w:w="0" w:type="dxa"/>
            <w:left w:w="108" w:type="dxa"/>
            <w:bottom w:w="0" w:type="dxa"/>
            <w:right w:w="108" w:type="dxa"/>
          </w:tblCellMar>
        </w:tblPrEx>
        <w:trPr>
          <w:trHeight w:val="211"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786CF6DD">
            <w:pPr>
              <w:adjustRightInd w:val="0"/>
              <w:jc w:val="center"/>
              <w:rPr>
                <w:rFonts w:cs="Times New Roman"/>
                <w:color w:val="000000"/>
                <w:kern w:val="2"/>
                <w:sz w:val="21"/>
                <w:szCs w:val="21"/>
                <w:lang w:val="en-US"/>
              </w:rPr>
            </w:pPr>
            <w:r>
              <w:rPr>
                <w:rFonts w:cs="Times New Roman"/>
                <w:color w:val="000000"/>
                <w:kern w:val="2"/>
                <w:sz w:val="21"/>
                <w:szCs w:val="21"/>
                <w:lang w:val="en-US"/>
              </w:rPr>
              <w:t>整流变压器、电抗器（B级绝缘绕组）</w:t>
            </w:r>
          </w:p>
        </w:tc>
        <w:tc>
          <w:tcPr>
            <w:tcW w:w="4183" w:type="dxa"/>
            <w:tcBorders>
              <w:top w:val="single" w:color="000000" w:sz="8" w:space="0"/>
              <w:left w:val="single" w:color="000000" w:sz="8" w:space="0"/>
              <w:bottom w:val="single" w:color="000000" w:sz="8" w:space="0"/>
              <w:right w:val="single" w:color="000000" w:sz="8" w:space="0"/>
            </w:tcBorders>
            <w:vAlign w:val="center"/>
          </w:tcPr>
          <w:p w14:paraId="2F81AC00">
            <w:pPr>
              <w:adjustRightInd w:val="0"/>
              <w:jc w:val="center"/>
              <w:rPr>
                <w:rFonts w:cs="Times New Roman"/>
                <w:color w:val="000000"/>
                <w:kern w:val="2"/>
                <w:sz w:val="21"/>
                <w:szCs w:val="21"/>
                <w:lang w:val="en-US"/>
              </w:rPr>
            </w:pPr>
            <w:r>
              <w:rPr>
                <w:rFonts w:cs="Times New Roman"/>
                <w:color w:val="000000"/>
                <w:kern w:val="2"/>
                <w:sz w:val="21"/>
                <w:szCs w:val="21"/>
                <w:lang w:val="en-US"/>
              </w:rPr>
              <w:t>80</w:t>
            </w:r>
          </w:p>
        </w:tc>
      </w:tr>
      <w:tr w14:paraId="4A18FFE8">
        <w:tblPrEx>
          <w:tblCellMar>
            <w:top w:w="0" w:type="dxa"/>
            <w:left w:w="108" w:type="dxa"/>
            <w:bottom w:w="0" w:type="dxa"/>
            <w:right w:w="108" w:type="dxa"/>
          </w:tblCellMar>
        </w:tblPrEx>
        <w:trPr>
          <w:trHeight w:val="161"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3B65F807">
            <w:pPr>
              <w:adjustRightInd w:val="0"/>
              <w:jc w:val="center"/>
              <w:rPr>
                <w:rFonts w:cs="Times New Roman"/>
                <w:color w:val="000000"/>
                <w:kern w:val="2"/>
                <w:sz w:val="21"/>
                <w:szCs w:val="21"/>
                <w:lang w:val="en-US"/>
              </w:rPr>
            </w:pPr>
            <w:r>
              <w:rPr>
                <w:rFonts w:cs="Times New Roman"/>
                <w:color w:val="000000"/>
                <w:kern w:val="2"/>
                <w:sz w:val="21"/>
                <w:szCs w:val="21"/>
                <w:lang w:val="en-US"/>
              </w:rPr>
              <w:t>与半导体器件的连接处</w:t>
            </w:r>
          </w:p>
        </w:tc>
        <w:tc>
          <w:tcPr>
            <w:tcW w:w="4183" w:type="dxa"/>
            <w:tcBorders>
              <w:top w:val="single" w:color="000000" w:sz="8" w:space="0"/>
              <w:left w:val="single" w:color="000000" w:sz="8" w:space="0"/>
              <w:bottom w:val="single" w:color="000000" w:sz="8" w:space="0"/>
              <w:right w:val="single" w:color="000000" w:sz="8" w:space="0"/>
            </w:tcBorders>
            <w:vAlign w:val="center"/>
          </w:tcPr>
          <w:p w14:paraId="6806FAE2">
            <w:pPr>
              <w:adjustRightInd w:val="0"/>
              <w:jc w:val="center"/>
              <w:rPr>
                <w:rFonts w:cs="Times New Roman"/>
                <w:color w:val="000000"/>
                <w:kern w:val="2"/>
                <w:sz w:val="21"/>
                <w:szCs w:val="21"/>
                <w:lang w:val="en-US"/>
              </w:rPr>
            </w:pPr>
            <w:r>
              <w:rPr>
                <w:rFonts w:cs="Times New Roman"/>
                <w:color w:val="000000"/>
                <w:kern w:val="2"/>
                <w:sz w:val="21"/>
                <w:szCs w:val="21"/>
                <w:lang w:val="en-US"/>
              </w:rPr>
              <w:t>55</w:t>
            </w:r>
          </w:p>
        </w:tc>
      </w:tr>
      <w:tr w14:paraId="07F25644">
        <w:tblPrEx>
          <w:tblCellMar>
            <w:top w:w="0" w:type="dxa"/>
            <w:left w:w="108" w:type="dxa"/>
            <w:bottom w:w="0" w:type="dxa"/>
            <w:right w:w="108" w:type="dxa"/>
          </w:tblCellMar>
        </w:tblPrEx>
        <w:trPr>
          <w:trHeight w:val="111"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731ABEC2">
            <w:pPr>
              <w:adjustRightInd w:val="0"/>
              <w:jc w:val="center"/>
              <w:rPr>
                <w:rFonts w:cs="Times New Roman"/>
                <w:color w:val="000000"/>
                <w:kern w:val="2"/>
                <w:sz w:val="21"/>
                <w:szCs w:val="21"/>
                <w:lang w:val="en-US"/>
              </w:rPr>
            </w:pPr>
            <w:r>
              <w:rPr>
                <w:rFonts w:cs="Times New Roman"/>
                <w:color w:val="000000"/>
                <w:kern w:val="2"/>
                <w:sz w:val="21"/>
                <w:szCs w:val="21"/>
                <w:lang w:val="en-US"/>
              </w:rPr>
              <w:t>与半导体器件的连接处的塑料绝缘线</w:t>
            </w:r>
          </w:p>
        </w:tc>
        <w:tc>
          <w:tcPr>
            <w:tcW w:w="4183" w:type="dxa"/>
            <w:tcBorders>
              <w:top w:val="single" w:color="000000" w:sz="8" w:space="0"/>
              <w:left w:val="single" w:color="000000" w:sz="8" w:space="0"/>
              <w:bottom w:val="single" w:color="000000" w:sz="8" w:space="0"/>
              <w:right w:val="single" w:color="000000" w:sz="8" w:space="0"/>
            </w:tcBorders>
            <w:vAlign w:val="center"/>
          </w:tcPr>
          <w:p w14:paraId="5BD62553">
            <w:pPr>
              <w:adjustRightInd w:val="0"/>
              <w:jc w:val="center"/>
              <w:rPr>
                <w:rFonts w:cs="Times New Roman"/>
                <w:color w:val="000000"/>
                <w:kern w:val="2"/>
                <w:sz w:val="21"/>
                <w:szCs w:val="21"/>
                <w:lang w:val="en-US"/>
              </w:rPr>
            </w:pPr>
            <w:r>
              <w:rPr>
                <w:rFonts w:cs="Times New Roman"/>
                <w:color w:val="000000"/>
                <w:kern w:val="2"/>
                <w:sz w:val="21"/>
                <w:szCs w:val="21"/>
                <w:lang w:val="en-US"/>
              </w:rPr>
              <w:t>25</w:t>
            </w:r>
          </w:p>
        </w:tc>
      </w:tr>
      <w:tr w14:paraId="493B51D0">
        <w:tblPrEx>
          <w:tblCellMar>
            <w:top w:w="0" w:type="dxa"/>
            <w:left w:w="108" w:type="dxa"/>
            <w:bottom w:w="0" w:type="dxa"/>
            <w:right w:w="108" w:type="dxa"/>
          </w:tblCellMar>
        </w:tblPrEx>
        <w:trPr>
          <w:trHeight w:val="644" w:hRule="atLeast"/>
          <w:jc w:val="center"/>
        </w:trPr>
        <w:tc>
          <w:tcPr>
            <w:tcW w:w="4793" w:type="dxa"/>
            <w:tcBorders>
              <w:top w:val="single" w:color="000000" w:sz="8" w:space="0"/>
              <w:left w:val="single" w:color="000000" w:sz="8" w:space="0"/>
              <w:bottom w:val="single" w:color="000000" w:sz="8" w:space="0"/>
              <w:right w:val="single" w:color="000000" w:sz="8" w:space="0"/>
            </w:tcBorders>
            <w:vAlign w:val="center"/>
          </w:tcPr>
          <w:p w14:paraId="691A1748">
            <w:pPr>
              <w:adjustRightInd w:val="0"/>
              <w:jc w:val="center"/>
              <w:rPr>
                <w:rFonts w:cs="Times New Roman"/>
                <w:color w:val="000000"/>
                <w:kern w:val="2"/>
                <w:sz w:val="21"/>
                <w:szCs w:val="21"/>
                <w:lang w:val="en-US"/>
              </w:rPr>
            </w:pPr>
            <w:r>
              <w:rPr>
                <w:rFonts w:cs="Times New Roman"/>
                <w:color w:val="000000"/>
                <w:kern w:val="2"/>
                <w:sz w:val="21"/>
                <w:szCs w:val="21"/>
                <w:lang w:val="en-US"/>
              </w:rPr>
              <w:t>母线连接处</w:t>
            </w:r>
          </w:p>
          <w:p w14:paraId="0B4E95C6">
            <w:pPr>
              <w:adjustRightInd w:val="0"/>
              <w:jc w:val="center"/>
              <w:rPr>
                <w:rFonts w:cs="Times New Roman"/>
                <w:color w:val="000000"/>
                <w:kern w:val="2"/>
                <w:sz w:val="21"/>
                <w:szCs w:val="21"/>
                <w:lang w:val="en-US"/>
              </w:rPr>
            </w:pPr>
            <w:r>
              <w:rPr>
                <w:rFonts w:cs="Times New Roman"/>
                <w:color w:val="000000"/>
                <w:kern w:val="2"/>
                <w:sz w:val="21"/>
                <w:szCs w:val="21"/>
                <w:lang w:val="en-US"/>
              </w:rPr>
              <w:t>铜与铜</w:t>
            </w:r>
          </w:p>
          <w:p w14:paraId="57AFD32F">
            <w:pPr>
              <w:adjustRightInd w:val="0"/>
              <w:jc w:val="center"/>
              <w:rPr>
                <w:rFonts w:cs="Times New Roman"/>
                <w:color w:val="000000"/>
                <w:kern w:val="2"/>
                <w:sz w:val="21"/>
                <w:szCs w:val="21"/>
                <w:lang w:val="en-US"/>
              </w:rPr>
            </w:pPr>
            <w:r>
              <w:rPr>
                <w:rFonts w:cs="Times New Roman"/>
                <w:color w:val="000000"/>
                <w:kern w:val="2"/>
                <w:sz w:val="21"/>
                <w:szCs w:val="21"/>
                <w:lang w:val="en-US"/>
              </w:rPr>
              <w:t>铜搪锡——铜搪锡</w:t>
            </w:r>
          </w:p>
        </w:tc>
        <w:tc>
          <w:tcPr>
            <w:tcW w:w="4183" w:type="dxa"/>
            <w:tcBorders>
              <w:top w:val="single" w:color="000000" w:sz="8" w:space="0"/>
              <w:left w:val="single" w:color="000000" w:sz="8" w:space="0"/>
              <w:bottom w:val="single" w:color="000000" w:sz="8" w:space="0"/>
              <w:right w:val="single" w:color="000000" w:sz="8" w:space="0"/>
            </w:tcBorders>
            <w:vAlign w:val="center"/>
          </w:tcPr>
          <w:p w14:paraId="18C8EF5C">
            <w:pPr>
              <w:adjustRightInd w:val="0"/>
              <w:jc w:val="center"/>
              <w:rPr>
                <w:rFonts w:cs="Times New Roman"/>
                <w:color w:val="000000"/>
                <w:kern w:val="2"/>
                <w:sz w:val="21"/>
                <w:szCs w:val="21"/>
                <w:lang w:val="en-US"/>
              </w:rPr>
            </w:pPr>
          </w:p>
          <w:p w14:paraId="0A80F5EB">
            <w:pPr>
              <w:adjustRightInd w:val="0"/>
              <w:jc w:val="center"/>
              <w:rPr>
                <w:rFonts w:cs="Times New Roman"/>
                <w:color w:val="000000"/>
                <w:kern w:val="2"/>
                <w:sz w:val="21"/>
                <w:szCs w:val="21"/>
                <w:lang w:val="en-US"/>
              </w:rPr>
            </w:pPr>
            <w:r>
              <w:rPr>
                <w:rFonts w:cs="Times New Roman"/>
                <w:color w:val="000000"/>
                <w:kern w:val="2"/>
                <w:sz w:val="21"/>
                <w:szCs w:val="21"/>
                <w:lang w:val="en-US"/>
              </w:rPr>
              <w:t>50</w:t>
            </w:r>
          </w:p>
          <w:p w14:paraId="419652FD">
            <w:pPr>
              <w:adjustRightInd w:val="0"/>
              <w:jc w:val="center"/>
              <w:rPr>
                <w:rFonts w:cs="Times New Roman"/>
                <w:color w:val="000000"/>
                <w:kern w:val="2"/>
                <w:sz w:val="21"/>
                <w:szCs w:val="21"/>
                <w:lang w:val="en-US"/>
              </w:rPr>
            </w:pPr>
            <w:r>
              <w:rPr>
                <w:rFonts w:cs="Times New Roman"/>
                <w:color w:val="000000"/>
                <w:kern w:val="2"/>
                <w:sz w:val="21"/>
                <w:szCs w:val="21"/>
                <w:lang w:val="en-US"/>
              </w:rPr>
              <w:t>60</w:t>
            </w:r>
          </w:p>
        </w:tc>
      </w:tr>
    </w:tbl>
    <w:p w14:paraId="6914EC22">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高低温和湿热性能</w:t>
      </w:r>
    </w:p>
    <w:p w14:paraId="191ADE85">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低温性能</w:t>
      </w:r>
    </w:p>
    <w:p w14:paraId="74FAF4BF">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试验温度为规定的下限值，待达到试验温度后启动充电机，充电机应能正常工作。测试充电机的稳压精度应</w:t>
      </w:r>
      <w:r>
        <w:rPr>
          <w:rFonts w:hint="eastAsia" w:cs="Times New Roman"/>
          <w:caps/>
          <w:color w:val="000000"/>
          <w:sz w:val="21"/>
          <w:szCs w:val="21"/>
          <w:lang w:val="en-US"/>
        </w:rPr>
        <w:t>不超过±</w:t>
      </w:r>
      <w:r>
        <w:rPr>
          <w:rFonts w:cs="Times New Roman"/>
          <w:caps/>
          <w:color w:val="000000"/>
          <w:sz w:val="21"/>
          <w:szCs w:val="21"/>
          <w:lang w:val="en-US"/>
        </w:rPr>
        <w:t>0.5%。</w:t>
      </w:r>
    </w:p>
    <w:p w14:paraId="682E144C">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高温性能</w:t>
      </w:r>
    </w:p>
    <w:p w14:paraId="5F7CB91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试验温度为规定的上限值，待达到试验温度后启动充电机，充电机应能正常工作。测试充电机的稳</w:t>
      </w:r>
      <w:r>
        <w:rPr>
          <w:rFonts w:cs="Times New Roman"/>
          <w:caps/>
          <w:color w:val="000000"/>
          <w:sz w:val="21"/>
          <w:szCs w:val="21"/>
          <w:lang w:val="en-US"/>
        </w:rPr>
        <w:t>压</w:t>
      </w:r>
      <w:r>
        <w:rPr>
          <w:rFonts w:hint="eastAsia" w:cs="Times New Roman"/>
          <w:caps/>
          <w:color w:val="000000"/>
          <w:sz w:val="21"/>
          <w:szCs w:val="21"/>
          <w:lang w:val="en-US"/>
        </w:rPr>
        <w:t>精度应不超过±</w:t>
      </w:r>
      <w:r>
        <w:rPr>
          <w:rFonts w:cs="Times New Roman"/>
          <w:caps/>
          <w:color w:val="000000"/>
          <w:sz w:val="21"/>
          <w:szCs w:val="21"/>
          <w:lang w:val="en-US"/>
        </w:rPr>
        <w:t>0.5%</w:t>
      </w:r>
      <w:r>
        <w:rPr>
          <w:rFonts w:hint="eastAsia" w:cs="Times New Roman"/>
          <w:caps/>
          <w:color w:val="000000"/>
          <w:sz w:val="21"/>
          <w:szCs w:val="21"/>
          <w:lang w:val="en-US"/>
        </w:rPr>
        <w:t>。</w:t>
      </w:r>
    </w:p>
    <w:p w14:paraId="103B5434">
      <w:pPr>
        <w:keepNext/>
        <w:keepLines/>
        <w:spacing w:line="400" w:lineRule="exact"/>
        <w:jc w:val="both"/>
        <w:outlineLvl w:val="3"/>
        <w:rPr>
          <w:rFonts w:cs="Times New Roman"/>
          <w:b/>
          <w:bCs/>
          <w:color w:val="000000"/>
          <w:kern w:val="2"/>
          <w:sz w:val="21"/>
          <w:szCs w:val="21"/>
          <w:lang w:val="en-US"/>
        </w:rPr>
      </w:pPr>
      <w:r>
        <w:rPr>
          <w:rFonts w:hint="eastAsia" w:cs="Times New Roman"/>
          <w:b/>
          <w:bCs/>
          <w:color w:val="000000"/>
          <w:kern w:val="2"/>
          <w:sz w:val="21"/>
          <w:szCs w:val="21"/>
          <w:lang w:val="en-US"/>
        </w:rPr>
        <w:t>湿热性能</w:t>
      </w:r>
    </w:p>
    <w:p w14:paraId="76FAE128">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按GB/T 2423.4-2008中试验Db规定的方法进行试验，试验温度为（40±2）</w:t>
      </w:r>
      <w:r>
        <w:rPr>
          <w:rFonts w:hint="eastAsia" w:cs="Times New Roman"/>
          <w:caps/>
          <w:color w:val="000000"/>
          <w:sz w:val="21"/>
          <w:szCs w:val="21"/>
          <w:lang w:val="en-US"/>
        </w:rPr>
        <w:t>℃</w:t>
      </w:r>
      <w:r>
        <w:rPr>
          <w:rFonts w:cs="Times New Roman"/>
          <w:caps/>
          <w:color w:val="000000"/>
          <w:sz w:val="21"/>
          <w:szCs w:val="21"/>
          <w:lang w:val="en-US"/>
        </w:rPr>
        <w:t>，循环次数为2次，在试验结束前2h进行绝缘电阻和介电强度检测，其中绝缘电阻不应小于1MΩ，介电强度按规定值的75％施加测量电压。试验结束后，恢复至正常大气条件，通电后检查充电机各项功能应正常。</w:t>
      </w:r>
    </w:p>
    <w:p w14:paraId="1B1DB17B">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机械强度</w:t>
      </w:r>
    </w:p>
    <w:p w14:paraId="00895FFA">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按GB/T 2423.55-2006规定的方法进行试验，剧烈冲击能量为20J（5kg，在0.4m）。试验结束后，充电机的IP等级不受影响，绝缘性能不应降低，门的操作和锁止点不应损坏。</w:t>
      </w:r>
    </w:p>
    <w:p w14:paraId="4F748366">
      <w:pPr>
        <w:keepNext/>
        <w:keepLines/>
        <w:spacing w:line="400" w:lineRule="exact"/>
        <w:jc w:val="both"/>
        <w:outlineLvl w:val="2"/>
        <w:rPr>
          <w:rFonts w:cs="Times New Roman"/>
          <w:b/>
          <w:bCs/>
          <w:color w:val="000000"/>
          <w:kern w:val="2"/>
          <w:sz w:val="21"/>
          <w:szCs w:val="21"/>
          <w:lang w:val="en-US"/>
        </w:rPr>
      </w:pPr>
      <w:r>
        <w:rPr>
          <w:rFonts w:hint="eastAsia" w:cs="Times New Roman"/>
          <w:b/>
          <w:bCs/>
          <w:color w:val="000000"/>
          <w:kern w:val="2"/>
          <w:sz w:val="21"/>
          <w:szCs w:val="21"/>
          <w:lang w:val="en-US"/>
        </w:rPr>
        <w:t>充电输出参数</w:t>
      </w:r>
      <w:r>
        <w:rPr>
          <w:rFonts w:cs="Times New Roman"/>
          <w:b/>
          <w:bCs/>
          <w:color w:val="000000"/>
          <w:kern w:val="2"/>
          <w:sz w:val="21"/>
          <w:szCs w:val="21"/>
          <w:lang w:val="en-US"/>
        </w:rPr>
        <w:t>、</w:t>
      </w:r>
      <w:r>
        <w:rPr>
          <w:rFonts w:hint="eastAsia" w:cs="Times New Roman"/>
          <w:b/>
          <w:bCs/>
          <w:color w:val="000000"/>
          <w:kern w:val="2"/>
          <w:sz w:val="21"/>
          <w:szCs w:val="21"/>
          <w:lang w:val="en-US"/>
        </w:rPr>
        <w:t>电磁</w:t>
      </w:r>
      <w:r>
        <w:rPr>
          <w:rFonts w:cs="Times New Roman"/>
          <w:b/>
          <w:bCs/>
          <w:color w:val="000000"/>
          <w:kern w:val="2"/>
          <w:sz w:val="21"/>
          <w:szCs w:val="21"/>
          <w:lang w:val="en-US"/>
        </w:rPr>
        <w:t>兼容、</w:t>
      </w:r>
      <w:r>
        <w:rPr>
          <w:rFonts w:hint="eastAsia" w:cs="Times New Roman"/>
          <w:b/>
          <w:bCs/>
          <w:color w:val="000000"/>
          <w:kern w:val="2"/>
          <w:sz w:val="21"/>
          <w:szCs w:val="21"/>
          <w:lang w:val="en-US"/>
        </w:rPr>
        <w:t>可靠性</w:t>
      </w:r>
      <w:r>
        <w:rPr>
          <w:rFonts w:cs="Times New Roman"/>
          <w:b/>
          <w:bCs/>
          <w:color w:val="000000"/>
          <w:kern w:val="2"/>
          <w:sz w:val="21"/>
          <w:szCs w:val="21"/>
          <w:lang w:val="en-US"/>
        </w:rPr>
        <w:t>要求</w:t>
      </w:r>
    </w:p>
    <w:tbl>
      <w:tblPr>
        <w:tblStyle w:val="50"/>
        <w:tblW w:w="8971" w:type="dxa"/>
        <w:tblInd w:w="0" w:type="dxa"/>
        <w:tblLayout w:type="fixed"/>
        <w:tblCellMar>
          <w:top w:w="0" w:type="dxa"/>
          <w:left w:w="108" w:type="dxa"/>
          <w:bottom w:w="0" w:type="dxa"/>
          <w:right w:w="108" w:type="dxa"/>
        </w:tblCellMar>
      </w:tblPr>
      <w:tblGrid>
        <w:gridCol w:w="649"/>
        <w:gridCol w:w="745"/>
        <w:gridCol w:w="2527"/>
        <w:gridCol w:w="1543"/>
        <w:gridCol w:w="3507"/>
      </w:tblGrid>
      <w:tr w14:paraId="41437A29">
        <w:tblPrEx>
          <w:tblCellMar>
            <w:top w:w="0" w:type="dxa"/>
            <w:left w:w="108" w:type="dxa"/>
            <w:bottom w:w="0" w:type="dxa"/>
            <w:right w:w="108" w:type="dxa"/>
          </w:tblCellMar>
        </w:tblPrEx>
        <w:trPr>
          <w:trHeight w:val="634" w:hRule="atLeast"/>
          <w:tblHeader/>
        </w:trPr>
        <w:tc>
          <w:tcPr>
            <w:tcW w:w="649" w:type="dxa"/>
            <w:tcBorders>
              <w:top w:val="single" w:color="auto" w:sz="4" w:space="0"/>
              <w:left w:val="single" w:color="auto" w:sz="4" w:space="0"/>
              <w:bottom w:val="single" w:color="auto" w:sz="4" w:space="0"/>
              <w:right w:val="single" w:color="auto" w:sz="4" w:space="0"/>
            </w:tcBorders>
            <w:vAlign w:val="center"/>
          </w:tcPr>
          <w:p w14:paraId="4B4844DB">
            <w:pPr>
              <w:widowControl/>
              <w:jc w:val="center"/>
              <w:rPr>
                <w:b/>
                <w:bCs/>
                <w:color w:val="000000"/>
                <w:kern w:val="2"/>
                <w:sz w:val="21"/>
                <w:szCs w:val="21"/>
                <w:lang w:val="en-US"/>
              </w:rPr>
            </w:pPr>
            <w:r>
              <w:rPr>
                <w:rFonts w:hint="eastAsia"/>
                <w:b/>
                <w:bCs/>
                <w:color w:val="000000"/>
                <w:kern w:val="2"/>
                <w:sz w:val="21"/>
                <w:szCs w:val="21"/>
                <w:lang w:val="en-US"/>
              </w:rPr>
              <w:t>序号</w:t>
            </w:r>
          </w:p>
        </w:tc>
        <w:tc>
          <w:tcPr>
            <w:tcW w:w="745" w:type="dxa"/>
            <w:tcBorders>
              <w:top w:val="single" w:color="auto" w:sz="4" w:space="0"/>
              <w:left w:val="nil"/>
              <w:bottom w:val="single" w:color="auto" w:sz="4" w:space="0"/>
              <w:right w:val="single" w:color="auto" w:sz="4" w:space="0"/>
            </w:tcBorders>
            <w:vAlign w:val="center"/>
          </w:tcPr>
          <w:p w14:paraId="5163A3D4">
            <w:pPr>
              <w:widowControl/>
              <w:jc w:val="center"/>
              <w:rPr>
                <w:b/>
                <w:bCs/>
                <w:color w:val="000000"/>
                <w:kern w:val="2"/>
                <w:sz w:val="21"/>
                <w:szCs w:val="21"/>
                <w:lang w:val="en-US"/>
              </w:rPr>
            </w:pPr>
            <w:r>
              <w:rPr>
                <w:rFonts w:hint="eastAsia"/>
                <w:b/>
                <w:bCs/>
                <w:color w:val="000000"/>
                <w:kern w:val="2"/>
                <w:sz w:val="21"/>
                <w:szCs w:val="21"/>
                <w:lang w:val="en-US"/>
              </w:rPr>
              <w:t>名称</w:t>
            </w:r>
          </w:p>
        </w:tc>
        <w:tc>
          <w:tcPr>
            <w:tcW w:w="2527" w:type="dxa"/>
            <w:tcBorders>
              <w:top w:val="single" w:color="auto" w:sz="4" w:space="0"/>
              <w:left w:val="nil"/>
              <w:bottom w:val="single" w:color="auto" w:sz="4" w:space="0"/>
              <w:right w:val="single" w:color="auto" w:sz="4" w:space="0"/>
            </w:tcBorders>
            <w:vAlign w:val="center"/>
          </w:tcPr>
          <w:p w14:paraId="7809CE71">
            <w:pPr>
              <w:widowControl/>
              <w:jc w:val="center"/>
              <w:rPr>
                <w:b/>
                <w:bCs/>
                <w:color w:val="000000"/>
                <w:kern w:val="2"/>
                <w:sz w:val="21"/>
                <w:szCs w:val="21"/>
                <w:lang w:val="en-US"/>
              </w:rPr>
            </w:pPr>
            <w:r>
              <w:rPr>
                <w:rFonts w:hint="eastAsia"/>
                <w:b/>
                <w:bCs/>
                <w:color w:val="000000"/>
                <w:kern w:val="2"/>
                <w:sz w:val="21"/>
                <w:szCs w:val="21"/>
                <w:lang w:val="en-US"/>
              </w:rPr>
              <w:t>项目</w:t>
            </w:r>
          </w:p>
        </w:tc>
        <w:tc>
          <w:tcPr>
            <w:tcW w:w="1543" w:type="dxa"/>
            <w:tcBorders>
              <w:top w:val="single" w:color="auto" w:sz="4" w:space="0"/>
              <w:left w:val="nil"/>
              <w:bottom w:val="single" w:color="auto" w:sz="4" w:space="0"/>
              <w:right w:val="single" w:color="auto" w:sz="4" w:space="0"/>
            </w:tcBorders>
            <w:vAlign w:val="center"/>
          </w:tcPr>
          <w:p w14:paraId="21FD7D33">
            <w:pPr>
              <w:widowControl/>
              <w:jc w:val="center"/>
              <w:rPr>
                <w:b/>
                <w:bCs/>
                <w:color w:val="000000"/>
                <w:kern w:val="2"/>
                <w:sz w:val="21"/>
                <w:szCs w:val="21"/>
                <w:lang w:val="en-US"/>
              </w:rPr>
            </w:pPr>
            <w:r>
              <w:rPr>
                <w:rFonts w:hint="eastAsia"/>
                <w:b/>
                <w:bCs/>
                <w:color w:val="000000"/>
                <w:kern w:val="2"/>
                <w:sz w:val="21"/>
                <w:szCs w:val="21"/>
                <w:lang w:val="en-US"/>
              </w:rPr>
              <w:t>单位</w:t>
            </w:r>
          </w:p>
        </w:tc>
        <w:tc>
          <w:tcPr>
            <w:tcW w:w="3507" w:type="dxa"/>
            <w:tcBorders>
              <w:top w:val="single" w:color="auto" w:sz="4" w:space="0"/>
              <w:left w:val="nil"/>
              <w:bottom w:val="single" w:color="auto" w:sz="4" w:space="0"/>
              <w:right w:val="single" w:color="auto" w:sz="4" w:space="0"/>
            </w:tcBorders>
            <w:vAlign w:val="center"/>
          </w:tcPr>
          <w:p w14:paraId="358BF3FD">
            <w:pPr>
              <w:widowControl/>
              <w:jc w:val="center"/>
              <w:rPr>
                <w:b/>
                <w:bCs/>
                <w:color w:val="000000"/>
                <w:kern w:val="2"/>
                <w:sz w:val="21"/>
                <w:szCs w:val="21"/>
                <w:lang w:val="en-US"/>
              </w:rPr>
            </w:pPr>
            <w:r>
              <w:rPr>
                <w:rFonts w:hint="eastAsia"/>
                <w:b/>
                <w:bCs/>
                <w:color w:val="000000"/>
                <w:kern w:val="2"/>
                <w:sz w:val="21"/>
                <w:szCs w:val="21"/>
                <w:lang w:val="en-US"/>
              </w:rPr>
              <w:t>技术参数要求</w:t>
            </w:r>
          </w:p>
        </w:tc>
      </w:tr>
      <w:tr w14:paraId="5DAF7724">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7615A765">
            <w:pPr>
              <w:widowControl/>
              <w:jc w:val="center"/>
              <w:rPr>
                <w:color w:val="000000"/>
                <w:kern w:val="2"/>
                <w:sz w:val="21"/>
                <w:szCs w:val="21"/>
                <w:lang w:val="en-US"/>
              </w:rPr>
            </w:pPr>
            <w:r>
              <w:rPr>
                <w:rFonts w:hint="eastAsia"/>
                <w:color w:val="000000"/>
                <w:kern w:val="2"/>
                <w:sz w:val="21"/>
                <w:szCs w:val="21"/>
                <w:lang w:val="en-US"/>
              </w:rPr>
              <w:t>1</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2E0FDD1E">
            <w:pPr>
              <w:widowControl/>
              <w:jc w:val="center"/>
              <w:rPr>
                <w:color w:val="000000"/>
                <w:kern w:val="2"/>
                <w:sz w:val="21"/>
                <w:szCs w:val="21"/>
                <w:lang w:val="en-US"/>
              </w:rPr>
            </w:pPr>
            <w:r>
              <w:rPr>
                <w:rFonts w:hint="eastAsia"/>
                <w:color w:val="000000"/>
                <w:kern w:val="2"/>
                <w:sz w:val="21"/>
                <w:szCs w:val="21"/>
                <w:lang w:val="en-US"/>
              </w:rPr>
              <w:t>直流充电机</w:t>
            </w:r>
          </w:p>
        </w:tc>
        <w:tc>
          <w:tcPr>
            <w:tcW w:w="2527" w:type="dxa"/>
            <w:tcBorders>
              <w:top w:val="single" w:color="auto" w:sz="4" w:space="0"/>
              <w:left w:val="nil"/>
              <w:bottom w:val="single" w:color="auto" w:sz="4" w:space="0"/>
              <w:right w:val="single" w:color="auto" w:sz="4" w:space="0"/>
            </w:tcBorders>
            <w:vAlign w:val="center"/>
          </w:tcPr>
          <w:p w14:paraId="5EA594AE">
            <w:pPr>
              <w:widowControl/>
              <w:jc w:val="center"/>
              <w:rPr>
                <w:color w:val="000000"/>
                <w:kern w:val="2"/>
                <w:sz w:val="21"/>
                <w:szCs w:val="21"/>
                <w:lang w:val="en-US"/>
              </w:rPr>
            </w:pPr>
            <w:r>
              <w:rPr>
                <w:rFonts w:hint="eastAsia"/>
                <w:color w:val="000000"/>
                <w:kern w:val="2"/>
                <w:sz w:val="21"/>
                <w:szCs w:val="21"/>
                <w:lang w:val="en-US"/>
              </w:rPr>
              <w:t>交流输入电压</w:t>
            </w:r>
          </w:p>
        </w:tc>
        <w:tc>
          <w:tcPr>
            <w:tcW w:w="1543" w:type="dxa"/>
            <w:tcBorders>
              <w:top w:val="single" w:color="auto" w:sz="4" w:space="0"/>
              <w:left w:val="nil"/>
              <w:bottom w:val="single" w:color="auto" w:sz="4" w:space="0"/>
              <w:right w:val="single" w:color="auto" w:sz="4" w:space="0"/>
            </w:tcBorders>
            <w:vAlign w:val="center"/>
          </w:tcPr>
          <w:p w14:paraId="6419AE93">
            <w:pPr>
              <w:widowControl/>
              <w:jc w:val="center"/>
              <w:rPr>
                <w:color w:val="000000"/>
                <w:kern w:val="2"/>
                <w:sz w:val="21"/>
                <w:szCs w:val="21"/>
                <w:lang w:val="en-US"/>
              </w:rPr>
            </w:pPr>
            <w:r>
              <w:rPr>
                <w:rFonts w:hint="eastAsia"/>
                <w:color w:val="000000"/>
                <w:kern w:val="2"/>
                <w:sz w:val="21"/>
                <w:szCs w:val="21"/>
                <w:lang w:val="en-US"/>
              </w:rPr>
              <w:t>V</w:t>
            </w:r>
          </w:p>
        </w:tc>
        <w:tc>
          <w:tcPr>
            <w:tcW w:w="3507" w:type="dxa"/>
            <w:tcBorders>
              <w:top w:val="single" w:color="auto" w:sz="4" w:space="0"/>
              <w:left w:val="nil"/>
              <w:bottom w:val="single" w:color="auto" w:sz="4" w:space="0"/>
              <w:right w:val="single" w:color="auto" w:sz="4" w:space="0"/>
            </w:tcBorders>
            <w:vAlign w:val="center"/>
          </w:tcPr>
          <w:p w14:paraId="05BDBE8C">
            <w:pPr>
              <w:widowControl/>
              <w:jc w:val="center"/>
              <w:rPr>
                <w:color w:val="000000"/>
                <w:kern w:val="2"/>
                <w:sz w:val="21"/>
                <w:szCs w:val="21"/>
                <w:lang w:val="en-US"/>
              </w:rPr>
            </w:pPr>
            <w:r>
              <w:rPr>
                <w:rFonts w:hint="eastAsia"/>
                <w:color w:val="000000"/>
                <w:kern w:val="2"/>
                <w:sz w:val="21"/>
                <w:szCs w:val="21"/>
                <w:lang w:val="en-US"/>
              </w:rPr>
              <w:t>三相380：323～437</w:t>
            </w:r>
          </w:p>
        </w:tc>
      </w:tr>
      <w:tr w14:paraId="65454783">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795BAA8E">
            <w:pPr>
              <w:widowControl/>
              <w:jc w:val="center"/>
              <w:rPr>
                <w:color w:val="000000"/>
                <w:kern w:val="2"/>
                <w:sz w:val="21"/>
                <w:szCs w:val="21"/>
                <w:lang w:val="en-US"/>
              </w:rPr>
            </w:pPr>
            <w:r>
              <w:rPr>
                <w:rFonts w:hint="eastAsia"/>
                <w:color w:val="000000"/>
                <w:kern w:val="2"/>
                <w:sz w:val="21"/>
                <w:szCs w:val="21"/>
                <w:lang w:val="en-US"/>
              </w:rPr>
              <w:t>2</w:t>
            </w:r>
          </w:p>
        </w:tc>
        <w:tc>
          <w:tcPr>
            <w:tcW w:w="745" w:type="dxa"/>
            <w:vMerge w:val="continue"/>
            <w:tcBorders>
              <w:top w:val="nil"/>
              <w:left w:val="single" w:color="auto" w:sz="4" w:space="0"/>
              <w:bottom w:val="single" w:color="auto" w:sz="4" w:space="0"/>
              <w:right w:val="single" w:color="auto" w:sz="4" w:space="0"/>
            </w:tcBorders>
            <w:vAlign w:val="center"/>
          </w:tcPr>
          <w:p w14:paraId="76F701B6">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77AED104">
            <w:pPr>
              <w:widowControl/>
              <w:jc w:val="center"/>
              <w:rPr>
                <w:color w:val="000000"/>
                <w:kern w:val="2"/>
                <w:sz w:val="21"/>
                <w:szCs w:val="21"/>
                <w:lang w:val="en-US"/>
              </w:rPr>
            </w:pPr>
            <w:r>
              <w:rPr>
                <w:rFonts w:hint="eastAsia"/>
                <w:color w:val="000000"/>
                <w:kern w:val="2"/>
                <w:sz w:val="21"/>
                <w:szCs w:val="21"/>
                <w:lang w:val="en-US"/>
              </w:rPr>
              <w:t>交流电源频率</w:t>
            </w:r>
          </w:p>
        </w:tc>
        <w:tc>
          <w:tcPr>
            <w:tcW w:w="1543" w:type="dxa"/>
            <w:tcBorders>
              <w:top w:val="nil"/>
              <w:left w:val="nil"/>
              <w:bottom w:val="single" w:color="auto" w:sz="4" w:space="0"/>
              <w:right w:val="single" w:color="auto" w:sz="4" w:space="0"/>
            </w:tcBorders>
            <w:vAlign w:val="center"/>
          </w:tcPr>
          <w:p w14:paraId="32DED496">
            <w:pPr>
              <w:widowControl/>
              <w:jc w:val="center"/>
              <w:rPr>
                <w:color w:val="000000"/>
                <w:kern w:val="2"/>
                <w:sz w:val="21"/>
                <w:szCs w:val="21"/>
                <w:lang w:val="en-US"/>
              </w:rPr>
            </w:pPr>
            <w:r>
              <w:rPr>
                <w:rFonts w:hint="eastAsia"/>
                <w:color w:val="000000"/>
                <w:kern w:val="2"/>
                <w:sz w:val="21"/>
                <w:szCs w:val="21"/>
                <w:lang w:val="en-US"/>
              </w:rPr>
              <w:t>Hz</w:t>
            </w:r>
          </w:p>
        </w:tc>
        <w:tc>
          <w:tcPr>
            <w:tcW w:w="3507" w:type="dxa"/>
            <w:tcBorders>
              <w:top w:val="nil"/>
              <w:left w:val="nil"/>
              <w:bottom w:val="single" w:color="auto" w:sz="4" w:space="0"/>
              <w:right w:val="single" w:color="auto" w:sz="4" w:space="0"/>
            </w:tcBorders>
            <w:vAlign w:val="center"/>
          </w:tcPr>
          <w:p w14:paraId="41FC72BA">
            <w:pPr>
              <w:widowControl/>
              <w:jc w:val="center"/>
              <w:rPr>
                <w:color w:val="000000"/>
                <w:kern w:val="2"/>
                <w:sz w:val="21"/>
                <w:szCs w:val="21"/>
                <w:lang w:val="en-US"/>
              </w:rPr>
            </w:pPr>
            <w:r>
              <w:rPr>
                <w:color w:val="000000"/>
                <w:kern w:val="2"/>
                <w:sz w:val="21"/>
                <w:szCs w:val="21"/>
                <w:lang w:val="en-US"/>
              </w:rPr>
              <w:t>45</w:t>
            </w:r>
            <w:r>
              <w:rPr>
                <w:rFonts w:hint="eastAsia"/>
                <w:color w:val="000000"/>
                <w:kern w:val="2"/>
                <w:sz w:val="21"/>
                <w:szCs w:val="21"/>
                <w:lang w:val="en-US"/>
              </w:rPr>
              <w:t>～65</w:t>
            </w:r>
          </w:p>
        </w:tc>
      </w:tr>
      <w:tr w14:paraId="3D02D782">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52E59B59">
            <w:pPr>
              <w:widowControl/>
              <w:jc w:val="center"/>
              <w:rPr>
                <w:color w:val="000000"/>
                <w:kern w:val="2"/>
                <w:sz w:val="21"/>
                <w:szCs w:val="21"/>
                <w:lang w:val="en-US"/>
              </w:rPr>
            </w:pPr>
            <w:r>
              <w:rPr>
                <w:rFonts w:hint="eastAsia"/>
                <w:color w:val="000000"/>
                <w:kern w:val="2"/>
                <w:sz w:val="21"/>
                <w:szCs w:val="21"/>
                <w:lang w:val="en-US"/>
              </w:rPr>
              <w:t>3</w:t>
            </w:r>
          </w:p>
        </w:tc>
        <w:tc>
          <w:tcPr>
            <w:tcW w:w="745" w:type="dxa"/>
            <w:vMerge w:val="continue"/>
            <w:tcBorders>
              <w:top w:val="nil"/>
              <w:left w:val="single" w:color="auto" w:sz="4" w:space="0"/>
              <w:bottom w:val="single" w:color="auto" w:sz="4" w:space="0"/>
              <w:right w:val="single" w:color="auto" w:sz="4" w:space="0"/>
            </w:tcBorders>
            <w:vAlign w:val="center"/>
          </w:tcPr>
          <w:p w14:paraId="20C6FB2B">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35B470CE">
            <w:pPr>
              <w:widowControl/>
              <w:jc w:val="center"/>
              <w:rPr>
                <w:color w:val="000000"/>
                <w:kern w:val="2"/>
                <w:sz w:val="21"/>
                <w:szCs w:val="21"/>
                <w:lang w:val="en-US"/>
              </w:rPr>
            </w:pPr>
            <w:r>
              <w:rPr>
                <w:rFonts w:hint="eastAsia"/>
                <w:color w:val="000000"/>
                <w:kern w:val="2"/>
                <w:sz w:val="21"/>
                <w:szCs w:val="21"/>
                <w:lang w:val="en-US"/>
              </w:rPr>
              <w:t>输入功率因数</w:t>
            </w:r>
          </w:p>
        </w:tc>
        <w:tc>
          <w:tcPr>
            <w:tcW w:w="1543" w:type="dxa"/>
            <w:tcBorders>
              <w:top w:val="nil"/>
              <w:left w:val="nil"/>
              <w:bottom w:val="single" w:color="auto" w:sz="4" w:space="0"/>
              <w:right w:val="single" w:color="auto" w:sz="4" w:space="0"/>
            </w:tcBorders>
            <w:vAlign w:val="center"/>
          </w:tcPr>
          <w:p w14:paraId="0EB840E7">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56FAD32B">
            <w:pPr>
              <w:widowControl/>
              <w:jc w:val="center"/>
              <w:rPr>
                <w:color w:val="000000"/>
                <w:kern w:val="2"/>
                <w:sz w:val="21"/>
                <w:szCs w:val="21"/>
                <w:lang w:val="en-US"/>
              </w:rPr>
            </w:pPr>
            <w:r>
              <w:rPr>
                <w:rFonts w:hint="eastAsia"/>
                <w:color w:val="000000"/>
                <w:kern w:val="2"/>
                <w:sz w:val="21"/>
                <w:szCs w:val="21"/>
                <w:lang w:val="en-US"/>
              </w:rPr>
              <w:t>≥0.99</w:t>
            </w:r>
          </w:p>
        </w:tc>
      </w:tr>
      <w:tr w14:paraId="747D65D1">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28CB2A38">
            <w:pPr>
              <w:widowControl/>
              <w:jc w:val="center"/>
              <w:rPr>
                <w:color w:val="000000"/>
                <w:kern w:val="2"/>
                <w:sz w:val="21"/>
                <w:szCs w:val="21"/>
                <w:lang w:val="en-US"/>
              </w:rPr>
            </w:pPr>
            <w:r>
              <w:rPr>
                <w:rFonts w:hint="eastAsia"/>
                <w:color w:val="000000"/>
                <w:kern w:val="2"/>
                <w:sz w:val="21"/>
                <w:szCs w:val="21"/>
                <w:lang w:val="en-US"/>
              </w:rPr>
              <w:t>4</w:t>
            </w:r>
          </w:p>
        </w:tc>
        <w:tc>
          <w:tcPr>
            <w:tcW w:w="745" w:type="dxa"/>
            <w:vMerge w:val="continue"/>
            <w:tcBorders>
              <w:top w:val="nil"/>
              <w:left w:val="single" w:color="auto" w:sz="4" w:space="0"/>
              <w:bottom w:val="single" w:color="auto" w:sz="4" w:space="0"/>
              <w:right w:val="single" w:color="auto" w:sz="4" w:space="0"/>
            </w:tcBorders>
            <w:vAlign w:val="center"/>
          </w:tcPr>
          <w:p w14:paraId="639832AF">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457A7A07">
            <w:pPr>
              <w:widowControl/>
              <w:jc w:val="center"/>
              <w:rPr>
                <w:color w:val="000000"/>
                <w:kern w:val="2"/>
                <w:sz w:val="21"/>
                <w:szCs w:val="21"/>
                <w:lang w:val="en-US"/>
              </w:rPr>
            </w:pPr>
            <w:r>
              <w:rPr>
                <w:rFonts w:hint="eastAsia"/>
                <w:color w:val="000000"/>
                <w:kern w:val="2"/>
                <w:sz w:val="21"/>
                <w:szCs w:val="21"/>
                <w:lang w:val="en-US"/>
              </w:rPr>
              <w:t>直流电压调节范围</w:t>
            </w:r>
          </w:p>
        </w:tc>
        <w:tc>
          <w:tcPr>
            <w:tcW w:w="1543" w:type="dxa"/>
            <w:tcBorders>
              <w:top w:val="nil"/>
              <w:left w:val="nil"/>
              <w:bottom w:val="single" w:color="auto" w:sz="4" w:space="0"/>
              <w:right w:val="single" w:color="auto" w:sz="4" w:space="0"/>
            </w:tcBorders>
            <w:vAlign w:val="center"/>
          </w:tcPr>
          <w:p w14:paraId="57B41384">
            <w:pPr>
              <w:widowControl/>
              <w:jc w:val="center"/>
              <w:rPr>
                <w:color w:val="000000"/>
                <w:kern w:val="2"/>
                <w:sz w:val="21"/>
                <w:szCs w:val="21"/>
                <w:lang w:val="en-US"/>
              </w:rPr>
            </w:pPr>
            <w:r>
              <w:rPr>
                <w:rFonts w:hint="eastAsia"/>
                <w:color w:val="000000"/>
                <w:kern w:val="2"/>
                <w:sz w:val="21"/>
                <w:szCs w:val="21"/>
                <w:lang w:val="en-US"/>
              </w:rPr>
              <w:t>V</w:t>
            </w:r>
          </w:p>
        </w:tc>
        <w:tc>
          <w:tcPr>
            <w:tcW w:w="3507" w:type="dxa"/>
            <w:tcBorders>
              <w:top w:val="nil"/>
              <w:left w:val="nil"/>
              <w:bottom w:val="single" w:color="auto" w:sz="4" w:space="0"/>
              <w:right w:val="single" w:color="auto" w:sz="4" w:space="0"/>
            </w:tcBorders>
            <w:vAlign w:val="center"/>
          </w:tcPr>
          <w:p w14:paraId="3D04FE61">
            <w:pPr>
              <w:widowControl/>
              <w:jc w:val="center"/>
              <w:rPr>
                <w:color w:val="000000"/>
                <w:kern w:val="2"/>
                <w:sz w:val="21"/>
                <w:szCs w:val="21"/>
                <w:lang w:val="en-US"/>
              </w:rPr>
            </w:pPr>
            <w:r>
              <w:rPr>
                <w:rFonts w:hint="eastAsia"/>
                <w:color w:val="000000"/>
                <w:kern w:val="2"/>
                <w:sz w:val="21"/>
                <w:szCs w:val="21"/>
                <w:lang w:val="en-US" w:eastAsia="zh-CN"/>
              </w:rPr>
              <w:t>5</w:t>
            </w:r>
            <w:r>
              <w:rPr>
                <w:rFonts w:hint="eastAsia"/>
                <w:color w:val="000000"/>
                <w:kern w:val="2"/>
                <w:sz w:val="21"/>
                <w:szCs w:val="21"/>
                <w:lang w:val="en-US"/>
              </w:rPr>
              <w:t>0～1000V</w:t>
            </w:r>
            <w:r>
              <w:rPr>
                <w:color w:val="000000"/>
                <w:kern w:val="2"/>
                <w:sz w:val="21"/>
                <w:szCs w:val="21"/>
                <w:lang w:val="en-US"/>
              </w:rPr>
              <w:t xml:space="preserve"> </w:t>
            </w:r>
          </w:p>
        </w:tc>
      </w:tr>
      <w:tr w14:paraId="37F8D29C">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55D36C6C">
            <w:pPr>
              <w:widowControl/>
              <w:jc w:val="center"/>
              <w:rPr>
                <w:color w:val="000000"/>
                <w:kern w:val="2"/>
                <w:sz w:val="21"/>
                <w:szCs w:val="21"/>
                <w:lang w:val="en-US"/>
              </w:rPr>
            </w:pPr>
            <w:r>
              <w:rPr>
                <w:rFonts w:hint="eastAsia"/>
                <w:color w:val="000000"/>
                <w:kern w:val="2"/>
                <w:sz w:val="21"/>
                <w:szCs w:val="21"/>
                <w:lang w:val="en-US"/>
              </w:rPr>
              <w:t>5</w:t>
            </w:r>
          </w:p>
        </w:tc>
        <w:tc>
          <w:tcPr>
            <w:tcW w:w="745" w:type="dxa"/>
            <w:vMerge w:val="continue"/>
            <w:tcBorders>
              <w:top w:val="nil"/>
              <w:left w:val="single" w:color="auto" w:sz="4" w:space="0"/>
              <w:bottom w:val="single" w:color="auto" w:sz="4" w:space="0"/>
              <w:right w:val="single" w:color="auto" w:sz="4" w:space="0"/>
            </w:tcBorders>
            <w:vAlign w:val="center"/>
          </w:tcPr>
          <w:p w14:paraId="16A12982">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7FA1ECC7">
            <w:pPr>
              <w:widowControl/>
              <w:jc w:val="center"/>
              <w:rPr>
                <w:color w:val="000000"/>
                <w:kern w:val="2"/>
                <w:sz w:val="21"/>
                <w:szCs w:val="21"/>
                <w:lang w:val="en-US"/>
              </w:rPr>
            </w:pPr>
            <w:r>
              <w:rPr>
                <w:rFonts w:hint="eastAsia"/>
                <w:color w:val="000000"/>
                <w:kern w:val="2"/>
                <w:sz w:val="21"/>
                <w:szCs w:val="21"/>
                <w:lang w:val="en-US"/>
              </w:rPr>
              <w:t xml:space="preserve">充电模块功率 </w:t>
            </w:r>
          </w:p>
        </w:tc>
        <w:tc>
          <w:tcPr>
            <w:tcW w:w="1543" w:type="dxa"/>
            <w:tcBorders>
              <w:top w:val="nil"/>
              <w:left w:val="nil"/>
              <w:bottom w:val="single" w:color="auto" w:sz="4" w:space="0"/>
              <w:right w:val="single" w:color="auto" w:sz="4" w:space="0"/>
            </w:tcBorders>
            <w:vAlign w:val="center"/>
          </w:tcPr>
          <w:p w14:paraId="18FE77B0">
            <w:pPr>
              <w:widowControl/>
              <w:jc w:val="center"/>
              <w:rPr>
                <w:color w:val="000000"/>
                <w:kern w:val="2"/>
                <w:sz w:val="21"/>
                <w:szCs w:val="21"/>
                <w:lang w:val="en-US"/>
              </w:rPr>
            </w:pPr>
            <w:r>
              <w:rPr>
                <w:color w:val="000000"/>
                <w:kern w:val="2"/>
                <w:sz w:val="21"/>
                <w:szCs w:val="21"/>
                <w:lang w:val="en-US"/>
              </w:rPr>
              <w:t>kW</w:t>
            </w:r>
          </w:p>
        </w:tc>
        <w:tc>
          <w:tcPr>
            <w:tcW w:w="3507" w:type="dxa"/>
            <w:tcBorders>
              <w:top w:val="nil"/>
              <w:left w:val="nil"/>
              <w:bottom w:val="single" w:color="auto" w:sz="4" w:space="0"/>
              <w:right w:val="single" w:color="auto" w:sz="4" w:space="0"/>
            </w:tcBorders>
            <w:vAlign w:val="center"/>
          </w:tcPr>
          <w:p w14:paraId="6D4E12BA">
            <w:pPr>
              <w:widowControl/>
              <w:jc w:val="center"/>
              <w:rPr>
                <w:color w:val="000000"/>
                <w:kern w:val="2"/>
                <w:sz w:val="21"/>
                <w:szCs w:val="21"/>
                <w:lang w:val="en-US"/>
              </w:rPr>
            </w:pPr>
            <w:r>
              <w:rPr>
                <w:rFonts w:hint="eastAsia"/>
                <w:color w:val="000000"/>
                <w:kern w:val="2"/>
                <w:sz w:val="21"/>
                <w:szCs w:val="21"/>
                <w:lang w:val="en-US"/>
              </w:rPr>
              <w:t>40kW</w:t>
            </w:r>
          </w:p>
        </w:tc>
      </w:tr>
      <w:tr w14:paraId="4900CFEA">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7FD28767">
            <w:pPr>
              <w:widowControl/>
              <w:jc w:val="center"/>
              <w:rPr>
                <w:color w:val="000000"/>
                <w:kern w:val="2"/>
                <w:sz w:val="21"/>
                <w:szCs w:val="21"/>
                <w:lang w:val="en-US"/>
              </w:rPr>
            </w:pPr>
            <w:r>
              <w:rPr>
                <w:rFonts w:hint="eastAsia"/>
                <w:color w:val="000000"/>
                <w:kern w:val="2"/>
                <w:sz w:val="21"/>
                <w:szCs w:val="21"/>
                <w:lang w:val="en-US"/>
              </w:rPr>
              <w:t>6</w:t>
            </w:r>
          </w:p>
        </w:tc>
        <w:tc>
          <w:tcPr>
            <w:tcW w:w="745" w:type="dxa"/>
            <w:vMerge w:val="continue"/>
            <w:tcBorders>
              <w:top w:val="nil"/>
              <w:left w:val="single" w:color="auto" w:sz="4" w:space="0"/>
              <w:bottom w:val="single" w:color="auto" w:sz="4" w:space="0"/>
              <w:right w:val="single" w:color="auto" w:sz="4" w:space="0"/>
            </w:tcBorders>
            <w:vAlign w:val="center"/>
          </w:tcPr>
          <w:p w14:paraId="0CA3FB74">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1D570C3C">
            <w:pPr>
              <w:widowControl/>
              <w:jc w:val="center"/>
              <w:rPr>
                <w:color w:val="000000"/>
                <w:kern w:val="2"/>
                <w:sz w:val="21"/>
                <w:szCs w:val="21"/>
                <w:lang w:val="en-US"/>
              </w:rPr>
            </w:pPr>
            <w:r>
              <w:rPr>
                <w:rFonts w:hint="eastAsia"/>
                <w:color w:val="000000"/>
                <w:kern w:val="2"/>
                <w:sz w:val="21"/>
                <w:szCs w:val="21"/>
                <w:lang w:val="en-US"/>
              </w:rPr>
              <w:t>电压设定误差</w:t>
            </w:r>
          </w:p>
        </w:tc>
        <w:tc>
          <w:tcPr>
            <w:tcW w:w="1543" w:type="dxa"/>
            <w:tcBorders>
              <w:top w:val="nil"/>
              <w:left w:val="nil"/>
              <w:bottom w:val="single" w:color="auto" w:sz="4" w:space="0"/>
              <w:right w:val="single" w:color="auto" w:sz="4" w:space="0"/>
            </w:tcBorders>
            <w:vAlign w:val="center"/>
          </w:tcPr>
          <w:p w14:paraId="7F77BEB8">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nil"/>
              <w:left w:val="nil"/>
              <w:bottom w:val="single" w:color="auto" w:sz="4" w:space="0"/>
              <w:right w:val="single" w:color="auto" w:sz="4" w:space="0"/>
            </w:tcBorders>
            <w:vAlign w:val="center"/>
          </w:tcPr>
          <w:p w14:paraId="517833DD">
            <w:pPr>
              <w:widowControl/>
              <w:jc w:val="center"/>
              <w:rPr>
                <w:color w:val="000000"/>
                <w:kern w:val="2"/>
                <w:sz w:val="21"/>
                <w:szCs w:val="21"/>
                <w:lang w:val="en-US"/>
              </w:rPr>
            </w:pPr>
            <w:r>
              <w:rPr>
                <w:rFonts w:hint="eastAsia"/>
                <w:color w:val="000000"/>
                <w:kern w:val="2"/>
                <w:sz w:val="21"/>
                <w:szCs w:val="21"/>
                <w:lang w:val="en-US"/>
              </w:rPr>
              <w:t>≤±0.5%</w:t>
            </w:r>
          </w:p>
        </w:tc>
      </w:tr>
      <w:tr w14:paraId="38C0378B">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shd w:val="clear" w:color="auto" w:fill="auto"/>
            <w:vAlign w:val="center"/>
          </w:tcPr>
          <w:p w14:paraId="167DB129">
            <w:pPr>
              <w:widowControl/>
              <w:jc w:val="center"/>
              <w:rPr>
                <w:color w:val="000000"/>
                <w:kern w:val="2"/>
                <w:sz w:val="21"/>
                <w:szCs w:val="21"/>
                <w:lang w:val="en-US"/>
              </w:rPr>
            </w:pPr>
            <w:r>
              <w:rPr>
                <w:rFonts w:hint="eastAsia"/>
                <w:color w:val="000000"/>
                <w:kern w:val="2"/>
                <w:sz w:val="21"/>
                <w:szCs w:val="21"/>
                <w:lang w:val="en-US"/>
              </w:rPr>
              <w:t>7</w:t>
            </w:r>
          </w:p>
        </w:tc>
        <w:tc>
          <w:tcPr>
            <w:tcW w:w="745" w:type="dxa"/>
            <w:vMerge w:val="continue"/>
            <w:tcBorders>
              <w:top w:val="nil"/>
              <w:left w:val="single" w:color="auto" w:sz="4" w:space="0"/>
              <w:bottom w:val="single" w:color="auto" w:sz="4" w:space="0"/>
              <w:right w:val="single" w:color="auto" w:sz="4" w:space="0"/>
            </w:tcBorders>
            <w:shd w:val="clear" w:color="auto" w:fill="auto"/>
            <w:vAlign w:val="center"/>
          </w:tcPr>
          <w:p w14:paraId="39CAD5D0">
            <w:pPr>
              <w:widowControl/>
              <w:rPr>
                <w:color w:val="000000"/>
                <w:kern w:val="2"/>
                <w:sz w:val="21"/>
                <w:szCs w:val="21"/>
                <w:lang w:val="en-US"/>
              </w:rPr>
            </w:pPr>
          </w:p>
        </w:tc>
        <w:tc>
          <w:tcPr>
            <w:tcW w:w="2527" w:type="dxa"/>
            <w:tcBorders>
              <w:top w:val="single" w:color="auto" w:sz="4" w:space="0"/>
              <w:left w:val="nil"/>
              <w:bottom w:val="single" w:color="auto" w:sz="4" w:space="0"/>
              <w:right w:val="single" w:color="auto" w:sz="4" w:space="0"/>
            </w:tcBorders>
            <w:shd w:val="clear" w:color="auto" w:fill="FFFFFF"/>
            <w:vAlign w:val="center"/>
          </w:tcPr>
          <w:p w14:paraId="4CD5DCE7">
            <w:pPr>
              <w:widowControl/>
              <w:jc w:val="center"/>
              <w:rPr>
                <w:color w:val="000000"/>
                <w:kern w:val="2"/>
                <w:sz w:val="21"/>
                <w:szCs w:val="21"/>
                <w:lang w:val="en-US"/>
              </w:rPr>
            </w:pPr>
            <w:r>
              <w:rPr>
                <w:rFonts w:hint="eastAsia"/>
                <w:color w:val="000000"/>
                <w:kern w:val="2"/>
                <w:sz w:val="21"/>
                <w:szCs w:val="21"/>
                <w:lang w:val="en-US"/>
              </w:rPr>
              <w:t>电流设定误差</w:t>
            </w:r>
          </w:p>
        </w:tc>
        <w:tc>
          <w:tcPr>
            <w:tcW w:w="1543" w:type="dxa"/>
            <w:tcBorders>
              <w:top w:val="single" w:color="auto" w:sz="4" w:space="0"/>
              <w:left w:val="nil"/>
              <w:bottom w:val="single" w:color="auto" w:sz="4" w:space="0"/>
              <w:right w:val="single" w:color="auto" w:sz="4" w:space="0"/>
            </w:tcBorders>
            <w:shd w:val="clear" w:color="auto" w:fill="FFFFFF"/>
            <w:vAlign w:val="center"/>
          </w:tcPr>
          <w:p w14:paraId="0E05295E">
            <w:pPr>
              <w:widowControl/>
              <w:jc w:val="center"/>
              <w:rPr>
                <w:color w:val="000000"/>
                <w:kern w:val="2"/>
                <w:sz w:val="21"/>
                <w:szCs w:val="21"/>
                <w:lang w:val="en-US"/>
              </w:rPr>
            </w:pPr>
          </w:p>
        </w:tc>
        <w:tc>
          <w:tcPr>
            <w:tcW w:w="3507" w:type="dxa"/>
            <w:tcBorders>
              <w:top w:val="single" w:color="auto" w:sz="4" w:space="0"/>
              <w:left w:val="nil"/>
              <w:bottom w:val="single" w:color="auto" w:sz="4" w:space="0"/>
              <w:right w:val="single" w:color="auto" w:sz="4" w:space="0"/>
            </w:tcBorders>
            <w:shd w:val="clear" w:color="auto" w:fill="FFFFFF"/>
            <w:vAlign w:val="center"/>
          </w:tcPr>
          <w:p w14:paraId="22E9FD46">
            <w:pPr>
              <w:widowControl/>
              <w:jc w:val="center"/>
              <w:rPr>
                <w:color w:val="000000"/>
                <w:kern w:val="2"/>
                <w:sz w:val="21"/>
                <w:szCs w:val="21"/>
                <w:lang w:val="en-US"/>
              </w:rPr>
            </w:pPr>
            <w:r>
              <w:rPr>
                <w:rFonts w:hint="eastAsia"/>
                <w:color w:val="000000"/>
                <w:kern w:val="2"/>
                <w:sz w:val="21"/>
                <w:szCs w:val="21"/>
                <w:lang w:val="en-US"/>
              </w:rPr>
              <w:t>≤±0.2A（输出电流＜30A）</w:t>
            </w:r>
          </w:p>
          <w:p w14:paraId="42F8D888">
            <w:pPr>
              <w:widowControl/>
              <w:jc w:val="center"/>
              <w:rPr>
                <w:color w:val="000000"/>
                <w:kern w:val="2"/>
                <w:sz w:val="21"/>
                <w:szCs w:val="21"/>
                <w:lang w:val="en-US"/>
              </w:rPr>
            </w:pPr>
            <w:r>
              <w:rPr>
                <w:rFonts w:hint="eastAsia"/>
                <w:color w:val="000000"/>
                <w:kern w:val="2"/>
                <w:sz w:val="21"/>
                <w:szCs w:val="21"/>
                <w:lang w:val="en-US"/>
              </w:rPr>
              <w:t>≤±0.</w:t>
            </w:r>
            <w:r>
              <w:rPr>
                <w:color w:val="000000"/>
                <w:kern w:val="2"/>
                <w:sz w:val="21"/>
                <w:szCs w:val="21"/>
                <w:lang w:val="en-US"/>
              </w:rPr>
              <w:t>5%</w:t>
            </w:r>
            <w:r>
              <w:rPr>
                <w:rFonts w:hint="eastAsia"/>
                <w:color w:val="000000"/>
                <w:kern w:val="2"/>
                <w:sz w:val="21"/>
                <w:szCs w:val="21"/>
                <w:lang w:val="en-US"/>
              </w:rPr>
              <w:t>（输出电流≥30A）</w:t>
            </w:r>
          </w:p>
        </w:tc>
      </w:tr>
      <w:tr w14:paraId="44CBA842">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shd w:val="clear" w:color="auto" w:fill="auto"/>
            <w:vAlign w:val="center"/>
          </w:tcPr>
          <w:p w14:paraId="2B235F2E">
            <w:pPr>
              <w:widowControl/>
              <w:jc w:val="center"/>
              <w:rPr>
                <w:color w:val="000000"/>
                <w:kern w:val="2"/>
                <w:sz w:val="21"/>
                <w:szCs w:val="21"/>
                <w:lang w:val="en-US"/>
              </w:rPr>
            </w:pPr>
            <w:r>
              <w:rPr>
                <w:rFonts w:hint="eastAsia"/>
                <w:color w:val="000000"/>
                <w:kern w:val="2"/>
                <w:sz w:val="21"/>
                <w:szCs w:val="21"/>
                <w:lang w:val="en-US"/>
              </w:rPr>
              <w:t>8</w:t>
            </w:r>
          </w:p>
        </w:tc>
        <w:tc>
          <w:tcPr>
            <w:tcW w:w="745" w:type="dxa"/>
            <w:vMerge w:val="continue"/>
            <w:tcBorders>
              <w:top w:val="nil"/>
              <w:left w:val="single" w:color="auto" w:sz="4" w:space="0"/>
              <w:bottom w:val="single" w:color="auto" w:sz="4" w:space="0"/>
              <w:right w:val="single" w:color="auto" w:sz="4" w:space="0"/>
            </w:tcBorders>
            <w:shd w:val="clear" w:color="auto" w:fill="auto"/>
            <w:vAlign w:val="center"/>
          </w:tcPr>
          <w:p w14:paraId="1D0EA16C">
            <w:pPr>
              <w:widowControl/>
              <w:rPr>
                <w:color w:val="000000"/>
                <w:kern w:val="2"/>
                <w:sz w:val="21"/>
                <w:szCs w:val="21"/>
                <w:lang w:val="en-US"/>
              </w:rPr>
            </w:pPr>
          </w:p>
        </w:tc>
        <w:tc>
          <w:tcPr>
            <w:tcW w:w="2527" w:type="dxa"/>
            <w:tcBorders>
              <w:top w:val="single" w:color="auto" w:sz="4" w:space="0"/>
              <w:left w:val="nil"/>
              <w:bottom w:val="single" w:color="auto" w:sz="4" w:space="0"/>
              <w:right w:val="single" w:color="auto" w:sz="4" w:space="0"/>
            </w:tcBorders>
            <w:shd w:val="clear" w:color="auto" w:fill="FFFFFF"/>
            <w:vAlign w:val="center"/>
          </w:tcPr>
          <w:p w14:paraId="00EED0FD">
            <w:pPr>
              <w:widowControl/>
              <w:jc w:val="center"/>
              <w:rPr>
                <w:color w:val="000000"/>
                <w:kern w:val="2"/>
                <w:sz w:val="21"/>
                <w:szCs w:val="21"/>
                <w:lang w:val="en-US"/>
              </w:rPr>
            </w:pPr>
            <w:r>
              <w:rPr>
                <w:rFonts w:hint="eastAsia"/>
                <w:color w:val="000000"/>
                <w:kern w:val="2"/>
                <w:sz w:val="21"/>
                <w:szCs w:val="21"/>
                <w:lang w:val="en-US"/>
              </w:rPr>
              <w:t>稳压精度</w:t>
            </w:r>
          </w:p>
        </w:tc>
        <w:tc>
          <w:tcPr>
            <w:tcW w:w="1543" w:type="dxa"/>
            <w:tcBorders>
              <w:top w:val="single" w:color="auto" w:sz="4" w:space="0"/>
              <w:left w:val="nil"/>
              <w:bottom w:val="single" w:color="auto" w:sz="4" w:space="0"/>
              <w:right w:val="single" w:color="auto" w:sz="4" w:space="0"/>
            </w:tcBorders>
            <w:shd w:val="clear" w:color="auto" w:fill="FFFFFF"/>
            <w:vAlign w:val="center"/>
          </w:tcPr>
          <w:p w14:paraId="29360E46">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single" w:color="auto" w:sz="4" w:space="0"/>
              <w:left w:val="nil"/>
              <w:bottom w:val="single" w:color="auto" w:sz="4" w:space="0"/>
              <w:right w:val="single" w:color="auto" w:sz="4" w:space="0"/>
            </w:tcBorders>
            <w:shd w:val="clear" w:color="auto" w:fill="FFFFFF"/>
            <w:vAlign w:val="center"/>
          </w:tcPr>
          <w:p w14:paraId="11AF1349">
            <w:pPr>
              <w:widowControl/>
              <w:jc w:val="center"/>
              <w:rPr>
                <w:color w:val="000000"/>
                <w:kern w:val="2"/>
                <w:sz w:val="21"/>
                <w:szCs w:val="21"/>
                <w:lang w:val="en-US"/>
              </w:rPr>
            </w:pPr>
            <w:r>
              <w:rPr>
                <w:rFonts w:hint="eastAsia"/>
                <w:color w:val="000000"/>
                <w:kern w:val="2"/>
                <w:sz w:val="21"/>
                <w:szCs w:val="21"/>
                <w:lang w:val="en-US"/>
              </w:rPr>
              <w:t>≤±0.</w:t>
            </w:r>
            <w:r>
              <w:rPr>
                <w:color w:val="000000"/>
                <w:kern w:val="2"/>
                <w:sz w:val="21"/>
                <w:szCs w:val="21"/>
                <w:lang w:val="en-US"/>
              </w:rPr>
              <w:t>5</w:t>
            </w:r>
            <w:r>
              <w:rPr>
                <w:rFonts w:hint="eastAsia"/>
                <w:color w:val="000000"/>
                <w:kern w:val="2"/>
                <w:sz w:val="21"/>
                <w:szCs w:val="21"/>
                <w:lang w:val="en-US"/>
              </w:rPr>
              <w:t>%</w:t>
            </w:r>
          </w:p>
        </w:tc>
      </w:tr>
      <w:tr w14:paraId="0356124F">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shd w:val="clear" w:color="auto" w:fill="auto"/>
            <w:vAlign w:val="center"/>
          </w:tcPr>
          <w:p w14:paraId="71A40CC6">
            <w:pPr>
              <w:widowControl/>
              <w:jc w:val="center"/>
              <w:rPr>
                <w:color w:val="000000"/>
                <w:kern w:val="2"/>
                <w:sz w:val="21"/>
                <w:szCs w:val="21"/>
                <w:lang w:val="en-US"/>
              </w:rPr>
            </w:pPr>
            <w:r>
              <w:rPr>
                <w:rFonts w:hint="eastAsia"/>
                <w:color w:val="000000"/>
                <w:kern w:val="2"/>
                <w:sz w:val="21"/>
                <w:szCs w:val="21"/>
                <w:lang w:val="en-US"/>
              </w:rPr>
              <w:t>9</w:t>
            </w:r>
          </w:p>
        </w:tc>
        <w:tc>
          <w:tcPr>
            <w:tcW w:w="745" w:type="dxa"/>
            <w:vMerge w:val="continue"/>
            <w:tcBorders>
              <w:top w:val="nil"/>
              <w:left w:val="single" w:color="auto" w:sz="4" w:space="0"/>
              <w:bottom w:val="single" w:color="auto" w:sz="4" w:space="0"/>
              <w:right w:val="single" w:color="auto" w:sz="4" w:space="0"/>
            </w:tcBorders>
            <w:shd w:val="clear" w:color="auto" w:fill="auto"/>
            <w:vAlign w:val="center"/>
          </w:tcPr>
          <w:p w14:paraId="5B639B5E">
            <w:pPr>
              <w:widowControl/>
              <w:rPr>
                <w:color w:val="000000"/>
                <w:kern w:val="2"/>
                <w:sz w:val="21"/>
                <w:szCs w:val="21"/>
                <w:lang w:val="en-US"/>
              </w:rPr>
            </w:pPr>
          </w:p>
        </w:tc>
        <w:tc>
          <w:tcPr>
            <w:tcW w:w="2527" w:type="dxa"/>
            <w:tcBorders>
              <w:top w:val="single" w:color="auto" w:sz="4" w:space="0"/>
              <w:left w:val="nil"/>
              <w:bottom w:val="single" w:color="auto" w:sz="4" w:space="0"/>
              <w:right w:val="single" w:color="auto" w:sz="4" w:space="0"/>
            </w:tcBorders>
            <w:shd w:val="clear" w:color="auto" w:fill="FFFFFF"/>
            <w:vAlign w:val="center"/>
          </w:tcPr>
          <w:p w14:paraId="44BACCB3">
            <w:pPr>
              <w:widowControl/>
              <w:jc w:val="center"/>
              <w:rPr>
                <w:color w:val="000000"/>
                <w:kern w:val="2"/>
                <w:sz w:val="21"/>
                <w:szCs w:val="21"/>
                <w:lang w:val="en-US"/>
              </w:rPr>
            </w:pPr>
            <w:r>
              <w:rPr>
                <w:rFonts w:hint="eastAsia"/>
                <w:color w:val="000000"/>
                <w:kern w:val="2"/>
                <w:sz w:val="21"/>
                <w:szCs w:val="21"/>
                <w:lang w:val="en-US"/>
              </w:rPr>
              <w:t>稳流精度</w:t>
            </w:r>
          </w:p>
        </w:tc>
        <w:tc>
          <w:tcPr>
            <w:tcW w:w="1543" w:type="dxa"/>
            <w:tcBorders>
              <w:top w:val="single" w:color="auto" w:sz="4" w:space="0"/>
              <w:left w:val="nil"/>
              <w:bottom w:val="single" w:color="auto" w:sz="4" w:space="0"/>
              <w:right w:val="single" w:color="auto" w:sz="4" w:space="0"/>
            </w:tcBorders>
            <w:shd w:val="clear" w:color="auto" w:fill="FFFFFF"/>
            <w:vAlign w:val="center"/>
          </w:tcPr>
          <w:p w14:paraId="52758F37">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single" w:color="auto" w:sz="4" w:space="0"/>
              <w:left w:val="nil"/>
              <w:bottom w:val="single" w:color="auto" w:sz="4" w:space="0"/>
              <w:right w:val="single" w:color="auto" w:sz="4" w:space="0"/>
            </w:tcBorders>
            <w:shd w:val="clear" w:color="auto" w:fill="FFFFFF"/>
            <w:vAlign w:val="center"/>
          </w:tcPr>
          <w:p w14:paraId="2A07D2EA">
            <w:pPr>
              <w:widowControl/>
              <w:jc w:val="center"/>
              <w:rPr>
                <w:color w:val="000000"/>
                <w:kern w:val="2"/>
                <w:sz w:val="21"/>
                <w:szCs w:val="21"/>
                <w:lang w:val="en-US"/>
              </w:rPr>
            </w:pPr>
            <w:r>
              <w:rPr>
                <w:rFonts w:hint="eastAsia"/>
                <w:color w:val="000000"/>
                <w:kern w:val="2"/>
                <w:sz w:val="21"/>
                <w:szCs w:val="21"/>
                <w:lang w:val="en-US"/>
              </w:rPr>
              <w:t>≤±0.</w:t>
            </w:r>
            <w:r>
              <w:rPr>
                <w:color w:val="000000"/>
                <w:kern w:val="2"/>
                <w:sz w:val="21"/>
                <w:szCs w:val="21"/>
                <w:lang w:val="en-US"/>
              </w:rPr>
              <w:t>5</w:t>
            </w:r>
            <w:r>
              <w:rPr>
                <w:rFonts w:hint="eastAsia"/>
                <w:color w:val="000000"/>
                <w:kern w:val="2"/>
                <w:sz w:val="21"/>
                <w:szCs w:val="21"/>
                <w:lang w:val="en-US"/>
              </w:rPr>
              <w:t>%</w:t>
            </w:r>
          </w:p>
        </w:tc>
      </w:tr>
      <w:tr w14:paraId="4738B8BB">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shd w:val="clear" w:color="auto" w:fill="auto"/>
            <w:vAlign w:val="center"/>
          </w:tcPr>
          <w:p w14:paraId="5A421497">
            <w:pPr>
              <w:widowControl/>
              <w:jc w:val="center"/>
              <w:rPr>
                <w:color w:val="000000"/>
                <w:kern w:val="2"/>
                <w:sz w:val="21"/>
                <w:szCs w:val="21"/>
                <w:lang w:val="en-US"/>
              </w:rPr>
            </w:pPr>
            <w:r>
              <w:rPr>
                <w:rFonts w:hint="eastAsia"/>
                <w:color w:val="000000"/>
                <w:kern w:val="2"/>
                <w:sz w:val="21"/>
                <w:szCs w:val="21"/>
                <w:lang w:val="en-US"/>
              </w:rPr>
              <w:t>10</w:t>
            </w:r>
          </w:p>
        </w:tc>
        <w:tc>
          <w:tcPr>
            <w:tcW w:w="745" w:type="dxa"/>
            <w:vMerge w:val="continue"/>
            <w:tcBorders>
              <w:top w:val="nil"/>
              <w:left w:val="single" w:color="auto" w:sz="4" w:space="0"/>
              <w:bottom w:val="single" w:color="auto" w:sz="4" w:space="0"/>
              <w:right w:val="single" w:color="auto" w:sz="4" w:space="0"/>
            </w:tcBorders>
            <w:shd w:val="clear" w:color="auto" w:fill="auto"/>
            <w:vAlign w:val="center"/>
          </w:tcPr>
          <w:p w14:paraId="732302A5">
            <w:pPr>
              <w:widowControl/>
              <w:rPr>
                <w:color w:val="000000"/>
                <w:kern w:val="2"/>
                <w:sz w:val="21"/>
                <w:szCs w:val="21"/>
                <w:lang w:val="en-US"/>
              </w:rPr>
            </w:pPr>
          </w:p>
        </w:tc>
        <w:tc>
          <w:tcPr>
            <w:tcW w:w="2527" w:type="dxa"/>
            <w:tcBorders>
              <w:top w:val="single" w:color="auto" w:sz="4" w:space="0"/>
              <w:left w:val="nil"/>
              <w:bottom w:val="single" w:color="auto" w:sz="4" w:space="0"/>
              <w:right w:val="single" w:color="auto" w:sz="4" w:space="0"/>
            </w:tcBorders>
            <w:shd w:val="clear" w:color="auto" w:fill="FFFFFF"/>
            <w:vAlign w:val="center"/>
          </w:tcPr>
          <w:p w14:paraId="3263FFFD">
            <w:pPr>
              <w:widowControl/>
              <w:jc w:val="center"/>
              <w:rPr>
                <w:color w:val="000000"/>
                <w:kern w:val="2"/>
                <w:sz w:val="21"/>
                <w:szCs w:val="21"/>
                <w:lang w:val="en-US"/>
              </w:rPr>
            </w:pPr>
            <w:r>
              <w:rPr>
                <w:rFonts w:hint="eastAsia"/>
                <w:color w:val="000000"/>
                <w:kern w:val="2"/>
                <w:sz w:val="21"/>
                <w:szCs w:val="21"/>
                <w:lang w:val="en-US"/>
              </w:rPr>
              <w:t>纹波系数</w:t>
            </w:r>
          </w:p>
        </w:tc>
        <w:tc>
          <w:tcPr>
            <w:tcW w:w="1543" w:type="dxa"/>
            <w:tcBorders>
              <w:top w:val="single" w:color="auto" w:sz="4" w:space="0"/>
              <w:left w:val="nil"/>
              <w:bottom w:val="single" w:color="auto" w:sz="4" w:space="0"/>
              <w:right w:val="single" w:color="auto" w:sz="4" w:space="0"/>
            </w:tcBorders>
            <w:shd w:val="clear" w:color="auto" w:fill="FFFFFF"/>
            <w:vAlign w:val="center"/>
          </w:tcPr>
          <w:p w14:paraId="2BEC46E3">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single" w:color="auto" w:sz="4" w:space="0"/>
              <w:left w:val="nil"/>
              <w:bottom w:val="single" w:color="auto" w:sz="4" w:space="0"/>
              <w:right w:val="single" w:color="auto" w:sz="4" w:space="0"/>
            </w:tcBorders>
            <w:shd w:val="clear" w:color="auto" w:fill="FFFFFF"/>
            <w:vAlign w:val="center"/>
          </w:tcPr>
          <w:p w14:paraId="5C08C0A9">
            <w:pPr>
              <w:widowControl/>
              <w:jc w:val="center"/>
              <w:rPr>
                <w:color w:val="000000"/>
                <w:kern w:val="2"/>
                <w:sz w:val="21"/>
                <w:szCs w:val="21"/>
                <w:lang w:val="en-US"/>
              </w:rPr>
            </w:pPr>
            <w:r>
              <w:rPr>
                <w:rFonts w:hint="eastAsia"/>
                <w:color w:val="000000"/>
                <w:kern w:val="2"/>
                <w:sz w:val="21"/>
                <w:szCs w:val="21"/>
                <w:lang w:val="en-US"/>
              </w:rPr>
              <w:t>峰值：≤±</w:t>
            </w:r>
            <w:r>
              <w:rPr>
                <w:color w:val="000000"/>
                <w:kern w:val="2"/>
                <w:sz w:val="21"/>
                <w:szCs w:val="21"/>
                <w:lang w:val="en-US"/>
              </w:rPr>
              <w:t>1%</w:t>
            </w:r>
          </w:p>
        </w:tc>
      </w:tr>
      <w:tr w14:paraId="4FB56033">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4541EB91">
            <w:pPr>
              <w:widowControl/>
              <w:jc w:val="center"/>
              <w:rPr>
                <w:color w:val="000000"/>
                <w:kern w:val="2"/>
                <w:sz w:val="21"/>
                <w:szCs w:val="21"/>
                <w:lang w:val="en-US"/>
              </w:rPr>
            </w:pPr>
            <w:r>
              <w:rPr>
                <w:rFonts w:hint="eastAsia"/>
                <w:color w:val="000000"/>
                <w:kern w:val="2"/>
                <w:sz w:val="21"/>
                <w:szCs w:val="21"/>
                <w:lang w:val="en-US"/>
              </w:rPr>
              <w:t>11</w:t>
            </w:r>
          </w:p>
        </w:tc>
        <w:tc>
          <w:tcPr>
            <w:tcW w:w="745" w:type="dxa"/>
            <w:vMerge w:val="continue"/>
            <w:tcBorders>
              <w:top w:val="nil"/>
              <w:left w:val="single" w:color="auto" w:sz="4" w:space="0"/>
              <w:bottom w:val="single" w:color="auto" w:sz="4" w:space="0"/>
              <w:right w:val="single" w:color="auto" w:sz="4" w:space="0"/>
            </w:tcBorders>
            <w:vAlign w:val="center"/>
          </w:tcPr>
          <w:p w14:paraId="05699511">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69F63B27">
            <w:pPr>
              <w:widowControl/>
              <w:jc w:val="center"/>
              <w:rPr>
                <w:color w:val="000000"/>
                <w:kern w:val="2"/>
                <w:sz w:val="21"/>
                <w:szCs w:val="21"/>
                <w:lang w:val="en-US"/>
              </w:rPr>
            </w:pPr>
            <w:r>
              <w:rPr>
                <w:rFonts w:hint="eastAsia"/>
                <w:color w:val="000000"/>
                <w:kern w:val="2"/>
                <w:sz w:val="21"/>
                <w:szCs w:val="21"/>
                <w:lang w:val="en-US"/>
              </w:rPr>
              <w:t>输入冲击电流</w:t>
            </w:r>
          </w:p>
        </w:tc>
        <w:tc>
          <w:tcPr>
            <w:tcW w:w="1543" w:type="dxa"/>
            <w:tcBorders>
              <w:top w:val="nil"/>
              <w:left w:val="nil"/>
              <w:bottom w:val="single" w:color="auto" w:sz="4" w:space="0"/>
              <w:right w:val="single" w:color="auto" w:sz="4" w:space="0"/>
            </w:tcBorders>
            <w:vAlign w:val="center"/>
          </w:tcPr>
          <w:p w14:paraId="2F5EF489">
            <w:pPr>
              <w:widowControl/>
              <w:jc w:val="center"/>
              <w:rPr>
                <w:color w:val="000000"/>
                <w:kern w:val="2"/>
                <w:sz w:val="21"/>
                <w:szCs w:val="21"/>
                <w:lang w:val="en-US"/>
              </w:rPr>
            </w:pPr>
            <w:r>
              <w:rPr>
                <w:rFonts w:hint="eastAsia"/>
                <w:color w:val="000000"/>
                <w:kern w:val="2"/>
                <w:sz w:val="21"/>
                <w:szCs w:val="21"/>
                <w:lang w:val="en-US"/>
              </w:rPr>
              <w:t>A</w:t>
            </w:r>
          </w:p>
        </w:tc>
        <w:tc>
          <w:tcPr>
            <w:tcW w:w="3507" w:type="dxa"/>
            <w:tcBorders>
              <w:top w:val="nil"/>
              <w:left w:val="nil"/>
              <w:bottom w:val="single" w:color="auto" w:sz="4" w:space="0"/>
              <w:right w:val="single" w:color="auto" w:sz="4" w:space="0"/>
            </w:tcBorders>
            <w:vAlign w:val="center"/>
          </w:tcPr>
          <w:p w14:paraId="5C7647B2">
            <w:pPr>
              <w:widowControl/>
              <w:jc w:val="center"/>
              <w:rPr>
                <w:color w:val="000000"/>
                <w:kern w:val="2"/>
                <w:sz w:val="21"/>
                <w:szCs w:val="21"/>
                <w:lang w:val="en-US"/>
              </w:rPr>
            </w:pPr>
            <w:r>
              <w:rPr>
                <w:rFonts w:hint="eastAsia"/>
                <w:color w:val="000000"/>
                <w:kern w:val="2"/>
                <w:sz w:val="21"/>
                <w:szCs w:val="21"/>
                <w:lang w:val="en-US"/>
              </w:rPr>
              <w:t>≤1</w:t>
            </w:r>
            <w:r>
              <w:rPr>
                <w:color w:val="000000"/>
                <w:kern w:val="2"/>
                <w:sz w:val="21"/>
                <w:szCs w:val="21"/>
                <w:lang w:val="en-US"/>
              </w:rPr>
              <w:t>1</w:t>
            </w:r>
            <w:r>
              <w:rPr>
                <w:rFonts w:hint="eastAsia"/>
                <w:color w:val="000000"/>
                <w:kern w:val="2"/>
                <w:sz w:val="21"/>
                <w:szCs w:val="21"/>
                <w:lang w:val="en-US"/>
              </w:rPr>
              <w:t>0%额定输入电流</w:t>
            </w:r>
          </w:p>
        </w:tc>
      </w:tr>
      <w:tr w14:paraId="13112D51">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66E35E34">
            <w:pPr>
              <w:widowControl/>
              <w:jc w:val="center"/>
              <w:rPr>
                <w:color w:val="000000"/>
                <w:kern w:val="2"/>
                <w:sz w:val="21"/>
                <w:szCs w:val="21"/>
                <w:lang w:val="en-US"/>
              </w:rPr>
            </w:pPr>
            <w:r>
              <w:rPr>
                <w:rFonts w:hint="eastAsia"/>
                <w:color w:val="000000"/>
                <w:kern w:val="2"/>
                <w:sz w:val="21"/>
                <w:szCs w:val="21"/>
                <w:lang w:val="en-US"/>
              </w:rPr>
              <w:t>1</w:t>
            </w:r>
            <w:r>
              <w:rPr>
                <w:color w:val="000000"/>
                <w:kern w:val="2"/>
                <w:sz w:val="21"/>
                <w:szCs w:val="21"/>
                <w:lang w:val="en-US"/>
              </w:rPr>
              <w:t>2</w:t>
            </w:r>
          </w:p>
        </w:tc>
        <w:tc>
          <w:tcPr>
            <w:tcW w:w="745" w:type="dxa"/>
            <w:vMerge w:val="continue"/>
            <w:tcBorders>
              <w:top w:val="nil"/>
              <w:left w:val="single" w:color="auto" w:sz="4" w:space="0"/>
              <w:bottom w:val="single" w:color="auto" w:sz="4" w:space="0"/>
              <w:right w:val="single" w:color="auto" w:sz="4" w:space="0"/>
            </w:tcBorders>
            <w:vAlign w:val="center"/>
          </w:tcPr>
          <w:p w14:paraId="6A9FC26E">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4C6D8E9D">
            <w:pPr>
              <w:widowControl/>
              <w:jc w:val="center"/>
              <w:rPr>
                <w:color w:val="000000"/>
                <w:kern w:val="2"/>
                <w:sz w:val="21"/>
                <w:szCs w:val="21"/>
                <w:lang w:val="en-US"/>
              </w:rPr>
            </w:pPr>
            <w:r>
              <w:rPr>
                <w:rFonts w:hint="eastAsia"/>
                <w:color w:val="000000"/>
                <w:kern w:val="2"/>
                <w:sz w:val="21"/>
                <w:szCs w:val="21"/>
                <w:lang w:val="en-US"/>
              </w:rPr>
              <w:t>总功率</w:t>
            </w:r>
          </w:p>
        </w:tc>
        <w:tc>
          <w:tcPr>
            <w:tcW w:w="1543" w:type="dxa"/>
            <w:tcBorders>
              <w:top w:val="nil"/>
              <w:left w:val="nil"/>
              <w:bottom w:val="single" w:color="auto" w:sz="4" w:space="0"/>
              <w:right w:val="single" w:color="auto" w:sz="4" w:space="0"/>
            </w:tcBorders>
            <w:vAlign w:val="center"/>
          </w:tcPr>
          <w:p w14:paraId="53655EBA">
            <w:pPr>
              <w:widowControl/>
              <w:jc w:val="center"/>
              <w:rPr>
                <w:color w:val="000000"/>
                <w:kern w:val="2"/>
                <w:sz w:val="21"/>
                <w:szCs w:val="21"/>
                <w:lang w:val="en-US"/>
              </w:rPr>
            </w:pPr>
            <w:r>
              <w:rPr>
                <w:rFonts w:hint="eastAsia"/>
                <w:kern w:val="2"/>
                <w:sz w:val="21"/>
                <w:szCs w:val="21"/>
                <w:lang w:val="en-US"/>
              </w:rPr>
              <w:t>kw</w:t>
            </w:r>
          </w:p>
        </w:tc>
        <w:tc>
          <w:tcPr>
            <w:tcW w:w="3507" w:type="dxa"/>
            <w:tcBorders>
              <w:top w:val="nil"/>
              <w:left w:val="nil"/>
              <w:bottom w:val="single" w:color="auto" w:sz="4" w:space="0"/>
              <w:right w:val="single" w:color="auto" w:sz="4" w:space="0"/>
            </w:tcBorders>
            <w:vAlign w:val="center"/>
          </w:tcPr>
          <w:p w14:paraId="562CD2C5">
            <w:pPr>
              <w:widowControl/>
              <w:jc w:val="center"/>
              <w:rPr>
                <w:color w:val="000000"/>
                <w:kern w:val="2"/>
                <w:sz w:val="21"/>
                <w:szCs w:val="21"/>
                <w:lang w:val="en-US"/>
              </w:rPr>
            </w:pPr>
            <w:r>
              <w:rPr>
                <w:color w:val="000000"/>
                <w:kern w:val="2"/>
                <w:sz w:val="21"/>
                <w:szCs w:val="21"/>
                <w:lang w:val="en-US"/>
              </w:rPr>
              <w:t>120</w:t>
            </w:r>
          </w:p>
        </w:tc>
      </w:tr>
      <w:tr w14:paraId="000E6C79">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23506ABC">
            <w:pPr>
              <w:widowControl/>
              <w:jc w:val="center"/>
              <w:rPr>
                <w:color w:val="000000"/>
                <w:kern w:val="2"/>
                <w:sz w:val="21"/>
                <w:szCs w:val="21"/>
                <w:lang w:val="en-US"/>
              </w:rPr>
            </w:pPr>
            <w:r>
              <w:rPr>
                <w:rFonts w:hint="eastAsia"/>
                <w:color w:val="000000"/>
                <w:kern w:val="2"/>
                <w:sz w:val="21"/>
                <w:szCs w:val="21"/>
                <w:lang w:val="en-US"/>
              </w:rPr>
              <w:t>1</w:t>
            </w:r>
            <w:r>
              <w:rPr>
                <w:color w:val="000000"/>
                <w:kern w:val="2"/>
                <w:sz w:val="21"/>
                <w:szCs w:val="21"/>
                <w:lang w:val="en-US"/>
              </w:rPr>
              <w:t>3</w:t>
            </w:r>
          </w:p>
        </w:tc>
        <w:tc>
          <w:tcPr>
            <w:tcW w:w="745" w:type="dxa"/>
            <w:vMerge w:val="continue"/>
            <w:tcBorders>
              <w:top w:val="nil"/>
              <w:left w:val="single" w:color="auto" w:sz="4" w:space="0"/>
              <w:bottom w:val="single" w:color="auto" w:sz="4" w:space="0"/>
              <w:right w:val="single" w:color="auto" w:sz="4" w:space="0"/>
            </w:tcBorders>
            <w:vAlign w:val="center"/>
          </w:tcPr>
          <w:p w14:paraId="761B3BC9">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17D468AE">
            <w:pPr>
              <w:widowControl/>
              <w:jc w:val="center"/>
              <w:rPr>
                <w:color w:val="000000"/>
                <w:kern w:val="2"/>
                <w:sz w:val="21"/>
                <w:szCs w:val="21"/>
                <w:lang w:val="en-US"/>
              </w:rPr>
            </w:pPr>
            <w:r>
              <w:rPr>
                <w:rFonts w:hint="eastAsia"/>
                <w:color w:val="000000"/>
                <w:kern w:val="2"/>
                <w:sz w:val="21"/>
                <w:szCs w:val="21"/>
                <w:lang w:val="en-US"/>
              </w:rPr>
              <w:t>静电放电抗扰度</w:t>
            </w:r>
          </w:p>
        </w:tc>
        <w:tc>
          <w:tcPr>
            <w:tcW w:w="1543" w:type="dxa"/>
            <w:tcBorders>
              <w:top w:val="nil"/>
              <w:left w:val="nil"/>
              <w:bottom w:val="single" w:color="auto" w:sz="4" w:space="0"/>
              <w:right w:val="single" w:color="auto" w:sz="4" w:space="0"/>
            </w:tcBorders>
            <w:vAlign w:val="center"/>
          </w:tcPr>
          <w:p w14:paraId="325C6322">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1D2B8580">
            <w:pPr>
              <w:widowControl/>
              <w:jc w:val="center"/>
              <w:rPr>
                <w:color w:val="000000"/>
                <w:kern w:val="2"/>
                <w:sz w:val="21"/>
                <w:szCs w:val="21"/>
                <w:lang w:val="en-US"/>
              </w:rPr>
            </w:pPr>
            <w:r>
              <w:rPr>
                <w:rFonts w:hint="eastAsia"/>
                <w:color w:val="000000"/>
                <w:kern w:val="2"/>
                <w:sz w:val="21"/>
                <w:szCs w:val="21"/>
                <w:lang w:val="en-US"/>
              </w:rPr>
              <w:t>4级</w:t>
            </w:r>
          </w:p>
        </w:tc>
      </w:tr>
      <w:tr w14:paraId="2110E922">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31F44C0F">
            <w:pPr>
              <w:widowControl/>
              <w:jc w:val="center"/>
              <w:rPr>
                <w:color w:val="000000"/>
                <w:kern w:val="2"/>
                <w:sz w:val="21"/>
                <w:szCs w:val="21"/>
                <w:lang w:val="en-US"/>
              </w:rPr>
            </w:pPr>
            <w:r>
              <w:rPr>
                <w:rFonts w:hint="eastAsia"/>
                <w:color w:val="000000"/>
                <w:kern w:val="2"/>
                <w:sz w:val="21"/>
                <w:szCs w:val="21"/>
                <w:lang w:val="en-US"/>
              </w:rPr>
              <w:t>14</w:t>
            </w:r>
          </w:p>
        </w:tc>
        <w:tc>
          <w:tcPr>
            <w:tcW w:w="745" w:type="dxa"/>
            <w:vMerge w:val="continue"/>
            <w:tcBorders>
              <w:top w:val="nil"/>
              <w:left w:val="single" w:color="auto" w:sz="4" w:space="0"/>
              <w:bottom w:val="single" w:color="auto" w:sz="4" w:space="0"/>
              <w:right w:val="single" w:color="auto" w:sz="4" w:space="0"/>
            </w:tcBorders>
            <w:vAlign w:val="center"/>
          </w:tcPr>
          <w:p w14:paraId="7BFEA0B0">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2DE23E54">
            <w:pPr>
              <w:widowControl/>
              <w:jc w:val="center"/>
              <w:rPr>
                <w:color w:val="000000"/>
                <w:kern w:val="2"/>
                <w:sz w:val="21"/>
                <w:szCs w:val="21"/>
                <w:lang w:val="en-US"/>
              </w:rPr>
            </w:pPr>
            <w:r>
              <w:rPr>
                <w:rFonts w:hint="eastAsia"/>
                <w:color w:val="000000"/>
                <w:kern w:val="2"/>
                <w:sz w:val="21"/>
                <w:szCs w:val="21"/>
                <w:lang w:val="en-US"/>
              </w:rPr>
              <w:t>射频电磁场辐射抗扰度</w:t>
            </w:r>
          </w:p>
        </w:tc>
        <w:tc>
          <w:tcPr>
            <w:tcW w:w="1543" w:type="dxa"/>
            <w:tcBorders>
              <w:top w:val="nil"/>
              <w:left w:val="nil"/>
              <w:bottom w:val="single" w:color="auto" w:sz="4" w:space="0"/>
              <w:right w:val="single" w:color="auto" w:sz="4" w:space="0"/>
            </w:tcBorders>
            <w:vAlign w:val="center"/>
          </w:tcPr>
          <w:p w14:paraId="027B9555">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6E3CE109">
            <w:pPr>
              <w:widowControl/>
              <w:jc w:val="center"/>
              <w:rPr>
                <w:color w:val="000000"/>
                <w:kern w:val="2"/>
                <w:sz w:val="21"/>
                <w:szCs w:val="21"/>
                <w:lang w:val="en-US"/>
              </w:rPr>
            </w:pPr>
            <w:r>
              <w:rPr>
                <w:rFonts w:hint="eastAsia"/>
                <w:color w:val="000000"/>
                <w:kern w:val="2"/>
                <w:sz w:val="21"/>
                <w:szCs w:val="21"/>
                <w:lang w:val="en-US"/>
              </w:rPr>
              <w:t>4级</w:t>
            </w:r>
          </w:p>
        </w:tc>
      </w:tr>
      <w:tr w14:paraId="579AD447">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0B7E7580">
            <w:pPr>
              <w:widowControl/>
              <w:jc w:val="center"/>
              <w:rPr>
                <w:color w:val="000000"/>
                <w:kern w:val="2"/>
                <w:sz w:val="21"/>
                <w:szCs w:val="21"/>
                <w:lang w:val="en-US"/>
              </w:rPr>
            </w:pPr>
            <w:r>
              <w:rPr>
                <w:rFonts w:hint="eastAsia"/>
                <w:color w:val="000000"/>
                <w:kern w:val="2"/>
                <w:sz w:val="21"/>
                <w:szCs w:val="21"/>
                <w:lang w:val="en-US"/>
              </w:rPr>
              <w:t>15</w:t>
            </w:r>
          </w:p>
        </w:tc>
        <w:tc>
          <w:tcPr>
            <w:tcW w:w="745" w:type="dxa"/>
            <w:vMerge w:val="continue"/>
            <w:tcBorders>
              <w:top w:val="nil"/>
              <w:left w:val="single" w:color="auto" w:sz="4" w:space="0"/>
              <w:bottom w:val="single" w:color="auto" w:sz="4" w:space="0"/>
              <w:right w:val="single" w:color="auto" w:sz="4" w:space="0"/>
            </w:tcBorders>
            <w:vAlign w:val="center"/>
          </w:tcPr>
          <w:p w14:paraId="367D1411">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6FADF800">
            <w:pPr>
              <w:widowControl/>
              <w:jc w:val="center"/>
              <w:rPr>
                <w:color w:val="000000"/>
                <w:kern w:val="2"/>
                <w:sz w:val="21"/>
                <w:szCs w:val="21"/>
                <w:lang w:val="en-US"/>
              </w:rPr>
            </w:pPr>
            <w:r>
              <w:rPr>
                <w:rFonts w:hint="eastAsia"/>
                <w:color w:val="000000"/>
                <w:kern w:val="2"/>
                <w:sz w:val="21"/>
                <w:szCs w:val="21"/>
                <w:lang w:val="en-US"/>
              </w:rPr>
              <w:t>电快速瞬变脉冲群抗扰度</w:t>
            </w:r>
          </w:p>
        </w:tc>
        <w:tc>
          <w:tcPr>
            <w:tcW w:w="1543" w:type="dxa"/>
            <w:tcBorders>
              <w:top w:val="nil"/>
              <w:left w:val="nil"/>
              <w:bottom w:val="single" w:color="auto" w:sz="4" w:space="0"/>
              <w:right w:val="single" w:color="auto" w:sz="4" w:space="0"/>
            </w:tcBorders>
            <w:vAlign w:val="center"/>
          </w:tcPr>
          <w:p w14:paraId="5A21A935">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71EC516D">
            <w:pPr>
              <w:widowControl/>
              <w:jc w:val="center"/>
              <w:rPr>
                <w:color w:val="000000"/>
                <w:kern w:val="2"/>
                <w:sz w:val="21"/>
                <w:szCs w:val="21"/>
                <w:lang w:val="en-US"/>
              </w:rPr>
            </w:pPr>
            <w:r>
              <w:rPr>
                <w:rFonts w:hint="eastAsia"/>
                <w:color w:val="000000"/>
                <w:kern w:val="2"/>
                <w:sz w:val="21"/>
                <w:szCs w:val="21"/>
                <w:lang w:val="en-US"/>
              </w:rPr>
              <w:t>4级</w:t>
            </w:r>
          </w:p>
        </w:tc>
      </w:tr>
      <w:tr w14:paraId="39512C47">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5246A9AB">
            <w:pPr>
              <w:widowControl/>
              <w:jc w:val="center"/>
              <w:rPr>
                <w:color w:val="000000"/>
                <w:kern w:val="2"/>
                <w:sz w:val="21"/>
                <w:szCs w:val="21"/>
                <w:lang w:val="en-US"/>
              </w:rPr>
            </w:pPr>
            <w:r>
              <w:rPr>
                <w:rFonts w:hint="eastAsia"/>
                <w:color w:val="000000"/>
                <w:kern w:val="2"/>
                <w:sz w:val="21"/>
                <w:szCs w:val="21"/>
                <w:lang w:val="en-US"/>
              </w:rPr>
              <w:t>16</w:t>
            </w:r>
          </w:p>
        </w:tc>
        <w:tc>
          <w:tcPr>
            <w:tcW w:w="745" w:type="dxa"/>
            <w:vMerge w:val="continue"/>
            <w:tcBorders>
              <w:top w:val="nil"/>
              <w:left w:val="single" w:color="auto" w:sz="4" w:space="0"/>
              <w:bottom w:val="single" w:color="auto" w:sz="4" w:space="0"/>
              <w:right w:val="single" w:color="auto" w:sz="4" w:space="0"/>
            </w:tcBorders>
            <w:vAlign w:val="center"/>
          </w:tcPr>
          <w:p w14:paraId="698B1EFD">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0E100F50">
            <w:pPr>
              <w:widowControl/>
              <w:jc w:val="center"/>
              <w:rPr>
                <w:color w:val="000000"/>
                <w:kern w:val="2"/>
                <w:sz w:val="21"/>
                <w:szCs w:val="21"/>
                <w:lang w:val="en-US"/>
              </w:rPr>
            </w:pPr>
            <w:r>
              <w:rPr>
                <w:rFonts w:hint="eastAsia"/>
                <w:color w:val="000000"/>
                <w:kern w:val="2"/>
                <w:sz w:val="21"/>
                <w:szCs w:val="21"/>
                <w:lang w:val="en-US"/>
              </w:rPr>
              <w:t>浪涌（冲击）抗扰度</w:t>
            </w:r>
          </w:p>
        </w:tc>
        <w:tc>
          <w:tcPr>
            <w:tcW w:w="1543" w:type="dxa"/>
            <w:tcBorders>
              <w:top w:val="nil"/>
              <w:left w:val="nil"/>
              <w:bottom w:val="single" w:color="auto" w:sz="4" w:space="0"/>
              <w:right w:val="single" w:color="auto" w:sz="4" w:space="0"/>
            </w:tcBorders>
            <w:vAlign w:val="center"/>
          </w:tcPr>
          <w:p w14:paraId="01D92D71">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165C6816">
            <w:pPr>
              <w:widowControl/>
              <w:jc w:val="center"/>
              <w:rPr>
                <w:color w:val="000000"/>
                <w:kern w:val="2"/>
                <w:sz w:val="21"/>
                <w:szCs w:val="21"/>
                <w:lang w:val="en-US"/>
              </w:rPr>
            </w:pPr>
            <w:r>
              <w:rPr>
                <w:rFonts w:hint="eastAsia"/>
                <w:color w:val="000000"/>
                <w:kern w:val="2"/>
                <w:sz w:val="21"/>
                <w:szCs w:val="21"/>
                <w:lang w:val="en-US"/>
              </w:rPr>
              <w:t>4级</w:t>
            </w:r>
          </w:p>
        </w:tc>
      </w:tr>
      <w:tr w14:paraId="0E81F424">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084D7217">
            <w:pPr>
              <w:widowControl/>
              <w:jc w:val="center"/>
              <w:rPr>
                <w:color w:val="000000"/>
                <w:kern w:val="2"/>
                <w:sz w:val="21"/>
                <w:szCs w:val="21"/>
                <w:lang w:val="en-US"/>
              </w:rPr>
            </w:pPr>
            <w:r>
              <w:rPr>
                <w:rFonts w:hint="eastAsia"/>
                <w:color w:val="000000"/>
                <w:kern w:val="2"/>
                <w:sz w:val="21"/>
                <w:szCs w:val="21"/>
                <w:lang w:val="en-US"/>
              </w:rPr>
              <w:t>17</w:t>
            </w:r>
          </w:p>
        </w:tc>
        <w:tc>
          <w:tcPr>
            <w:tcW w:w="745" w:type="dxa"/>
            <w:vMerge w:val="continue"/>
            <w:tcBorders>
              <w:top w:val="nil"/>
              <w:left w:val="single" w:color="auto" w:sz="4" w:space="0"/>
              <w:bottom w:val="single" w:color="auto" w:sz="4" w:space="0"/>
              <w:right w:val="single" w:color="auto" w:sz="4" w:space="0"/>
            </w:tcBorders>
            <w:vAlign w:val="center"/>
          </w:tcPr>
          <w:p w14:paraId="6510BD00">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2FFE3BE0">
            <w:pPr>
              <w:widowControl/>
              <w:jc w:val="center"/>
              <w:rPr>
                <w:color w:val="000000"/>
                <w:kern w:val="2"/>
                <w:sz w:val="21"/>
                <w:szCs w:val="21"/>
                <w:lang w:val="en-US"/>
              </w:rPr>
            </w:pPr>
            <w:r>
              <w:rPr>
                <w:rFonts w:hint="eastAsia"/>
                <w:color w:val="000000"/>
                <w:kern w:val="2"/>
                <w:sz w:val="21"/>
                <w:szCs w:val="21"/>
                <w:lang w:val="en-US"/>
              </w:rPr>
              <w:t>射频场感应的传导骚扰抗扰度</w:t>
            </w:r>
          </w:p>
        </w:tc>
        <w:tc>
          <w:tcPr>
            <w:tcW w:w="1543" w:type="dxa"/>
            <w:tcBorders>
              <w:top w:val="nil"/>
              <w:left w:val="nil"/>
              <w:bottom w:val="single" w:color="auto" w:sz="4" w:space="0"/>
              <w:right w:val="single" w:color="auto" w:sz="4" w:space="0"/>
            </w:tcBorders>
            <w:vAlign w:val="center"/>
          </w:tcPr>
          <w:p w14:paraId="470E0168">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47F4DAF9">
            <w:pPr>
              <w:widowControl/>
              <w:jc w:val="center"/>
              <w:rPr>
                <w:color w:val="000000"/>
                <w:kern w:val="2"/>
                <w:sz w:val="21"/>
                <w:szCs w:val="21"/>
                <w:lang w:val="en-US"/>
              </w:rPr>
            </w:pPr>
            <w:r>
              <w:rPr>
                <w:rFonts w:hint="eastAsia"/>
                <w:color w:val="000000"/>
                <w:kern w:val="2"/>
                <w:sz w:val="21"/>
                <w:szCs w:val="21"/>
                <w:lang w:val="en-US"/>
              </w:rPr>
              <w:t>3级</w:t>
            </w:r>
          </w:p>
        </w:tc>
      </w:tr>
      <w:tr w14:paraId="272D9ACA">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10C7DF74">
            <w:pPr>
              <w:widowControl/>
              <w:jc w:val="center"/>
              <w:rPr>
                <w:color w:val="000000"/>
                <w:kern w:val="2"/>
                <w:sz w:val="21"/>
                <w:szCs w:val="21"/>
                <w:lang w:val="en-US"/>
              </w:rPr>
            </w:pPr>
            <w:r>
              <w:rPr>
                <w:rFonts w:hint="eastAsia"/>
                <w:color w:val="000000"/>
                <w:kern w:val="2"/>
                <w:sz w:val="21"/>
                <w:szCs w:val="21"/>
                <w:lang w:val="en-US"/>
              </w:rPr>
              <w:t>18</w:t>
            </w:r>
          </w:p>
        </w:tc>
        <w:tc>
          <w:tcPr>
            <w:tcW w:w="745" w:type="dxa"/>
            <w:vMerge w:val="continue"/>
            <w:tcBorders>
              <w:top w:val="nil"/>
              <w:left w:val="single" w:color="auto" w:sz="4" w:space="0"/>
              <w:bottom w:val="single" w:color="auto" w:sz="4" w:space="0"/>
              <w:right w:val="single" w:color="auto" w:sz="4" w:space="0"/>
            </w:tcBorders>
            <w:vAlign w:val="center"/>
          </w:tcPr>
          <w:p w14:paraId="14C20F4F">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3A24F585">
            <w:pPr>
              <w:widowControl/>
              <w:jc w:val="center"/>
              <w:rPr>
                <w:color w:val="000000"/>
                <w:kern w:val="2"/>
                <w:sz w:val="21"/>
                <w:szCs w:val="21"/>
                <w:lang w:val="en-US"/>
              </w:rPr>
            </w:pPr>
            <w:r>
              <w:rPr>
                <w:rFonts w:hint="eastAsia"/>
                <w:color w:val="000000"/>
                <w:kern w:val="2"/>
                <w:sz w:val="21"/>
                <w:szCs w:val="21"/>
                <w:lang w:val="en-US"/>
              </w:rPr>
              <w:t>谐波电流限值要求（THD）</w:t>
            </w:r>
          </w:p>
        </w:tc>
        <w:tc>
          <w:tcPr>
            <w:tcW w:w="1543" w:type="dxa"/>
            <w:tcBorders>
              <w:top w:val="nil"/>
              <w:left w:val="nil"/>
              <w:bottom w:val="single" w:color="auto" w:sz="4" w:space="0"/>
              <w:right w:val="single" w:color="auto" w:sz="4" w:space="0"/>
            </w:tcBorders>
            <w:vAlign w:val="center"/>
          </w:tcPr>
          <w:p w14:paraId="4A659B7F">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nil"/>
              <w:left w:val="nil"/>
              <w:bottom w:val="single" w:color="auto" w:sz="4" w:space="0"/>
              <w:right w:val="single" w:color="auto" w:sz="4" w:space="0"/>
            </w:tcBorders>
            <w:vAlign w:val="center"/>
          </w:tcPr>
          <w:p w14:paraId="53CC76BA">
            <w:pPr>
              <w:widowControl/>
              <w:jc w:val="center"/>
              <w:rPr>
                <w:color w:val="000000"/>
                <w:kern w:val="2"/>
                <w:sz w:val="21"/>
                <w:szCs w:val="21"/>
                <w:lang w:val="en-US"/>
              </w:rPr>
            </w:pPr>
            <w:r>
              <w:rPr>
                <w:rFonts w:hint="eastAsia"/>
                <w:color w:val="000000"/>
                <w:kern w:val="2"/>
                <w:sz w:val="21"/>
                <w:szCs w:val="21"/>
                <w:lang w:val="en-US"/>
              </w:rPr>
              <w:t>≤</w:t>
            </w:r>
            <w:r>
              <w:rPr>
                <w:color w:val="000000"/>
                <w:kern w:val="2"/>
                <w:sz w:val="21"/>
                <w:szCs w:val="21"/>
                <w:lang w:val="en-US"/>
              </w:rPr>
              <w:t>5</w:t>
            </w:r>
          </w:p>
        </w:tc>
      </w:tr>
      <w:tr w14:paraId="2B851FC7">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1BBA0E1F">
            <w:pPr>
              <w:widowControl/>
              <w:jc w:val="center"/>
              <w:rPr>
                <w:color w:val="000000"/>
                <w:kern w:val="2"/>
                <w:sz w:val="21"/>
                <w:szCs w:val="21"/>
                <w:lang w:val="en-US"/>
              </w:rPr>
            </w:pPr>
            <w:r>
              <w:rPr>
                <w:rFonts w:hint="eastAsia"/>
                <w:color w:val="000000"/>
                <w:kern w:val="2"/>
                <w:sz w:val="21"/>
                <w:szCs w:val="21"/>
                <w:lang w:val="en-US"/>
              </w:rPr>
              <w:t>19</w:t>
            </w:r>
          </w:p>
        </w:tc>
        <w:tc>
          <w:tcPr>
            <w:tcW w:w="745" w:type="dxa"/>
            <w:vMerge w:val="continue"/>
            <w:tcBorders>
              <w:top w:val="nil"/>
              <w:left w:val="single" w:color="auto" w:sz="4" w:space="0"/>
              <w:bottom w:val="single" w:color="auto" w:sz="4" w:space="0"/>
              <w:right w:val="single" w:color="auto" w:sz="4" w:space="0"/>
            </w:tcBorders>
            <w:vAlign w:val="center"/>
          </w:tcPr>
          <w:p w14:paraId="3FF8556E">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05000855">
            <w:pPr>
              <w:widowControl/>
              <w:jc w:val="center"/>
              <w:rPr>
                <w:color w:val="000000"/>
                <w:kern w:val="2"/>
                <w:sz w:val="21"/>
                <w:szCs w:val="21"/>
                <w:lang w:val="en-US"/>
              </w:rPr>
            </w:pPr>
            <w:r>
              <w:rPr>
                <w:rFonts w:hint="eastAsia"/>
                <w:color w:val="000000"/>
                <w:kern w:val="2"/>
                <w:sz w:val="21"/>
                <w:szCs w:val="21"/>
                <w:lang w:val="en-US"/>
              </w:rPr>
              <w:t>充电机结构形式</w:t>
            </w:r>
          </w:p>
        </w:tc>
        <w:tc>
          <w:tcPr>
            <w:tcW w:w="1543" w:type="dxa"/>
            <w:tcBorders>
              <w:top w:val="nil"/>
              <w:left w:val="nil"/>
              <w:bottom w:val="single" w:color="auto" w:sz="4" w:space="0"/>
              <w:right w:val="single" w:color="auto" w:sz="4" w:space="0"/>
            </w:tcBorders>
            <w:vAlign w:val="center"/>
          </w:tcPr>
          <w:p w14:paraId="05E31BE8">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4DF8C9A9">
            <w:pPr>
              <w:widowControl/>
              <w:jc w:val="center"/>
              <w:rPr>
                <w:color w:val="000000"/>
                <w:kern w:val="2"/>
                <w:sz w:val="21"/>
                <w:szCs w:val="21"/>
                <w:lang w:val="en-US"/>
              </w:rPr>
            </w:pPr>
            <w:r>
              <w:rPr>
                <w:rFonts w:hint="eastAsia"/>
                <w:color w:val="000000"/>
                <w:kern w:val="2"/>
                <w:sz w:val="21"/>
                <w:szCs w:val="21"/>
                <w:lang w:val="en-US"/>
              </w:rPr>
              <w:t>一体式</w:t>
            </w:r>
          </w:p>
        </w:tc>
      </w:tr>
      <w:tr w14:paraId="3EBD29FC">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3852F989">
            <w:pPr>
              <w:widowControl/>
              <w:jc w:val="center"/>
              <w:rPr>
                <w:color w:val="000000"/>
                <w:kern w:val="2"/>
                <w:sz w:val="21"/>
                <w:szCs w:val="21"/>
                <w:lang w:val="en-US"/>
              </w:rPr>
            </w:pPr>
            <w:r>
              <w:rPr>
                <w:color w:val="000000"/>
                <w:kern w:val="2"/>
                <w:sz w:val="21"/>
                <w:szCs w:val="21"/>
                <w:lang w:val="en-US"/>
              </w:rPr>
              <w:t>2</w:t>
            </w:r>
            <w:r>
              <w:rPr>
                <w:rFonts w:hint="eastAsia"/>
                <w:color w:val="000000"/>
                <w:kern w:val="2"/>
                <w:sz w:val="21"/>
                <w:szCs w:val="21"/>
                <w:lang w:val="en-US"/>
              </w:rPr>
              <w:t>0</w:t>
            </w:r>
          </w:p>
        </w:tc>
        <w:tc>
          <w:tcPr>
            <w:tcW w:w="745" w:type="dxa"/>
            <w:vMerge w:val="continue"/>
            <w:tcBorders>
              <w:top w:val="nil"/>
              <w:left w:val="single" w:color="auto" w:sz="4" w:space="0"/>
              <w:bottom w:val="single" w:color="auto" w:sz="4" w:space="0"/>
              <w:right w:val="single" w:color="auto" w:sz="4" w:space="0"/>
            </w:tcBorders>
            <w:vAlign w:val="center"/>
          </w:tcPr>
          <w:p w14:paraId="58C9EABE">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1597829D">
            <w:pPr>
              <w:widowControl/>
              <w:jc w:val="center"/>
              <w:rPr>
                <w:color w:val="000000"/>
                <w:kern w:val="2"/>
                <w:sz w:val="21"/>
                <w:szCs w:val="21"/>
                <w:lang w:val="en-US"/>
              </w:rPr>
            </w:pPr>
            <w:r>
              <w:rPr>
                <w:rFonts w:hint="eastAsia"/>
                <w:color w:val="000000"/>
                <w:kern w:val="2"/>
                <w:sz w:val="21"/>
                <w:szCs w:val="21"/>
                <w:lang w:val="en-US"/>
              </w:rPr>
              <w:t>有源功率因数校正电路</w:t>
            </w:r>
          </w:p>
        </w:tc>
        <w:tc>
          <w:tcPr>
            <w:tcW w:w="1543" w:type="dxa"/>
            <w:tcBorders>
              <w:top w:val="nil"/>
              <w:left w:val="nil"/>
              <w:bottom w:val="single" w:color="auto" w:sz="4" w:space="0"/>
              <w:right w:val="single" w:color="auto" w:sz="4" w:space="0"/>
            </w:tcBorders>
            <w:vAlign w:val="center"/>
          </w:tcPr>
          <w:p w14:paraId="539B1442">
            <w:pPr>
              <w:widowControl/>
              <w:jc w:val="center"/>
              <w:rPr>
                <w:color w:val="000000"/>
                <w:kern w:val="2"/>
                <w:sz w:val="21"/>
                <w:szCs w:val="21"/>
                <w:lang w:val="en-US"/>
              </w:rPr>
            </w:pPr>
            <w:r>
              <w:rPr>
                <w:rFonts w:hint="eastAsia"/>
                <w:color w:val="000000"/>
                <w:kern w:val="2"/>
                <w:sz w:val="21"/>
                <w:szCs w:val="21"/>
                <w:lang w:val="en-US"/>
              </w:rPr>
              <w:t>%</w:t>
            </w:r>
          </w:p>
        </w:tc>
        <w:tc>
          <w:tcPr>
            <w:tcW w:w="3507" w:type="dxa"/>
            <w:tcBorders>
              <w:top w:val="nil"/>
              <w:left w:val="nil"/>
              <w:bottom w:val="single" w:color="auto" w:sz="4" w:space="0"/>
              <w:right w:val="single" w:color="auto" w:sz="4" w:space="0"/>
            </w:tcBorders>
            <w:vAlign w:val="center"/>
          </w:tcPr>
          <w:p w14:paraId="01C8E182">
            <w:pPr>
              <w:widowControl/>
              <w:jc w:val="center"/>
              <w:rPr>
                <w:color w:val="000000"/>
                <w:kern w:val="2"/>
                <w:sz w:val="21"/>
                <w:szCs w:val="21"/>
                <w:lang w:val="en-US"/>
              </w:rPr>
            </w:pPr>
            <w:r>
              <w:rPr>
                <w:rFonts w:hint="eastAsia"/>
                <w:color w:val="000000"/>
                <w:kern w:val="2"/>
                <w:sz w:val="21"/>
                <w:szCs w:val="21"/>
                <w:lang w:val="en-US"/>
              </w:rPr>
              <w:t>带</w:t>
            </w:r>
          </w:p>
        </w:tc>
      </w:tr>
      <w:tr w14:paraId="6519A110">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74012C14">
            <w:pPr>
              <w:widowControl/>
              <w:jc w:val="center"/>
              <w:rPr>
                <w:color w:val="000000"/>
                <w:kern w:val="2"/>
                <w:sz w:val="21"/>
                <w:szCs w:val="21"/>
                <w:lang w:val="en-US"/>
              </w:rPr>
            </w:pPr>
            <w:r>
              <w:rPr>
                <w:rFonts w:hint="eastAsia"/>
                <w:color w:val="000000"/>
                <w:kern w:val="2"/>
                <w:sz w:val="21"/>
                <w:szCs w:val="21"/>
                <w:lang w:val="en-US"/>
              </w:rPr>
              <w:t>21</w:t>
            </w:r>
          </w:p>
        </w:tc>
        <w:tc>
          <w:tcPr>
            <w:tcW w:w="745" w:type="dxa"/>
            <w:vMerge w:val="continue"/>
            <w:tcBorders>
              <w:top w:val="nil"/>
              <w:left w:val="single" w:color="auto" w:sz="4" w:space="0"/>
              <w:bottom w:val="single" w:color="auto" w:sz="4" w:space="0"/>
              <w:right w:val="single" w:color="auto" w:sz="4" w:space="0"/>
            </w:tcBorders>
            <w:vAlign w:val="center"/>
          </w:tcPr>
          <w:p w14:paraId="284B34F2">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03AD9E65">
            <w:pPr>
              <w:widowControl/>
              <w:jc w:val="center"/>
              <w:rPr>
                <w:color w:val="000000"/>
                <w:kern w:val="2"/>
                <w:sz w:val="21"/>
                <w:szCs w:val="21"/>
                <w:lang w:val="en-US"/>
              </w:rPr>
            </w:pPr>
            <w:r>
              <w:rPr>
                <w:rFonts w:hint="eastAsia"/>
                <w:color w:val="000000"/>
                <w:kern w:val="2"/>
                <w:sz w:val="21"/>
                <w:szCs w:val="21"/>
                <w:lang w:val="en-US"/>
              </w:rPr>
              <w:t>直流输出接口</w:t>
            </w:r>
          </w:p>
        </w:tc>
        <w:tc>
          <w:tcPr>
            <w:tcW w:w="1543" w:type="dxa"/>
            <w:tcBorders>
              <w:top w:val="nil"/>
              <w:left w:val="nil"/>
              <w:bottom w:val="single" w:color="auto" w:sz="4" w:space="0"/>
              <w:right w:val="single" w:color="auto" w:sz="4" w:space="0"/>
            </w:tcBorders>
            <w:vAlign w:val="center"/>
          </w:tcPr>
          <w:p w14:paraId="3174966F">
            <w:pPr>
              <w:widowControl/>
              <w:jc w:val="center"/>
              <w:rPr>
                <w:color w:val="000000"/>
                <w:kern w:val="2"/>
                <w:sz w:val="21"/>
                <w:szCs w:val="21"/>
                <w:lang w:val="en-US"/>
              </w:rPr>
            </w:pPr>
          </w:p>
        </w:tc>
        <w:tc>
          <w:tcPr>
            <w:tcW w:w="3507" w:type="dxa"/>
            <w:tcBorders>
              <w:top w:val="nil"/>
              <w:left w:val="nil"/>
              <w:bottom w:val="single" w:color="auto" w:sz="4" w:space="0"/>
              <w:right w:val="single" w:color="auto" w:sz="4" w:space="0"/>
            </w:tcBorders>
            <w:vAlign w:val="center"/>
          </w:tcPr>
          <w:p w14:paraId="651E24A3">
            <w:pPr>
              <w:widowControl/>
              <w:jc w:val="center"/>
              <w:rPr>
                <w:color w:val="000000"/>
                <w:kern w:val="2"/>
                <w:sz w:val="21"/>
                <w:szCs w:val="21"/>
                <w:lang w:val="en-US"/>
              </w:rPr>
            </w:pPr>
            <w:r>
              <w:rPr>
                <w:rFonts w:hint="eastAsia"/>
                <w:color w:val="000000"/>
                <w:kern w:val="2"/>
                <w:sz w:val="21"/>
                <w:szCs w:val="21"/>
                <w:lang w:val="en-US"/>
              </w:rPr>
              <w:t>GB／T20234.3-2015</w:t>
            </w:r>
          </w:p>
        </w:tc>
      </w:tr>
      <w:tr w14:paraId="7A64BE4E">
        <w:tblPrEx>
          <w:tblCellMar>
            <w:top w:w="0" w:type="dxa"/>
            <w:left w:w="108" w:type="dxa"/>
            <w:bottom w:w="0" w:type="dxa"/>
            <w:right w:w="108" w:type="dxa"/>
          </w:tblCellMar>
        </w:tblPrEx>
        <w:tc>
          <w:tcPr>
            <w:tcW w:w="649" w:type="dxa"/>
            <w:tcBorders>
              <w:top w:val="nil"/>
              <w:left w:val="single" w:color="auto" w:sz="4" w:space="0"/>
              <w:bottom w:val="single" w:color="auto" w:sz="4" w:space="0"/>
              <w:right w:val="single" w:color="auto" w:sz="4" w:space="0"/>
            </w:tcBorders>
            <w:vAlign w:val="center"/>
          </w:tcPr>
          <w:p w14:paraId="286168D7">
            <w:pPr>
              <w:widowControl/>
              <w:jc w:val="center"/>
              <w:rPr>
                <w:color w:val="000000"/>
                <w:kern w:val="2"/>
                <w:sz w:val="21"/>
                <w:szCs w:val="21"/>
                <w:lang w:val="en-US"/>
              </w:rPr>
            </w:pPr>
            <w:r>
              <w:rPr>
                <w:rFonts w:hint="eastAsia"/>
                <w:color w:val="000000"/>
                <w:kern w:val="2"/>
                <w:sz w:val="21"/>
                <w:szCs w:val="21"/>
                <w:lang w:val="en-US"/>
              </w:rPr>
              <w:t>22</w:t>
            </w:r>
          </w:p>
        </w:tc>
        <w:tc>
          <w:tcPr>
            <w:tcW w:w="745" w:type="dxa"/>
            <w:vMerge w:val="continue"/>
            <w:tcBorders>
              <w:top w:val="nil"/>
              <w:left w:val="single" w:color="auto" w:sz="4" w:space="0"/>
              <w:bottom w:val="single" w:color="auto" w:sz="4" w:space="0"/>
              <w:right w:val="single" w:color="auto" w:sz="4" w:space="0"/>
            </w:tcBorders>
            <w:vAlign w:val="center"/>
          </w:tcPr>
          <w:p w14:paraId="069D2B6A">
            <w:pPr>
              <w:widowControl/>
              <w:rPr>
                <w:color w:val="000000"/>
                <w:kern w:val="2"/>
                <w:sz w:val="21"/>
                <w:szCs w:val="21"/>
                <w:lang w:val="en-US"/>
              </w:rPr>
            </w:pPr>
          </w:p>
        </w:tc>
        <w:tc>
          <w:tcPr>
            <w:tcW w:w="2527" w:type="dxa"/>
            <w:tcBorders>
              <w:top w:val="nil"/>
              <w:left w:val="nil"/>
              <w:bottom w:val="single" w:color="auto" w:sz="4" w:space="0"/>
              <w:right w:val="single" w:color="auto" w:sz="4" w:space="0"/>
            </w:tcBorders>
            <w:vAlign w:val="center"/>
          </w:tcPr>
          <w:p w14:paraId="1CA062EE">
            <w:pPr>
              <w:widowControl/>
              <w:jc w:val="center"/>
              <w:rPr>
                <w:color w:val="000000"/>
                <w:kern w:val="2"/>
                <w:sz w:val="21"/>
                <w:szCs w:val="21"/>
                <w:lang w:val="en-US"/>
              </w:rPr>
            </w:pPr>
            <w:r>
              <w:rPr>
                <w:color w:val="000000"/>
                <w:kern w:val="2"/>
                <w:sz w:val="21"/>
                <w:szCs w:val="21"/>
                <w:lang w:val="en-US"/>
              </w:rPr>
              <w:t>平均无故障</w:t>
            </w:r>
            <w:r>
              <w:rPr>
                <w:rFonts w:hint="eastAsia"/>
                <w:color w:val="000000"/>
                <w:kern w:val="2"/>
                <w:sz w:val="21"/>
                <w:szCs w:val="21"/>
                <w:lang w:val="en-US"/>
              </w:rPr>
              <w:t>时间</w:t>
            </w:r>
          </w:p>
        </w:tc>
        <w:tc>
          <w:tcPr>
            <w:tcW w:w="1543" w:type="dxa"/>
            <w:tcBorders>
              <w:top w:val="nil"/>
              <w:left w:val="nil"/>
              <w:bottom w:val="single" w:color="auto" w:sz="4" w:space="0"/>
              <w:right w:val="single" w:color="auto" w:sz="4" w:space="0"/>
            </w:tcBorders>
            <w:vAlign w:val="center"/>
          </w:tcPr>
          <w:p w14:paraId="2B51622E">
            <w:pPr>
              <w:widowControl/>
              <w:jc w:val="center"/>
              <w:rPr>
                <w:color w:val="000000"/>
                <w:kern w:val="2"/>
                <w:sz w:val="21"/>
                <w:szCs w:val="21"/>
                <w:lang w:val="en-US"/>
              </w:rPr>
            </w:pPr>
            <w:r>
              <w:rPr>
                <w:color w:val="000000"/>
                <w:kern w:val="2"/>
                <w:sz w:val="21"/>
                <w:szCs w:val="21"/>
                <w:lang w:val="en-US"/>
              </w:rPr>
              <w:t>h</w:t>
            </w:r>
          </w:p>
        </w:tc>
        <w:tc>
          <w:tcPr>
            <w:tcW w:w="3507" w:type="dxa"/>
            <w:tcBorders>
              <w:top w:val="nil"/>
              <w:left w:val="nil"/>
              <w:bottom w:val="single" w:color="auto" w:sz="4" w:space="0"/>
              <w:right w:val="single" w:color="auto" w:sz="4" w:space="0"/>
            </w:tcBorders>
            <w:vAlign w:val="center"/>
          </w:tcPr>
          <w:p w14:paraId="2E688E2E">
            <w:pPr>
              <w:widowControl/>
              <w:jc w:val="center"/>
              <w:rPr>
                <w:color w:val="000000"/>
                <w:kern w:val="2"/>
                <w:sz w:val="21"/>
                <w:szCs w:val="21"/>
                <w:lang w:val="en-US"/>
              </w:rPr>
            </w:pPr>
            <w:r>
              <w:rPr>
                <w:rFonts w:hint="eastAsia"/>
                <w:color w:val="000000"/>
                <w:kern w:val="2"/>
                <w:sz w:val="21"/>
                <w:szCs w:val="21"/>
                <w:lang w:val="en-US"/>
              </w:rPr>
              <w:t>≥</w:t>
            </w:r>
            <w:r>
              <w:rPr>
                <w:color w:val="000000"/>
                <w:kern w:val="2"/>
                <w:sz w:val="21"/>
                <w:szCs w:val="21"/>
                <w:lang w:val="en-US"/>
              </w:rPr>
              <w:t>26280</w:t>
            </w:r>
            <w:r>
              <w:rPr>
                <w:rFonts w:hint="eastAsia"/>
                <w:color w:val="000000"/>
                <w:kern w:val="2"/>
                <w:sz w:val="21"/>
                <w:szCs w:val="21"/>
                <w:lang w:val="en-US"/>
              </w:rPr>
              <w:t>h</w:t>
            </w:r>
          </w:p>
        </w:tc>
      </w:tr>
    </w:tbl>
    <w:p w14:paraId="0729126F">
      <w:pPr>
        <w:keepNext/>
        <w:keepLines/>
        <w:spacing w:line="400" w:lineRule="exact"/>
        <w:jc w:val="both"/>
        <w:outlineLvl w:val="1"/>
        <w:rPr>
          <w:rFonts w:cs="Times New Roman"/>
          <w:b/>
          <w:bCs/>
          <w:kern w:val="2"/>
          <w:sz w:val="21"/>
          <w:szCs w:val="21"/>
          <w:lang w:val="en-US"/>
        </w:rPr>
      </w:pPr>
      <w:r>
        <w:rPr>
          <w:rFonts w:hint="eastAsia" w:cs="Times New Roman"/>
          <w:b/>
          <w:bCs/>
          <w:kern w:val="2"/>
          <w:sz w:val="21"/>
          <w:szCs w:val="21"/>
          <w:lang w:val="en-US"/>
        </w:rPr>
        <w:t>7</w:t>
      </w:r>
      <w:r>
        <w:rPr>
          <w:rFonts w:cs="Times New Roman"/>
          <w:b/>
          <w:bCs/>
          <w:kern w:val="2"/>
          <w:sz w:val="21"/>
          <w:szCs w:val="21"/>
          <w:lang w:val="en-US"/>
        </w:rPr>
        <w:t>kW</w:t>
      </w:r>
      <w:r>
        <w:rPr>
          <w:rFonts w:hint="eastAsia" w:cs="Times New Roman"/>
          <w:b/>
          <w:bCs/>
          <w:kern w:val="2"/>
          <w:sz w:val="21"/>
          <w:szCs w:val="21"/>
          <w:lang w:val="en-US"/>
        </w:rPr>
        <w:t>交流充电单桩技术要求</w:t>
      </w:r>
    </w:p>
    <w:tbl>
      <w:tblPr>
        <w:tblStyle w:val="5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88"/>
      </w:tblGrid>
      <w:tr w14:paraId="1AEB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9F70DF0">
            <w:pPr>
              <w:jc w:val="center"/>
              <w:rPr>
                <w:rFonts w:cs="Times New Roman"/>
                <w:kern w:val="2"/>
                <w:sz w:val="21"/>
                <w:szCs w:val="21"/>
                <w:lang w:val="en-US"/>
              </w:rPr>
            </w:pPr>
            <w:r>
              <w:rPr>
                <w:rFonts w:hint="eastAsia" w:cs="Times New Roman"/>
                <w:kern w:val="2"/>
                <w:sz w:val="21"/>
                <w:szCs w:val="21"/>
                <w:lang w:val="en-US"/>
              </w:rPr>
              <w:t>名称</w:t>
            </w:r>
          </w:p>
        </w:tc>
        <w:tc>
          <w:tcPr>
            <w:tcW w:w="7088" w:type="dxa"/>
            <w:vAlign w:val="center"/>
          </w:tcPr>
          <w:p w14:paraId="30C5B8A5">
            <w:pPr>
              <w:jc w:val="center"/>
              <w:rPr>
                <w:rFonts w:cs="Times New Roman"/>
                <w:kern w:val="2"/>
                <w:sz w:val="21"/>
                <w:szCs w:val="21"/>
                <w:lang w:val="en-US"/>
              </w:rPr>
            </w:pPr>
            <w:r>
              <w:rPr>
                <w:rFonts w:hint="eastAsia" w:cs="Times New Roman"/>
                <w:kern w:val="2"/>
                <w:sz w:val="21"/>
                <w:szCs w:val="21"/>
                <w:lang w:val="en-US"/>
              </w:rPr>
              <w:t>关键技术参数</w:t>
            </w:r>
          </w:p>
        </w:tc>
      </w:tr>
      <w:tr w14:paraId="3DB9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92C3A74">
            <w:pPr>
              <w:jc w:val="center"/>
              <w:rPr>
                <w:rFonts w:cs="Times New Roman"/>
                <w:kern w:val="2"/>
                <w:sz w:val="21"/>
                <w:szCs w:val="21"/>
                <w:lang w:val="en-US"/>
              </w:rPr>
            </w:pPr>
            <w:r>
              <w:rPr>
                <w:rFonts w:hint="eastAsia" w:cs="Times New Roman"/>
                <w:kern w:val="2"/>
                <w:sz w:val="21"/>
                <w:szCs w:val="21"/>
                <w:lang w:val="en-US"/>
              </w:rPr>
              <w:t>交流单桩</w:t>
            </w:r>
          </w:p>
        </w:tc>
        <w:tc>
          <w:tcPr>
            <w:tcW w:w="7088" w:type="dxa"/>
            <w:vAlign w:val="center"/>
          </w:tcPr>
          <w:p w14:paraId="3106E132">
            <w:pPr>
              <w:jc w:val="both"/>
              <w:rPr>
                <w:rFonts w:cs="Times New Roman"/>
                <w:kern w:val="2"/>
                <w:sz w:val="21"/>
                <w:szCs w:val="21"/>
                <w:lang w:val="en-US"/>
              </w:rPr>
            </w:pPr>
            <w:r>
              <w:rPr>
                <w:rFonts w:cs="Times New Roman"/>
                <w:kern w:val="2"/>
                <w:sz w:val="21"/>
                <w:szCs w:val="21"/>
                <w:lang w:val="en-US"/>
              </w:rPr>
              <w:t>1.</w:t>
            </w:r>
            <w:r>
              <w:rPr>
                <w:rFonts w:cs="Times New Roman"/>
                <w:color w:val="000000"/>
                <w:kern w:val="2"/>
                <w:sz w:val="21"/>
                <w:szCs w:val="21"/>
                <w:lang w:val="en-US"/>
              </w:rPr>
              <w:t xml:space="preserve"> ▲</w:t>
            </w:r>
            <w:r>
              <w:rPr>
                <w:rFonts w:hint="eastAsia" w:cs="Times New Roman"/>
                <w:kern w:val="2"/>
                <w:sz w:val="21"/>
                <w:szCs w:val="21"/>
                <w:lang w:val="en-US"/>
              </w:rPr>
              <w:t>规格：7</w:t>
            </w:r>
            <w:r>
              <w:rPr>
                <w:rFonts w:cs="Times New Roman"/>
                <w:kern w:val="2"/>
                <w:sz w:val="21"/>
                <w:szCs w:val="21"/>
                <w:lang w:val="en-US"/>
              </w:rPr>
              <w:t>kW</w:t>
            </w:r>
          </w:p>
          <w:p w14:paraId="71516151">
            <w:pPr>
              <w:jc w:val="both"/>
              <w:rPr>
                <w:rFonts w:cs="Times New Roman"/>
                <w:kern w:val="2"/>
                <w:sz w:val="21"/>
                <w:szCs w:val="21"/>
                <w:lang w:val="en-US"/>
              </w:rPr>
            </w:pPr>
            <w:r>
              <w:rPr>
                <w:rFonts w:hint="eastAsia" w:cs="Times New Roman"/>
                <w:kern w:val="2"/>
                <w:sz w:val="21"/>
                <w:szCs w:val="21"/>
                <w:lang w:val="en-US"/>
              </w:rPr>
              <w:t>2</w:t>
            </w:r>
            <w:r>
              <w:rPr>
                <w:rFonts w:cs="Times New Roman"/>
                <w:kern w:val="2"/>
                <w:sz w:val="21"/>
                <w:szCs w:val="21"/>
                <w:lang w:val="en-US"/>
              </w:rPr>
              <w:t>.</w:t>
            </w:r>
            <w:r>
              <w:rPr>
                <w:rFonts w:cs="Times New Roman"/>
                <w:color w:val="000000"/>
                <w:kern w:val="2"/>
                <w:sz w:val="21"/>
                <w:szCs w:val="21"/>
                <w:lang w:val="en-US"/>
              </w:rPr>
              <w:t xml:space="preserve"> ▲</w:t>
            </w:r>
            <w:r>
              <w:rPr>
                <w:rFonts w:hint="eastAsia" w:cs="Times New Roman"/>
                <w:kern w:val="2"/>
                <w:sz w:val="21"/>
                <w:szCs w:val="21"/>
                <w:lang w:val="en-US"/>
              </w:rPr>
              <w:t>额定输出电流：3</w:t>
            </w:r>
            <w:r>
              <w:rPr>
                <w:rFonts w:cs="Times New Roman"/>
                <w:kern w:val="2"/>
                <w:sz w:val="21"/>
                <w:szCs w:val="21"/>
                <w:lang w:val="en-US"/>
              </w:rPr>
              <w:t>2A</w:t>
            </w:r>
          </w:p>
          <w:p w14:paraId="75F0F1C9">
            <w:pPr>
              <w:jc w:val="both"/>
              <w:rPr>
                <w:rFonts w:cs="Times New Roman"/>
                <w:kern w:val="2"/>
                <w:sz w:val="21"/>
                <w:szCs w:val="21"/>
                <w:lang w:val="en-US"/>
              </w:rPr>
            </w:pPr>
            <w:r>
              <w:rPr>
                <w:rFonts w:hint="eastAsia" w:cs="Times New Roman"/>
                <w:kern w:val="2"/>
                <w:sz w:val="21"/>
                <w:szCs w:val="21"/>
                <w:lang w:val="en-US"/>
              </w:rPr>
              <w:t>3</w:t>
            </w:r>
            <w:r>
              <w:rPr>
                <w:rFonts w:cs="Times New Roman"/>
                <w:kern w:val="2"/>
                <w:sz w:val="21"/>
                <w:szCs w:val="21"/>
                <w:lang w:val="en-US"/>
              </w:rPr>
              <w:t>.</w:t>
            </w:r>
            <w:r>
              <w:rPr>
                <w:rFonts w:cs="Times New Roman"/>
                <w:color w:val="000000"/>
                <w:kern w:val="2"/>
                <w:sz w:val="21"/>
                <w:szCs w:val="21"/>
                <w:lang w:val="en-US"/>
              </w:rPr>
              <w:t xml:space="preserve"> ▲</w:t>
            </w:r>
            <w:r>
              <w:rPr>
                <w:rFonts w:hint="eastAsia" w:cs="Times New Roman"/>
                <w:kern w:val="2"/>
                <w:sz w:val="21"/>
                <w:szCs w:val="21"/>
                <w:lang w:val="en-US"/>
              </w:rPr>
              <w:t>待机功耗：≤3</w:t>
            </w:r>
            <w:r>
              <w:rPr>
                <w:rFonts w:cs="Times New Roman"/>
                <w:kern w:val="2"/>
                <w:sz w:val="21"/>
                <w:szCs w:val="21"/>
                <w:lang w:val="en-US"/>
              </w:rPr>
              <w:t>W</w:t>
            </w:r>
          </w:p>
          <w:p w14:paraId="457F160E">
            <w:pPr>
              <w:jc w:val="both"/>
              <w:rPr>
                <w:rFonts w:cs="Times New Roman"/>
                <w:kern w:val="2"/>
                <w:sz w:val="21"/>
                <w:szCs w:val="21"/>
                <w:lang w:val="en-US"/>
              </w:rPr>
            </w:pPr>
            <w:r>
              <w:rPr>
                <w:rFonts w:hint="eastAsia" w:cs="Times New Roman"/>
                <w:kern w:val="2"/>
                <w:sz w:val="21"/>
                <w:szCs w:val="21"/>
                <w:lang w:val="en-US"/>
              </w:rPr>
              <w:t>4</w:t>
            </w:r>
            <w:r>
              <w:rPr>
                <w:rFonts w:cs="Times New Roman"/>
                <w:kern w:val="2"/>
                <w:sz w:val="21"/>
                <w:szCs w:val="21"/>
                <w:lang w:val="en-US"/>
              </w:rPr>
              <w:t>.</w:t>
            </w:r>
            <w:r>
              <w:rPr>
                <w:rFonts w:hint="eastAsia" w:cs="Times New Roman"/>
                <w:kern w:val="2"/>
                <w:sz w:val="21"/>
                <w:szCs w:val="21"/>
                <w:lang w:val="en-US"/>
              </w:rPr>
              <w:t>充电接口：满足</w:t>
            </w:r>
            <w:r>
              <w:rPr>
                <w:rFonts w:cs="Times New Roman"/>
                <w:kern w:val="2"/>
                <w:sz w:val="21"/>
                <w:szCs w:val="21"/>
                <w:lang w:val="en-US"/>
              </w:rPr>
              <w:t>GB/T20234.1-2015</w:t>
            </w:r>
            <w:r>
              <w:rPr>
                <w:rFonts w:hint="eastAsia" w:cs="Times New Roman"/>
                <w:kern w:val="2"/>
                <w:sz w:val="21"/>
                <w:szCs w:val="21"/>
                <w:lang w:val="en-US"/>
              </w:rPr>
              <w:t>、</w:t>
            </w:r>
            <w:r>
              <w:rPr>
                <w:rFonts w:cs="Times New Roman"/>
                <w:kern w:val="2"/>
                <w:sz w:val="21"/>
                <w:szCs w:val="21"/>
                <w:lang w:val="en-US"/>
              </w:rPr>
              <w:t>GB/T20234.2-2015</w:t>
            </w:r>
          </w:p>
          <w:p w14:paraId="3EF43A47">
            <w:pPr>
              <w:jc w:val="both"/>
              <w:rPr>
                <w:rFonts w:cs="Times New Roman"/>
                <w:kern w:val="2"/>
                <w:sz w:val="21"/>
                <w:szCs w:val="21"/>
                <w:lang w:val="en-US"/>
              </w:rPr>
            </w:pPr>
            <w:r>
              <w:rPr>
                <w:rFonts w:cs="Times New Roman"/>
                <w:kern w:val="2"/>
                <w:sz w:val="21"/>
                <w:szCs w:val="21"/>
                <w:lang w:val="en-US"/>
              </w:rPr>
              <w:t>5.充电枪线长≥5米；</w:t>
            </w:r>
          </w:p>
          <w:p w14:paraId="18F59418">
            <w:pPr>
              <w:jc w:val="both"/>
              <w:rPr>
                <w:rFonts w:cs="Times New Roman"/>
                <w:kern w:val="2"/>
                <w:sz w:val="21"/>
                <w:szCs w:val="21"/>
                <w:lang w:val="en-US"/>
              </w:rPr>
            </w:pPr>
            <w:r>
              <w:rPr>
                <w:rFonts w:hint="eastAsia" w:cs="Times New Roman"/>
                <w:kern w:val="2"/>
                <w:sz w:val="21"/>
                <w:szCs w:val="21"/>
                <w:lang w:val="en-US"/>
              </w:rPr>
              <w:t>6</w:t>
            </w:r>
            <w:r>
              <w:rPr>
                <w:rFonts w:cs="Times New Roman"/>
                <w:kern w:val="2"/>
                <w:sz w:val="21"/>
                <w:szCs w:val="21"/>
                <w:lang w:val="en-US"/>
              </w:rPr>
              <w:t>.</w:t>
            </w:r>
            <w:r>
              <w:rPr>
                <w:rFonts w:hint="eastAsia" w:cs="Times New Roman"/>
                <w:kern w:val="2"/>
                <w:sz w:val="21"/>
                <w:szCs w:val="21"/>
                <w:lang w:val="en-US"/>
              </w:rPr>
              <w:t>交流输入电压：2</w:t>
            </w:r>
            <w:r>
              <w:rPr>
                <w:rFonts w:cs="Times New Roman"/>
                <w:kern w:val="2"/>
                <w:sz w:val="21"/>
                <w:szCs w:val="21"/>
                <w:lang w:val="en-US"/>
              </w:rPr>
              <w:t>20V</w:t>
            </w:r>
            <w:r>
              <w:rPr>
                <w:rFonts w:hint="eastAsia" w:cs="Times New Roman"/>
                <w:kern w:val="2"/>
                <w:sz w:val="21"/>
                <w:szCs w:val="21"/>
                <w:lang w:val="en-US"/>
              </w:rPr>
              <w:t>±</w:t>
            </w:r>
            <w:r>
              <w:rPr>
                <w:rFonts w:cs="Times New Roman"/>
                <w:kern w:val="2"/>
                <w:sz w:val="21"/>
                <w:szCs w:val="21"/>
                <w:lang w:val="en-US"/>
              </w:rPr>
              <w:t>10%</w:t>
            </w:r>
          </w:p>
          <w:p w14:paraId="0CBE1770">
            <w:pPr>
              <w:jc w:val="both"/>
              <w:rPr>
                <w:rFonts w:cs="Times New Roman"/>
                <w:kern w:val="2"/>
                <w:sz w:val="21"/>
                <w:szCs w:val="21"/>
                <w:lang w:val="en-US"/>
              </w:rPr>
            </w:pPr>
            <w:r>
              <w:rPr>
                <w:rFonts w:hint="eastAsia" w:cs="Times New Roman"/>
                <w:kern w:val="2"/>
                <w:sz w:val="21"/>
                <w:szCs w:val="21"/>
                <w:lang w:val="en-US"/>
              </w:rPr>
              <w:t>7</w:t>
            </w:r>
            <w:r>
              <w:rPr>
                <w:rFonts w:cs="Times New Roman"/>
                <w:kern w:val="2"/>
                <w:sz w:val="21"/>
                <w:szCs w:val="21"/>
                <w:lang w:val="en-US"/>
              </w:rPr>
              <w:t>.</w:t>
            </w:r>
            <w:r>
              <w:rPr>
                <w:rFonts w:hint="eastAsia" w:cs="Times New Roman"/>
                <w:kern w:val="2"/>
                <w:sz w:val="21"/>
                <w:szCs w:val="21"/>
                <w:lang w:val="en-US"/>
              </w:rPr>
              <w:t>噪声：≤</w:t>
            </w:r>
            <w:r>
              <w:rPr>
                <w:rFonts w:cs="Times New Roman"/>
                <w:kern w:val="2"/>
                <w:sz w:val="21"/>
                <w:szCs w:val="21"/>
                <w:lang w:val="en-US"/>
              </w:rPr>
              <w:t>20dB</w:t>
            </w:r>
          </w:p>
          <w:p w14:paraId="50236D60">
            <w:pPr>
              <w:jc w:val="both"/>
              <w:rPr>
                <w:rFonts w:cs="Times New Roman"/>
                <w:kern w:val="2"/>
                <w:sz w:val="21"/>
                <w:szCs w:val="21"/>
                <w:lang w:val="en-US"/>
              </w:rPr>
            </w:pPr>
            <w:r>
              <w:rPr>
                <w:rFonts w:hint="eastAsia" w:cs="Times New Roman"/>
                <w:kern w:val="2"/>
                <w:sz w:val="21"/>
                <w:szCs w:val="21"/>
                <w:lang w:val="en-US"/>
              </w:rPr>
              <w:t>8</w:t>
            </w:r>
            <w:r>
              <w:rPr>
                <w:rFonts w:cs="Times New Roman"/>
                <w:kern w:val="2"/>
                <w:sz w:val="21"/>
                <w:szCs w:val="21"/>
                <w:lang w:val="en-US"/>
              </w:rPr>
              <w:t>.</w:t>
            </w:r>
            <w:r>
              <w:rPr>
                <w:rFonts w:hint="eastAsia" w:cs="Times New Roman"/>
                <w:kern w:val="2"/>
                <w:sz w:val="21"/>
                <w:szCs w:val="21"/>
                <w:lang w:val="en-US"/>
              </w:rPr>
              <w:t>介电强度：</w:t>
            </w:r>
            <w:r>
              <w:rPr>
                <w:rFonts w:cs="Times New Roman"/>
                <w:kern w:val="2"/>
                <w:sz w:val="21"/>
                <w:szCs w:val="21"/>
                <w:lang w:val="en-US"/>
              </w:rPr>
              <w:t>≥2000V</w:t>
            </w:r>
          </w:p>
          <w:p w14:paraId="114B686B">
            <w:pPr>
              <w:jc w:val="both"/>
              <w:rPr>
                <w:rFonts w:cs="Times New Roman"/>
                <w:kern w:val="2"/>
                <w:sz w:val="21"/>
                <w:szCs w:val="21"/>
                <w:lang w:val="en-US"/>
              </w:rPr>
            </w:pPr>
            <w:r>
              <w:rPr>
                <w:rFonts w:hint="eastAsia" w:cs="Times New Roman"/>
                <w:kern w:val="2"/>
                <w:sz w:val="21"/>
                <w:szCs w:val="21"/>
                <w:lang w:val="en-US"/>
              </w:rPr>
              <w:t>9</w:t>
            </w:r>
            <w:r>
              <w:rPr>
                <w:rFonts w:cs="Times New Roman"/>
                <w:kern w:val="2"/>
                <w:sz w:val="21"/>
                <w:szCs w:val="21"/>
                <w:lang w:val="en-US"/>
              </w:rPr>
              <w:t>.</w:t>
            </w:r>
            <w:r>
              <w:rPr>
                <w:rFonts w:hint="eastAsia" w:cs="Times New Roman"/>
                <w:kern w:val="2"/>
                <w:sz w:val="21"/>
                <w:szCs w:val="21"/>
                <w:lang w:val="en-US"/>
              </w:rPr>
              <w:t>漏电流：</w:t>
            </w:r>
            <w:r>
              <w:rPr>
                <w:rFonts w:cs="Times New Roman"/>
                <w:kern w:val="2"/>
                <w:sz w:val="21"/>
                <w:szCs w:val="21"/>
                <w:lang w:val="en-US"/>
              </w:rPr>
              <w:t>≤3.5MA</w:t>
            </w:r>
          </w:p>
          <w:p w14:paraId="1674E28A">
            <w:pPr>
              <w:jc w:val="both"/>
              <w:rPr>
                <w:rFonts w:cs="Times New Roman"/>
                <w:kern w:val="2"/>
                <w:sz w:val="21"/>
                <w:szCs w:val="21"/>
                <w:lang w:val="en-US"/>
              </w:rPr>
            </w:pPr>
            <w:r>
              <w:rPr>
                <w:rFonts w:hint="eastAsia" w:cs="Times New Roman"/>
                <w:kern w:val="2"/>
                <w:sz w:val="21"/>
                <w:szCs w:val="21"/>
                <w:lang w:val="en-US"/>
              </w:rPr>
              <w:t>1</w:t>
            </w:r>
            <w:r>
              <w:rPr>
                <w:rFonts w:cs="Times New Roman"/>
                <w:kern w:val="2"/>
                <w:sz w:val="21"/>
                <w:szCs w:val="21"/>
                <w:lang w:val="en-US"/>
              </w:rPr>
              <w:t>0.</w:t>
            </w:r>
            <w:r>
              <w:rPr>
                <w:rFonts w:cs="Times New Roman"/>
                <w:color w:val="000000"/>
                <w:kern w:val="2"/>
                <w:sz w:val="21"/>
                <w:szCs w:val="21"/>
                <w:lang w:val="en-US"/>
              </w:rPr>
              <w:t xml:space="preserve"> ▲</w:t>
            </w:r>
            <w:r>
              <w:rPr>
                <w:rFonts w:hint="eastAsia" w:cs="Times New Roman"/>
                <w:kern w:val="2"/>
                <w:sz w:val="21"/>
                <w:szCs w:val="21"/>
                <w:lang w:val="en-US"/>
              </w:rPr>
              <w:t>防护等级：</w:t>
            </w:r>
            <w:r>
              <w:rPr>
                <w:rFonts w:cs="Times New Roman"/>
                <w:kern w:val="2"/>
                <w:sz w:val="21"/>
                <w:szCs w:val="21"/>
                <w:lang w:val="en-US"/>
              </w:rPr>
              <w:t>≥IP</w:t>
            </w:r>
            <w:r>
              <w:rPr>
                <w:rFonts w:hint="eastAsia" w:cs="Times New Roman"/>
                <w:kern w:val="2"/>
                <w:sz w:val="21"/>
                <w:szCs w:val="21"/>
                <w:lang w:val="en-US" w:eastAsia="zh-CN"/>
              </w:rPr>
              <w:t>6</w:t>
            </w:r>
            <w:r>
              <w:rPr>
                <w:rFonts w:cs="Times New Roman"/>
                <w:kern w:val="2"/>
                <w:sz w:val="21"/>
                <w:szCs w:val="21"/>
                <w:lang w:val="en-US"/>
              </w:rPr>
              <w:t>5</w:t>
            </w:r>
          </w:p>
        </w:tc>
      </w:tr>
    </w:tbl>
    <w:p w14:paraId="4DE6CB96">
      <w:pPr>
        <w:tabs>
          <w:tab w:val="left" w:pos="525"/>
          <w:tab w:val="left" w:pos="1140"/>
        </w:tabs>
        <w:adjustRightInd w:val="0"/>
        <w:snapToGrid w:val="0"/>
        <w:spacing w:line="400" w:lineRule="exact"/>
        <w:rPr>
          <w:rFonts w:cs="Times New Roman"/>
          <w:b/>
          <w:bCs/>
          <w:caps/>
          <w:sz w:val="21"/>
          <w:szCs w:val="21"/>
          <w:lang w:val="en-US"/>
        </w:rPr>
      </w:pPr>
      <w:r>
        <w:rPr>
          <w:rFonts w:hint="eastAsia" w:cs="Times New Roman"/>
          <w:b/>
          <w:bCs/>
          <w:caps/>
          <w:sz w:val="21"/>
          <w:szCs w:val="21"/>
          <w:lang w:val="en-US"/>
        </w:rPr>
        <w:t>功能要求</w:t>
      </w:r>
    </w:p>
    <w:p w14:paraId="10B65503">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（1）计量功能</w:t>
      </w:r>
    </w:p>
    <w:p w14:paraId="709E3D95">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电能计量装置应符合国家计量器具鉴定相关要求。</w:t>
      </w:r>
    </w:p>
    <w:p w14:paraId="40BA77B5">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计量精度符合</w:t>
      </w:r>
      <w:r>
        <w:rPr>
          <w:rFonts w:cs="Times New Roman"/>
          <w:kern w:val="2"/>
          <w:sz w:val="21"/>
          <w:szCs w:val="21"/>
          <w:lang w:val="en-US"/>
        </w:rPr>
        <w:t>JJG 1148-2022电动汽车交流充电桩</w:t>
      </w:r>
      <w:r>
        <w:rPr>
          <w:rFonts w:hint="eastAsia" w:cs="Times New Roman"/>
          <w:kern w:val="2"/>
          <w:sz w:val="21"/>
          <w:szCs w:val="21"/>
          <w:lang w:val="en-US"/>
        </w:rPr>
        <w:t>，并检定1级精度合格。</w:t>
      </w:r>
    </w:p>
    <w:p w14:paraId="7A7161A8">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w:t>
      </w:r>
      <w:r>
        <w:rPr>
          <w:rFonts w:cs="Times New Roman"/>
          <w:caps/>
          <w:sz w:val="21"/>
          <w:szCs w:val="21"/>
          <w:lang w:val="en-US"/>
        </w:rPr>
        <w:t>2</w:t>
      </w:r>
      <w:r>
        <w:rPr>
          <w:rFonts w:hint="eastAsia" w:cs="Times New Roman"/>
          <w:caps/>
          <w:sz w:val="21"/>
          <w:szCs w:val="21"/>
          <w:lang w:val="en-US"/>
        </w:rPr>
        <w:t>）保护功能</w:t>
      </w:r>
    </w:p>
    <w:p w14:paraId="6D842AB3">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充电桩的安全性要求应满足GB/T 18487.1-2015附录A中对应的描述和要求。</w:t>
      </w:r>
    </w:p>
    <w:p w14:paraId="11656663">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充电桩的电源回路应具备带负载可分合的开关电器。</w:t>
      </w:r>
    </w:p>
    <w:p w14:paraId="6E01FDB1">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充电桩的电源回路应安装过载、短路、漏电保护装置。</w:t>
      </w:r>
    </w:p>
    <w:p w14:paraId="774B277A">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充电桩的电源回路应具备防雷保护功能，并且符合GB/T  17626.5-2008电磁兼容试验和测量技术（冲击）抗扰度试验  试验等级：3级的要求。</w:t>
      </w:r>
    </w:p>
    <w:p w14:paraId="4D14B510">
      <w:pPr>
        <w:overflowPunct w:val="0"/>
        <w:topLinePunct/>
        <w:adjustRightInd w:val="0"/>
        <w:snapToGrid w:val="0"/>
        <w:spacing w:line="400" w:lineRule="exact"/>
        <w:ind w:firstLine="420" w:firstLineChars="200"/>
        <w:rPr>
          <w:rFonts w:cs="Times New Roman"/>
          <w:kern w:val="2"/>
          <w:sz w:val="21"/>
          <w:szCs w:val="21"/>
          <w:lang w:val="en-US"/>
        </w:rPr>
      </w:pPr>
      <w:r>
        <w:rPr>
          <w:rFonts w:cs="Times New Roman"/>
          <w:color w:val="000000"/>
          <w:kern w:val="2"/>
          <w:sz w:val="21"/>
          <w:szCs w:val="21"/>
          <w:lang w:val="en-US"/>
        </w:rPr>
        <w:t>▲</w:t>
      </w:r>
      <w:r>
        <w:rPr>
          <w:rFonts w:hint="eastAsia" w:cs="Times New Roman"/>
          <w:kern w:val="2"/>
          <w:sz w:val="21"/>
          <w:szCs w:val="21"/>
          <w:lang w:val="en-US"/>
        </w:rPr>
        <w:t>充电桩应具备急停开关，能实现在充电过程中</w:t>
      </w:r>
      <w:r>
        <w:rPr>
          <w:rFonts w:cs="Times New Roman"/>
          <w:kern w:val="2"/>
          <w:sz w:val="21"/>
          <w:szCs w:val="21"/>
          <w:lang w:val="en-US"/>
        </w:rPr>
        <w:t>3</w:t>
      </w:r>
      <w:r>
        <w:rPr>
          <w:rFonts w:hint="eastAsia" w:cs="Times New Roman"/>
          <w:kern w:val="2"/>
          <w:sz w:val="21"/>
          <w:szCs w:val="21"/>
          <w:lang w:val="en-US"/>
        </w:rPr>
        <w:t>0ms内紧急切断交流供电回路并亮红灯告警。</w:t>
      </w:r>
    </w:p>
    <w:p w14:paraId="13DF5A8B">
      <w:pPr>
        <w:overflowPunct w:val="0"/>
        <w:topLinePunct/>
        <w:adjustRightInd w:val="0"/>
        <w:snapToGrid w:val="0"/>
        <w:spacing w:line="400" w:lineRule="exact"/>
        <w:ind w:firstLine="420" w:firstLineChars="200"/>
        <w:rPr>
          <w:rFonts w:cs="Times New Roman"/>
          <w:kern w:val="2"/>
          <w:sz w:val="21"/>
          <w:szCs w:val="21"/>
          <w:lang w:val="en-US"/>
        </w:rPr>
      </w:pPr>
      <w:r>
        <w:rPr>
          <w:rFonts w:cs="Times New Roman"/>
          <w:color w:val="000000"/>
          <w:kern w:val="2"/>
          <w:sz w:val="21"/>
          <w:szCs w:val="21"/>
          <w:lang w:val="en-US"/>
        </w:rPr>
        <w:t>▲</w:t>
      </w:r>
      <w:r>
        <w:rPr>
          <w:rFonts w:hint="eastAsia" w:cs="Times New Roman"/>
          <w:kern w:val="2"/>
          <w:sz w:val="21"/>
          <w:szCs w:val="21"/>
          <w:lang w:val="en-US"/>
        </w:rPr>
        <w:t>恢复急停开关后，设备切换至待机状态，能够正常启动充电。</w:t>
      </w:r>
    </w:p>
    <w:p w14:paraId="6AD66FB8">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在充电过程中出现连接异常时，充电桩应立即（100ms内）自动切断输出电源。</w:t>
      </w:r>
    </w:p>
    <w:p w14:paraId="1A8E12CB">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在停止充电时，充电桩应保证输出电源回路处于断开状态。</w:t>
      </w:r>
    </w:p>
    <w:p w14:paraId="24EB8DD7">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额定充电电流大于16A的充电桩，供电插座应设置温度监控装置，供电设备应具备温度监测和过温保护功能。</w:t>
      </w:r>
    </w:p>
    <w:p w14:paraId="76901435">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剩余电流保护器宜采用A型。</w:t>
      </w:r>
    </w:p>
    <w:p w14:paraId="71FB5248">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充电桩应具备保护接地导体连续性的持续检测功能，在失去保护接地导体连续性的情况下，应在100ms内切断输出电源</w:t>
      </w:r>
    </w:p>
    <w:p w14:paraId="572FC038">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w:t>
      </w:r>
      <w:r>
        <w:rPr>
          <w:rFonts w:cs="Times New Roman"/>
          <w:caps/>
          <w:sz w:val="21"/>
          <w:szCs w:val="21"/>
          <w:lang w:val="en-US"/>
        </w:rPr>
        <w:t>3</w:t>
      </w:r>
      <w:r>
        <w:rPr>
          <w:rFonts w:hint="eastAsia" w:cs="Times New Roman"/>
          <w:caps/>
          <w:sz w:val="21"/>
          <w:szCs w:val="21"/>
          <w:lang w:val="en-US"/>
        </w:rPr>
        <w:t>）自检功能</w:t>
      </w:r>
    </w:p>
    <w:p w14:paraId="0ACDC703">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充电桩应具备自检及故障报警功能。</w:t>
      </w:r>
    </w:p>
    <w:p w14:paraId="7053CD8A">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w:t>
      </w:r>
      <w:r>
        <w:rPr>
          <w:rFonts w:cs="Times New Roman"/>
          <w:caps/>
          <w:sz w:val="21"/>
          <w:szCs w:val="21"/>
          <w:lang w:val="en-US"/>
        </w:rPr>
        <w:t>4</w:t>
      </w:r>
      <w:r>
        <w:rPr>
          <w:rFonts w:hint="eastAsia" w:cs="Times New Roman"/>
          <w:caps/>
          <w:sz w:val="21"/>
          <w:szCs w:val="21"/>
          <w:lang w:val="en-US"/>
        </w:rPr>
        <w:t>）锁止功能</w:t>
      </w:r>
    </w:p>
    <w:p w14:paraId="70E17A97">
      <w:pPr>
        <w:overflowPunct w:val="0"/>
        <w:topLinePunct/>
        <w:adjustRightInd w:val="0"/>
        <w:snapToGrid w:val="0"/>
        <w:spacing w:line="400" w:lineRule="exact"/>
        <w:ind w:firstLine="420" w:firstLineChars="200"/>
        <w:rPr>
          <w:rFonts w:cs="Times New Roman"/>
          <w:kern w:val="2"/>
          <w:sz w:val="21"/>
          <w:szCs w:val="21"/>
          <w:lang w:val="en-US"/>
        </w:rPr>
      </w:pPr>
      <w:r>
        <w:rPr>
          <w:rFonts w:hint="eastAsia" w:cs="Times New Roman"/>
          <w:kern w:val="2"/>
          <w:sz w:val="21"/>
          <w:szCs w:val="21"/>
          <w:lang w:val="en-US"/>
        </w:rPr>
        <w:t>交流充电电流大于16A时，供电接口插座应安装电子锁止装置，具有锁止功能，该锁止功能应符合GB/T20234.1的相关要求。防止充电过程中的意外断开。当电子锁未可靠锁止时，供电设备或电动汽车应停止充电或不启动充电。</w:t>
      </w:r>
    </w:p>
    <w:p w14:paraId="27FAB65A">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w:t>
      </w:r>
      <w:r>
        <w:rPr>
          <w:rFonts w:cs="Times New Roman"/>
          <w:caps/>
          <w:sz w:val="21"/>
          <w:szCs w:val="21"/>
          <w:lang w:val="en-US"/>
        </w:rPr>
        <w:t>5</w:t>
      </w:r>
      <w:r>
        <w:rPr>
          <w:rFonts w:hint="eastAsia" w:cs="Times New Roman"/>
          <w:caps/>
          <w:sz w:val="21"/>
          <w:szCs w:val="21"/>
          <w:lang w:val="en-US"/>
        </w:rPr>
        <w:t>）</w:t>
      </w:r>
      <w:r>
        <w:rPr>
          <w:rFonts w:cs="Times New Roman"/>
          <w:caps/>
          <w:sz w:val="21"/>
          <w:szCs w:val="21"/>
          <w:lang w:val="en-US"/>
        </w:rPr>
        <w:t>远程升级</w:t>
      </w:r>
    </w:p>
    <w:p w14:paraId="3FC145A3">
      <w:pPr>
        <w:overflowPunct w:val="0"/>
        <w:topLinePunct/>
        <w:adjustRightInd w:val="0"/>
        <w:snapToGrid w:val="0"/>
        <w:spacing w:line="400" w:lineRule="exact"/>
        <w:ind w:firstLine="420" w:firstLineChars="200"/>
        <w:rPr>
          <w:rFonts w:cs="Times New Roman"/>
          <w:kern w:val="2"/>
          <w:sz w:val="21"/>
          <w:szCs w:val="21"/>
          <w:lang w:val="en-US"/>
        </w:rPr>
      </w:pPr>
      <w:r>
        <w:rPr>
          <w:rFonts w:cs="Times New Roman"/>
          <w:kern w:val="2"/>
          <w:sz w:val="21"/>
          <w:szCs w:val="21"/>
          <w:lang w:val="en-US"/>
        </w:rPr>
        <w:t>配置通讯模块，充电机烧写程序可通过联网后</w:t>
      </w:r>
      <w:r>
        <w:rPr>
          <w:rFonts w:hint="eastAsia" w:cs="Times New Roman"/>
          <w:kern w:val="2"/>
          <w:sz w:val="21"/>
          <w:szCs w:val="21"/>
          <w:lang w:val="en-US"/>
        </w:rPr>
        <w:t>通过</w:t>
      </w:r>
      <w:r>
        <w:rPr>
          <w:rFonts w:cs="Times New Roman"/>
          <w:kern w:val="2"/>
          <w:sz w:val="21"/>
          <w:szCs w:val="21"/>
          <w:lang w:val="en-US"/>
        </w:rPr>
        <w:t>监控运维平台控制，</w:t>
      </w:r>
      <w:r>
        <w:rPr>
          <w:rFonts w:hint="eastAsia" w:cs="Times New Roman"/>
          <w:kern w:val="2"/>
          <w:sz w:val="21"/>
          <w:szCs w:val="21"/>
          <w:lang w:val="en-US"/>
        </w:rPr>
        <w:t>远程</w:t>
      </w:r>
      <w:r>
        <w:rPr>
          <w:rFonts w:cs="Times New Roman"/>
          <w:kern w:val="2"/>
          <w:sz w:val="21"/>
          <w:szCs w:val="21"/>
          <w:lang w:val="en-US"/>
        </w:rPr>
        <w:t>一键升级，远程更新所有通信协议，以及新国标更新等带来的控制模式升级</w:t>
      </w:r>
      <w:r>
        <w:rPr>
          <w:rFonts w:hint="eastAsia" w:cs="Times New Roman"/>
          <w:kern w:val="2"/>
          <w:sz w:val="21"/>
          <w:szCs w:val="21"/>
          <w:lang w:val="en-US"/>
        </w:rPr>
        <w:t>。</w:t>
      </w:r>
    </w:p>
    <w:p w14:paraId="265B1622">
      <w:pPr>
        <w:tabs>
          <w:tab w:val="left" w:pos="525"/>
          <w:tab w:val="left" w:pos="1140"/>
        </w:tabs>
        <w:adjustRightInd w:val="0"/>
        <w:snapToGrid w:val="0"/>
        <w:spacing w:line="400" w:lineRule="exact"/>
        <w:rPr>
          <w:rFonts w:cs="Times New Roman"/>
          <w:caps/>
          <w:sz w:val="21"/>
          <w:szCs w:val="21"/>
          <w:lang w:val="en-US"/>
        </w:rPr>
      </w:pPr>
      <w:r>
        <w:rPr>
          <w:rFonts w:hint="eastAsia" w:cs="Times New Roman"/>
          <w:caps/>
          <w:sz w:val="21"/>
          <w:szCs w:val="21"/>
          <w:lang w:val="en-US"/>
        </w:rPr>
        <w:t>（</w:t>
      </w:r>
      <w:r>
        <w:rPr>
          <w:rFonts w:cs="Times New Roman"/>
          <w:caps/>
          <w:sz w:val="21"/>
          <w:szCs w:val="21"/>
          <w:lang w:val="en-US"/>
        </w:rPr>
        <w:t>6</w:t>
      </w:r>
      <w:r>
        <w:rPr>
          <w:rFonts w:hint="eastAsia" w:cs="Times New Roman"/>
          <w:caps/>
          <w:sz w:val="21"/>
          <w:szCs w:val="21"/>
          <w:lang w:val="en-US"/>
        </w:rPr>
        <w:t>）其他必要功能</w:t>
      </w:r>
    </w:p>
    <w:p w14:paraId="2C907C10">
      <w:pPr>
        <w:overflowPunct w:val="0"/>
        <w:topLinePunct/>
        <w:adjustRightInd w:val="0"/>
        <w:snapToGrid w:val="0"/>
        <w:spacing w:line="400" w:lineRule="exact"/>
        <w:ind w:firstLine="420" w:firstLineChars="200"/>
        <w:rPr>
          <w:rFonts w:cs="Times New Roman"/>
          <w:kern w:val="2"/>
          <w:sz w:val="21"/>
          <w:szCs w:val="21"/>
          <w:lang w:val="en-US"/>
        </w:rPr>
      </w:pPr>
      <w:r>
        <w:rPr>
          <w:rFonts w:cs="Times New Roman"/>
          <w:kern w:val="2"/>
          <w:sz w:val="21"/>
          <w:szCs w:val="21"/>
          <w:lang w:val="en-US"/>
        </w:rPr>
        <w:t>充电桩应具备充电枪头锁止保护功能</w:t>
      </w:r>
      <w:r>
        <w:rPr>
          <w:rFonts w:hint="eastAsia" w:cs="Times New Roman"/>
          <w:kern w:val="2"/>
          <w:sz w:val="21"/>
          <w:szCs w:val="21"/>
          <w:lang w:val="en-US"/>
        </w:rPr>
        <w:t>，</w:t>
      </w:r>
      <w:r>
        <w:rPr>
          <w:rFonts w:cs="Times New Roman"/>
          <w:kern w:val="2"/>
          <w:sz w:val="21"/>
          <w:szCs w:val="21"/>
          <w:lang w:val="en-US"/>
        </w:rPr>
        <w:t>防止充电桩非充电状态下</w:t>
      </w:r>
      <w:r>
        <w:rPr>
          <w:rFonts w:hint="eastAsia" w:cs="Times New Roman"/>
          <w:kern w:val="2"/>
          <w:sz w:val="21"/>
          <w:szCs w:val="21"/>
          <w:lang w:val="en-US"/>
        </w:rPr>
        <w:t>被拔枪的情况出现。</w:t>
      </w:r>
    </w:p>
    <w:bookmarkEnd w:id="71"/>
    <w:bookmarkEnd w:id="72"/>
    <w:bookmarkEnd w:id="73"/>
    <w:bookmarkEnd w:id="74"/>
    <w:bookmarkEnd w:id="75"/>
    <w:bookmarkEnd w:id="76"/>
    <w:bookmarkEnd w:id="77"/>
    <w:bookmarkEnd w:id="78"/>
    <w:bookmarkEnd w:id="79"/>
    <w:bookmarkEnd w:id="80"/>
    <w:bookmarkEnd w:id="81"/>
    <w:p w14:paraId="59CC458F">
      <w:pPr>
        <w:keepNext/>
        <w:keepLines/>
        <w:spacing w:line="400" w:lineRule="exact"/>
        <w:jc w:val="both"/>
        <w:outlineLvl w:val="1"/>
        <w:rPr>
          <w:rFonts w:cs="Times New Roman"/>
          <w:b/>
          <w:bCs/>
          <w:kern w:val="2"/>
          <w:sz w:val="21"/>
          <w:szCs w:val="21"/>
          <w:lang w:val="en-US"/>
        </w:rPr>
      </w:pPr>
      <w:r>
        <w:rPr>
          <w:rFonts w:hint="eastAsia" w:cs="Times New Roman"/>
          <w:b/>
          <w:bCs/>
          <w:kern w:val="2"/>
          <w:sz w:val="21"/>
          <w:szCs w:val="21"/>
          <w:lang w:val="en-US"/>
        </w:rPr>
        <w:t>充电运营管理平台技术要求</w:t>
      </w:r>
    </w:p>
    <w:p w14:paraId="3EEC14D4">
      <w:pPr>
        <w:keepNext/>
        <w:keepLines/>
        <w:spacing w:line="400" w:lineRule="exact"/>
        <w:jc w:val="both"/>
        <w:outlineLvl w:val="2"/>
        <w:rPr>
          <w:rFonts w:cs="Times New Roman"/>
          <w:b/>
          <w:bCs/>
          <w:kern w:val="2"/>
          <w:sz w:val="21"/>
          <w:szCs w:val="21"/>
          <w:lang w:val="en-US"/>
        </w:rPr>
      </w:pPr>
      <w:r>
        <w:rPr>
          <w:rFonts w:hint="eastAsia" w:cs="Times New Roman"/>
          <w:b/>
          <w:bCs/>
          <w:kern w:val="2"/>
          <w:sz w:val="21"/>
          <w:szCs w:val="21"/>
          <w:lang w:val="en-US"/>
        </w:rPr>
        <w:t>总则</w:t>
      </w:r>
    </w:p>
    <w:p w14:paraId="306E75A6">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按业务需求</w:t>
      </w:r>
      <w:r>
        <w:rPr>
          <w:rFonts w:cs="Times New Roman"/>
          <w:kern w:val="2"/>
          <w:sz w:val="21"/>
          <w:szCs w:val="21"/>
          <w:lang w:val="en-US"/>
        </w:rPr>
        <w:t>交付</w:t>
      </w:r>
      <w:r>
        <w:rPr>
          <w:rFonts w:hint="eastAsia" w:cs="Times New Roman"/>
          <w:kern w:val="2"/>
          <w:sz w:val="21"/>
          <w:szCs w:val="21"/>
          <w:lang w:val="en-US"/>
        </w:rPr>
        <w:t>各功能模块</w:t>
      </w:r>
      <w:r>
        <w:rPr>
          <w:rFonts w:cs="Times New Roman"/>
          <w:kern w:val="2"/>
          <w:sz w:val="21"/>
          <w:szCs w:val="21"/>
          <w:lang w:val="en-US"/>
        </w:rPr>
        <w:t>服务，</w:t>
      </w:r>
      <w:r>
        <w:rPr>
          <w:rFonts w:hint="eastAsia" w:cs="Times New Roman"/>
          <w:kern w:val="2"/>
          <w:sz w:val="21"/>
          <w:szCs w:val="21"/>
          <w:lang w:val="en-US"/>
        </w:rPr>
        <w:t>满足运营、运维、财务管理需求；提供系统数据接口，实现与现有运行系统、未来规划系统的互联互通；提供充电桩与平台交互系统，实现接入多家充电桩设备；提供后期维护及需求迭代，能够根据新能源行业的发展，向上向下兼容新技术和新的业务场景；提供完善的数据分析能力，通过数字可视化技术实现业务数据的多维分析。</w:t>
      </w:r>
    </w:p>
    <w:p w14:paraId="47BE56F7">
      <w:pPr>
        <w:keepNext/>
        <w:keepLines/>
        <w:spacing w:line="400" w:lineRule="exact"/>
        <w:jc w:val="both"/>
        <w:outlineLvl w:val="2"/>
        <w:rPr>
          <w:rFonts w:cs="Times New Roman"/>
          <w:b/>
          <w:bCs/>
          <w:kern w:val="2"/>
          <w:sz w:val="21"/>
          <w:szCs w:val="21"/>
          <w:lang w:val="en-US"/>
        </w:rPr>
      </w:pPr>
      <w:r>
        <w:rPr>
          <w:rFonts w:hint="eastAsia" w:cs="Times New Roman"/>
          <w:b/>
          <w:bCs/>
          <w:kern w:val="2"/>
          <w:sz w:val="21"/>
          <w:szCs w:val="21"/>
          <w:lang w:val="en-US"/>
        </w:rPr>
        <w:t>功能要求</w:t>
      </w:r>
    </w:p>
    <w:p w14:paraId="21FF417F">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投标方案必须包含充电桩日常运营管理、用户管理、财务管理、安全合规管理、服务管理、报表分析等模块，具体见下表清单。</w:t>
      </w:r>
    </w:p>
    <w:tbl>
      <w:tblPr>
        <w:tblStyle w:val="5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381"/>
        <w:gridCol w:w="6375"/>
      </w:tblGrid>
      <w:tr w14:paraId="1FEA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Align w:val="center"/>
          </w:tcPr>
          <w:p w14:paraId="64073C41">
            <w:pPr>
              <w:jc w:val="center"/>
              <w:rPr>
                <w:rFonts w:cs="Times New Roman"/>
                <w:b/>
                <w:bCs/>
                <w:kern w:val="2"/>
                <w:sz w:val="21"/>
                <w:szCs w:val="21"/>
                <w:lang w:val="en-US"/>
              </w:rPr>
            </w:pPr>
            <w:r>
              <w:rPr>
                <w:rFonts w:hint="eastAsia" w:cs="Times New Roman"/>
                <w:b/>
                <w:bCs/>
                <w:kern w:val="2"/>
                <w:sz w:val="21"/>
                <w:szCs w:val="21"/>
                <w:lang w:val="en-US"/>
              </w:rPr>
              <w:t>功能模块</w:t>
            </w:r>
          </w:p>
        </w:tc>
        <w:tc>
          <w:tcPr>
            <w:tcW w:w="1381" w:type="dxa"/>
            <w:vAlign w:val="center"/>
          </w:tcPr>
          <w:p w14:paraId="4D1E4E85">
            <w:pPr>
              <w:jc w:val="center"/>
              <w:rPr>
                <w:rFonts w:cs="Times New Roman"/>
                <w:b/>
                <w:bCs/>
                <w:kern w:val="2"/>
                <w:sz w:val="21"/>
                <w:szCs w:val="21"/>
                <w:lang w:val="en-US"/>
              </w:rPr>
            </w:pPr>
            <w:r>
              <w:rPr>
                <w:rFonts w:hint="eastAsia" w:cs="Times New Roman"/>
                <w:b/>
                <w:bCs/>
                <w:kern w:val="2"/>
                <w:sz w:val="21"/>
                <w:szCs w:val="21"/>
                <w:lang w:val="en-US"/>
              </w:rPr>
              <w:t>项目</w:t>
            </w:r>
          </w:p>
        </w:tc>
        <w:tc>
          <w:tcPr>
            <w:tcW w:w="6375" w:type="dxa"/>
            <w:vAlign w:val="center"/>
          </w:tcPr>
          <w:p w14:paraId="333BC07A">
            <w:pPr>
              <w:jc w:val="center"/>
              <w:rPr>
                <w:rFonts w:cs="Times New Roman"/>
                <w:b/>
                <w:bCs/>
                <w:kern w:val="2"/>
                <w:sz w:val="21"/>
                <w:szCs w:val="21"/>
                <w:lang w:val="en-US"/>
              </w:rPr>
            </w:pPr>
            <w:r>
              <w:rPr>
                <w:rFonts w:hint="eastAsia" w:cs="Times New Roman"/>
                <w:b/>
                <w:bCs/>
                <w:kern w:val="2"/>
                <w:sz w:val="21"/>
                <w:szCs w:val="21"/>
                <w:lang w:val="en-US"/>
              </w:rPr>
              <w:t>描述</w:t>
            </w:r>
          </w:p>
        </w:tc>
      </w:tr>
      <w:tr w14:paraId="481C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2BDACE41">
            <w:pPr>
              <w:jc w:val="center"/>
              <w:rPr>
                <w:rFonts w:cs="Times New Roman"/>
                <w:kern w:val="2"/>
                <w:sz w:val="21"/>
                <w:szCs w:val="21"/>
                <w:lang w:val="en-US"/>
              </w:rPr>
            </w:pPr>
            <w:r>
              <w:rPr>
                <w:rFonts w:hint="eastAsia" w:cs="Times New Roman"/>
                <w:kern w:val="2"/>
                <w:sz w:val="21"/>
                <w:szCs w:val="21"/>
                <w:lang w:val="en-US"/>
              </w:rPr>
              <w:t>运营管理</w:t>
            </w:r>
          </w:p>
        </w:tc>
        <w:tc>
          <w:tcPr>
            <w:tcW w:w="1381" w:type="dxa"/>
            <w:vAlign w:val="center"/>
          </w:tcPr>
          <w:p w14:paraId="5432E790">
            <w:pPr>
              <w:jc w:val="center"/>
              <w:rPr>
                <w:rFonts w:cs="Times New Roman"/>
                <w:kern w:val="2"/>
                <w:sz w:val="21"/>
                <w:szCs w:val="21"/>
                <w:lang w:val="en-US"/>
              </w:rPr>
            </w:pPr>
            <w:r>
              <w:rPr>
                <w:rFonts w:hint="eastAsia" w:cs="Times New Roman"/>
                <w:kern w:val="2"/>
                <w:sz w:val="21"/>
                <w:szCs w:val="21"/>
                <w:lang w:val="en-US"/>
              </w:rPr>
              <w:t>站点管理</w:t>
            </w:r>
          </w:p>
        </w:tc>
        <w:tc>
          <w:tcPr>
            <w:tcW w:w="6375" w:type="dxa"/>
            <w:vAlign w:val="center"/>
          </w:tcPr>
          <w:p w14:paraId="1C221123">
            <w:pPr>
              <w:jc w:val="both"/>
              <w:rPr>
                <w:rFonts w:cs="Times New Roman"/>
                <w:kern w:val="2"/>
                <w:sz w:val="21"/>
                <w:szCs w:val="21"/>
                <w:lang w:val="en-US"/>
              </w:rPr>
            </w:pPr>
            <w:r>
              <w:rPr>
                <w:rFonts w:hint="eastAsia" w:cs="Times New Roman"/>
                <w:kern w:val="2"/>
                <w:sz w:val="21"/>
                <w:szCs w:val="21"/>
                <w:lang w:val="en-US"/>
              </w:rPr>
              <w:t>新增、编辑、删除充电站地址、图片、经纬度等基本资料，管理站点运营状态、服务项目等</w:t>
            </w:r>
          </w:p>
        </w:tc>
      </w:tr>
      <w:tr w14:paraId="38DC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027FEDB9">
            <w:pPr>
              <w:jc w:val="center"/>
              <w:rPr>
                <w:rFonts w:cs="Times New Roman"/>
                <w:kern w:val="2"/>
                <w:sz w:val="21"/>
                <w:szCs w:val="21"/>
                <w:lang w:val="en-US"/>
              </w:rPr>
            </w:pPr>
          </w:p>
        </w:tc>
        <w:tc>
          <w:tcPr>
            <w:tcW w:w="1381" w:type="dxa"/>
            <w:vAlign w:val="center"/>
          </w:tcPr>
          <w:p w14:paraId="4EA5F243">
            <w:pPr>
              <w:jc w:val="center"/>
              <w:rPr>
                <w:rFonts w:cs="Times New Roman"/>
                <w:kern w:val="2"/>
                <w:sz w:val="21"/>
                <w:szCs w:val="21"/>
                <w:lang w:val="en-US"/>
              </w:rPr>
            </w:pPr>
            <w:r>
              <w:rPr>
                <w:rFonts w:hint="eastAsia" w:cs="Times New Roman"/>
                <w:kern w:val="2"/>
                <w:sz w:val="21"/>
                <w:szCs w:val="21"/>
                <w:lang w:val="en-US"/>
              </w:rPr>
              <w:t>充电桩管理</w:t>
            </w:r>
          </w:p>
        </w:tc>
        <w:tc>
          <w:tcPr>
            <w:tcW w:w="6375" w:type="dxa"/>
            <w:vAlign w:val="center"/>
          </w:tcPr>
          <w:p w14:paraId="28993A95">
            <w:pPr>
              <w:jc w:val="both"/>
              <w:rPr>
                <w:rFonts w:cs="Times New Roman"/>
                <w:kern w:val="2"/>
                <w:sz w:val="21"/>
                <w:szCs w:val="21"/>
                <w:lang w:val="en-US"/>
              </w:rPr>
            </w:pPr>
            <w:r>
              <w:rPr>
                <w:rFonts w:hint="eastAsia" w:cs="Times New Roman"/>
                <w:kern w:val="2"/>
                <w:sz w:val="21"/>
                <w:szCs w:val="21"/>
                <w:lang w:val="en-US"/>
              </w:rPr>
              <w:t>新增、编辑、删除充电桩配置，每个站点可配置不同的厂家硬件参数等</w:t>
            </w:r>
          </w:p>
        </w:tc>
      </w:tr>
      <w:tr w14:paraId="658A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54DE7038">
            <w:pPr>
              <w:jc w:val="center"/>
              <w:rPr>
                <w:rFonts w:cs="Times New Roman"/>
                <w:kern w:val="2"/>
                <w:sz w:val="21"/>
                <w:szCs w:val="21"/>
                <w:lang w:val="en-US"/>
              </w:rPr>
            </w:pPr>
          </w:p>
        </w:tc>
        <w:tc>
          <w:tcPr>
            <w:tcW w:w="1381" w:type="dxa"/>
            <w:vAlign w:val="center"/>
          </w:tcPr>
          <w:p w14:paraId="0DD96BBA">
            <w:pPr>
              <w:jc w:val="center"/>
              <w:rPr>
                <w:rFonts w:cs="Times New Roman"/>
                <w:kern w:val="2"/>
                <w:sz w:val="21"/>
                <w:szCs w:val="21"/>
                <w:lang w:val="en-US"/>
              </w:rPr>
            </w:pPr>
            <w:r>
              <w:rPr>
                <w:rFonts w:hint="eastAsia" w:cs="Times New Roman"/>
                <w:kern w:val="2"/>
                <w:sz w:val="21"/>
                <w:szCs w:val="21"/>
                <w:lang w:val="en-US"/>
              </w:rPr>
              <w:t>充电卡管理</w:t>
            </w:r>
          </w:p>
        </w:tc>
        <w:tc>
          <w:tcPr>
            <w:tcW w:w="6375" w:type="dxa"/>
            <w:vAlign w:val="center"/>
          </w:tcPr>
          <w:p w14:paraId="4E0185CB">
            <w:pPr>
              <w:jc w:val="both"/>
              <w:rPr>
                <w:rFonts w:cs="Times New Roman"/>
                <w:kern w:val="2"/>
                <w:sz w:val="21"/>
                <w:szCs w:val="21"/>
                <w:lang w:val="en-US"/>
              </w:rPr>
            </w:pPr>
            <w:r>
              <w:rPr>
                <w:rFonts w:hint="eastAsia" w:cs="Times New Roman"/>
                <w:kern w:val="2"/>
                <w:sz w:val="21"/>
                <w:szCs w:val="21"/>
                <w:lang w:val="en-US"/>
              </w:rPr>
              <w:t>新增、编辑、删除、冻结充电卡，支持与车辆、用户进行绑定</w:t>
            </w:r>
          </w:p>
        </w:tc>
      </w:tr>
      <w:tr w14:paraId="32C1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2BA1B05">
            <w:pPr>
              <w:jc w:val="center"/>
              <w:rPr>
                <w:rFonts w:cs="Times New Roman"/>
                <w:kern w:val="2"/>
                <w:sz w:val="21"/>
                <w:szCs w:val="21"/>
                <w:lang w:val="en-US"/>
              </w:rPr>
            </w:pPr>
          </w:p>
        </w:tc>
        <w:tc>
          <w:tcPr>
            <w:tcW w:w="1381" w:type="dxa"/>
            <w:vAlign w:val="center"/>
          </w:tcPr>
          <w:p w14:paraId="4AC9D361">
            <w:pPr>
              <w:jc w:val="center"/>
              <w:rPr>
                <w:rFonts w:cs="Times New Roman"/>
                <w:kern w:val="2"/>
                <w:sz w:val="21"/>
                <w:szCs w:val="21"/>
                <w:lang w:val="en-US"/>
              </w:rPr>
            </w:pPr>
            <w:r>
              <w:rPr>
                <w:rFonts w:hint="eastAsia" w:cs="Times New Roman"/>
                <w:kern w:val="2"/>
                <w:sz w:val="21"/>
                <w:szCs w:val="21"/>
                <w:lang w:val="en-US"/>
              </w:rPr>
              <w:t>车辆管理</w:t>
            </w:r>
          </w:p>
        </w:tc>
        <w:tc>
          <w:tcPr>
            <w:tcW w:w="6375" w:type="dxa"/>
            <w:vAlign w:val="center"/>
          </w:tcPr>
          <w:p w14:paraId="4549B6F7">
            <w:pPr>
              <w:jc w:val="both"/>
              <w:rPr>
                <w:rFonts w:cs="Times New Roman"/>
                <w:kern w:val="2"/>
                <w:sz w:val="21"/>
                <w:szCs w:val="21"/>
                <w:lang w:val="en-US"/>
              </w:rPr>
            </w:pPr>
            <w:r>
              <w:rPr>
                <w:rFonts w:hint="eastAsia" w:cs="Times New Roman"/>
                <w:kern w:val="2"/>
                <w:sz w:val="21"/>
                <w:szCs w:val="21"/>
                <w:lang w:val="en-US"/>
              </w:rPr>
              <w:t>新增、编辑、删除车辆，支持与V</w:t>
            </w:r>
            <w:r>
              <w:rPr>
                <w:rFonts w:cs="Times New Roman"/>
                <w:kern w:val="2"/>
                <w:sz w:val="21"/>
                <w:szCs w:val="21"/>
                <w:lang w:val="en-US"/>
              </w:rPr>
              <w:t>IN</w:t>
            </w:r>
            <w:r>
              <w:rPr>
                <w:rFonts w:hint="eastAsia" w:cs="Times New Roman"/>
                <w:kern w:val="2"/>
                <w:sz w:val="21"/>
                <w:szCs w:val="21"/>
                <w:lang w:val="en-US"/>
              </w:rPr>
              <w:t>、个人用户、企业进行绑定，提供车辆信息的导出功能</w:t>
            </w:r>
          </w:p>
        </w:tc>
      </w:tr>
      <w:tr w14:paraId="7C2E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75742314">
            <w:pPr>
              <w:jc w:val="center"/>
              <w:rPr>
                <w:rFonts w:cs="Times New Roman"/>
                <w:kern w:val="2"/>
                <w:sz w:val="21"/>
                <w:szCs w:val="21"/>
                <w:lang w:val="en-US"/>
              </w:rPr>
            </w:pPr>
          </w:p>
        </w:tc>
        <w:tc>
          <w:tcPr>
            <w:tcW w:w="1381" w:type="dxa"/>
            <w:vAlign w:val="center"/>
          </w:tcPr>
          <w:p w14:paraId="0B0AA144">
            <w:pPr>
              <w:jc w:val="center"/>
              <w:rPr>
                <w:rFonts w:cs="Times New Roman"/>
                <w:kern w:val="2"/>
                <w:sz w:val="21"/>
                <w:szCs w:val="21"/>
                <w:lang w:val="en-US"/>
              </w:rPr>
            </w:pPr>
            <w:r>
              <w:rPr>
                <w:rFonts w:hint="eastAsia" w:cs="Times New Roman"/>
                <w:kern w:val="2"/>
                <w:sz w:val="21"/>
                <w:szCs w:val="21"/>
                <w:lang w:val="en-US"/>
              </w:rPr>
              <w:t>价格管理</w:t>
            </w:r>
          </w:p>
        </w:tc>
        <w:tc>
          <w:tcPr>
            <w:tcW w:w="6375" w:type="dxa"/>
            <w:vAlign w:val="center"/>
          </w:tcPr>
          <w:p w14:paraId="67755999">
            <w:pPr>
              <w:jc w:val="both"/>
              <w:rPr>
                <w:rFonts w:cs="Times New Roman"/>
                <w:kern w:val="2"/>
                <w:sz w:val="21"/>
                <w:szCs w:val="21"/>
                <w:lang w:val="en-US"/>
              </w:rPr>
            </w:pPr>
            <w:r>
              <w:rPr>
                <w:rFonts w:hint="eastAsia" w:cs="Times New Roman"/>
                <w:kern w:val="2"/>
                <w:sz w:val="21"/>
                <w:szCs w:val="21"/>
                <w:lang w:val="en-US"/>
              </w:rPr>
              <w:t>可根据需要，针对不同用户群制定价格策略，可定时、定站、定客户来定价。价格策略可绑定至电站</w:t>
            </w:r>
          </w:p>
        </w:tc>
      </w:tr>
      <w:tr w14:paraId="7095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0769ADD6">
            <w:pPr>
              <w:jc w:val="center"/>
              <w:rPr>
                <w:rFonts w:cs="Times New Roman"/>
                <w:kern w:val="2"/>
                <w:sz w:val="21"/>
                <w:szCs w:val="21"/>
                <w:lang w:val="en-US"/>
              </w:rPr>
            </w:pPr>
            <w:r>
              <w:rPr>
                <w:rFonts w:hint="eastAsia" w:cs="Times New Roman"/>
                <w:kern w:val="2"/>
                <w:sz w:val="21"/>
                <w:szCs w:val="21"/>
                <w:lang w:val="en-US"/>
              </w:rPr>
              <w:t>设备控制及监控</w:t>
            </w:r>
          </w:p>
        </w:tc>
        <w:tc>
          <w:tcPr>
            <w:tcW w:w="1381" w:type="dxa"/>
            <w:vAlign w:val="center"/>
          </w:tcPr>
          <w:p w14:paraId="1C1F5A32">
            <w:pPr>
              <w:jc w:val="center"/>
              <w:rPr>
                <w:rFonts w:cs="Times New Roman"/>
                <w:kern w:val="2"/>
                <w:sz w:val="21"/>
                <w:szCs w:val="21"/>
                <w:lang w:val="en-US"/>
              </w:rPr>
            </w:pPr>
            <w:r>
              <w:rPr>
                <w:rFonts w:hint="eastAsia" w:cs="Times New Roman"/>
                <w:kern w:val="2"/>
                <w:sz w:val="21"/>
                <w:szCs w:val="21"/>
                <w:lang w:val="en-US"/>
              </w:rPr>
              <w:t>充电桩控制方式</w:t>
            </w:r>
          </w:p>
        </w:tc>
        <w:tc>
          <w:tcPr>
            <w:tcW w:w="6375" w:type="dxa"/>
            <w:vAlign w:val="center"/>
          </w:tcPr>
          <w:p w14:paraId="68D70087">
            <w:pPr>
              <w:jc w:val="both"/>
              <w:rPr>
                <w:rFonts w:cs="Times New Roman"/>
                <w:kern w:val="2"/>
                <w:sz w:val="21"/>
                <w:szCs w:val="21"/>
                <w:lang w:val="en-US"/>
              </w:rPr>
            </w:pPr>
            <w:r>
              <w:rPr>
                <w:rFonts w:hint="eastAsia" w:cs="Times New Roman"/>
                <w:kern w:val="2"/>
                <w:sz w:val="21"/>
                <w:szCs w:val="21"/>
                <w:lang w:val="en-US"/>
              </w:rPr>
              <w:t>支持</w:t>
            </w:r>
            <w:r>
              <w:rPr>
                <w:rFonts w:cs="Times New Roman"/>
                <w:kern w:val="2"/>
                <w:sz w:val="21"/>
                <w:szCs w:val="21"/>
                <w:lang w:val="en-US"/>
              </w:rPr>
              <w:t>APP</w:t>
            </w:r>
            <w:r>
              <w:rPr>
                <w:rFonts w:hint="eastAsia" w:cs="Times New Roman"/>
                <w:kern w:val="2"/>
                <w:sz w:val="21"/>
                <w:szCs w:val="21"/>
                <w:lang w:val="en-US"/>
              </w:rPr>
              <w:t>、小程序、V</w:t>
            </w:r>
            <w:r>
              <w:rPr>
                <w:rFonts w:cs="Times New Roman"/>
                <w:kern w:val="2"/>
                <w:sz w:val="21"/>
                <w:szCs w:val="21"/>
                <w:lang w:val="en-US"/>
              </w:rPr>
              <w:t>IN</w:t>
            </w:r>
            <w:r>
              <w:rPr>
                <w:rFonts w:hint="eastAsia" w:cs="Times New Roman"/>
                <w:kern w:val="2"/>
                <w:sz w:val="21"/>
                <w:szCs w:val="21"/>
                <w:lang w:val="en-US"/>
              </w:rPr>
              <w:t>、刷卡等方式实现控制充电</w:t>
            </w:r>
          </w:p>
        </w:tc>
      </w:tr>
      <w:tr w14:paraId="5734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C52109E">
            <w:pPr>
              <w:jc w:val="center"/>
              <w:rPr>
                <w:rFonts w:cs="Times New Roman"/>
                <w:kern w:val="2"/>
                <w:sz w:val="21"/>
                <w:szCs w:val="21"/>
                <w:lang w:val="en-US"/>
              </w:rPr>
            </w:pPr>
          </w:p>
        </w:tc>
        <w:tc>
          <w:tcPr>
            <w:tcW w:w="1381" w:type="dxa"/>
            <w:vAlign w:val="center"/>
          </w:tcPr>
          <w:p w14:paraId="7005E2E5">
            <w:pPr>
              <w:jc w:val="center"/>
              <w:rPr>
                <w:rFonts w:cs="Times New Roman"/>
                <w:kern w:val="2"/>
                <w:sz w:val="21"/>
                <w:szCs w:val="21"/>
                <w:lang w:val="en-US"/>
              </w:rPr>
            </w:pPr>
            <w:r>
              <w:rPr>
                <w:rFonts w:hint="eastAsia" w:cs="Times New Roman"/>
                <w:kern w:val="2"/>
                <w:sz w:val="21"/>
                <w:szCs w:val="21"/>
                <w:lang w:val="en-US"/>
              </w:rPr>
              <w:t>充电桩状态监控</w:t>
            </w:r>
          </w:p>
        </w:tc>
        <w:tc>
          <w:tcPr>
            <w:tcW w:w="6375" w:type="dxa"/>
            <w:vAlign w:val="center"/>
          </w:tcPr>
          <w:p w14:paraId="15AD618B">
            <w:pPr>
              <w:jc w:val="both"/>
              <w:rPr>
                <w:rFonts w:cs="Times New Roman"/>
                <w:kern w:val="2"/>
                <w:sz w:val="21"/>
                <w:szCs w:val="21"/>
                <w:lang w:val="en-US"/>
              </w:rPr>
            </w:pPr>
            <w:r>
              <w:rPr>
                <w:rFonts w:hint="eastAsia" w:cs="Times New Roman"/>
                <w:kern w:val="2"/>
                <w:sz w:val="21"/>
                <w:szCs w:val="21"/>
                <w:lang w:val="en-US"/>
              </w:rPr>
              <w:t>通过充电运营管理平台可实时查看充电中状态，如：实时电流、实时电压、实时功率、需求功率、车牌号等信息</w:t>
            </w:r>
          </w:p>
        </w:tc>
      </w:tr>
      <w:tr w14:paraId="5358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4CF98BE">
            <w:pPr>
              <w:jc w:val="center"/>
              <w:rPr>
                <w:rFonts w:cs="Times New Roman"/>
                <w:kern w:val="2"/>
                <w:sz w:val="21"/>
                <w:szCs w:val="21"/>
                <w:lang w:val="en-US"/>
              </w:rPr>
            </w:pPr>
          </w:p>
        </w:tc>
        <w:tc>
          <w:tcPr>
            <w:tcW w:w="1381" w:type="dxa"/>
            <w:vAlign w:val="center"/>
          </w:tcPr>
          <w:p w14:paraId="675F9276">
            <w:pPr>
              <w:jc w:val="center"/>
              <w:rPr>
                <w:rFonts w:cs="Times New Roman"/>
                <w:kern w:val="2"/>
                <w:sz w:val="21"/>
                <w:szCs w:val="21"/>
                <w:lang w:val="en-US"/>
              </w:rPr>
            </w:pPr>
            <w:r>
              <w:rPr>
                <w:rFonts w:hint="eastAsia" w:cs="Times New Roman"/>
                <w:kern w:val="2"/>
                <w:sz w:val="21"/>
                <w:szCs w:val="21"/>
                <w:lang w:val="en-US"/>
              </w:rPr>
              <w:t>充电桩远程控制</w:t>
            </w:r>
          </w:p>
        </w:tc>
        <w:tc>
          <w:tcPr>
            <w:tcW w:w="6375" w:type="dxa"/>
            <w:vAlign w:val="center"/>
          </w:tcPr>
          <w:p w14:paraId="02BC9787">
            <w:pPr>
              <w:jc w:val="both"/>
              <w:rPr>
                <w:rFonts w:cs="Times New Roman"/>
                <w:kern w:val="2"/>
                <w:sz w:val="21"/>
                <w:szCs w:val="21"/>
                <w:lang w:val="en-US"/>
              </w:rPr>
            </w:pPr>
            <w:r>
              <w:rPr>
                <w:rFonts w:hint="eastAsia" w:cs="Times New Roman"/>
                <w:kern w:val="2"/>
                <w:sz w:val="21"/>
                <w:szCs w:val="21"/>
                <w:lang w:val="en-US"/>
              </w:rPr>
              <w:t>通过后台w</w:t>
            </w:r>
            <w:r>
              <w:rPr>
                <w:rFonts w:cs="Times New Roman"/>
                <w:kern w:val="2"/>
                <w:sz w:val="21"/>
                <w:szCs w:val="21"/>
                <w:lang w:val="en-US"/>
              </w:rPr>
              <w:t>eb</w:t>
            </w:r>
            <w:r>
              <w:rPr>
                <w:rFonts w:hint="eastAsia" w:cs="Times New Roman"/>
                <w:kern w:val="2"/>
                <w:sz w:val="21"/>
                <w:szCs w:val="21"/>
                <w:lang w:val="en-US"/>
              </w:rPr>
              <w:t>系统远程控制充电桩启停、远程断电</w:t>
            </w:r>
          </w:p>
        </w:tc>
      </w:tr>
      <w:tr w14:paraId="47E0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83BF474">
            <w:pPr>
              <w:jc w:val="center"/>
              <w:rPr>
                <w:rFonts w:cs="Times New Roman"/>
                <w:kern w:val="2"/>
                <w:sz w:val="21"/>
                <w:szCs w:val="21"/>
                <w:lang w:val="en-US"/>
              </w:rPr>
            </w:pPr>
          </w:p>
        </w:tc>
        <w:tc>
          <w:tcPr>
            <w:tcW w:w="1381" w:type="dxa"/>
            <w:vAlign w:val="center"/>
          </w:tcPr>
          <w:p w14:paraId="03F767A0">
            <w:pPr>
              <w:jc w:val="center"/>
              <w:rPr>
                <w:rFonts w:cs="Times New Roman"/>
                <w:kern w:val="2"/>
                <w:sz w:val="21"/>
                <w:szCs w:val="21"/>
                <w:lang w:val="en-US"/>
              </w:rPr>
            </w:pPr>
            <w:r>
              <w:rPr>
                <w:rFonts w:hint="eastAsia" w:cs="Times New Roman"/>
                <w:kern w:val="2"/>
                <w:sz w:val="21"/>
                <w:szCs w:val="21"/>
                <w:lang w:val="en-US"/>
              </w:rPr>
              <w:t>视频监控</w:t>
            </w:r>
          </w:p>
        </w:tc>
        <w:tc>
          <w:tcPr>
            <w:tcW w:w="6375" w:type="dxa"/>
            <w:vAlign w:val="center"/>
          </w:tcPr>
          <w:p w14:paraId="5AF237FD">
            <w:pPr>
              <w:jc w:val="both"/>
              <w:rPr>
                <w:rFonts w:cs="Times New Roman"/>
                <w:kern w:val="2"/>
                <w:sz w:val="21"/>
                <w:szCs w:val="21"/>
                <w:lang w:val="en-US"/>
              </w:rPr>
            </w:pPr>
            <w:r>
              <w:rPr>
                <w:rFonts w:hint="eastAsia" w:cs="Times New Roman"/>
                <w:kern w:val="2"/>
                <w:sz w:val="21"/>
                <w:szCs w:val="21"/>
                <w:lang w:val="en-US"/>
              </w:rPr>
              <w:t>通过后台w</w:t>
            </w:r>
            <w:r>
              <w:rPr>
                <w:rFonts w:cs="Times New Roman"/>
                <w:kern w:val="2"/>
                <w:sz w:val="21"/>
                <w:szCs w:val="21"/>
                <w:lang w:val="en-US"/>
              </w:rPr>
              <w:t>eb</w:t>
            </w:r>
            <w:r>
              <w:rPr>
                <w:rFonts w:hint="eastAsia" w:cs="Times New Roman"/>
                <w:kern w:val="2"/>
                <w:sz w:val="21"/>
                <w:szCs w:val="21"/>
                <w:lang w:val="en-US"/>
              </w:rPr>
              <w:t>系统可远程实时监控充电站现场图片、视频信息</w:t>
            </w:r>
          </w:p>
        </w:tc>
      </w:tr>
      <w:tr w14:paraId="1B64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01274FD">
            <w:pPr>
              <w:jc w:val="center"/>
              <w:rPr>
                <w:rFonts w:cs="Times New Roman"/>
                <w:kern w:val="2"/>
                <w:sz w:val="21"/>
                <w:szCs w:val="21"/>
                <w:lang w:val="en-US"/>
              </w:rPr>
            </w:pPr>
          </w:p>
        </w:tc>
        <w:tc>
          <w:tcPr>
            <w:tcW w:w="1381" w:type="dxa"/>
            <w:vAlign w:val="center"/>
          </w:tcPr>
          <w:p w14:paraId="3E3351FC">
            <w:pPr>
              <w:jc w:val="center"/>
              <w:rPr>
                <w:rFonts w:cs="Times New Roman"/>
                <w:kern w:val="2"/>
                <w:sz w:val="21"/>
                <w:szCs w:val="21"/>
                <w:lang w:val="en-US"/>
              </w:rPr>
            </w:pPr>
            <w:r>
              <w:rPr>
                <w:rFonts w:hint="eastAsia" w:cs="Times New Roman"/>
                <w:kern w:val="2"/>
                <w:sz w:val="21"/>
                <w:szCs w:val="21"/>
                <w:lang w:val="en-US"/>
              </w:rPr>
              <w:t>监控地图</w:t>
            </w:r>
          </w:p>
        </w:tc>
        <w:tc>
          <w:tcPr>
            <w:tcW w:w="6375" w:type="dxa"/>
            <w:vAlign w:val="center"/>
          </w:tcPr>
          <w:p w14:paraId="7BB15E0E">
            <w:pPr>
              <w:jc w:val="both"/>
              <w:rPr>
                <w:rFonts w:cs="Times New Roman"/>
                <w:kern w:val="2"/>
                <w:sz w:val="21"/>
                <w:szCs w:val="21"/>
                <w:lang w:val="en-US"/>
              </w:rPr>
            </w:pPr>
            <w:r>
              <w:rPr>
                <w:rFonts w:hint="eastAsia" w:cs="Times New Roman"/>
                <w:kern w:val="2"/>
                <w:sz w:val="21"/>
                <w:szCs w:val="21"/>
                <w:lang w:val="en-US"/>
              </w:rPr>
              <w:t>在w</w:t>
            </w:r>
            <w:r>
              <w:rPr>
                <w:rFonts w:cs="Times New Roman"/>
                <w:kern w:val="2"/>
                <w:sz w:val="21"/>
                <w:szCs w:val="21"/>
                <w:lang w:val="en-US"/>
              </w:rPr>
              <w:t>eb</w:t>
            </w:r>
            <w:r>
              <w:rPr>
                <w:rFonts w:hint="eastAsia" w:cs="Times New Roman"/>
                <w:kern w:val="2"/>
                <w:sz w:val="21"/>
                <w:szCs w:val="21"/>
                <w:lang w:val="en-US"/>
              </w:rPr>
              <w:t>系统以地图形式展现所有站点分布情况，可快速通过监控地图了解每个站点的基础信息。</w:t>
            </w:r>
          </w:p>
        </w:tc>
      </w:tr>
      <w:tr w14:paraId="1AF3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512A19F3">
            <w:pPr>
              <w:jc w:val="center"/>
              <w:rPr>
                <w:rFonts w:cs="Times New Roman"/>
                <w:kern w:val="2"/>
                <w:sz w:val="21"/>
                <w:szCs w:val="21"/>
                <w:lang w:val="en-US"/>
              </w:rPr>
            </w:pPr>
          </w:p>
        </w:tc>
        <w:tc>
          <w:tcPr>
            <w:tcW w:w="1381" w:type="dxa"/>
            <w:vAlign w:val="center"/>
          </w:tcPr>
          <w:p w14:paraId="13F84358">
            <w:pPr>
              <w:jc w:val="center"/>
              <w:rPr>
                <w:rFonts w:cs="Times New Roman"/>
                <w:kern w:val="2"/>
                <w:sz w:val="21"/>
                <w:szCs w:val="21"/>
                <w:lang w:val="en-US"/>
              </w:rPr>
            </w:pPr>
            <w:r>
              <w:rPr>
                <w:rFonts w:hint="eastAsia" w:cs="Times New Roman"/>
                <w:kern w:val="2"/>
                <w:sz w:val="21"/>
                <w:szCs w:val="21"/>
                <w:lang w:val="en-US"/>
              </w:rPr>
              <w:t>单站点监控</w:t>
            </w:r>
          </w:p>
        </w:tc>
        <w:tc>
          <w:tcPr>
            <w:tcW w:w="6375" w:type="dxa"/>
            <w:vAlign w:val="center"/>
          </w:tcPr>
          <w:p w14:paraId="19CC2EEA">
            <w:pPr>
              <w:jc w:val="both"/>
              <w:rPr>
                <w:rFonts w:cs="Times New Roman"/>
                <w:kern w:val="2"/>
                <w:sz w:val="21"/>
                <w:szCs w:val="21"/>
                <w:lang w:val="en-US"/>
              </w:rPr>
            </w:pPr>
            <w:r>
              <w:rPr>
                <w:rFonts w:hint="eastAsia" w:cs="Times New Roman"/>
                <w:kern w:val="2"/>
                <w:sz w:val="21"/>
                <w:szCs w:val="21"/>
                <w:lang w:val="en-US"/>
              </w:rPr>
              <w:t>在w</w:t>
            </w:r>
            <w:r>
              <w:rPr>
                <w:rFonts w:cs="Times New Roman"/>
                <w:kern w:val="2"/>
                <w:sz w:val="21"/>
                <w:szCs w:val="21"/>
                <w:lang w:val="en-US"/>
              </w:rPr>
              <w:t>eb</w:t>
            </w:r>
            <w:r>
              <w:rPr>
                <w:rFonts w:hint="eastAsia" w:cs="Times New Roman"/>
                <w:kern w:val="2"/>
                <w:sz w:val="21"/>
                <w:szCs w:val="21"/>
                <w:lang w:val="en-US"/>
              </w:rPr>
              <w:t>系统以地图形式展现单站点情况，可快速了解单站点的基础信息、充电桩实时状态数据等。</w:t>
            </w:r>
          </w:p>
        </w:tc>
      </w:tr>
      <w:tr w14:paraId="30EC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5E6894FA">
            <w:pPr>
              <w:jc w:val="center"/>
              <w:rPr>
                <w:rFonts w:cs="Times New Roman"/>
                <w:kern w:val="2"/>
                <w:sz w:val="21"/>
                <w:szCs w:val="21"/>
                <w:lang w:val="en-US"/>
              </w:rPr>
            </w:pPr>
            <w:r>
              <w:rPr>
                <w:rFonts w:hint="eastAsia" w:cs="Times New Roman"/>
                <w:kern w:val="2"/>
                <w:sz w:val="21"/>
                <w:szCs w:val="21"/>
                <w:lang w:val="en-US"/>
              </w:rPr>
              <w:t>充电用户管理</w:t>
            </w:r>
          </w:p>
        </w:tc>
        <w:tc>
          <w:tcPr>
            <w:tcW w:w="1381" w:type="dxa"/>
            <w:vAlign w:val="center"/>
          </w:tcPr>
          <w:p w14:paraId="0910A7B8">
            <w:pPr>
              <w:jc w:val="center"/>
              <w:rPr>
                <w:rFonts w:cs="Times New Roman"/>
                <w:kern w:val="2"/>
                <w:sz w:val="21"/>
                <w:szCs w:val="21"/>
                <w:lang w:val="en-US"/>
              </w:rPr>
            </w:pPr>
            <w:r>
              <w:rPr>
                <w:rFonts w:hint="eastAsia" w:cs="Times New Roman"/>
                <w:kern w:val="2"/>
                <w:sz w:val="21"/>
                <w:szCs w:val="21"/>
                <w:lang w:val="en-US"/>
              </w:rPr>
              <w:t>企业客户管理</w:t>
            </w:r>
          </w:p>
        </w:tc>
        <w:tc>
          <w:tcPr>
            <w:tcW w:w="6375" w:type="dxa"/>
            <w:vAlign w:val="center"/>
          </w:tcPr>
          <w:p w14:paraId="02FBD608">
            <w:pPr>
              <w:jc w:val="both"/>
              <w:rPr>
                <w:rFonts w:cs="Times New Roman"/>
                <w:kern w:val="2"/>
                <w:sz w:val="21"/>
                <w:szCs w:val="21"/>
                <w:lang w:val="en-US"/>
              </w:rPr>
            </w:pPr>
            <w:r>
              <w:rPr>
                <w:rFonts w:hint="eastAsia" w:cs="Times New Roman"/>
                <w:kern w:val="2"/>
                <w:sz w:val="21"/>
                <w:szCs w:val="21"/>
                <w:lang w:val="en-US"/>
              </w:rPr>
              <w:t>支持企业客户的新增、删除、人员管理；可对企业客户关联账户进行分类，分为现金账户和信用账户，现金账户可通过web系统实现充值退款，信用账户可通过web系统实现信用额度授权、调整、账单管理</w:t>
            </w:r>
          </w:p>
        </w:tc>
      </w:tr>
      <w:tr w14:paraId="2F5E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4DFB320F">
            <w:pPr>
              <w:jc w:val="center"/>
              <w:rPr>
                <w:rFonts w:cs="Times New Roman"/>
                <w:kern w:val="2"/>
                <w:sz w:val="21"/>
                <w:szCs w:val="21"/>
                <w:lang w:val="en-US"/>
              </w:rPr>
            </w:pPr>
          </w:p>
        </w:tc>
        <w:tc>
          <w:tcPr>
            <w:tcW w:w="1381" w:type="dxa"/>
            <w:vAlign w:val="center"/>
          </w:tcPr>
          <w:p w14:paraId="5274CEC4">
            <w:pPr>
              <w:jc w:val="center"/>
              <w:rPr>
                <w:rFonts w:cs="Times New Roman"/>
                <w:kern w:val="2"/>
                <w:sz w:val="21"/>
                <w:szCs w:val="21"/>
                <w:lang w:val="en-US"/>
              </w:rPr>
            </w:pPr>
            <w:r>
              <w:rPr>
                <w:rFonts w:hint="eastAsia" w:cs="Times New Roman"/>
                <w:kern w:val="2"/>
                <w:sz w:val="21"/>
                <w:szCs w:val="21"/>
                <w:lang w:val="en-US"/>
              </w:rPr>
              <w:t>充电用户组管理</w:t>
            </w:r>
          </w:p>
        </w:tc>
        <w:tc>
          <w:tcPr>
            <w:tcW w:w="6375" w:type="dxa"/>
            <w:vAlign w:val="center"/>
          </w:tcPr>
          <w:p w14:paraId="77495950">
            <w:pPr>
              <w:jc w:val="both"/>
              <w:rPr>
                <w:rFonts w:cs="Times New Roman"/>
                <w:kern w:val="2"/>
                <w:sz w:val="21"/>
                <w:szCs w:val="21"/>
                <w:lang w:val="en-US"/>
              </w:rPr>
            </w:pPr>
            <w:r>
              <w:rPr>
                <w:rFonts w:hint="eastAsia" w:cs="Times New Roman"/>
                <w:kern w:val="2"/>
                <w:sz w:val="21"/>
                <w:szCs w:val="21"/>
                <w:lang w:val="en-US"/>
              </w:rPr>
              <w:t>支持将一类个人充电用户和企业用户设置为用户组，面向用户组可设置相应的收费策略</w:t>
            </w:r>
          </w:p>
        </w:tc>
      </w:tr>
      <w:tr w14:paraId="38E2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3EB7AC8C">
            <w:pPr>
              <w:jc w:val="center"/>
              <w:rPr>
                <w:rFonts w:cs="Times New Roman"/>
                <w:kern w:val="2"/>
                <w:sz w:val="21"/>
                <w:szCs w:val="21"/>
                <w:lang w:val="en-US"/>
              </w:rPr>
            </w:pPr>
          </w:p>
        </w:tc>
        <w:tc>
          <w:tcPr>
            <w:tcW w:w="1381" w:type="dxa"/>
            <w:vAlign w:val="center"/>
          </w:tcPr>
          <w:p w14:paraId="398C7160">
            <w:pPr>
              <w:jc w:val="center"/>
              <w:rPr>
                <w:rFonts w:cs="Times New Roman"/>
                <w:kern w:val="2"/>
                <w:sz w:val="21"/>
                <w:szCs w:val="21"/>
                <w:lang w:val="en-US"/>
              </w:rPr>
            </w:pPr>
            <w:r>
              <w:rPr>
                <w:rFonts w:hint="eastAsia" w:cs="Times New Roman"/>
                <w:kern w:val="2"/>
                <w:sz w:val="21"/>
                <w:szCs w:val="21"/>
                <w:lang w:val="en-US"/>
              </w:rPr>
              <w:t>个人充电用户管理</w:t>
            </w:r>
          </w:p>
        </w:tc>
        <w:tc>
          <w:tcPr>
            <w:tcW w:w="6375" w:type="dxa"/>
            <w:vAlign w:val="center"/>
          </w:tcPr>
          <w:p w14:paraId="7E650D26">
            <w:pPr>
              <w:jc w:val="both"/>
              <w:rPr>
                <w:rFonts w:cs="Times New Roman"/>
                <w:kern w:val="2"/>
                <w:sz w:val="21"/>
                <w:szCs w:val="21"/>
                <w:lang w:val="en-US"/>
              </w:rPr>
            </w:pPr>
            <w:r>
              <w:rPr>
                <w:rFonts w:hint="eastAsia" w:cs="Times New Roman"/>
                <w:kern w:val="2"/>
                <w:sz w:val="21"/>
                <w:szCs w:val="21"/>
                <w:lang w:val="en-US"/>
              </w:rPr>
              <w:t>可通过web系统实现充值退款的管理</w:t>
            </w:r>
          </w:p>
        </w:tc>
      </w:tr>
      <w:tr w14:paraId="1530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364AC47F">
            <w:pPr>
              <w:jc w:val="center"/>
              <w:rPr>
                <w:rFonts w:cs="Times New Roman"/>
                <w:kern w:val="2"/>
                <w:sz w:val="21"/>
                <w:szCs w:val="21"/>
                <w:lang w:val="en-US"/>
              </w:rPr>
            </w:pPr>
            <w:r>
              <w:rPr>
                <w:rFonts w:hint="eastAsia" w:cs="Times New Roman"/>
                <w:kern w:val="2"/>
                <w:sz w:val="21"/>
                <w:szCs w:val="21"/>
                <w:lang w:val="en-US"/>
              </w:rPr>
              <w:t>安全合规管理</w:t>
            </w:r>
          </w:p>
        </w:tc>
        <w:tc>
          <w:tcPr>
            <w:tcW w:w="1381" w:type="dxa"/>
            <w:vAlign w:val="center"/>
          </w:tcPr>
          <w:p w14:paraId="06D61BC8">
            <w:pPr>
              <w:jc w:val="center"/>
              <w:rPr>
                <w:rFonts w:cs="Times New Roman"/>
                <w:kern w:val="2"/>
                <w:sz w:val="21"/>
                <w:szCs w:val="21"/>
                <w:lang w:val="en-US"/>
              </w:rPr>
            </w:pPr>
            <w:r>
              <w:rPr>
                <w:rFonts w:hint="eastAsia" w:cs="Times New Roman"/>
                <w:kern w:val="2"/>
                <w:sz w:val="21"/>
                <w:szCs w:val="21"/>
                <w:lang w:val="en-US"/>
              </w:rPr>
              <w:t>充电安全防护分析</w:t>
            </w:r>
          </w:p>
        </w:tc>
        <w:tc>
          <w:tcPr>
            <w:tcW w:w="6375" w:type="dxa"/>
            <w:vAlign w:val="center"/>
          </w:tcPr>
          <w:p w14:paraId="646E4348">
            <w:pPr>
              <w:jc w:val="both"/>
              <w:rPr>
                <w:rFonts w:cs="Times New Roman"/>
                <w:kern w:val="2"/>
                <w:sz w:val="21"/>
                <w:szCs w:val="21"/>
                <w:lang w:val="en-US"/>
              </w:rPr>
            </w:pPr>
            <w:r>
              <w:rPr>
                <w:rFonts w:hint="eastAsia" w:cs="Times New Roman"/>
                <w:kern w:val="2"/>
                <w:sz w:val="21"/>
                <w:szCs w:val="21"/>
                <w:lang w:val="en-US"/>
              </w:rPr>
              <w:t>通过大数据技术，实现对所有充电订单、车型的充电安全防护分析，能够给出专业的分析报告，并依托线上工具（如钉钉）对异常情况进行实时提醒。</w:t>
            </w:r>
          </w:p>
        </w:tc>
      </w:tr>
      <w:tr w14:paraId="17D9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5B90F48">
            <w:pPr>
              <w:jc w:val="center"/>
              <w:rPr>
                <w:rFonts w:cs="Times New Roman"/>
                <w:kern w:val="2"/>
                <w:sz w:val="21"/>
                <w:szCs w:val="21"/>
                <w:lang w:val="en-US"/>
              </w:rPr>
            </w:pPr>
          </w:p>
        </w:tc>
        <w:tc>
          <w:tcPr>
            <w:tcW w:w="1381" w:type="dxa"/>
            <w:vAlign w:val="center"/>
          </w:tcPr>
          <w:p w14:paraId="71F0BDEB">
            <w:pPr>
              <w:jc w:val="center"/>
              <w:rPr>
                <w:rFonts w:cs="Times New Roman"/>
                <w:kern w:val="2"/>
                <w:sz w:val="21"/>
                <w:szCs w:val="21"/>
                <w:lang w:val="en-US"/>
              </w:rPr>
            </w:pPr>
            <w:r>
              <w:rPr>
                <w:rFonts w:hint="eastAsia" w:cs="Times New Roman"/>
                <w:kern w:val="2"/>
                <w:sz w:val="21"/>
                <w:szCs w:val="21"/>
                <w:lang w:val="en-US"/>
              </w:rPr>
              <w:t>充电安全防护管理</w:t>
            </w:r>
          </w:p>
        </w:tc>
        <w:tc>
          <w:tcPr>
            <w:tcW w:w="6375" w:type="dxa"/>
            <w:vAlign w:val="center"/>
          </w:tcPr>
          <w:p w14:paraId="6C6ACA62">
            <w:pPr>
              <w:jc w:val="both"/>
              <w:rPr>
                <w:rFonts w:cs="Times New Roman"/>
                <w:kern w:val="2"/>
                <w:sz w:val="21"/>
                <w:szCs w:val="21"/>
                <w:lang w:val="en-US"/>
              </w:rPr>
            </w:pPr>
            <w:r>
              <w:rPr>
                <w:rFonts w:hint="eastAsia" w:cs="Times New Roman"/>
                <w:kern w:val="2"/>
                <w:sz w:val="21"/>
                <w:szCs w:val="21"/>
                <w:lang w:val="en-US"/>
              </w:rPr>
              <w:t>支持按照电站、车辆、车型、客户等维度限制S</w:t>
            </w:r>
            <w:r>
              <w:rPr>
                <w:rFonts w:cs="Times New Roman"/>
                <w:kern w:val="2"/>
                <w:sz w:val="21"/>
                <w:szCs w:val="21"/>
                <w:lang w:val="en-US"/>
              </w:rPr>
              <w:t>OC</w:t>
            </w:r>
            <w:r>
              <w:rPr>
                <w:rFonts w:hint="eastAsia" w:cs="Times New Roman"/>
                <w:kern w:val="2"/>
                <w:sz w:val="21"/>
                <w:szCs w:val="21"/>
                <w:lang w:val="en-US"/>
              </w:rPr>
              <w:t>，或直接拉入黑名单，实现安全管控</w:t>
            </w:r>
          </w:p>
        </w:tc>
      </w:tr>
      <w:tr w14:paraId="0273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153289DD">
            <w:pPr>
              <w:jc w:val="center"/>
              <w:rPr>
                <w:rFonts w:cs="Times New Roman"/>
                <w:kern w:val="2"/>
                <w:sz w:val="21"/>
                <w:szCs w:val="21"/>
                <w:lang w:val="en-US"/>
              </w:rPr>
            </w:pPr>
            <w:r>
              <w:rPr>
                <w:rFonts w:hint="eastAsia" w:cs="Times New Roman"/>
                <w:kern w:val="2"/>
                <w:sz w:val="21"/>
                <w:szCs w:val="21"/>
                <w:lang w:val="en-US"/>
              </w:rPr>
              <w:t>服务管理</w:t>
            </w:r>
          </w:p>
        </w:tc>
        <w:tc>
          <w:tcPr>
            <w:tcW w:w="1381" w:type="dxa"/>
            <w:vAlign w:val="center"/>
          </w:tcPr>
          <w:p w14:paraId="0057872D">
            <w:pPr>
              <w:jc w:val="center"/>
              <w:rPr>
                <w:rFonts w:cs="Times New Roman"/>
                <w:kern w:val="2"/>
                <w:sz w:val="21"/>
                <w:szCs w:val="21"/>
                <w:lang w:val="en-US"/>
              </w:rPr>
            </w:pPr>
            <w:r>
              <w:rPr>
                <w:rFonts w:hint="eastAsia" w:cs="Times New Roman"/>
                <w:kern w:val="2"/>
                <w:sz w:val="21"/>
                <w:szCs w:val="21"/>
                <w:lang w:val="en-US"/>
              </w:rPr>
              <w:t>故障预警</w:t>
            </w:r>
          </w:p>
        </w:tc>
        <w:tc>
          <w:tcPr>
            <w:tcW w:w="6375" w:type="dxa"/>
            <w:vAlign w:val="center"/>
          </w:tcPr>
          <w:p w14:paraId="6624416D">
            <w:pPr>
              <w:jc w:val="both"/>
              <w:rPr>
                <w:rFonts w:cs="Times New Roman"/>
                <w:kern w:val="2"/>
                <w:sz w:val="21"/>
                <w:szCs w:val="21"/>
                <w:lang w:val="en-US"/>
              </w:rPr>
            </w:pPr>
            <w:r>
              <w:rPr>
                <w:rFonts w:hint="eastAsia" w:cs="Times New Roman"/>
                <w:kern w:val="2"/>
                <w:sz w:val="21"/>
                <w:szCs w:val="21"/>
                <w:lang w:val="en-US"/>
              </w:rPr>
              <w:t>通过web系统可实现对充电桩的故障、充电异常进行实时监控，并且支持弹窗、声音提醒</w:t>
            </w:r>
          </w:p>
        </w:tc>
      </w:tr>
      <w:tr w14:paraId="584E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0BCCAB8">
            <w:pPr>
              <w:jc w:val="center"/>
              <w:rPr>
                <w:rFonts w:cs="Times New Roman"/>
                <w:kern w:val="2"/>
                <w:sz w:val="21"/>
                <w:szCs w:val="21"/>
                <w:lang w:val="en-US"/>
              </w:rPr>
            </w:pPr>
          </w:p>
        </w:tc>
        <w:tc>
          <w:tcPr>
            <w:tcW w:w="1381" w:type="dxa"/>
            <w:vAlign w:val="center"/>
          </w:tcPr>
          <w:p w14:paraId="54655373">
            <w:pPr>
              <w:jc w:val="center"/>
              <w:rPr>
                <w:rFonts w:cs="Times New Roman"/>
                <w:kern w:val="2"/>
                <w:sz w:val="21"/>
                <w:szCs w:val="21"/>
                <w:lang w:val="en-US"/>
              </w:rPr>
            </w:pPr>
            <w:r>
              <w:rPr>
                <w:rFonts w:hint="eastAsia" w:cs="Times New Roman"/>
                <w:kern w:val="2"/>
                <w:sz w:val="21"/>
                <w:szCs w:val="21"/>
                <w:lang w:val="en-US"/>
              </w:rPr>
              <w:t>故障工单</w:t>
            </w:r>
          </w:p>
        </w:tc>
        <w:tc>
          <w:tcPr>
            <w:tcW w:w="6375" w:type="dxa"/>
            <w:vAlign w:val="center"/>
          </w:tcPr>
          <w:p w14:paraId="5E878A59">
            <w:pPr>
              <w:jc w:val="both"/>
              <w:rPr>
                <w:rFonts w:cs="Times New Roman"/>
                <w:kern w:val="2"/>
                <w:sz w:val="21"/>
                <w:szCs w:val="21"/>
                <w:lang w:val="en-US"/>
              </w:rPr>
            </w:pPr>
            <w:r>
              <w:rPr>
                <w:rFonts w:hint="eastAsia" w:cs="Times New Roman"/>
                <w:kern w:val="2"/>
                <w:sz w:val="21"/>
                <w:szCs w:val="21"/>
                <w:lang w:val="en-US"/>
              </w:rPr>
              <w:t>当设备发送故障、充电发生故障时，生成工单，发送运维人员，实现闭环管理</w:t>
            </w:r>
          </w:p>
        </w:tc>
      </w:tr>
      <w:tr w14:paraId="715B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99BCD0C">
            <w:pPr>
              <w:jc w:val="center"/>
              <w:rPr>
                <w:rFonts w:cs="Times New Roman"/>
                <w:kern w:val="2"/>
                <w:sz w:val="21"/>
                <w:szCs w:val="21"/>
                <w:lang w:val="en-US"/>
              </w:rPr>
            </w:pPr>
          </w:p>
        </w:tc>
        <w:tc>
          <w:tcPr>
            <w:tcW w:w="1381" w:type="dxa"/>
            <w:vAlign w:val="center"/>
          </w:tcPr>
          <w:p w14:paraId="53D3DD28">
            <w:pPr>
              <w:jc w:val="center"/>
              <w:rPr>
                <w:rFonts w:cs="Times New Roman"/>
                <w:kern w:val="2"/>
                <w:sz w:val="21"/>
                <w:szCs w:val="21"/>
                <w:lang w:val="en-US"/>
              </w:rPr>
            </w:pPr>
            <w:r>
              <w:rPr>
                <w:rFonts w:hint="eastAsia" w:cs="Times New Roman"/>
                <w:kern w:val="2"/>
                <w:sz w:val="21"/>
                <w:szCs w:val="21"/>
                <w:lang w:val="en-US"/>
              </w:rPr>
              <w:t>报文查看</w:t>
            </w:r>
          </w:p>
        </w:tc>
        <w:tc>
          <w:tcPr>
            <w:tcW w:w="6375" w:type="dxa"/>
            <w:vAlign w:val="center"/>
          </w:tcPr>
          <w:p w14:paraId="7CF7D427">
            <w:pPr>
              <w:jc w:val="both"/>
              <w:rPr>
                <w:rFonts w:cs="Times New Roman"/>
                <w:kern w:val="2"/>
                <w:sz w:val="21"/>
                <w:szCs w:val="21"/>
                <w:lang w:val="en-US"/>
              </w:rPr>
            </w:pPr>
            <w:r>
              <w:rPr>
                <w:rFonts w:hint="eastAsia" w:cs="Times New Roman"/>
                <w:kern w:val="2"/>
                <w:sz w:val="21"/>
                <w:szCs w:val="21"/>
                <w:lang w:val="en-US"/>
              </w:rPr>
              <w:t>通过web系统可以查看设备运行报文，充电过程报文，运维人员可以通过报文，快速定位问题。</w:t>
            </w:r>
          </w:p>
        </w:tc>
      </w:tr>
      <w:tr w14:paraId="7230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0D935A4F">
            <w:pPr>
              <w:jc w:val="center"/>
              <w:rPr>
                <w:rFonts w:cs="Times New Roman"/>
                <w:kern w:val="2"/>
                <w:sz w:val="21"/>
                <w:szCs w:val="21"/>
                <w:lang w:val="en-US"/>
              </w:rPr>
            </w:pPr>
            <w:r>
              <w:rPr>
                <w:rFonts w:hint="eastAsia" w:cs="Times New Roman"/>
                <w:kern w:val="2"/>
                <w:sz w:val="21"/>
                <w:szCs w:val="21"/>
                <w:lang w:val="en-US"/>
              </w:rPr>
              <w:t>报表分析</w:t>
            </w:r>
          </w:p>
        </w:tc>
        <w:tc>
          <w:tcPr>
            <w:tcW w:w="1381" w:type="dxa"/>
            <w:vAlign w:val="center"/>
          </w:tcPr>
          <w:p w14:paraId="413A2A7B">
            <w:pPr>
              <w:jc w:val="center"/>
              <w:rPr>
                <w:rFonts w:cs="Times New Roman"/>
                <w:kern w:val="2"/>
                <w:sz w:val="21"/>
                <w:szCs w:val="21"/>
                <w:lang w:val="en-US"/>
              </w:rPr>
            </w:pPr>
            <w:r>
              <w:rPr>
                <w:rFonts w:hint="eastAsia" w:cs="Times New Roman"/>
                <w:kern w:val="2"/>
                <w:sz w:val="21"/>
                <w:szCs w:val="21"/>
                <w:lang w:val="en-US"/>
              </w:rPr>
              <w:t>充电订单报表</w:t>
            </w:r>
          </w:p>
        </w:tc>
        <w:tc>
          <w:tcPr>
            <w:tcW w:w="6375" w:type="dxa"/>
            <w:vAlign w:val="center"/>
          </w:tcPr>
          <w:p w14:paraId="1B203F11">
            <w:pPr>
              <w:jc w:val="both"/>
              <w:rPr>
                <w:rFonts w:cs="Times New Roman"/>
                <w:kern w:val="2"/>
                <w:sz w:val="21"/>
                <w:szCs w:val="21"/>
                <w:lang w:val="en-US"/>
              </w:rPr>
            </w:pPr>
            <w:r>
              <w:rPr>
                <w:rFonts w:hint="eastAsia" w:cs="Times New Roman"/>
                <w:kern w:val="2"/>
                <w:sz w:val="21"/>
                <w:szCs w:val="21"/>
                <w:lang w:val="en-US"/>
              </w:rPr>
              <w:t>通过web系统可以查询导出实际发生充电订单、失败订单情况报表，并能够按照尖峰平谷的价格策略分别进行统计车辆充电情况和单笔订单的充电情况。</w:t>
            </w:r>
          </w:p>
        </w:tc>
      </w:tr>
      <w:tr w14:paraId="4153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7019EF9C">
            <w:pPr>
              <w:jc w:val="center"/>
              <w:rPr>
                <w:rFonts w:cs="Times New Roman"/>
                <w:kern w:val="2"/>
                <w:sz w:val="21"/>
                <w:szCs w:val="21"/>
                <w:lang w:val="en-US"/>
              </w:rPr>
            </w:pPr>
          </w:p>
        </w:tc>
        <w:tc>
          <w:tcPr>
            <w:tcW w:w="1381" w:type="dxa"/>
            <w:vAlign w:val="center"/>
          </w:tcPr>
          <w:p w14:paraId="41E09C76">
            <w:pPr>
              <w:jc w:val="center"/>
              <w:rPr>
                <w:rFonts w:cs="Times New Roman"/>
                <w:kern w:val="2"/>
                <w:sz w:val="21"/>
                <w:szCs w:val="21"/>
                <w:lang w:val="en-US"/>
              </w:rPr>
            </w:pPr>
            <w:r>
              <w:rPr>
                <w:rFonts w:hint="eastAsia" w:cs="Times New Roman"/>
                <w:kern w:val="2"/>
                <w:sz w:val="21"/>
                <w:szCs w:val="21"/>
                <w:lang w:val="en-US"/>
              </w:rPr>
              <w:t>运营报表</w:t>
            </w:r>
          </w:p>
        </w:tc>
        <w:tc>
          <w:tcPr>
            <w:tcW w:w="6375" w:type="dxa"/>
            <w:vAlign w:val="center"/>
          </w:tcPr>
          <w:p w14:paraId="4CBF84E4">
            <w:pPr>
              <w:jc w:val="both"/>
              <w:rPr>
                <w:rFonts w:cs="Times New Roman"/>
                <w:kern w:val="2"/>
                <w:sz w:val="21"/>
                <w:szCs w:val="21"/>
                <w:lang w:val="en-US"/>
              </w:rPr>
            </w:pPr>
            <w:r>
              <w:rPr>
                <w:rFonts w:hint="eastAsia" w:cs="Times New Roman"/>
                <w:kern w:val="2"/>
                <w:sz w:val="21"/>
                <w:szCs w:val="21"/>
                <w:lang w:val="en-US"/>
              </w:rPr>
              <w:t>通过web系统查询导出所有电站的基本信息报表，并在此基础上，进行运营状况、历史充电信息、电站利用率、终端利用率等分析，并提供报表查询导出功能。</w:t>
            </w:r>
          </w:p>
        </w:tc>
      </w:tr>
      <w:tr w14:paraId="1A62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E8682BB">
            <w:pPr>
              <w:jc w:val="center"/>
              <w:rPr>
                <w:rFonts w:cs="Times New Roman"/>
                <w:kern w:val="2"/>
                <w:sz w:val="21"/>
                <w:szCs w:val="21"/>
                <w:lang w:val="en-US"/>
              </w:rPr>
            </w:pPr>
          </w:p>
        </w:tc>
        <w:tc>
          <w:tcPr>
            <w:tcW w:w="1381" w:type="dxa"/>
            <w:vAlign w:val="center"/>
          </w:tcPr>
          <w:p w14:paraId="21C57C6E">
            <w:pPr>
              <w:jc w:val="center"/>
              <w:rPr>
                <w:rFonts w:cs="Times New Roman"/>
                <w:kern w:val="2"/>
                <w:sz w:val="21"/>
                <w:szCs w:val="21"/>
                <w:lang w:val="en-US"/>
              </w:rPr>
            </w:pPr>
            <w:r>
              <w:rPr>
                <w:rFonts w:hint="eastAsia" w:cs="Times New Roman"/>
                <w:kern w:val="2"/>
                <w:sz w:val="21"/>
                <w:szCs w:val="21"/>
                <w:lang w:val="en-US"/>
              </w:rPr>
              <w:t>运维报表</w:t>
            </w:r>
          </w:p>
        </w:tc>
        <w:tc>
          <w:tcPr>
            <w:tcW w:w="6375" w:type="dxa"/>
            <w:vAlign w:val="center"/>
          </w:tcPr>
          <w:p w14:paraId="18666B66">
            <w:pPr>
              <w:jc w:val="both"/>
              <w:rPr>
                <w:rFonts w:cs="Times New Roman"/>
                <w:kern w:val="2"/>
                <w:sz w:val="21"/>
                <w:szCs w:val="21"/>
                <w:lang w:val="en-US"/>
              </w:rPr>
            </w:pPr>
            <w:r>
              <w:rPr>
                <w:rFonts w:hint="eastAsia" w:cs="Times New Roman"/>
                <w:kern w:val="2"/>
                <w:sz w:val="21"/>
                <w:szCs w:val="21"/>
                <w:lang w:val="en-US"/>
              </w:rPr>
              <w:t>通过web系统查询导出设备故障信息报表、电站失败率情况报表、离网信息报表等。</w:t>
            </w:r>
          </w:p>
        </w:tc>
      </w:tr>
      <w:tr w14:paraId="7EFD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2511C29A">
            <w:pPr>
              <w:jc w:val="center"/>
              <w:rPr>
                <w:rFonts w:cs="Times New Roman"/>
                <w:kern w:val="2"/>
                <w:sz w:val="21"/>
                <w:szCs w:val="21"/>
                <w:lang w:val="en-US"/>
              </w:rPr>
            </w:pPr>
          </w:p>
        </w:tc>
        <w:tc>
          <w:tcPr>
            <w:tcW w:w="1381" w:type="dxa"/>
            <w:vAlign w:val="center"/>
          </w:tcPr>
          <w:p w14:paraId="6C661841">
            <w:pPr>
              <w:jc w:val="center"/>
              <w:rPr>
                <w:rFonts w:cs="Times New Roman"/>
                <w:kern w:val="2"/>
                <w:sz w:val="21"/>
                <w:szCs w:val="21"/>
                <w:lang w:val="en-US"/>
              </w:rPr>
            </w:pPr>
            <w:r>
              <w:rPr>
                <w:rFonts w:hint="eastAsia" w:cs="Times New Roman"/>
                <w:kern w:val="2"/>
                <w:sz w:val="21"/>
                <w:szCs w:val="21"/>
                <w:lang w:val="en-US"/>
              </w:rPr>
              <w:t>财务报表</w:t>
            </w:r>
          </w:p>
        </w:tc>
        <w:tc>
          <w:tcPr>
            <w:tcW w:w="6375" w:type="dxa"/>
            <w:vAlign w:val="center"/>
          </w:tcPr>
          <w:p w14:paraId="0C263B51">
            <w:pPr>
              <w:jc w:val="both"/>
              <w:rPr>
                <w:rFonts w:cs="Times New Roman"/>
                <w:kern w:val="2"/>
                <w:sz w:val="21"/>
                <w:szCs w:val="21"/>
                <w:lang w:val="en-US"/>
              </w:rPr>
            </w:pPr>
            <w:r>
              <w:rPr>
                <w:rFonts w:hint="eastAsia" w:cs="Times New Roman"/>
                <w:kern w:val="2"/>
                <w:sz w:val="21"/>
                <w:szCs w:val="21"/>
                <w:lang w:val="en-US"/>
              </w:rPr>
              <w:t>通过web系统查询导出账户充值退款明细报表、充电订单结算报表、信用账单报表等。</w:t>
            </w:r>
          </w:p>
        </w:tc>
      </w:tr>
      <w:tr w14:paraId="6265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01DC95F">
            <w:pPr>
              <w:jc w:val="center"/>
              <w:rPr>
                <w:rFonts w:cs="Times New Roman"/>
                <w:kern w:val="2"/>
                <w:sz w:val="21"/>
                <w:szCs w:val="21"/>
                <w:lang w:val="en-US"/>
              </w:rPr>
            </w:pPr>
          </w:p>
        </w:tc>
        <w:tc>
          <w:tcPr>
            <w:tcW w:w="1381" w:type="dxa"/>
            <w:vAlign w:val="center"/>
          </w:tcPr>
          <w:p w14:paraId="080BFC98">
            <w:pPr>
              <w:jc w:val="center"/>
              <w:rPr>
                <w:rFonts w:cs="Times New Roman"/>
                <w:kern w:val="2"/>
                <w:sz w:val="21"/>
                <w:szCs w:val="21"/>
                <w:lang w:val="en-US"/>
              </w:rPr>
            </w:pPr>
            <w:r>
              <w:rPr>
                <w:rFonts w:hint="eastAsia" w:cs="Times New Roman"/>
                <w:kern w:val="2"/>
                <w:sz w:val="21"/>
                <w:szCs w:val="21"/>
                <w:lang w:val="en-US"/>
              </w:rPr>
              <w:t>数据分析</w:t>
            </w:r>
          </w:p>
        </w:tc>
        <w:tc>
          <w:tcPr>
            <w:tcW w:w="6375" w:type="dxa"/>
            <w:vAlign w:val="center"/>
          </w:tcPr>
          <w:p w14:paraId="77D80BF9">
            <w:pPr>
              <w:jc w:val="both"/>
              <w:rPr>
                <w:rFonts w:cs="Times New Roman"/>
                <w:kern w:val="2"/>
                <w:sz w:val="21"/>
                <w:szCs w:val="21"/>
                <w:lang w:val="en-US"/>
              </w:rPr>
            </w:pPr>
            <w:r>
              <w:rPr>
                <w:rFonts w:hint="eastAsia" w:cs="Times New Roman"/>
                <w:kern w:val="2"/>
                <w:sz w:val="21"/>
                <w:szCs w:val="21"/>
                <w:lang w:val="en-US"/>
              </w:rPr>
              <w:t>按照公司和单站，可视化查询运营、运维情况：例如：充电量、利用率、收费情况、运营能力、24小时功率分析情况、站点功率满足情况、可用率、失败率、工单情况、预警情况等。展现方式包括但不限于：饼状图、矩形图、条形图、折线图、面积图等。</w:t>
            </w:r>
          </w:p>
        </w:tc>
      </w:tr>
      <w:tr w14:paraId="1E8D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vAlign w:val="center"/>
          </w:tcPr>
          <w:p w14:paraId="261E7C5E">
            <w:pPr>
              <w:jc w:val="center"/>
              <w:rPr>
                <w:rFonts w:cs="Times New Roman"/>
                <w:kern w:val="2"/>
                <w:sz w:val="21"/>
                <w:szCs w:val="21"/>
                <w:lang w:val="en-US"/>
              </w:rPr>
            </w:pPr>
            <w:r>
              <w:rPr>
                <w:rFonts w:hint="eastAsia" w:cs="Times New Roman"/>
                <w:kern w:val="2"/>
                <w:sz w:val="21"/>
                <w:szCs w:val="21"/>
                <w:lang w:val="en-US"/>
              </w:rPr>
              <w:t>系统管理</w:t>
            </w:r>
          </w:p>
        </w:tc>
        <w:tc>
          <w:tcPr>
            <w:tcW w:w="1381" w:type="dxa"/>
            <w:vAlign w:val="center"/>
          </w:tcPr>
          <w:p w14:paraId="1F44E564">
            <w:pPr>
              <w:jc w:val="center"/>
              <w:rPr>
                <w:rFonts w:cs="Times New Roman"/>
                <w:kern w:val="2"/>
                <w:sz w:val="21"/>
                <w:szCs w:val="21"/>
                <w:lang w:val="en-US"/>
              </w:rPr>
            </w:pPr>
            <w:r>
              <w:rPr>
                <w:rFonts w:hint="eastAsia" w:cs="Times New Roman"/>
                <w:kern w:val="2"/>
                <w:sz w:val="21"/>
                <w:szCs w:val="21"/>
                <w:lang w:val="en-US"/>
              </w:rPr>
              <w:t>用户注册</w:t>
            </w:r>
          </w:p>
        </w:tc>
        <w:tc>
          <w:tcPr>
            <w:tcW w:w="6375" w:type="dxa"/>
            <w:vAlign w:val="center"/>
          </w:tcPr>
          <w:p w14:paraId="54F99099">
            <w:pPr>
              <w:jc w:val="both"/>
              <w:rPr>
                <w:rFonts w:cs="Times New Roman"/>
                <w:kern w:val="2"/>
                <w:sz w:val="21"/>
                <w:szCs w:val="21"/>
                <w:lang w:val="en-US"/>
              </w:rPr>
            </w:pPr>
            <w:r>
              <w:rPr>
                <w:rFonts w:hint="eastAsia" w:cs="Times New Roman"/>
                <w:kern w:val="2"/>
                <w:sz w:val="21"/>
                <w:szCs w:val="21"/>
                <w:lang w:val="en-US"/>
              </w:rPr>
              <w:t>支持新用户通过web系统进行注册，完善个人信息</w:t>
            </w:r>
          </w:p>
        </w:tc>
      </w:tr>
      <w:tr w14:paraId="70E7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20" w:type="dxa"/>
            <w:vMerge w:val="continue"/>
            <w:vAlign w:val="center"/>
          </w:tcPr>
          <w:p w14:paraId="27A5BB31">
            <w:pPr>
              <w:jc w:val="center"/>
              <w:rPr>
                <w:rFonts w:cs="Times New Roman"/>
                <w:kern w:val="2"/>
                <w:sz w:val="21"/>
                <w:szCs w:val="21"/>
                <w:lang w:val="en-US"/>
              </w:rPr>
            </w:pPr>
          </w:p>
        </w:tc>
        <w:tc>
          <w:tcPr>
            <w:tcW w:w="1381" w:type="dxa"/>
            <w:vAlign w:val="center"/>
          </w:tcPr>
          <w:p w14:paraId="04922E9F">
            <w:pPr>
              <w:jc w:val="center"/>
              <w:rPr>
                <w:rFonts w:cs="Times New Roman"/>
                <w:kern w:val="2"/>
                <w:sz w:val="21"/>
                <w:szCs w:val="21"/>
                <w:lang w:val="en-US"/>
              </w:rPr>
            </w:pPr>
            <w:r>
              <w:rPr>
                <w:rFonts w:hint="eastAsia" w:cs="Times New Roman"/>
                <w:kern w:val="2"/>
                <w:sz w:val="21"/>
                <w:szCs w:val="21"/>
                <w:lang w:val="en-US"/>
              </w:rPr>
              <w:t>用户授权</w:t>
            </w:r>
          </w:p>
        </w:tc>
        <w:tc>
          <w:tcPr>
            <w:tcW w:w="6375" w:type="dxa"/>
            <w:vAlign w:val="center"/>
          </w:tcPr>
          <w:p w14:paraId="086F9AE7">
            <w:pPr>
              <w:jc w:val="both"/>
              <w:rPr>
                <w:rFonts w:cs="Times New Roman"/>
                <w:kern w:val="2"/>
                <w:sz w:val="21"/>
                <w:szCs w:val="21"/>
                <w:lang w:val="en-US"/>
              </w:rPr>
            </w:pPr>
            <w:r>
              <w:rPr>
                <w:rFonts w:hint="eastAsia" w:cs="Times New Roman"/>
                <w:kern w:val="2"/>
                <w:sz w:val="21"/>
                <w:szCs w:val="21"/>
                <w:lang w:val="en-US"/>
              </w:rPr>
              <w:t>支持通过web系统对用户进行数据权限、功能权限、按钮权限的自定义授权</w:t>
            </w:r>
          </w:p>
        </w:tc>
      </w:tr>
      <w:tr w14:paraId="7442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9943013">
            <w:pPr>
              <w:jc w:val="center"/>
              <w:rPr>
                <w:rFonts w:cs="Times New Roman"/>
                <w:kern w:val="2"/>
                <w:sz w:val="21"/>
                <w:szCs w:val="21"/>
                <w:lang w:val="en-US"/>
              </w:rPr>
            </w:pPr>
          </w:p>
        </w:tc>
        <w:tc>
          <w:tcPr>
            <w:tcW w:w="1381" w:type="dxa"/>
            <w:vAlign w:val="center"/>
          </w:tcPr>
          <w:p w14:paraId="61B242A8">
            <w:pPr>
              <w:jc w:val="center"/>
              <w:rPr>
                <w:rFonts w:cs="Times New Roman"/>
                <w:kern w:val="2"/>
                <w:sz w:val="21"/>
                <w:szCs w:val="21"/>
                <w:lang w:val="en-US"/>
              </w:rPr>
            </w:pPr>
            <w:r>
              <w:rPr>
                <w:rFonts w:hint="eastAsia" w:cs="Times New Roman"/>
                <w:kern w:val="2"/>
                <w:sz w:val="21"/>
                <w:szCs w:val="21"/>
                <w:lang w:val="en-US"/>
              </w:rPr>
              <w:t>系统界面自定义</w:t>
            </w:r>
          </w:p>
        </w:tc>
        <w:tc>
          <w:tcPr>
            <w:tcW w:w="6375" w:type="dxa"/>
            <w:vAlign w:val="center"/>
          </w:tcPr>
          <w:p w14:paraId="1E2CF96A">
            <w:pPr>
              <w:jc w:val="both"/>
              <w:rPr>
                <w:rFonts w:cs="Times New Roman"/>
                <w:kern w:val="2"/>
                <w:sz w:val="21"/>
                <w:szCs w:val="21"/>
                <w:lang w:val="en-US"/>
              </w:rPr>
            </w:pPr>
            <w:r>
              <w:rPr>
                <w:rFonts w:hint="eastAsia" w:cs="Times New Roman"/>
                <w:kern w:val="2"/>
                <w:sz w:val="21"/>
                <w:szCs w:val="21"/>
                <w:lang w:val="en-US"/>
              </w:rPr>
              <w:t>支持通过web系统自定义所展现的登陆界面图片、系统名称、系统图标、电站图标、首页界面图片等。</w:t>
            </w:r>
          </w:p>
        </w:tc>
      </w:tr>
      <w:tr w14:paraId="69DF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continue"/>
            <w:vAlign w:val="center"/>
          </w:tcPr>
          <w:p w14:paraId="66C261AC">
            <w:pPr>
              <w:jc w:val="center"/>
              <w:rPr>
                <w:rFonts w:cs="Times New Roman"/>
                <w:kern w:val="2"/>
                <w:sz w:val="21"/>
                <w:szCs w:val="21"/>
                <w:lang w:val="en-US"/>
              </w:rPr>
            </w:pPr>
          </w:p>
        </w:tc>
        <w:tc>
          <w:tcPr>
            <w:tcW w:w="1381" w:type="dxa"/>
            <w:vAlign w:val="center"/>
          </w:tcPr>
          <w:p w14:paraId="3069ABDE">
            <w:pPr>
              <w:jc w:val="center"/>
              <w:rPr>
                <w:rFonts w:cs="Times New Roman"/>
                <w:kern w:val="2"/>
                <w:sz w:val="21"/>
                <w:szCs w:val="21"/>
                <w:lang w:val="en-US"/>
              </w:rPr>
            </w:pPr>
            <w:r>
              <w:rPr>
                <w:rFonts w:hint="eastAsia" w:cs="Times New Roman"/>
                <w:kern w:val="2"/>
                <w:sz w:val="21"/>
                <w:szCs w:val="21"/>
                <w:lang w:val="en-US"/>
              </w:rPr>
              <w:t>用户审计</w:t>
            </w:r>
          </w:p>
        </w:tc>
        <w:tc>
          <w:tcPr>
            <w:tcW w:w="6375" w:type="dxa"/>
            <w:vAlign w:val="center"/>
          </w:tcPr>
          <w:p w14:paraId="55E47FB6">
            <w:pPr>
              <w:jc w:val="both"/>
              <w:rPr>
                <w:rFonts w:cs="Times New Roman"/>
                <w:kern w:val="2"/>
                <w:sz w:val="21"/>
                <w:szCs w:val="21"/>
                <w:lang w:val="en-US"/>
              </w:rPr>
            </w:pPr>
            <w:r>
              <w:rPr>
                <w:rFonts w:hint="eastAsia" w:cs="Times New Roman"/>
                <w:kern w:val="2"/>
                <w:sz w:val="21"/>
                <w:szCs w:val="21"/>
                <w:lang w:val="en-US"/>
              </w:rPr>
              <w:t>管理员可通过web系统查看其他用户访问情况，例如：用户名称、访问信息、访问系统功能名称、操作情况等。</w:t>
            </w:r>
          </w:p>
        </w:tc>
      </w:tr>
    </w:tbl>
    <w:p w14:paraId="16F8E8F4">
      <w:pPr>
        <w:keepNext/>
        <w:keepLines/>
        <w:spacing w:line="400" w:lineRule="exact"/>
        <w:jc w:val="both"/>
        <w:outlineLvl w:val="2"/>
        <w:rPr>
          <w:rFonts w:cs="Times New Roman"/>
          <w:b/>
          <w:bCs/>
          <w:kern w:val="2"/>
          <w:sz w:val="21"/>
          <w:szCs w:val="21"/>
          <w:lang w:val="en-US"/>
        </w:rPr>
      </w:pPr>
      <w:r>
        <w:rPr>
          <w:rFonts w:hint="eastAsia" w:cs="Times New Roman"/>
          <w:b/>
          <w:bCs/>
          <w:kern w:val="2"/>
          <w:sz w:val="21"/>
          <w:szCs w:val="21"/>
          <w:lang w:val="en-US"/>
        </w:rPr>
        <w:t>安全要求</w:t>
      </w:r>
    </w:p>
    <w:p w14:paraId="736798A2">
      <w:pPr>
        <w:adjustRightInd w:val="0"/>
        <w:snapToGrid w:val="0"/>
        <w:spacing w:line="400" w:lineRule="exact"/>
        <w:ind w:firstLine="420" w:firstLineChars="200"/>
        <w:jc w:val="both"/>
        <w:rPr>
          <w:rFonts w:cs="Times New Roman"/>
          <w:kern w:val="2"/>
          <w:sz w:val="21"/>
          <w:szCs w:val="21"/>
          <w:lang w:val="en-US"/>
        </w:rPr>
      </w:pPr>
      <w:r>
        <w:rPr>
          <w:rFonts w:cs="Times New Roman"/>
          <w:color w:val="000000"/>
          <w:kern w:val="2"/>
          <w:sz w:val="21"/>
          <w:szCs w:val="21"/>
          <w:lang w:val="en-US"/>
        </w:rPr>
        <w:t>▲</w:t>
      </w:r>
      <w:r>
        <w:rPr>
          <w:rFonts w:cs="Times New Roman"/>
          <w:kern w:val="2"/>
          <w:sz w:val="21"/>
          <w:szCs w:val="21"/>
          <w:lang w:val="en-US"/>
        </w:rPr>
        <w:t>可靠性：平台具备7*24小时连续无障碍运行的能力</w:t>
      </w:r>
    </w:p>
    <w:p w14:paraId="3421A12B">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系统具有操作授权及权限控制，防止非法入侵；</w:t>
      </w:r>
    </w:p>
    <w:p w14:paraId="02E96C48">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提供运行日志管理及审计功能；</w:t>
      </w:r>
    </w:p>
    <w:p w14:paraId="5CEE3618">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要求系统具备数据在线和离线备份及数据恢复能力，确保数据安全可靠；</w:t>
      </w:r>
    </w:p>
    <w:p w14:paraId="4C3B1613">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系统须通过第三方进行的系统漏洞扫描与信息安全相关检测；</w:t>
      </w:r>
    </w:p>
    <w:p w14:paraId="490785D4">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提供较强的系统安全性和灾难恢复能力，系统具有安全审计功能及其他强有力的安全保障措施；</w:t>
      </w:r>
    </w:p>
    <w:p w14:paraId="252A3AEE">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保证终端上下载的业务数据下载前在服务器端有合法性审核记录并记录操作过程必要信息。</w:t>
      </w:r>
    </w:p>
    <w:p w14:paraId="02ABECD6">
      <w:pPr>
        <w:keepNext/>
        <w:keepLines/>
        <w:spacing w:line="400" w:lineRule="exact"/>
        <w:jc w:val="both"/>
        <w:outlineLvl w:val="2"/>
        <w:rPr>
          <w:rFonts w:cs="Times New Roman"/>
          <w:b/>
          <w:bCs/>
          <w:kern w:val="2"/>
          <w:sz w:val="21"/>
          <w:szCs w:val="21"/>
          <w:lang w:val="en-US"/>
        </w:rPr>
      </w:pPr>
      <w:r>
        <w:rPr>
          <w:rFonts w:hint="eastAsia" w:cs="Times New Roman"/>
          <w:b/>
          <w:bCs/>
          <w:kern w:val="2"/>
          <w:sz w:val="21"/>
          <w:szCs w:val="21"/>
          <w:lang w:val="en-US"/>
        </w:rPr>
        <w:t>服务要求</w:t>
      </w:r>
    </w:p>
    <w:p w14:paraId="6AE3D49D">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（1）数据承诺</w:t>
      </w:r>
    </w:p>
    <w:p w14:paraId="674E829E">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该平台所有数据包括客户数据产权归招标方所有。</w:t>
      </w:r>
    </w:p>
    <w:p w14:paraId="3BDFDEFF">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（2）功能升级要求</w:t>
      </w:r>
    </w:p>
    <w:p w14:paraId="7E1E765A">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如投标人产品发生功能升级，需向招标人提供同步升级服务。</w:t>
      </w:r>
    </w:p>
    <w:p w14:paraId="0EF51484">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（3）运维期内监控要求</w:t>
      </w:r>
    </w:p>
    <w:p w14:paraId="711A9863">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运维期间投标人需重点做好对接入系统的各软、硬件的工作状态的稳定性、业务数据正确性的监控、分析工作，随时做好故障的分析和排查工作，必须做到每日监控，重点作好对以下内容的监控：</w:t>
      </w:r>
    </w:p>
    <w:p w14:paraId="398047BE">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①对网络的监控：监控重要网络运行状态，保障服务正常。</w:t>
      </w:r>
    </w:p>
    <w:p w14:paraId="13149B71">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②对服务器系统的监控：监控各类应用服务的服务器主机的运行状态，尤其是主机系统的</w:t>
      </w:r>
      <w:r>
        <w:rPr>
          <w:rFonts w:cs="Times New Roman"/>
          <w:kern w:val="2"/>
          <w:sz w:val="21"/>
          <w:szCs w:val="21"/>
          <w:lang w:val="en-US"/>
        </w:rPr>
        <w:t>CPU</w:t>
      </w:r>
      <w:r>
        <w:rPr>
          <w:rFonts w:hint="eastAsia" w:cs="Times New Roman"/>
          <w:kern w:val="2"/>
          <w:sz w:val="21"/>
          <w:szCs w:val="21"/>
          <w:lang w:val="en-US"/>
        </w:rPr>
        <w:t>、内存、硬盘、网卡的运行情况。</w:t>
      </w:r>
    </w:p>
    <w:p w14:paraId="38B459DF">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③对应用程序的监控：需监控应用子程序的各子系统、模块是否工作正常，数据处理响应速度是否及时，与子系统间的数据协同处理是否正常。</w:t>
      </w:r>
    </w:p>
    <w:p w14:paraId="4A74EFAE">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④对业务数据监控：分析应用系统中的业务数据，看是否传输、转换、解析、显示正常。</w:t>
      </w:r>
    </w:p>
    <w:p w14:paraId="2F2561B9">
      <w:pPr>
        <w:adjustRightInd w:val="0"/>
        <w:snapToGrid w:val="0"/>
        <w:spacing w:line="400" w:lineRule="exact"/>
        <w:ind w:firstLine="420" w:firstLineChars="200"/>
        <w:jc w:val="both"/>
        <w:rPr>
          <w:rFonts w:cs="Times New Roman"/>
          <w:kern w:val="2"/>
          <w:sz w:val="21"/>
          <w:szCs w:val="21"/>
          <w:lang w:val="en-US"/>
        </w:rPr>
      </w:pPr>
      <w:r>
        <w:rPr>
          <w:rFonts w:cs="Times New Roman"/>
          <w:color w:val="000000"/>
          <w:kern w:val="2"/>
          <w:sz w:val="21"/>
          <w:szCs w:val="21"/>
          <w:lang w:val="en-US"/>
        </w:rPr>
        <w:t>▲</w:t>
      </w:r>
      <w:r>
        <w:rPr>
          <w:rFonts w:hint="eastAsia" w:cs="Times New Roman"/>
          <w:kern w:val="2"/>
          <w:sz w:val="21"/>
          <w:szCs w:val="21"/>
          <w:lang w:val="en-US"/>
        </w:rPr>
        <w:t>（</w:t>
      </w:r>
      <w:r>
        <w:rPr>
          <w:rFonts w:cs="Times New Roman"/>
          <w:kern w:val="2"/>
          <w:sz w:val="21"/>
          <w:szCs w:val="21"/>
          <w:lang w:val="en-US"/>
        </w:rPr>
        <w:t>4</w:t>
      </w:r>
      <w:r>
        <w:rPr>
          <w:rFonts w:hint="eastAsia" w:cs="Times New Roman"/>
          <w:kern w:val="2"/>
          <w:sz w:val="21"/>
          <w:szCs w:val="21"/>
          <w:lang w:val="en-US"/>
        </w:rPr>
        <w:t>）</w:t>
      </w:r>
      <w:r>
        <w:rPr>
          <w:rFonts w:cs="Times New Roman"/>
          <w:kern w:val="2"/>
          <w:sz w:val="21"/>
          <w:szCs w:val="21"/>
          <w:lang w:val="en-US"/>
        </w:rPr>
        <w:t>平台</w:t>
      </w:r>
      <w:r>
        <w:rPr>
          <w:rFonts w:hint="eastAsia" w:cs="Times New Roman"/>
          <w:kern w:val="2"/>
          <w:sz w:val="21"/>
          <w:szCs w:val="21"/>
          <w:lang w:val="en-US"/>
        </w:rPr>
        <w:t>应</w:t>
      </w:r>
      <w:r>
        <w:rPr>
          <w:rFonts w:cs="Times New Roman"/>
          <w:kern w:val="2"/>
          <w:sz w:val="21"/>
          <w:szCs w:val="21"/>
          <w:lang w:val="en-US"/>
        </w:rPr>
        <w:t>能支持100万新能源车数据和200万用户数据。</w:t>
      </w:r>
    </w:p>
    <w:p w14:paraId="03C1845A">
      <w:pPr>
        <w:keepNext/>
        <w:keepLines/>
        <w:spacing w:line="400" w:lineRule="exact"/>
        <w:jc w:val="both"/>
        <w:outlineLvl w:val="2"/>
        <w:rPr>
          <w:rFonts w:cs="Times New Roman"/>
          <w:b/>
          <w:bCs/>
          <w:kern w:val="2"/>
          <w:sz w:val="21"/>
          <w:szCs w:val="21"/>
          <w:lang w:val="en-US"/>
        </w:rPr>
      </w:pPr>
      <w:r>
        <w:rPr>
          <w:rFonts w:hint="eastAsia" w:cs="Times New Roman"/>
          <w:b/>
          <w:bCs/>
          <w:kern w:val="2"/>
          <w:sz w:val="21"/>
          <w:szCs w:val="21"/>
          <w:lang w:val="en-US"/>
        </w:rPr>
        <w:t>其他要求</w:t>
      </w:r>
    </w:p>
    <w:p w14:paraId="0DE95621">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系统须留有接口，方便对接其他系统。</w:t>
      </w:r>
    </w:p>
    <w:p w14:paraId="18164458">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功能页面操作、查询，报表查询、导出等常用操作，响应迅速，方便业务人员操作。</w:t>
      </w:r>
    </w:p>
    <w:p w14:paraId="35439C68">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系统须支持不同类型的充电设备接入平台。</w:t>
      </w:r>
    </w:p>
    <w:p w14:paraId="3CDBAFD0">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系统查询、分析、统计流程可后台定制化，统计报表可通过低代码平台自定义、无需重新编程，维护方便，能够方便快速的利用已有基础数据。</w:t>
      </w:r>
    </w:p>
    <w:p w14:paraId="278866F3">
      <w:pPr>
        <w:adjustRightInd w:val="0"/>
        <w:snapToGrid w:val="0"/>
        <w:spacing w:line="400" w:lineRule="exact"/>
        <w:ind w:firstLine="420" w:firstLineChars="200"/>
        <w:jc w:val="both"/>
        <w:rPr>
          <w:rFonts w:cs="Times New Roman"/>
          <w:kern w:val="2"/>
          <w:sz w:val="21"/>
          <w:szCs w:val="21"/>
          <w:lang w:val="en-US"/>
        </w:rPr>
      </w:pPr>
      <w:r>
        <w:rPr>
          <w:rFonts w:hint="eastAsia" w:cs="Times New Roman"/>
          <w:kern w:val="2"/>
          <w:sz w:val="21"/>
          <w:szCs w:val="21"/>
          <w:lang w:val="en-US"/>
        </w:rPr>
        <w:t>投标人须确保提供具有自主知识产权的充电运营管理平台。我方有权随时对投标方所提供的上述系统的自有知识产权进行验证核查，如发现非自有产权的，有权做废标处理或终止合同。由此造成的产权纠纷及其他损失由投标人承担，我方不承担任何责任。</w:t>
      </w:r>
    </w:p>
    <w:bookmarkEnd w:id="62"/>
    <w:bookmarkEnd w:id="63"/>
    <w:bookmarkEnd w:id="64"/>
    <w:bookmarkEnd w:id="65"/>
    <w:bookmarkEnd w:id="66"/>
    <w:bookmarkEnd w:id="67"/>
    <w:bookmarkEnd w:id="68"/>
    <w:bookmarkEnd w:id="69"/>
    <w:bookmarkEnd w:id="70"/>
    <w:p w14:paraId="5A2802D7">
      <w:pPr>
        <w:keepNext/>
        <w:keepLines/>
        <w:spacing w:line="400" w:lineRule="exact"/>
        <w:jc w:val="both"/>
        <w:outlineLvl w:val="1"/>
        <w:rPr>
          <w:rFonts w:cs="Times New Roman"/>
          <w:b/>
          <w:bCs/>
          <w:color w:val="000000"/>
          <w:kern w:val="2"/>
          <w:sz w:val="21"/>
          <w:szCs w:val="21"/>
          <w:lang w:val="en-US"/>
        </w:rPr>
      </w:pPr>
      <w:bookmarkStart w:id="83" w:name="_Toc481998770"/>
      <w:r>
        <w:rPr>
          <w:rFonts w:hint="eastAsia" w:cs="Times New Roman"/>
          <w:b/>
          <w:bCs/>
          <w:color w:val="000000"/>
          <w:kern w:val="2"/>
          <w:sz w:val="21"/>
          <w:szCs w:val="21"/>
          <w:lang w:val="en-US"/>
        </w:rPr>
        <w:t>电缆要求</w:t>
      </w:r>
    </w:p>
    <w:p w14:paraId="1C70ADF5">
      <w:pPr>
        <w:adjustRightInd w:val="0"/>
        <w:snapToGrid w:val="0"/>
        <w:spacing w:line="400" w:lineRule="exact"/>
        <w:ind w:firstLine="420" w:firstLineChars="200"/>
        <w:jc w:val="both"/>
        <w:rPr>
          <w:rFonts w:cs="Times New Roman"/>
          <w:caps/>
          <w:color w:val="000000"/>
          <w:sz w:val="21"/>
          <w:szCs w:val="21"/>
          <w:lang w:val="en-US"/>
        </w:rPr>
      </w:pPr>
      <w:r>
        <w:rPr>
          <w:rFonts w:hint="eastAsia" w:cs="Times New Roman"/>
          <w:caps/>
          <w:color w:val="000000"/>
          <w:sz w:val="21"/>
          <w:szCs w:val="21"/>
          <w:lang w:val="en-US"/>
        </w:rPr>
        <w:t>（1）项目电缆包含充电机主进线电缆等；</w:t>
      </w:r>
    </w:p>
    <w:p w14:paraId="49EAAD58">
      <w:pPr>
        <w:adjustRightInd w:val="0"/>
        <w:snapToGrid w:val="0"/>
        <w:spacing w:line="400" w:lineRule="exact"/>
        <w:ind w:firstLine="420" w:firstLineChars="200"/>
        <w:jc w:val="both"/>
        <w:rPr>
          <w:rFonts w:cs="Times New Roman"/>
          <w:caps/>
          <w:color w:val="000000"/>
          <w:sz w:val="21"/>
          <w:szCs w:val="21"/>
          <w:lang w:val="en-US"/>
        </w:rPr>
      </w:pPr>
      <w:r>
        <w:rPr>
          <w:rFonts w:hint="eastAsia" w:cs="Times New Roman"/>
          <w:caps/>
          <w:color w:val="000000"/>
          <w:sz w:val="21"/>
          <w:szCs w:val="21"/>
          <w:lang w:val="en-US"/>
        </w:rPr>
        <w:t>（2）所有额定电压450/750V及以下聚氯乙烯绝缘电缆必须符合标准GB/T 5023的规定或JB/T 8734的规定；</w:t>
      </w:r>
    </w:p>
    <w:p w14:paraId="2843E1A5">
      <w:pPr>
        <w:adjustRightInd w:val="0"/>
        <w:snapToGrid w:val="0"/>
        <w:spacing w:line="400" w:lineRule="exact"/>
        <w:ind w:firstLine="420" w:firstLineChars="200"/>
        <w:jc w:val="both"/>
        <w:rPr>
          <w:rFonts w:cs="Times New Roman"/>
          <w:caps/>
          <w:color w:val="000000"/>
          <w:sz w:val="21"/>
          <w:szCs w:val="21"/>
          <w:lang w:val="en-US"/>
        </w:rPr>
      </w:pPr>
      <w:r>
        <w:rPr>
          <w:rFonts w:hint="eastAsia" w:cs="Times New Roman"/>
          <w:caps/>
          <w:color w:val="000000"/>
          <w:sz w:val="21"/>
          <w:szCs w:val="21"/>
          <w:lang w:val="en-US"/>
        </w:rPr>
        <w:t>（3）所有额定电压1kV~35kV的电缆须符合标准GB/T 12706的规定；</w:t>
      </w:r>
    </w:p>
    <w:p w14:paraId="080FDC2F">
      <w:pPr>
        <w:adjustRightInd w:val="0"/>
        <w:snapToGrid w:val="0"/>
        <w:spacing w:line="400" w:lineRule="exact"/>
        <w:ind w:firstLine="420" w:firstLineChars="200"/>
        <w:jc w:val="both"/>
        <w:rPr>
          <w:rFonts w:cs="Times New Roman"/>
          <w:caps/>
          <w:color w:val="000000"/>
          <w:sz w:val="21"/>
          <w:szCs w:val="21"/>
          <w:lang w:val="en-US"/>
        </w:rPr>
      </w:pPr>
      <w:r>
        <w:rPr>
          <w:rFonts w:hint="eastAsia" w:cs="Times New Roman"/>
          <w:caps/>
          <w:color w:val="000000"/>
          <w:sz w:val="21"/>
          <w:szCs w:val="21"/>
          <w:lang w:val="en-US"/>
        </w:rPr>
        <w:t>（4）所有型号的电缆须满足《电线电缆产品许可证可实施细则》的规定。</w:t>
      </w:r>
    </w:p>
    <w:p w14:paraId="4730ED19">
      <w:pPr>
        <w:adjustRightInd w:val="0"/>
        <w:snapToGrid w:val="0"/>
        <w:spacing w:line="400" w:lineRule="exact"/>
        <w:ind w:firstLine="420" w:firstLineChars="200"/>
        <w:jc w:val="both"/>
        <w:rPr>
          <w:rFonts w:cs="Times New Roman"/>
          <w:caps/>
          <w:color w:val="000000"/>
          <w:sz w:val="21"/>
          <w:szCs w:val="21"/>
          <w:lang w:val="en-US"/>
        </w:rPr>
      </w:pPr>
      <w:r>
        <w:rPr>
          <w:rFonts w:hint="eastAsia" w:cs="Times New Roman"/>
          <w:caps/>
          <w:color w:val="000000"/>
          <w:sz w:val="21"/>
          <w:szCs w:val="21"/>
          <w:lang w:val="en-US"/>
        </w:rPr>
        <w:t>（5）项目所需电缆型号与长度由投标人根据现场实际安装环境自行选择确认，同时需满足当地供电局验收标准规范。</w:t>
      </w:r>
    </w:p>
    <w:p w14:paraId="289656F0">
      <w:pPr>
        <w:keepNext/>
        <w:keepLines/>
        <w:spacing w:line="400" w:lineRule="exact"/>
        <w:jc w:val="both"/>
        <w:outlineLvl w:val="1"/>
        <w:rPr>
          <w:rFonts w:cs="Times New Roman"/>
          <w:b/>
          <w:bCs/>
          <w:color w:val="000000"/>
          <w:kern w:val="2"/>
          <w:sz w:val="21"/>
          <w:szCs w:val="21"/>
          <w:lang w:val="en-US"/>
        </w:rPr>
      </w:pPr>
      <w:r>
        <w:rPr>
          <w:rFonts w:hint="eastAsia" w:cs="Times New Roman"/>
          <w:b/>
          <w:bCs/>
          <w:color w:val="000000"/>
          <w:kern w:val="2"/>
          <w:sz w:val="21"/>
          <w:szCs w:val="21"/>
          <w:lang w:val="en-US"/>
        </w:rPr>
        <w:t>安装服务要求</w:t>
      </w:r>
    </w:p>
    <w:p w14:paraId="62EABA53">
      <w:pPr>
        <w:adjustRightInd w:val="0"/>
        <w:snapToGrid w:val="0"/>
        <w:spacing w:line="400" w:lineRule="exact"/>
        <w:ind w:firstLine="420" w:firstLineChars="200"/>
        <w:rPr>
          <w:rFonts w:cs="Times New Roman"/>
          <w:caps/>
          <w:color w:val="000000"/>
          <w:sz w:val="21"/>
          <w:szCs w:val="21"/>
          <w:lang w:val="en-US"/>
        </w:rPr>
      </w:pPr>
      <w:r>
        <w:rPr>
          <w:rFonts w:hint="eastAsia" w:cs="Times New Roman"/>
          <w:caps/>
          <w:color w:val="000000"/>
          <w:sz w:val="21"/>
          <w:szCs w:val="21"/>
          <w:lang w:val="en-US"/>
        </w:rPr>
        <w:t>项目安装包含设备基础制作、接线安装及调试通电等，采用包干制，供应商自行前往现场进行踏勘设计，投标时工程价款的计算规则按照单价合同据实结算，招标人接受中标</w:t>
      </w:r>
      <w:r>
        <w:rPr>
          <w:rFonts w:hint="eastAsia" w:cs="Times New Roman"/>
          <w:caps/>
          <w:color w:val="000000"/>
          <w:sz w:val="21"/>
          <w:szCs w:val="21"/>
          <w:highlight w:val="yellow"/>
          <w:lang w:val="en-US"/>
        </w:rPr>
        <w:t>人因工程量增减要求支付额外的费用</w:t>
      </w:r>
      <w:r>
        <w:rPr>
          <w:rFonts w:hint="eastAsia" w:cs="Times New Roman"/>
          <w:caps/>
          <w:color w:val="000000"/>
          <w:sz w:val="21"/>
          <w:szCs w:val="21"/>
          <w:lang w:val="en-US"/>
        </w:rPr>
        <w:t>，供应商最终成果必须满足国家行政主管部门的施工及安全要求，同时确保项目设施设备正常运行，场站建设需配套必要的照明等设施。</w:t>
      </w:r>
    </w:p>
    <w:p w14:paraId="6B5F56CE">
      <w:pPr>
        <w:keepNext/>
        <w:keepLines/>
        <w:spacing w:line="400" w:lineRule="exact"/>
        <w:jc w:val="both"/>
        <w:outlineLvl w:val="1"/>
        <w:rPr>
          <w:rFonts w:cs="Times New Roman"/>
          <w:b/>
          <w:bCs/>
          <w:color w:val="000000"/>
          <w:kern w:val="2"/>
          <w:sz w:val="21"/>
          <w:szCs w:val="21"/>
          <w:lang w:val="en-US"/>
        </w:rPr>
      </w:pPr>
      <w:r>
        <w:rPr>
          <w:rFonts w:hint="eastAsia" w:cs="Times New Roman"/>
          <w:b/>
          <w:bCs/>
          <w:color w:val="000000"/>
          <w:kern w:val="2"/>
          <w:sz w:val="21"/>
          <w:szCs w:val="21"/>
          <w:lang w:val="en-US"/>
        </w:rPr>
        <w:t>施工及其配套设施要求</w:t>
      </w:r>
    </w:p>
    <w:p w14:paraId="319E090B">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（1）接地施工要求</w:t>
      </w:r>
    </w:p>
    <w:p w14:paraId="2FBB0AE6">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1）接地极施工：接地极可采用热镀锌角钢、圆钢、钢管，垂直打入地面，埋设深度距地表≥2500mm。</w:t>
      </w:r>
    </w:p>
    <w:p w14:paraId="32FF5768">
      <w:pPr>
        <w:spacing w:line="400" w:lineRule="exact"/>
        <w:ind w:firstLine="480"/>
        <w:jc w:val="both"/>
        <w:rPr>
          <w:rFonts w:cs="Times New Roman"/>
          <w:caps/>
          <w:color w:val="000000"/>
          <w:sz w:val="21"/>
          <w:szCs w:val="21"/>
          <w:lang w:val="en-US"/>
        </w:rPr>
      </w:pPr>
      <w:r>
        <w:rPr>
          <w:rFonts w:cs="Times New Roman"/>
          <w:caps/>
          <w:color w:val="000000"/>
          <w:sz w:val="21"/>
          <w:szCs w:val="21"/>
          <w:lang w:val="en-US"/>
        </w:rPr>
        <w:t>2</w:t>
      </w:r>
      <w:r>
        <w:rPr>
          <w:rFonts w:hint="eastAsia" w:cs="Times New Roman"/>
          <w:caps/>
          <w:color w:val="000000"/>
          <w:sz w:val="21"/>
          <w:szCs w:val="21"/>
          <w:lang w:val="en-US"/>
        </w:rPr>
        <w:t>）接地体核验：接地焊接处焊口、焊面，不得有夹渣、咬肉、裂纹、气孔、药皮，且已做防腐处理。</w:t>
      </w:r>
    </w:p>
    <w:p w14:paraId="7C8D0DF6">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（2）充电设备基础施工要求</w:t>
      </w:r>
    </w:p>
    <w:p w14:paraId="7AE6179D">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1）在基础开挖前应根据充电设备的安装位置和设备尺寸进行放线定位，需要拆除的绿化植被必须征得相关管理部同意后才能拆除。若充电设备采用砖砌结构，所用砖块为烧结页岩砖，不得使用水泥沙砖。</w:t>
      </w:r>
    </w:p>
    <w:p w14:paraId="3CB1FF42">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砖砌充电设备基础的灰缝应横平竖直厚薄均匀，竖向灰缝砂浆需填充饱满，不得出现透明缝、瞎缝和假缝。充电设备基础施工临时间断处补砌时，必须将接处表面清理干净，浇水湿润，并填实砂浆保持灰缝平直。</w:t>
      </w:r>
    </w:p>
    <w:p w14:paraId="00035F88">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w:t>
      </w:r>
      <w:r>
        <w:rPr>
          <w:rFonts w:cs="Times New Roman"/>
          <w:caps/>
          <w:color w:val="000000"/>
          <w:sz w:val="21"/>
          <w:szCs w:val="21"/>
          <w:lang w:val="en-US"/>
        </w:rPr>
        <w:t>3</w:t>
      </w:r>
      <w:r>
        <w:rPr>
          <w:rFonts w:hint="eastAsia" w:cs="Times New Roman"/>
          <w:caps/>
          <w:color w:val="000000"/>
          <w:sz w:val="21"/>
          <w:szCs w:val="21"/>
          <w:lang w:val="en-US"/>
        </w:rPr>
        <w:t>）电缆敷设施工要求</w:t>
      </w:r>
    </w:p>
    <w:p w14:paraId="69C50DFA">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1）电缆沟负挖深度现场满足要求，电缆敷设前应对整盘电缆进行绝缘测试，测试合格后方能进行电缆敷设；</w:t>
      </w:r>
    </w:p>
    <w:p w14:paraId="4574FEFE">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2）电缆敷设完成后在箱变及接线井悬挂电缆标识牌，标明电缆规格型号、长度、起端和终端；</w:t>
      </w:r>
    </w:p>
    <w:p w14:paraId="22A85813">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3）埋地电缆在拐弯、接头、交叉，进出建筑物等地段应设明显的方位标桩，标桩应牢固，标志应清晰，标桩露出地面以15-20cm为宜。</w:t>
      </w:r>
    </w:p>
    <w:p w14:paraId="6481B390">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w:t>
      </w:r>
      <w:r>
        <w:rPr>
          <w:rFonts w:cs="Times New Roman"/>
          <w:caps/>
          <w:color w:val="000000"/>
          <w:sz w:val="21"/>
          <w:szCs w:val="21"/>
          <w:lang w:val="en-US"/>
        </w:rPr>
        <w:t>4</w:t>
      </w:r>
      <w:r>
        <w:rPr>
          <w:rFonts w:hint="eastAsia" w:cs="Times New Roman"/>
          <w:caps/>
          <w:color w:val="000000"/>
          <w:sz w:val="21"/>
          <w:szCs w:val="21"/>
          <w:lang w:val="en-US"/>
        </w:rPr>
        <w:t>）电缆端接施工要求</w:t>
      </w:r>
    </w:p>
    <w:p w14:paraId="19F7E563">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1）根据线鼻子腔深度确定绝缘层剥切长度（绝缘层剥切长度=线鼻子腔深度+2mm），用剥线钳环切将绝缘层剥掉，剥切过程中应避免用力过大伤及线芯导体部分；</w:t>
      </w:r>
    </w:p>
    <w:p w14:paraId="0DD28A2E">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2）选择与电缆型号相等，并与元器件或铜排配套的线鼻子进行压接，压接时须使用液压钳及配套模具，不得使用铁锤砸击的方式进行压接；</w:t>
      </w:r>
    </w:p>
    <w:p w14:paraId="2B0F0AB3">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3）铜鼻压接结束以后，对绝缘皮与线鼻子用PVC胶带缠绕保护至少2圈后加绝缘软护套（信号线除外），对于压接后的端子有压接不牢或虚接情况时，须使用裸导线对线芯进行填充后再压接或重新制作端子。</w:t>
      </w:r>
    </w:p>
    <w:p w14:paraId="41EF5ECC">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w:t>
      </w:r>
      <w:r>
        <w:rPr>
          <w:rFonts w:cs="Times New Roman"/>
          <w:caps/>
          <w:color w:val="000000"/>
          <w:sz w:val="21"/>
          <w:szCs w:val="21"/>
          <w:lang w:val="en-US"/>
        </w:rPr>
        <w:t>5</w:t>
      </w:r>
      <w:r>
        <w:rPr>
          <w:rFonts w:hint="eastAsia" w:cs="Times New Roman"/>
          <w:caps/>
          <w:color w:val="000000"/>
          <w:sz w:val="21"/>
          <w:szCs w:val="21"/>
          <w:lang w:val="en-US"/>
        </w:rPr>
        <w:t>）安全文明施工要求</w:t>
      </w:r>
    </w:p>
    <w:p w14:paraId="392996C8">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1）施工单位在施工过程中应设立统一的安全施工围挡，以区分作业区和非作业区。</w:t>
      </w:r>
    </w:p>
    <w:p w14:paraId="425DFCC9">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2）施工单位在施工过程中，应在施工现场设置统一的施工指示牌。</w:t>
      </w:r>
    </w:p>
    <w:p w14:paraId="229F0B95">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3）施工单位的施工现场应保持整洁，合理规划，设置作业区、材料堆放区，垃圾或废料应集中堆放、及时清除，做到“工完、 料尽、场地清”。</w:t>
      </w:r>
    </w:p>
    <w:p w14:paraId="3FBE4847">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4）施工单位施工完成后应对施工过程中对场地造成的无可避免的污染和损坏进行原样恢复，其中进行混凝土及砂浆搅拌时应垫三防布或采取其它措施进行防护避免对施工场地原有地面造成污染。</w:t>
      </w:r>
    </w:p>
    <w:p w14:paraId="1560434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5）施工单位进行低压电源接入操作的施工人员必须是有合格操作证的电工，同时应采取有效的防护措施和机具。</w:t>
      </w:r>
    </w:p>
    <w:p w14:paraId="3D940B74">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6）施工单位进行高空和危险作业时，施工人员须采取有效的防护措施，并佩戴相应的个人安全防护用品。</w:t>
      </w:r>
    </w:p>
    <w:p w14:paraId="08728AE8">
      <w:pPr>
        <w:spacing w:line="400" w:lineRule="exact"/>
        <w:ind w:firstLine="480"/>
        <w:jc w:val="both"/>
        <w:rPr>
          <w:rFonts w:cs="Times New Roman"/>
          <w:b/>
          <w:bCs/>
          <w:caps/>
          <w:color w:val="000000"/>
          <w:sz w:val="21"/>
          <w:szCs w:val="21"/>
          <w:lang w:val="en-US"/>
        </w:rPr>
      </w:pPr>
      <w:r>
        <w:rPr>
          <w:rFonts w:hint="eastAsia" w:cs="Times New Roman"/>
          <w:b/>
          <w:bCs/>
          <w:caps/>
          <w:color w:val="000000"/>
          <w:sz w:val="21"/>
          <w:szCs w:val="21"/>
          <w:lang w:val="en-US"/>
        </w:rPr>
        <w:t>参考标准N</w:t>
      </w:r>
      <w:r>
        <w:rPr>
          <w:rFonts w:cs="Times New Roman"/>
          <w:b/>
          <w:bCs/>
          <w:caps/>
          <w:color w:val="000000"/>
          <w:sz w:val="21"/>
          <w:szCs w:val="21"/>
          <w:lang w:val="en-US"/>
        </w:rPr>
        <w:t>B/T33004</w:t>
      </w:r>
      <w:r>
        <w:rPr>
          <w:rFonts w:hint="eastAsia" w:cs="Times New Roman"/>
          <w:b/>
          <w:bCs/>
          <w:caps/>
          <w:color w:val="000000"/>
          <w:sz w:val="21"/>
          <w:szCs w:val="21"/>
          <w:lang w:val="en-US"/>
        </w:rPr>
        <w:t>-</w:t>
      </w:r>
      <w:r>
        <w:rPr>
          <w:rFonts w:cs="Times New Roman"/>
          <w:b/>
          <w:bCs/>
          <w:caps/>
          <w:color w:val="000000"/>
          <w:sz w:val="21"/>
          <w:szCs w:val="21"/>
          <w:lang w:val="en-US"/>
        </w:rPr>
        <w:t>2020</w:t>
      </w:r>
      <w:r>
        <w:rPr>
          <w:rFonts w:hint="eastAsia" w:cs="Times New Roman"/>
          <w:b/>
          <w:bCs/>
          <w:caps/>
          <w:color w:val="000000"/>
          <w:sz w:val="21"/>
          <w:szCs w:val="21"/>
          <w:lang w:val="en-US"/>
        </w:rPr>
        <w:t>电动汽车充换电设施工程施工和竣工验收规范。</w:t>
      </w:r>
    </w:p>
    <w:p w14:paraId="320C5AE9">
      <w:pPr>
        <w:keepNext/>
        <w:keepLines/>
        <w:spacing w:line="400" w:lineRule="exact"/>
        <w:jc w:val="both"/>
        <w:outlineLvl w:val="1"/>
        <w:rPr>
          <w:rFonts w:cs="Times New Roman"/>
          <w:b/>
          <w:bCs/>
          <w:kern w:val="2"/>
          <w:sz w:val="21"/>
          <w:szCs w:val="21"/>
          <w:highlight w:val="yellow"/>
          <w:lang w:val="en-US"/>
        </w:rPr>
      </w:pPr>
      <w:r>
        <w:rPr>
          <w:rFonts w:hint="eastAsia" w:cs="Times New Roman"/>
          <w:b/>
          <w:bCs/>
          <w:kern w:val="2"/>
          <w:sz w:val="21"/>
          <w:szCs w:val="21"/>
          <w:highlight w:val="yellow"/>
          <w:lang w:val="en-US"/>
        </w:rPr>
        <w:t>项目其他服务要求</w:t>
      </w:r>
      <w:bookmarkEnd w:id="83"/>
    </w:p>
    <w:p w14:paraId="326B6F32">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w:t>
      </w:r>
      <w:r>
        <w:rPr>
          <w:rFonts w:cs="Times New Roman"/>
          <w:caps/>
          <w:color w:val="000000"/>
          <w:sz w:val="21"/>
          <w:szCs w:val="21"/>
          <w:lang w:val="en-US"/>
        </w:rPr>
        <w:t>1</w:t>
      </w:r>
      <w:r>
        <w:rPr>
          <w:rFonts w:hint="eastAsia" w:cs="Times New Roman"/>
          <w:caps/>
          <w:color w:val="000000"/>
          <w:sz w:val="21"/>
          <w:szCs w:val="21"/>
          <w:lang w:val="en-US"/>
        </w:rPr>
        <w:t>）交付地点：采购人指定地点。</w:t>
      </w:r>
    </w:p>
    <w:p w14:paraId="60B212D2">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（2）交付时间：</w:t>
      </w:r>
      <w:r>
        <w:rPr>
          <w:rFonts w:hint="eastAsia" w:ascii="Times New Roman" w:hAnsi="Times New Roman" w:cs="Times New Roman"/>
          <w:spacing w:val="-5"/>
          <w:sz w:val="21"/>
        </w:rPr>
        <w:t>60日历天</w:t>
      </w:r>
      <w:r>
        <w:rPr>
          <w:rFonts w:ascii="Times New Roman" w:hAnsi="Times New Roman" w:cs="Times New Roman"/>
          <w:spacing w:val="-10"/>
          <w:sz w:val="21"/>
        </w:rPr>
        <w:t>完成安装调试并通过验收交付</w:t>
      </w:r>
      <w:r>
        <w:rPr>
          <w:rFonts w:cs="Times New Roman"/>
          <w:caps/>
          <w:color w:val="000000"/>
          <w:sz w:val="21"/>
          <w:szCs w:val="21"/>
          <w:lang w:val="en-US"/>
        </w:rPr>
        <w:t>。</w:t>
      </w:r>
    </w:p>
    <w:p w14:paraId="4EB2DB36">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（3）质保要求：合同设备（含配套软件）质保期为</w:t>
      </w:r>
      <w:r>
        <w:rPr>
          <w:rFonts w:cs="Times New Roman"/>
          <w:caps/>
          <w:color w:val="000000"/>
          <w:sz w:val="21"/>
          <w:szCs w:val="21"/>
          <w:lang w:val="en-US"/>
        </w:rPr>
        <w:t>2年（自验收合格）。</w:t>
      </w:r>
    </w:p>
    <w:p w14:paraId="36CA5FC6">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w:t>
      </w:r>
      <w:r>
        <w:rPr>
          <w:rFonts w:cs="Times New Roman"/>
          <w:caps/>
          <w:color w:val="000000"/>
          <w:sz w:val="21"/>
          <w:szCs w:val="21"/>
          <w:lang w:val="en-US"/>
        </w:rPr>
        <w:t>4</w:t>
      </w:r>
      <w:r>
        <w:rPr>
          <w:rFonts w:hint="eastAsia" w:cs="Times New Roman"/>
          <w:caps/>
          <w:color w:val="000000"/>
          <w:sz w:val="21"/>
          <w:szCs w:val="21"/>
          <w:lang w:val="en-US"/>
        </w:rPr>
        <w:t>）投标人必须根据本次招标文件所制定的目标和范围，提出相应的售后服务方案。</w:t>
      </w:r>
    </w:p>
    <w:p w14:paraId="21E645D2">
      <w:pPr>
        <w:spacing w:line="400" w:lineRule="exact"/>
        <w:ind w:firstLine="480"/>
        <w:jc w:val="both"/>
        <w:rPr>
          <w:rFonts w:cs="Times New Roman"/>
          <w:caps/>
          <w:color w:val="000000"/>
          <w:sz w:val="21"/>
          <w:szCs w:val="21"/>
          <w:lang w:val="en-US"/>
        </w:rPr>
      </w:pPr>
      <w:r>
        <w:rPr>
          <w:rFonts w:hint="eastAsia" w:cs="Times New Roman"/>
          <w:caps/>
          <w:color w:val="000000"/>
          <w:sz w:val="21"/>
          <w:szCs w:val="21"/>
          <w:lang w:val="en-US"/>
        </w:rPr>
        <w:t>（</w:t>
      </w:r>
      <w:r>
        <w:rPr>
          <w:rFonts w:cs="Times New Roman"/>
          <w:caps/>
          <w:color w:val="000000"/>
          <w:sz w:val="21"/>
          <w:szCs w:val="21"/>
          <w:lang w:val="en-US"/>
        </w:rPr>
        <w:t>5</w:t>
      </w:r>
      <w:r>
        <w:rPr>
          <w:rFonts w:hint="eastAsia" w:cs="Times New Roman"/>
          <w:caps/>
          <w:color w:val="000000"/>
          <w:sz w:val="21"/>
          <w:szCs w:val="21"/>
          <w:lang w:val="en-US"/>
        </w:rPr>
        <w:t>）质保期内投标人须按照采购</w:t>
      </w:r>
      <w:r>
        <w:rPr>
          <w:rFonts w:cs="Times New Roman"/>
          <w:caps/>
          <w:color w:val="000000"/>
          <w:sz w:val="21"/>
          <w:szCs w:val="21"/>
          <w:lang w:val="en-US"/>
        </w:rPr>
        <w:t>人</w:t>
      </w:r>
      <w:r>
        <w:rPr>
          <w:rFonts w:hint="eastAsia" w:cs="Times New Roman"/>
          <w:caps/>
          <w:color w:val="000000"/>
          <w:sz w:val="21"/>
          <w:szCs w:val="21"/>
          <w:lang w:val="en-US"/>
        </w:rPr>
        <w:t>需求，给出明确售后</w:t>
      </w:r>
      <w:r>
        <w:rPr>
          <w:rFonts w:cs="Times New Roman"/>
          <w:caps/>
          <w:color w:val="000000"/>
          <w:sz w:val="21"/>
          <w:szCs w:val="21"/>
          <w:lang w:val="en-US"/>
        </w:rPr>
        <w:t>服务</w:t>
      </w:r>
      <w:r>
        <w:rPr>
          <w:rFonts w:hint="eastAsia" w:cs="Times New Roman"/>
          <w:caps/>
          <w:color w:val="000000"/>
          <w:sz w:val="21"/>
          <w:szCs w:val="21"/>
          <w:lang w:val="en-US"/>
        </w:rPr>
        <w:t>响应时间和安排，</w:t>
      </w:r>
      <w:r>
        <w:rPr>
          <w:rFonts w:cs="Times New Roman"/>
          <w:caps/>
          <w:color w:val="000000"/>
          <w:sz w:val="21"/>
          <w:szCs w:val="21"/>
          <w:lang w:val="en-US"/>
        </w:rPr>
        <w:t>售后服务内容</w:t>
      </w:r>
      <w:r>
        <w:rPr>
          <w:rFonts w:hint="eastAsia" w:cs="Times New Roman"/>
          <w:caps/>
          <w:color w:val="000000"/>
          <w:sz w:val="21"/>
          <w:szCs w:val="21"/>
          <w:lang w:val="en-US"/>
        </w:rPr>
        <w:t>包括系统升级、功能完善、故障排除、性能调优、技术咨询等，并负责系统的开发、集成，处理、协调与各系统软件等供应商的关系。</w:t>
      </w:r>
    </w:p>
    <w:p w14:paraId="0C749411">
      <w:pPr>
        <w:widowControl/>
        <w:rPr>
          <w:rFonts w:ascii="Times New Roman" w:hAnsi="Times New Roman" w:cs="Times New Roman"/>
          <w:sz w:val="20"/>
        </w:rPr>
      </w:pPr>
    </w:p>
    <w:p w14:paraId="51808381">
      <w:pPr>
        <w:pStyle w:val="18"/>
        <w:rPr>
          <w:rFonts w:ascii="Times New Roman" w:hAnsi="Times New Roman" w:cs="Times New Roman"/>
          <w:sz w:val="20"/>
        </w:rPr>
      </w:pPr>
    </w:p>
    <w:p w14:paraId="2BD0BBD3">
      <w:pPr>
        <w:pStyle w:val="18"/>
        <w:spacing w:before="3"/>
        <w:rPr>
          <w:rFonts w:ascii="Times New Roman" w:hAnsi="Times New Roman" w:cs="Times New Roman"/>
          <w:sz w:val="16"/>
        </w:rPr>
      </w:pPr>
    </w:p>
    <w:p w14:paraId="2AB0B2D2">
      <w:pPr>
        <w:pStyle w:val="5"/>
        <w:tabs>
          <w:tab w:val="left" w:pos="4200"/>
          <w:tab w:val="left" w:pos="4800"/>
          <w:tab w:val="left" w:pos="10000"/>
        </w:tabs>
        <w:ind w:left="2"/>
        <w:rPr>
          <w:rFonts w:ascii="Times New Roman" w:hAnsi="Times New Roman" w:eastAsia="Times New Roman" w:cs="Times New Roman"/>
        </w:rPr>
      </w:pPr>
      <w:r>
        <w:rPr>
          <w:rFonts w:ascii="Times New Roman" w:hAnsi="Times New Roman" w:cs="Times New Roman"/>
        </w:rPr>
        <w:t>甲方（盖章）：</w:t>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乙方（盖章）：</w:t>
      </w:r>
      <w:r>
        <w:rPr>
          <w:rFonts w:ascii="Times New Roman" w:hAnsi="Times New Roman" w:cs="Times New Roman"/>
          <w:u w:val="single"/>
        </w:rPr>
        <w:t xml:space="preserve">                               </w:t>
      </w:r>
    </w:p>
    <w:p w14:paraId="21984F58">
      <w:pPr>
        <w:pStyle w:val="18"/>
        <w:tabs>
          <w:tab w:val="left" w:pos="4200"/>
        </w:tabs>
        <w:spacing w:before="3"/>
        <w:rPr>
          <w:rFonts w:ascii="Times New Roman" w:hAnsi="Times New Roman" w:cs="Times New Roman"/>
          <w:b/>
          <w:sz w:val="19"/>
        </w:rPr>
      </w:pPr>
    </w:p>
    <w:p w14:paraId="336B9516">
      <w:pPr>
        <w:pStyle w:val="18"/>
        <w:tabs>
          <w:tab w:val="left" w:pos="4200"/>
          <w:tab w:val="left" w:pos="4774"/>
          <w:tab w:val="left" w:pos="5564"/>
          <w:tab w:val="left" w:pos="9811"/>
        </w:tabs>
        <w:rPr>
          <w:rFonts w:ascii="Times New Roman" w:hAnsi="Times New Roman" w:cs="Times New Roman"/>
        </w:rPr>
      </w:pPr>
      <w:r>
        <w:rPr>
          <w:rFonts w:ascii="Times New Roman" w:hAnsi="Times New Roman" w:cs="Times New Roman"/>
        </w:rPr>
        <w:t>地址</w:t>
      </w:r>
      <w:r>
        <w:rPr>
          <w:rFonts w:ascii="Times New Roman" w:hAnsi="Times New Roman" w:cs="Times New Roman"/>
          <w:spacing w:val="-3"/>
        </w:rPr>
        <w:t>：</w:t>
      </w:r>
      <w:r>
        <w:rPr>
          <w:rFonts w:ascii="Times New Roman" w:hAnsi="Times New Roman" w:cs="Times New Roman"/>
          <w:spacing w:val="-3"/>
          <w:u w:val="single"/>
        </w:rPr>
        <w:tab/>
      </w:r>
      <w:r>
        <w:rPr>
          <w:rFonts w:ascii="Times New Roman" w:hAnsi="Times New Roman" w:cs="Times New Roman"/>
          <w:spacing w:val="-3"/>
        </w:rPr>
        <w:tab/>
      </w:r>
      <w:r>
        <w:rPr>
          <w:rFonts w:ascii="Times New Roman" w:hAnsi="Times New Roman" w:cs="Times New Roman"/>
        </w:rPr>
        <w:t>地</w:t>
      </w:r>
      <w:r>
        <w:rPr>
          <w:rFonts w:ascii="Times New Roman" w:hAnsi="Times New Roman" w:cs="Times New Roman"/>
          <w:spacing w:val="-3"/>
        </w:rPr>
        <w:t>址</w:t>
      </w:r>
      <w:r>
        <w:rPr>
          <w:rFonts w:ascii="Times New Roman" w:hAnsi="Times New Roman" w:cs="Times New Roman"/>
        </w:rPr>
        <w:t>：</w:t>
      </w:r>
      <w:r>
        <w:rPr>
          <w:rFonts w:ascii="Times New Roman" w:hAnsi="Times New Roman" w:eastAsia="Times New Roman" w:cs="Times New Roman"/>
          <w:u w:val="single"/>
        </w:rPr>
        <w:tab/>
      </w:r>
      <w:r>
        <w:rPr>
          <w:rFonts w:ascii="Times New Roman" w:hAnsi="Times New Roman" w:cs="Times New Roman"/>
          <w:u w:val="single"/>
        </w:rPr>
        <w:t xml:space="preserve">                                           </w:t>
      </w:r>
    </w:p>
    <w:p w14:paraId="09DBF0FD">
      <w:pPr>
        <w:pStyle w:val="18"/>
        <w:tabs>
          <w:tab w:val="left" w:pos="4200"/>
        </w:tabs>
        <w:rPr>
          <w:rFonts w:ascii="Times New Roman" w:hAnsi="Times New Roman" w:cs="Times New Roman"/>
          <w:sz w:val="19"/>
        </w:rPr>
      </w:pPr>
    </w:p>
    <w:p w14:paraId="045F066A">
      <w:pPr>
        <w:pStyle w:val="18"/>
        <w:tabs>
          <w:tab w:val="left" w:pos="4200"/>
          <w:tab w:val="left" w:pos="4818"/>
          <w:tab w:val="left" w:pos="5610"/>
          <w:tab w:val="left" w:pos="9914"/>
        </w:tabs>
        <w:rPr>
          <w:rFonts w:ascii="Times New Roman" w:hAnsi="Times New Roman" w:cs="Times New Roman"/>
        </w:rPr>
      </w:pPr>
      <w:r>
        <w:rPr>
          <w:rFonts w:ascii="Times New Roman" w:hAnsi="Times New Roman" w:cs="Times New Roman"/>
          <w:spacing w:val="-41"/>
        </w:rPr>
        <w:t>法定代表人（授权</w:t>
      </w:r>
      <w:r>
        <w:rPr>
          <w:rFonts w:ascii="Times New Roman" w:hAnsi="Times New Roman" w:cs="Times New Roman"/>
          <w:spacing w:val="-44"/>
        </w:rPr>
        <w:t>代</w:t>
      </w:r>
      <w:r>
        <w:rPr>
          <w:rFonts w:ascii="Times New Roman" w:hAnsi="Times New Roman" w:cs="Times New Roman"/>
          <w:spacing w:val="-41"/>
        </w:rPr>
        <w:t>表</w:t>
      </w:r>
      <w:r>
        <w:rPr>
          <w:rFonts w:ascii="Times New Roman" w:hAnsi="Times New Roman" w:cs="Times New Roman"/>
          <w:spacing w:val="-22"/>
        </w:rPr>
        <w:t>）：</w:t>
      </w:r>
      <w:r>
        <w:rPr>
          <w:rFonts w:ascii="Times New Roman" w:hAnsi="Times New Roman" w:cs="Times New Roman"/>
          <w:spacing w:val="-22"/>
          <w:u w:val="single"/>
        </w:rPr>
        <w:tab/>
      </w:r>
      <w:r>
        <w:rPr>
          <w:rFonts w:ascii="Times New Roman" w:hAnsi="Times New Roman" w:cs="Times New Roman"/>
          <w:spacing w:val="-22"/>
        </w:rPr>
        <w:tab/>
      </w:r>
      <w:r>
        <w:rPr>
          <w:rFonts w:ascii="Times New Roman" w:hAnsi="Times New Roman" w:cs="Times New Roman"/>
          <w:spacing w:val="-3"/>
        </w:rPr>
        <w:t>法</w:t>
      </w:r>
      <w:r>
        <w:rPr>
          <w:rFonts w:ascii="Times New Roman" w:hAnsi="Times New Roman" w:cs="Times New Roman"/>
          <w:spacing w:val="-1"/>
        </w:rPr>
        <w:t>定</w:t>
      </w:r>
      <w:r>
        <w:rPr>
          <w:rFonts w:ascii="Times New Roman" w:hAnsi="Times New Roman" w:cs="Times New Roman"/>
          <w:spacing w:val="-3"/>
        </w:rPr>
        <w:t>代</w:t>
      </w:r>
      <w:r>
        <w:rPr>
          <w:rFonts w:ascii="Times New Roman" w:hAnsi="Times New Roman" w:cs="Times New Roman"/>
        </w:rPr>
        <w:t>表</w:t>
      </w:r>
      <w:r>
        <w:rPr>
          <w:rFonts w:ascii="Times New Roman" w:hAnsi="Times New Roman" w:cs="Times New Roman"/>
          <w:spacing w:val="-3"/>
        </w:rPr>
        <w:t>人</w:t>
      </w:r>
      <w:r>
        <w:rPr>
          <w:rFonts w:ascii="Times New Roman" w:hAnsi="Times New Roman" w:cs="Times New Roman"/>
        </w:rPr>
        <w:t>（</w:t>
      </w:r>
      <w:r>
        <w:rPr>
          <w:rFonts w:ascii="Times New Roman" w:hAnsi="Times New Roman" w:cs="Times New Roman"/>
          <w:spacing w:val="-3"/>
        </w:rPr>
        <w:t>授</w:t>
      </w:r>
      <w:r>
        <w:rPr>
          <w:rFonts w:ascii="Times New Roman" w:hAnsi="Times New Roman" w:cs="Times New Roman"/>
        </w:rPr>
        <w:t>权</w:t>
      </w:r>
      <w:r>
        <w:rPr>
          <w:rFonts w:ascii="Times New Roman" w:hAnsi="Times New Roman" w:cs="Times New Roman"/>
          <w:spacing w:val="-3"/>
        </w:rPr>
        <w:t>代表</w:t>
      </w:r>
      <w:r>
        <w:rPr>
          <w:rFonts w:ascii="Times New Roman" w:hAnsi="Times New Roman" w:cs="Times New Roman"/>
        </w:rPr>
        <w:t>）</w:t>
      </w:r>
      <w:r>
        <w:rPr>
          <w:rFonts w:ascii="Times New Roman" w:hAnsi="Times New Roman" w:cs="Times New Roman"/>
          <w:u w:val="single"/>
        </w:rPr>
        <w:t xml:space="preserve">：           </w:t>
      </w:r>
    </w:p>
    <w:p w14:paraId="712BF748">
      <w:pPr>
        <w:pStyle w:val="18"/>
        <w:tabs>
          <w:tab w:val="left" w:pos="4200"/>
          <w:tab w:val="left" w:pos="5564"/>
          <w:tab w:val="left" w:pos="9707"/>
        </w:tabs>
        <w:spacing w:before="79"/>
        <w:rPr>
          <w:rFonts w:ascii="Times New Roman" w:hAnsi="Times New Roman" w:eastAsia="Times New Roman" w:cs="Times New Roman"/>
          <w:u w:val="single"/>
        </w:rPr>
      </w:pPr>
      <w:r>
        <w:rPr>
          <w:rFonts w:ascii="Times New Roman" w:hAnsi="Times New Roman" w:cs="Times New Roman"/>
        </w:rPr>
        <w:t>联系</w:t>
      </w:r>
      <w:r>
        <w:rPr>
          <w:rFonts w:ascii="Times New Roman" w:hAnsi="Times New Roman" w:cs="Times New Roman"/>
          <w:spacing w:val="-3"/>
        </w:rPr>
        <w:t>人</w:t>
      </w:r>
      <w:r>
        <w:rPr>
          <w:rFonts w:ascii="Times New Roman" w:hAnsi="Times New Roman" w:cs="Times New Roman"/>
        </w:rPr>
        <w:t>：</w:t>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联</w:t>
      </w:r>
      <w:r>
        <w:rPr>
          <w:rFonts w:ascii="Times New Roman" w:hAnsi="Times New Roman" w:cs="Times New Roman"/>
          <w:spacing w:val="-3"/>
        </w:rPr>
        <w:t>系</w:t>
      </w:r>
      <w:r>
        <w:rPr>
          <w:rFonts w:ascii="Times New Roman" w:hAnsi="Times New Roman" w:cs="Times New Roman"/>
        </w:rPr>
        <w:t>人</w:t>
      </w:r>
      <w:r>
        <w:rPr>
          <w:rFonts w:ascii="Times New Roman" w:hAnsi="Times New Roman" w:cs="Times New Roman"/>
          <w:spacing w:val="-3"/>
        </w:rPr>
        <w:t>：</w:t>
      </w:r>
      <w:r>
        <w:rPr>
          <w:rFonts w:ascii="Times New Roman" w:hAnsi="Times New Roman" w:cs="Times New Roman"/>
          <w:spacing w:val="-3"/>
          <w:u w:val="single"/>
        </w:rPr>
        <w:t xml:space="preserve">                             </w:t>
      </w:r>
    </w:p>
    <w:p w14:paraId="4B84A564">
      <w:pPr>
        <w:pStyle w:val="18"/>
        <w:spacing w:before="2"/>
        <w:rPr>
          <w:rFonts w:ascii="Times New Roman" w:hAnsi="Times New Roman" w:cs="Times New Roman"/>
          <w:sz w:val="19"/>
        </w:rPr>
      </w:pPr>
    </w:p>
    <w:p w14:paraId="307A6501">
      <w:pPr>
        <w:pStyle w:val="18"/>
        <w:tabs>
          <w:tab w:val="left" w:pos="4878"/>
          <w:tab w:val="left" w:pos="5564"/>
          <w:tab w:val="left" w:pos="8160"/>
        </w:tabs>
        <w:rPr>
          <w:rFonts w:ascii="Times New Roman" w:hAnsi="Times New Roman" w:eastAsia="Times New Roman" w:cs="Times New Roman"/>
        </w:rPr>
      </w:pPr>
      <w:r>
        <w:rPr>
          <w:rFonts w:ascii="Times New Roman" w:hAnsi="Times New Roman" w:cs="Times New Roman"/>
        </w:rPr>
        <w:t>联系</w:t>
      </w:r>
      <w:r>
        <w:rPr>
          <w:rFonts w:ascii="Times New Roman" w:hAnsi="Times New Roman" w:cs="Times New Roman"/>
          <w:spacing w:val="-3"/>
        </w:rPr>
        <w:t>电</w:t>
      </w:r>
      <w:r>
        <w:rPr>
          <w:rFonts w:ascii="Times New Roman" w:hAnsi="Times New Roman" w:cs="Times New Roman"/>
        </w:rPr>
        <w:t>话</w:t>
      </w:r>
      <w:r>
        <w:rPr>
          <w:rFonts w:ascii="Times New Roman" w:hAnsi="Times New Roman" w:cs="Times New Roman"/>
          <w:spacing w:val="-3"/>
        </w:rPr>
        <w:t>：</w:t>
      </w:r>
      <w:r>
        <w:rPr>
          <w:rFonts w:ascii="Times New Roman" w:hAnsi="Times New Roman" w:cs="Times New Roman"/>
          <w:spacing w:val="-3"/>
          <w:u w:val="single"/>
        </w:rPr>
        <w:tab/>
      </w:r>
      <w:r>
        <w:rPr>
          <w:rFonts w:ascii="Times New Roman" w:hAnsi="Times New Roman" w:cs="Times New Roman"/>
          <w:spacing w:val="-3"/>
        </w:rPr>
        <w:tab/>
      </w:r>
      <w:r>
        <w:rPr>
          <w:rFonts w:ascii="Times New Roman" w:hAnsi="Times New Roman" w:cs="Times New Roman"/>
        </w:rPr>
        <w:t>联</w:t>
      </w:r>
      <w:r>
        <w:rPr>
          <w:rFonts w:ascii="Times New Roman" w:hAnsi="Times New Roman" w:cs="Times New Roman"/>
          <w:spacing w:val="-3"/>
        </w:rPr>
        <w:t>系</w:t>
      </w:r>
      <w:r>
        <w:rPr>
          <w:rFonts w:ascii="Times New Roman" w:hAnsi="Times New Roman" w:cs="Times New Roman"/>
        </w:rPr>
        <w:t>电</w:t>
      </w:r>
      <w:r>
        <w:rPr>
          <w:rFonts w:ascii="Times New Roman" w:hAnsi="Times New Roman" w:cs="Times New Roman"/>
          <w:spacing w:val="-3"/>
        </w:rPr>
        <w:t>话</w:t>
      </w:r>
      <w:r>
        <w:rPr>
          <w:rFonts w:ascii="Times New Roman" w:hAnsi="Times New Roman" w:cs="Times New Roman"/>
        </w:rPr>
        <w:t>：</w:t>
      </w:r>
      <w:r>
        <w:rPr>
          <w:rFonts w:ascii="Times New Roman" w:hAnsi="Times New Roman" w:eastAsia="Times New Roman" w:cs="Times New Roman"/>
          <w:u w:val="single"/>
        </w:rPr>
        <w:tab/>
      </w:r>
    </w:p>
    <w:p w14:paraId="78E3C442">
      <w:pPr>
        <w:pStyle w:val="18"/>
        <w:spacing w:before="1"/>
        <w:rPr>
          <w:rFonts w:ascii="Times New Roman" w:hAnsi="Times New Roman" w:cs="Times New Roman"/>
          <w:sz w:val="19"/>
        </w:rPr>
      </w:pPr>
    </w:p>
    <w:p w14:paraId="0EEA6EDD">
      <w:pPr>
        <w:pStyle w:val="18"/>
        <w:tabs>
          <w:tab w:val="left" w:pos="8160"/>
        </w:tabs>
        <w:ind w:left="5565"/>
        <w:rPr>
          <w:rFonts w:ascii="Times New Roman" w:hAnsi="Times New Roman" w:cs="Times New Roman"/>
        </w:rPr>
      </w:pPr>
      <w:r>
        <w:rPr>
          <w:rFonts w:ascii="Times New Roman" w:hAnsi="Times New Roman" w:cs="Times New Roman"/>
        </w:rPr>
        <w:t>开户</w:t>
      </w:r>
      <w:r>
        <w:rPr>
          <w:rFonts w:ascii="Times New Roman" w:hAnsi="Times New Roman" w:cs="Times New Roman"/>
          <w:spacing w:val="-3"/>
        </w:rPr>
        <w:t>银</w:t>
      </w:r>
      <w:r>
        <w:rPr>
          <w:rFonts w:ascii="Times New Roman" w:hAnsi="Times New Roman" w:cs="Times New Roman"/>
        </w:rPr>
        <w:t>行</w:t>
      </w:r>
      <w:r>
        <w:rPr>
          <w:rFonts w:ascii="Times New Roman" w:hAnsi="Times New Roman" w:cs="Times New Roman"/>
          <w:spacing w:val="-3"/>
        </w:rPr>
        <w:t>：</w:t>
      </w:r>
      <w:r>
        <w:rPr>
          <w:rFonts w:ascii="Times New Roman" w:hAnsi="Times New Roman" w:eastAsia="Times New Roman" w:cs="Times New Roman"/>
          <w:u w:val="single"/>
        </w:rPr>
        <w:tab/>
      </w:r>
    </w:p>
    <w:p w14:paraId="75449E13">
      <w:pPr>
        <w:pStyle w:val="18"/>
        <w:spacing w:before="2"/>
        <w:rPr>
          <w:rFonts w:ascii="Times New Roman" w:hAnsi="Times New Roman" w:cs="Times New Roman"/>
          <w:sz w:val="19"/>
        </w:rPr>
      </w:pPr>
    </w:p>
    <w:p w14:paraId="2CEDA9AC">
      <w:pPr>
        <w:pStyle w:val="18"/>
        <w:tabs>
          <w:tab w:val="left" w:pos="8160"/>
        </w:tabs>
        <w:ind w:left="5565"/>
        <w:rPr>
          <w:rFonts w:ascii="Times New Roman" w:hAnsi="Times New Roman" w:eastAsia="Times New Roman" w:cs="Times New Roman"/>
        </w:rPr>
      </w:pPr>
      <w:r>
        <w:rPr>
          <w:rFonts w:ascii="Times New Roman" w:hAnsi="Times New Roman" w:cs="Times New Roman"/>
        </w:rPr>
        <w:t>账号：</w:t>
      </w:r>
      <w:r>
        <w:rPr>
          <w:rFonts w:ascii="Times New Roman" w:hAnsi="Times New Roman" w:eastAsia="Times New Roman" w:cs="Times New Roman"/>
          <w:u w:val="single"/>
        </w:rPr>
        <w:tab/>
      </w:r>
    </w:p>
    <w:p w14:paraId="48A29DF3">
      <w:pPr>
        <w:pStyle w:val="18"/>
        <w:rPr>
          <w:rFonts w:ascii="Times New Roman" w:hAnsi="Times New Roman" w:cs="Times New Roman"/>
          <w:sz w:val="20"/>
        </w:rPr>
      </w:pPr>
    </w:p>
    <w:p w14:paraId="5FCF9193">
      <w:pPr>
        <w:pStyle w:val="18"/>
        <w:tabs>
          <w:tab w:val="left" w:pos="2415"/>
          <w:tab w:val="left" w:pos="3150"/>
          <w:tab w:val="left" w:pos="3884"/>
          <w:tab w:val="left" w:pos="5564"/>
          <w:tab w:val="left" w:pos="7456"/>
          <w:tab w:val="left" w:pos="8190"/>
          <w:tab w:val="left" w:pos="8925"/>
        </w:tabs>
        <w:ind w:left="2"/>
        <w:rPr>
          <w:rFonts w:ascii="Times New Roman" w:hAnsi="Times New Roman" w:cs="Times New Roman"/>
        </w:rPr>
      </w:pPr>
      <w:r>
        <w:rPr>
          <w:rFonts w:ascii="Times New Roman" w:hAnsi="Times New Roman" w:cs="Times New Roman"/>
        </w:rPr>
        <w:t>日期</w:t>
      </w:r>
      <w:r>
        <w:rPr>
          <w:rFonts w:ascii="Times New Roman" w:hAnsi="Times New Roman" w:cs="Times New Roman"/>
          <w:spacing w:val="-3"/>
        </w:rPr>
        <w:t>：</w:t>
      </w:r>
      <w:r>
        <w:rPr>
          <w:rFonts w:ascii="Times New Roman" w:hAnsi="Times New Roman" w:cs="Times New Roman"/>
        </w:rPr>
        <w:t>二</w:t>
      </w:r>
      <w:r>
        <w:rPr>
          <w:rFonts w:ascii="Times New Roman" w:hAnsi="Times New Roman" w:cs="Times New Roman"/>
          <w:spacing w:val="-3"/>
        </w:rPr>
        <w:t>○</w:t>
      </w:r>
      <w:r>
        <w:rPr>
          <w:rFonts w:ascii="Times New Roman" w:hAnsi="Times New Roman" w:cs="Times New Roman"/>
        </w:rPr>
        <w:t>二</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r>
        <w:rPr>
          <w:rFonts w:ascii="Times New Roman" w:hAnsi="Times New Roman" w:cs="Times New Roman"/>
        </w:rPr>
        <w:tab/>
      </w:r>
      <w:r>
        <w:rPr>
          <w:rFonts w:ascii="Times New Roman" w:hAnsi="Times New Roman" w:cs="Times New Roman"/>
        </w:rPr>
        <w:t xml:space="preserve">                            日</w:t>
      </w:r>
      <w:r>
        <w:rPr>
          <w:rFonts w:ascii="Times New Roman" w:hAnsi="Times New Roman" w:cs="Times New Roman"/>
          <w:spacing w:val="-3"/>
        </w:rPr>
        <w:t>期</w:t>
      </w:r>
      <w:r>
        <w:rPr>
          <w:rFonts w:ascii="Times New Roman" w:hAnsi="Times New Roman" w:cs="Times New Roman"/>
        </w:rPr>
        <w:t>：</w:t>
      </w:r>
      <w:r>
        <w:rPr>
          <w:rFonts w:ascii="Times New Roman" w:hAnsi="Times New Roman" w:cs="Times New Roman"/>
          <w:spacing w:val="-3"/>
        </w:rPr>
        <w:t>二</w:t>
      </w:r>
      <w:r>
        <w:rPr>
          <w:rFonts w:ascii="Times New Roman" w:hAnsi="Times New Roman" w:cs="Times New Roman"/>
        </w:rPr>
        <w:t>○</w:t>
      </w:r>
      <w:r>
        <w:rPr>
          <w:rFonts w:ascii="Times New Roman" w:hAnsi="Times New Roman" w:cs="Times New Roman"/>
          <w:spacing w:val="-3"/>
        </w:rPr>
        <w:t>二</w:t>
      </w:r>
      <w:r>
        <w:rPr>
          <w:rFonts w:ascii="Times New Roman" w:hAnsi="Times New Roman" w:cs="Times New Roman"/>
          <w:u w:val="single"/>
        </w:rPr>
        <w:t xml:space="preserve">       </w:t>
      </w:r>
      <w:r>
        <w:rPr>
          <w:rFonts w:ascii="Times New Roman" w:hAnsi="Times New Roman" w:cs="Times New Roman"/>
          <w:spacing w:val="-3"/>
        </w:rPr>
        <w:t>年</w:t>
      </w:r>
      <w:r>
        <w:rPr>
          <w:rFonts w:ascii="Times New Roman" w:hAnsi="Times New Roman" w:cs="Times New Roman"/>
          <w:u w:val="single"/>
        </w:rPr>
        <w:t xml:space="preserve">       </w:t>
      </w:r>
      <w:r>
        <w:rPr>
          <w:rFonts w:ascii="Times New Roman" w:hAnsi="Times New Roman" w:cs="Times New Roman"/>
          <w:spacing w:val="-3"/>
        </w:rPr>
        <w:t>月</w:t>
      </w:r>
      <w:r>
        <w:rPr>
          <w:rFonts w:ascii="Times New Roman" w:hAnsi="Times New Roman" w:cs="Times New Roman"/>
          <w:u w:val="single"/>
        </w:rPr>
        <w:t xml:space="preserve">       </w:t>
      </w:r>
      <w:r>
        <w:rPr>
          <w:rFonts w:ascii="Times New Roman" w:hAnsi="Times New Roman" w:cs="Times New Roman"/>
        </w:rPr>
        <w:t>日</w:t>
      </w:r>
    </w:p>
    <w:p w14:paraId="1246E0E2">
      <w:pPr>
        <w:pStyle w:val="18"/>
        <w:spacing w:before="12" w:line="360" w:lineRule="auto"/>
        <w:rPr>
          <w:rFonts w:ascii="Times New Roman" w:hAnsi="Times New Roman" w:cs="Times New Roman"/>
        </w:rPr>
      </w:pPr>
    </w:p>
    <w:p w14:paraId="0160A9F5">
      <w:pPr>
        <w:pStyle w:val="18"/>
        <w:spacing w:before="12" w:line="360" w:lineRule="auto"/>
        <w:rPr>
          <w:rFonts w:ascii="Times New Roman" w:hAnsi="Times New Roman" w:cs="Times New Roman"/>
        </w:rPr>
      </w:pPr>
    </w:p>
    <w:p w14:paraId="7123B494">
      <w:pPr>
        <w:pStyle w:val="18"/>
        <w:spacing w:before="12" w:line="360" w:lineRule="auto"/>
        <w:rPr>
          <w:rFonts w:ascii="Times New Roman" w:hAnsi="Times New Roman" w:cs="Times New Roman"/>
        </w:rPr>
      </w:pPr>
    </w:p>
    <w:p w14:paraId="2163820B">
      <w:pPr>
        <w:pStyle w:val="18"/>
        <w:spacing w:before="12" w:line="360" w:lineRule="auto"/>
        <w:rPr>
          <w:rFonts w:ascii="Times New Roman" w:hAnsi="Times New Roman" w:cs="Times New Roman"/>
        </w:rPr>
      </w:pPr>
    </w:p>
    <w:p w14:paraId="4EE10854">
      <w:pPr>
        <w:pStyle w:val="18"/>
        <w:spacing w:before="12" w:line="360" w:lineRule="auto"/>
        <w:rPr>
          <w:rFonts w:ascii="Times New Roman" w:hAnsi="Times New Roman" w:cs="Times New Roman"/>
        </w:rPr>
      </w:pPr>
    </w:p>
    <w:p w14:paraId="452780AD">
      <w:pPr>
        <w:pStyle w:val="18"/>
        <w:spacing w:before="12" w:line="360" w:lineRule="auto"/>
        <w:rPr>
          <w:rFonts w:ascii="Times New Roman" w:hAnsi="Times New Roman" w:cs="Times New Roman"/>
        </w:rPr>
      </w:pPr>
    </w:p>
    <w:p w14:paraId="3B0F5E30">
      <w:pPr>
        <w:pStyle w:val="18"/>
        <w:spacing w:before="12" w:line="360" w:lineRule="auto"/>
        <w:rPr>
          <w:rFonts w:ascii="Times New Roman" w:hAnsi="Times New Roman" w:cs="Times New Roman"/>
        </w:rPr>
      </w:pPr>
    </w:p>
    <w:p w14:paraId="53566150">
      <w:pPr>
        <w:pStyle w:val="18"/>
        <w:spacing w:before="12" w:line="360" w:lineRule="auto"/>
        <w:rPr>
          <w:rFonts w:ascii="Times New Roman" w:hAnsi="Times New Roman" w:cs="Times New Roman"/>
        </w:rPr>
      </w:pPr>
    </w:p>
    <w:p w14:paraId="2E1E3DCB">
      <w:pPr>
        <w:pStyle w:val="18"/>
        <w:spacing w:before="12" w:line="360" w:lineRule="auto"/>
        <w:rPr>
          <w:rFonts w:ascii="Times New Roman" w:hAnsi="Times New Roman" w:cs="Times New Roman"/>
        </w:rPr>
      </w:pPr>
    </w:p>
    <w:p w14:paraId="70240FE1">
      <w:pPr>
        <w:pStyle w:val="18"/>
        <w:spacing w:before="12" w:line="360" w:lineRule="auto"/>
        <w:rPr>
          <w:rFonts w:ascii="Times New Roman" w:hAnsi="Times New Roman" w:cs="Times New Roman"/>
        </w:rPr>
      </w:pPr>
    </w:p>
    <w:p w14:paraId="036689B8">
      <w:pPr>
        <w:pStyle w:val="18"/>
        <w:spacing w:before="12" w:line="360" w:lineRule="auto"/>
        <w:rPr>
          <w:rFonts w:ascii="Times New Roman" w:hAnsi="Times New Roman" w:cs="Times New Roman"/>
        </w:rPr>
      </w:pPr>
    </w:p>
    <w:p w14:paraId="7785ADFC">
      <w:pPr>
        <w:pStyle w:val="18"/>
        <w:spacing w:before="12" w:line="360" w:lineRule="auto"/>
        <w:rPr>
          <w:rFonts w:ascii="Times New Roman" w:hAnsi="Times New Roman" w:cs="Times New Roman"/>
        </w:rPr>
      </w:pPr>
    </w:p>
    <w:p w14:paraId="318F2091">
      <w:pPr>
        <w:pStyle w:val="18"/>
        <w:spacing w:before="12" w:line="360" w:lineRule="auto"/>
        <w:rPr>
          <w:rFonts w:ascii="Times New Roman" w:hAnsi="Times New Roman" w:cs="Times New Roman"/>
        </w:rPr>
      </w:pPr>
    </w:p>
    <w:p w14:paraId="60951D73">
      <w:pPr>
        <w:pStyle w:val="18"/>
        <w:spacing w:before="12" w:line="360" w:lineRule="auto"/>
        <w:rPr>
          <w:rFonts w:ascii="Times New Roman" w:hAnsi="Times New Roman" w:cs="Times New Roman"/>
        </w:rPr>
      </w:pPr>
    </w:p>
    <w:p w14:paraId="4DA96CBE">
      <w:pPr>
        <w:pStyle w:val="18"/>
        <w:spacing w:before="12" w:line="360" w:lineRule="auto"/>
        <w:rPr>
          <w:rFonts w:ascii="Times New Roman" w:hAnsi="Times New Roman" w:cs="Times New Roman"/>
        </w:rPr>
      </w:pPr>
    </w:p>
    <w:p w14:paraId="54F03D2F">
      <w:pPr>
        <w:pStyle w:val="18"/>
        <w:spacing w:before="12" w:line="360" w:lineRule="auto"/>
        <w:rPr>
          <w:rFonts w:ascii="Times New Roman" w:hAnsi="Times New Roman" w:cs="Times New Roman"/>
        </w:rPr>
      </w:pPr>
    </w:p>
    <w:p w14:paraId="61638F4F">
      <w:pPr>
        <w:pStyle w:val="18"/>
        <w:spacing w:before="12" w:line="360" w:lineRule="auto"/>
        <w:rPr>
          <w:rFonts w:ascii="Times New Roman" w:hAnsi="Times New Roman" w:cs="Times New Roman"/>
        </w:rPr>
      </w:pPr>
    </w:p>
    <w:p w14:paraId="05078762">
      <w:pPr>
        <w:pStyle w:val="18"/>
        <w:spacing w:before="12" w:line="360" w:lineRule="auto"/>
        <w:rPr>
          <w:rFonts w:ascii="Times New Roman" w:hAnsi="Times New Roman" w:cs="Times New Roman"/>
        </w:rPr>
      </w:pPr>
    </w:p>
    <w:p w14:paraId="496B90FF">
      <w:pPr>
        <w:keepLines/>
        <w:spacing w:before="240" w:after="240" w:line="500" w:lineRule="exact"/>
        <w:ind w:firstLine="562" w:firstLineChars="200"/>
        <w:jc w:val="center"/>
        <w:outlineLvl w:val="0"/>
        <w:rPr>
          <w:rFonts w:ascii="Times New Roman" w:hAnsi="Times New Roman" w:cs="Times New Roman"/>
          <w:b/>
          <w:kern w:val="2"/>
          <w:sz w:val="28"/>
          <w:szCs w:val="20"/>
          <w:lang w:val="en-US"/>
        </w:rPr>
      </w:pPr>
      <w:bookmarkStart w:id="84" w:name="_Toc108100450"/>
      <w:r>
        <w:rPr>
          <w:rFonts w:ascii="Times New Roman" w:hAnsi="Times New Roman" w:cs="Times New Roman"/>
          <w:b/>
          <w:kern w:val="2"/>
          <w:sz w:val="28"/>
          <w:szCs w:val="20"/>
          <w:lang w:val="en-US"/>
        </w:rPr>
        <w:t>第六章</w:t>
      </w:r>
      <w:r>
        <w:rPr>
          <w:rFonts w:ascii="Times New Roman" w:hAnsi="Times New Roman" w:cs="Times New Roman"/>
          <w:b/>
          <w:kern w:val="2"/>
          <w:sz w:val="28"/>
          <w:szCs w:val="20"/>
          <w:lang w:val="en-US"/>
        </w:rPr>
        <w:tab/>
      </w:r>
      <w:r>
        <w:rPr>
          <w:rFonts w:ascii="Times New Roman" w:hAnsi="Times New Roman" w:cs="Times New Roman"/>
          <w:b/>
          <w:kern w:val="2"/>
          <w:sz w:val="28"/>
          <w:szCs w:val="20"/>
          <w:lang w:val="en-US"/>
        </w:rPr>
        <w:t>投标格式及要求</w:t>
      </w:r>
      <w:bookmarkEnd w:id="84"/>
    </w:p>
    <w:p w14:paraId="323B6E74">
      <w:pPr>
        <w:pStyle w:val="18"/>
        <w:spacing w:before="7" w:line="360" w:lineRule="auto"/>
        <w:rPr>
          <w:rFonts w:ascii="Times New Roman" w:hAnsi="Times New Roman" w:cs="Times New Roman"/>
          <w:b/>
          <w:sz w:val="22"/>
          <w:lang w:val="en-US"/>
        </w:rPr>
      </w:pPr>
    </w:p>
    <w:p w14:paraId="0620EE5C">
      <w:pPr>
        <w:pStyle w:val="3"/>
        <w:spacing w:before="1" w:line="360" w:lineRule="auto"/>
        <w:rPr>
          <w:rFonts w:ascii="Times New Roman" w:hAnsi="Times New Roman" w:eastAsia="仿宋" w:cs="Times New Roman"/>
        </w:rPr>
      </w:pPr>
      <w:bookmarkStart w:id="85" w:name="_Toc108100451"/>
      <w:r>
        <w:rPr>
          <w:rFonts w:ascii="Times New Roman" w:hAnsi="Times New Roman" w:eastAsia="仿宋" w:cs="Times New Roman"/>
        </w:rPr>
        <w:t>附件 1： 资格文件封面格式及目录</w:t>
      </w:r>
      <w:bookmarkEnd w:id="85"/>
    </w:p>
    <w:p w14:paraId="5E242C7F">
      <w:pPr>
        <w:pStyle w:val="18"/>
        <w:spacing w:before="8" w:line="360" w:lineRule="auto"/>
        <w:rPr>
          <w:rFonts w:ascii="Times New Roman" w:hAnsi="Times New Roman" w:cs="Times New Roman"/>
          <w:b/>
          <w:sz w:val="22"/>
        </w:rPr>
      </w:pPr>
    </w:p>
    <w:p w14:paraId="3FF150C3">
      <w:pPr>
        <w:spacing w:line="360" w:lineRule="auto"/>
        <w:ind w:right="1650"/>
        <w:jc w:val="right"/>
        <w:rPr>
          <w:rFonts w:ascii="Times New Roman" w:hAnsi="Times New Roman" w:cs="Times New Roman"/>
          <w:sz w:val="30"/>
        </w:rPr>
      </w:pPr>
      <w:r>
        <w:rPr>
          <w:rFonts w:ascii="Times New Roman" w:hAnsi="Times New Roman" w:cs="Times New Roman"/>
          <w:sz w:val="30"/>
        </w:rPr>
        <w:t>正本或副本</w:t>
      </w:r>
    </w:p>
    <w:p w14:paraId="636668AD">
      <w:pPr>
        <w:spacing w:line="360" w:lineRule="auto"/>
        <w:ind w:left="472" w:right="503"/>
        <w:jc w:val="center"/>
        <w:rPr>
          <w:rFonts w:ascii="Times New Roman" w:hAnsi="Times New Roman" w:cs="Times New Roman"/>
          <w:sz w:val="52"/>
        </w:rPr>
      </w:pPr>
      <w:r>
        <w:rPr>
          <w:rFonts w:ascii="Times New Roman" w:hAnsi="Times New Roman" w:cs="Times New Roman"/>
          <w:sz w:val="52"/>
        </w:rPr>
        <w:t>项目名称： ×××</w:t>
      </w:r>
    </w:p>
    <w:p w14:paraId="46E70253">
      <w:pPr>
        <w:tabs>
          <w:tab w:val="left" w:pos="3245"/>
        </w:tabs>
        <w:spacing w:before="250" w:line="360" w:lineRule="auto"/>
        <w:ind w:left="4"/>
        <w:jc w:val="center"/>
        <w:rPr>
          <w:rFonts w:ascii="Times New Roman" w:hAnsi="Times New Roman" w:cs="Times New Roman"/>
          <w:sz w:val="36"/>
        </w:rPr>
      </w:pPr>
      <w:r>
        <w:rPr>
          <w:rFonts w:ascii="Times New Roman" w:hAnsi="Times New Roman" w:cs="Times New Roman"/>
          <w:sz w:val="36"/>
        </w:rPr>
        <w:t>项目编号：××××</w:t>
      </w:r>
    </w:p>
    <w:p w14:paraId="05B23689">
      <w:pPr>
        <w:pStyle w:val="18"/>
        <w:spacing w:line="360" w:lineRule="auto"/>
        <w:rPr>
          <w:rFonts w:ascii="Times New Roman" w:hAnsi="Times New Roman" w:cs="Times New Roman"/>
          <w:sz w:val="49"/>
        </w:rPr>
      </w:pPr>
    </w:p>
    <w:p w14:paraId="1159D128">
      <w:pPr>
        <w:spacing w:before="1"/>
        <w:jc w:val="center"/>
        <w:rPr>
          <w:rFonts w:ascii="Times New Roman" w:hAnsi="Times New Roman" w:cs="Times New Roman"/>
          <w:b/>
          <w:sz w:val="84"/>
        </w:rPr>
      </w:pPr>
      <w:r>
        <w:rPr>
          <w:rFonts w:ascii="Times New Roman" w:hAnsi="Times New Roman" w:cs="Times New Roman"/>
          <w:b/>
          <w:sz w:val="84"/>
        </w:rPr>
        <w:t>资</w:t>
      </w:r>
    </w:p>
    <w:p w14:paraId="3DDA2922">
      <w:pPr>
        <w:spacing w:before="1"/>
        <w:jc w:val="center"/>
        <w:rPr>
          <w:rFonts w:ascii="Times New Roman" w:hAnsi="Times New Roman" w:cs="Times New Roman"/>
          <w:b/>
          <w:sz w:val="84"/>
        </w:rPr>
      </w:pPr>
      <w:r>
        <w:rPr>
          <w:rFonts w:ascii="Times New Roman" w:hAnsi="Times New Roman" w:cs="Times New Roman"/>
          <w:b/>
          <w:sz w:val="84"/>
        </w:rPr>
        <w:t>格</w:t>
      </w:r>
    </w:p>
    <w:p w14:paraId="6C2A235E">
      <w:pPr>
        <w:spacing w:before="1"/>
        <w:jc w:val="center"/>
        <w:rPr>
          <w:rFonts w:ascii="Times New Roman" w:hAnsi="Times New Roman" w:cs="Times New Roman"/>
          <w:b/>
          <w:sz w:val="84"/>
        </w:rPr>
      </w:pPr>
      <w:r>
        <w:rPr>
          <w:rFonts w:ascii="Times New Roman" w:hAnsi="Times New Roman" w:cs="Times New Roman"/>
          <w:b/>
          <w:sz w:val="84"/>
        </w:rPr>
        <w:t>文</w:t>
      </w:r>
    </w:p>
    <w:p w14:paraId="14E05BC4">
      <w:pPr>
        <w:spacing w:before="1"/>
        <w:jc w:val="center"/>
        <w:rPr>
          <w:rFonts w:ascii="Times New Roman" w:hAnsi="Times New Roman" w:cs="Times New Roman"/>
          <w:b/>
          <w:sz w:val="84"/>
        </w:rPr>
      </w:pPr>
      <w:r>
        <w:rPr>
          <w:rFonts w:ascii="Times New Roman" w:hAnsi="Times New Roman" w:cs="Times New Roman"/>
          <w:b/>
          <w:sz w:val="84"/>
        </w:rPr>
        <w:t>件</w:t>
      </w:r>
    </w:p>
    <w:p w14:paraId="4BA6EDD8">
      <w:pPr>
        <w:tabs>
          <w:tab w:val="left" w:pos="2113"/>
        </w:tabs>
        <w:spacing w:before="4" w:line="360" w:lineRule="auto"/>
        <w:ind w:left="1033"/>
        <w:rPr>
          <w:rFonts w:ascii="Times New Roman" w:hAnsi="Times New Roman" w:cs="Times New Roman"/>
          <w:sz w:val="36"/>
        </w:rPr>
      </w:pPr>
    </w:p>
    <w:p w14:paraId="11F8702A">
      <w:pPr>
        <w:tabs>
          <w:tab w:val="left" w:pos="2113"/>
        </w:tabs>
        <w:spacing w:before="4" w:line="360" w:lineRule="auto"/>
        <w:ind w:left="1033"/>
        <w:rPr>
          <w:rFonts w:ascii="Times New Roman" w:hAnsi="Times New Roman" w:cs="Times New Roman"/>
          <w:sz w:val="36"/>
        </w:rPr>
      </w:pPr>
    </w:p>
    <w:p w14:paraId="71ABED3D">
      <w:pPr>
        <w:tabs>
          <w:tab w:val="left" w:pos="2113"/>
        </w:tabs>
        <w:spacing w:before="4" w:line="360" w:lineRule="auto"/>
        <w:ind w:left="1033"/>
        <w:rPr>
          <w:rFonts w:ascii="Times New Roman" w:hAnsi="Times New Roman" w:cs="Times New Roman"/>
          <w:sz w:val="36"/>
        </w:rPr>
      </w:pPr>
      <w:r>
        <w:rPr>
          <w:rFonts w:ascii="Times New Roman" w:hAnsi="Times New Roman" w:cs="Times New Roman"/>
          <w:sz w:val="36"/>
        </w:rPr>
        <w:t>投标人全称（公章）：</w:t>
      </w:r>
    </w:p>
    <w:p w14:paraId="4752E297">
      <w:pPr>
        <w:tabs>
          <w:tab w:val="left" w:pos="2113"/>
        </w:tabs>
        <w:spacing w:before="4" w:line="360" w:lineRule="auto"/>
        <w:ind w:left="1033"/>
        <w:rPr>
          <w:rFonts w:ascii="Times New Roman" w:hAnsi="Times New Roman" w:cs="Times New Roman"/>
          <w:sz w:val="36"/>
        </w:rPr>
      </w:pPr>
      <w:r>
        <w:rPr>
          <w:rFonts w:ascii="Times New Roman" w:hAnsi="Times New Roman" w:cs="Times New Roman"/>
          <w:sz w:val="36"/>
        </w:rPr>
        <w:t xml:space="preserve"> 地</w:t>
      </w:r>
      <w:r>
        <w:rPr>
          <w:rFonts w:ascii="Times New Roman" w:hAnsi="Times New Roman" w:cs="Times New Roman"/>
          <w:sz w:val="36"/>
        </w:rPr>
        <w:tab/>
      </w:r>
      <w:r>
        <w:rPr>
          <w:rFonts w:ascii="Times New Roman" w:hAnsi="Times New Roman" w:cs="Times New Roman"/>
          <w:sz w:val="36"/>
        </w:rPr>
        <w:t>址：</w:t>
      </w:r>
    </w:p>
    <w:p w14:paraId="18525C3F">
      <w:pPr>
        <w:tabs>
          <w:tab w:val="left" w:pos="2113"/>
        </w:tabs>
        <w:spacing w:before="4" w:line="360" w:lineRule="auto"/>
        <w:ind w:left="1033"/>
        <w:rPr>
          <w:rFonts w:ascii="Times New Roman" w:hAnsi="Times New Roman" w:cs="Times New Roman"/>
          <w:sz w:val="36"/>
        </w:rPr>
      </w:pPr>
      <w:r>
        <w:rPr>
          <w:rFonts w:ascii="Times New Roman" w:hAnsi="Times New Roman" w:cs="Times New Roman"/>
          <w:sz w:val="36"/>
        </w:rPr>
        <w:t>时</w:t>
      </w:r>
      <w:r>
        <w:rPr>
          <w:rFonts w:ascii="Times New Roman" w:hAnsi="Times New Roman" w:cs="Times New Roman"/>
          <w:sz w:val="36"/>
        </w:rPr>
        <w:tab/>
      </w:r>
      <w:r>
        <w:rPr>
          <w:rFonts w:ascii="Times New Roman" w:hAnsi="Times New Roman" w:cs="Times New Roman"/>
          <w:sz w:val="36"/>
        </w:rPr>
        <w:t>间：</w:t>
      </w:r>
    </w:p>
    <w:p w14:paraId="4FCBB69A">
      <w:pPr>
        <w:pStyle w:val="18"/>
        <w:spacing w:line="360" w:lineRule="auto"/>
        <w:rPr>
          <w:rFonts w:ascii="Times New Roman" w:hAnsi="Times New Roman" w:cs="Times New Roman"/>
          <w:sz w:val="20"/>
        </w:rPr>
      </w:pPr>
    </w:p>
    <w:p w14:paraId="4D47E781">
      <w:pPr>
        <w:pStyle w:val="18"/>
        <w:spacing w:line="360" w:lineRule="auto"/>
        <w:rPr>
          <w:rFonts w:ascii="Times New Roman" w:hAnsi="Times New Roman" w:cs="Times New Roman"/>
          <w:sz w:val="20"/>
        </w:rPr>
      </w:pPr>
    </w:p>
    <w:p w14:paraId="3832EE1D">
      <w:pPr>
        <w:pStyle w:val="18"/>
        <w:spacing w:line="360" w:lineRule="auto"/>
        <w:rPr>
          <w:rFonts w:ascii="Times New Roman" w:hAnsi="Times New Roman" w:cs="Times New Roman"/>
          <w:sz w:val="20"/>
        </w:rPr>
      </w:pPr>
    </w:p>
    <w:p w14:paraId="078328F7">
      <w:pPr>
        <w:spacing w:before="229" w:line="360" w:lineRule="auto"/>
        <w:ind w:left="2"/>
        <w:jc w:val="center"/>
        <w:rPr>
          <w:rFonts w:ascii="Times New Roman" w:hAnsi="Times New Roman" w:eastAsia="仿宋" w:cs="Times New Roman"/>
          <w:b/>
          <w:sz w:val="36"/>
        </w:rPr>
      </w:pPr>
      <w:r>
        <w:rPr>
          <w:rFonts w:ascii="Times New Roman" w:hAnsi="Times New Roman" w:eastAsia="仿宋" w:cs="Times New Roman"/>
          <w:b/>
          <w:sz w:val="36"/>
        </w:rPr>
        <w:t>资格文件目录</w:t>
      </w:r>
    </w:p>
    <w:p w14:paraId="79EF12C1">
      <w:pPr>
        <w:pStyle w:val="18"/>
        <w:spacing w:before="6" w:line="360" w:lineRule="auto"/>
        <w:rPr>
          <w:rFonts w:ascii="Times New Roman" w:hAnsi="Times New Roman" w:cs="Times New Roman"/>
          <w:b/>
          <w:sz w:val="31"/>
        </w:rPr>
      </w:pPr>
    </w:p>
    <w:p w14:paraId="3E03672B">
      <w:pPr>
        <w:pStyle w:val="61"/>
        <w:tabs>
          <w:tab w:val="left" w:pos="720"/>
        </w:tabs>
        <w:spacing w:before="0" w:line="360" w:lineRule="auto"/>
        <w:ind w:left="0" w:firstLine="471" w:firstLineChars="231"/>
        <w:rPr>
          <w:rFonts w:ascii="Times New Roman" w:hAnsi="Times New Roman" w:cs="Times New Roman"/>
          <w:sz w:val="21"/>
        </w:rPr>
      </w:pPr>
      <w:r>
        <w:rPr>
          <w:rFonts w:ascii="Times New Roman" w:hAnsi="Times New Roman" w:cs="Times New Roman"/>
          <w:spacing w:val="-3"/>
          <w:sz w:val="21"/>
        </w:rPr>
        <w:t>1.投标人声明书</w:t>
      </w:r>
      <w:r>
        <w:rPr>
          <w:rFonts w:ascii="Times New Roman" w:hAnsi="Times New Roman" w:cs="Times New Roman"/>
          <w:sz w:val="21"/>
        </w:rPr>
        <w:t>（</w:t>
      </w:r>
      <w:r>
        <w:rPr>
          <w:rFonts w:ascii="Times New Roman" w:hAnsi="Times New Roman" w:cs="Times New Roman"/>
          <w:spacing w:val="-19"/>
          <w:sz w:val="21"/>
        </w:rPr>
        <w:t xml:space="preserve">附件 </w:t>
      </w:r>
      <w:r>
        <w:rPr>
          <w:rFonts w:ascii="Times New Roman" w:hAnsi="Times New Roman" w:cs="Times New Roman"/>
          <w:spacing w:val="-3"/>
          <w:sz w:val="21"/>
        </w:rPr>
        <w:t>2）；</w:t>
      </w:r>
    </w:p>
    <w:p w14:paraId="1DF8AB36">
      <w:pPr>
        <w:pStyle w:val="61"/>
        <w:tabs>
          <w:tab w:val="left" w:pos="720"/>
          <w:tab w:val="left" w:pos="923"/>
        </w:tabs>
        <w:spacing w:line="360" w:lineRule="auto"/>
        <w:ind w:left="0" w:firstLine="471" w:firstLineChars="231"/>
        <w:rPr>
          <w:rFonts w:ascii="Times New Roman" w:hAnsi="Times New Roman" w:cs="Times New Roman"/>
          <w:sz w:val="21"/>
        </w:rPr>
      </w:pPr>
      <w:r>
        <w:rPr>
          <w:rFonts w:ascii="Times New Roman" w:hAnsi="Times New Roman" w:cs="Times New Roman"/>
          <w:spacing w:val="-3"/>
          <w:sz w:val="21"/>
        </w:rPr>
        <w:t>2.营业(经营)执照正本或副本复印件</w:t>
      </w:r>
      <w:r>
        <w:rPr>
          <w:rFonts w:ascii="Times New Roman" w:hAnsi="Times New Roman" w:cs="Times New Roman"/>
          <w:sz w:val="21"/>
        </w:rPr>
        <w:t>（</w:t>
      </w:r>
      <w:r>
        <w:rPr>
          <w:rFonts w:ascii="Times New Roman" w:hAnsi="Times New Roman" w:cs="Times New Roman"/>
          <w:spacing w:val="-3"/>
          <w:sz w:val="21"/>
        </w:rPr>
        <w:t>盖单位公章</w:t>
      </w:r>
      <w:r>
        <w:rPr>
          <w:rFonts w:ascii="Times New Roman" w:hAnsi="Times New Roman" w:cs="Times New Roman"/>
          <w:sz w:val="21"/>
        </w:rPr>
        <w:t>）（</w:t>
      </w:r>
      <w:r>
        <w:rPr>
          <w:rFonts w:ascii="Times New Roman" w:hAnsi="Times New Roman" w:cs="Times New Roman"/>
          <w:spacing w:val="-3"/>
          <w:sz w:val="21"/>
        </w:rPr>
        <w:t>事业单位投标的则提供有效的《事业单位法人证书》副本复印件并加盖单位公章；自然人的，则提供有效的身份证复印件并签字</w:t>
      </w:r>
      <w:r>
        <w:rPr>
          <w:rFonts w:ascii="Times New Roman" w:hAnsi="Times New Roman" w:cs="Times New Roman"/>
          <w:sz w:val="21"/>
        </w:rPr>
        <w:t>）；</w:t>
      </w:r>
    </w:p>
    <w:p w14:paraId="779C0556">
      <w:pPr>
        <w:pStyle w:val="61"/>
        <w:tabs>
          <w:tab w:val="left" w:pos="720"/>
          <w:tab w:val="left" w:pos="923"/>
        </w:tabs>
        <w:spacing w:line="360" w:lineRule="auto"/>
        <w:ind w:left="0" w:firstLine="485" w:firstLineChars="231"/>
        <w:rPr>
          <w:rFonts w:ascii="Times New Roman" w:hAnsi="Times New Roman" w:cs="Times New Roman"/>
          <w:sz w:val="21"/>
        </w:rPr>
      </w:pPr>
      <w:r>
        <w:rPr>
          <w:rFonts w:hint="eastAsia" w:ascii="Times New Roman" w:hAnsi="Times New Roman" w:cs="Times New Roman"/>
          <w:kern w:val="2"/>
          <w:sz w:val="21"/>
          <w:szCs w:val="21"/>
          <w:lang w:val="en-US"/>
        </w:rPr>
        <w:t>3.</w:t>
      </w:r>
      <w:r>
        <w:rPr>
          <w:rFonts w:ascii="Times New Roman" w:hAnsi="Times New Roman" w:cs="Times New Roman"/>
          <w:spacing w:val="-3"/>
          <w:sz w:val="21"/>
        </w:rPr>
        <w:t>法定代表人、负责人、经营者</w:t>
      </w:r>
      <w:r>
        <w:rPr>
          <w:rFonts w:ascii="Times New Roman" w:hAnsi="Times New Roman" w:cs="Times New Roman"/>
          <w:sz w:val="21"/>
        </w:rPr>
        <w:t>（</w:t>
      </w:r>
      <w:r>
        <w:rPr>
          <w:rFonts w:ascii="Times New Roman" w:hAnsi="Times New Roman" w:cs="Times New Roman"/>
          <w:spacing w:val="-3"/>
          <w:sz w:val="21"/>
        </w:rPr>
        <w:t>以下统称法定代表人）有效身份证件复印件；</w:t>
      </w:r>
    </w:p>
    <w:p w14:paraId="3B137EA9">
      <w:pPr>
        <w:pStyle w:val="61"/>
        <w:tabs>
          <w:tab w:val="left" w:pos="720"/>
        </w:tabs>
        <w:spacing w:line="360" w:lineRule="auto"/>
        <w:ind w:left="0" w:firstLine="466" w:firstLineChars="231"/>
        <w:rPr>
          <w:rFonts w:ascii="Times New Roman" w:hAnsi="Times New Roman" w:cs="Times New Roman"/>
          <w:sz w:val="21"/>
        </w:rPr>
      </w:pPr>
      <w:r>
        <w:rPr>
          <w:rFonts w:hint="eastAsia" w:ascii="Times New Roman" w:hAnsi="Times New Roman" w:cs="Times New Roman"/>
          <w:spacing w:val="-4"/>
          <w:sz w:val="21"/>
          <w:lang w:val="en-US"/>
        </w:rPr>
        <w:t>4</w:t>
      </w:r>
      <w:r>
        <w:rPr>
          <w:rFonts w:ascii="Times New Roman" w:hAnsi="Times New Roman" w:cs="Times New Roman"/>
          <w:spacing w:val="-4"/>
          <w:sz w:val="21"/>
        </w:rPr>
        <w:t>.法定代表人授权委托书</w:t>
      </w:r>
      <w:r>
        <w:rPr>
          <w:rFonts w:ascii="Times New Roman" w:hAnsi="Times New Roman" w:cs="Times New Roman"/>
          <w:sz w:val="21"/>
        </w:rPr>
        <w:t>（</w:t>
      </w:r>
      <w:r>
        <w:rPr>
          <w:rFonts w:ascii="Times New Roman" w:hAnsi="Times New Roman" w:cs="Times New Roman"/>
          <w:spacing w:val="-17"/>
          <w:sz w:val="21"/>
        </w:rPr>
        <w:t xml:space="preserve">附件 </w:t>
      </w:r>
      <w:r>
        <w:rPr>
          <w:rFonts w:ascii="Times New Roman" w:hAnsi="Times New Roman" w:cs="Times New Roman"/>
          <w:spacing w:val="-4"/>
          <w:sz w:val="21"/>
        </w:rPr>
        <w:t>3）及授权代表有效身份证件复印件</w:t>
      </w:r>
      <w:r>
        <w:rPr>
          <w:rFonts w:ascii="Times New Roman" w:hAnsi="Times New Roman" w:cs="Times New Roman"/>
          <w:spacing w:val="-3"/>
          <w:sz w:val="21"/>
        </w:rPr>
        <w:t>；</w:t>
      </w:r>
    </w:p>
    <w:p w14:paraId="2918196C">
      <w:pPr>
        <w:pStyle w:val="61"/>
        <w:tabs>
          <w:tab w:val="left" w:pos="720"/>
        </w:tabs>
        <w:spacing w:line="360" w:lineRule="auto"/>
        <w:ind w:left="0" w:firstLine="452" w:firstLineChars="231"/>
        <w:rPr>
          <w:rFonts w:ascii="Times New Roman" w:hAnsi="Times New Roman" w:cs="Times New Roman"/>
          <w:spacing w:val="-7"/>
          <w:sz w:val="21"/>
        </w:rPr>
      </w:pPr>
      <w:r>
        <w:rPr>
          <w:rFonts w:hint="eastAsia" w:ascii="Times New Roman" w:hAnsi="Times New Roman" w:cs="Times New Roman"/>
          <w:spacing w:val="-7"/>
          <w:sz w:val="21"/>
          <w:lang w:val="en-US"/>
        </w:rPr>
        <w:t>5</w:t>
      </w:r>
      <w:r>
        <w:rPr>
          <w:rFonts w:ascii="Times New Roman" w:hAnsi="Times New Roman" w:cs="Times New Roman"/>
          <w:spacing w:val="-7"/>
          <w:sz w:val="21"/>
        </w:rPr>
        <w:t>.提供最近一个季度内依法缴纳税收的证明</w:t>
      </w:r>
      <w:r>
        <w:rPr>
          <w:rFonts w:ascii="Times New Roman" w:hAnsi="Times New Roman" w:cs="Times New Roman"/>
          <w:spacing w:val="-3"/>
          <w:sz w:val="21"/>
        </w:rPr>
        <w:t>（税费凭证复印件,如依法免缴税费的提供加盖单位公章的零申报</w:t>
      </w:r>
      <w:r>
        <w:rPr>
          <w:rFonts w:ascii="Times New Roman" w:hAnsi="Times New Roman" w:cs="Times New Roman"/>
          <w:spacing w:val="-7"/>
          <w:sz w:val="21"/>
        </w:rPr>
        <w:t>表）；</w:t>
      </w:r>
    </w:p>
    <w:p w14:paraId="5AF36C91">
      <w:pPr>
        <w:pStyle w:val="61"/>
        <w:tabs>
          <w:tab w:val="left" w:pos="720"/>
        </w:tabs>
        <w:spacing w:line="360" w:lineRule="auto"/>
        <w:ind w:left="0" w:firstLine="452" w:firstLineChars="231"/>
        <w:rPr>
          <w:rFonts w:ascii="Times New Roman" w:hAnsi="Times New Roman" w:cs="Times New Roman"/>
          <w:spacing w:val="-7"/>
          <w:sz w:val="21"/>
        </w:rPr>
      </w:pPr>
      <w:r>
        <w:rPr>
          <w:rFonts w:hint="eastAsia" w:ascii="Times New Roman" w:hAnsi="Times New Roman" w:cs="Times New Roman"/>
          <w:spacing w:val="-7"/>
          <w:sz w:val="21"/>
          <w:lang w:val="en-US"/>
        </w:rPr>
        <w:t>6</w:t>
      </w:r>
      <w:r>
        <w:rPr>
          <w:rFonts w:ascii="Times New Roman" w:hAnsi="Times New Roman" w:cs="Times New Roman"/>
          <w:spacing w:val="-7"/>
          <w:sz w:val="21"/>
        </w:rPr>
        <w:t>.提供最近一个季度内依法缴纳社会保障资金证明（缴纳凭证或人社部门出具的证明）；</w:t>
      </w:r>
    </w:p>
    <w:p w14:paraId="63B8FBAB">
      <w:pPr>
        <w:pStyle w:val="61"/>
        <w:tabs>
          <w:tab w:val="left" w:pos="720"/>
        </w:tabs>
        <w:spacing w:line="360" w:lineRule="auto"/>
        <w:ind w:left="480" w:firstLine="0"/>
        <w:rPr>
          <w:rFonts w:ascii="Times New Roman" w:hAnsi="Times New Roman" w:cs="Times New Roman"/>
          <w:sz w:val="21"/>
        </w:rPr>
      </w:pPr>
      <w:r>
        <w:rPr>
          <w:rFonts w:hint="eastAsia" w:ascii="Times New Roman" w:hAnsi="Times New Roman" w:cs="Times New Roman"/>
          <w:spacing w:val="-7"/>
          <w:sz w:val="21"/>
          <w:lang w:val="en-US"/>
        </w:rPr>
        <w:t>7</w:t>
      </w:r>
      <w:r>
        <w:rPr>
          <w:rFonts w:ascii="Times New Roman" w:hAnsi="Times New Roman" w:cs="Times New Roman"/>
          <w:spacing w:val="-7"/>
          <w:sz w:val="21"/>
        </w:rPr>
        <w:t>.投标人认为需要提</w:t>
      </w:r>
      <w:r>
        <w:rPr>
          <w:rFonts w:ascii="Times New Roman" w:hAnsi="Times New Roman" w:cs="Times New Roman"/>
          <w:spacing w:val="-3"/>
          <w:sz w:val="21"/>
        </w:rPr>
        <w:t>供的他资料。</w:t>
      </w:r>
    </w:p>
    <w:p w14:paraId="4480A5C7">
      <w:pPr>
        <w:pStyle w:val="18"/>
        <w:spacing w:before="8" w:line="360" w:lineRule="auto"/>
        <w:rPr>
          <w:rFonts w:ascii="Times New Roman" w:hAnsi="Times New Roman" w:cs="Times New Roman"/>
          <w:sz w:val="17"/>
        </w:rPr>
      </w:pPr>
    </w:p>
    <w:p w14:paraId="7B1E6FA0">
      <w:pPr>
        <w:pStyle w:val="18"/>
        <w:spacing w:before="8" w:line="360" w:lineRule="auto"/>
        <w:rPr>
          <w:rFonts w:ascii="Times New Roman" w:hAnsi="Times New Roman" w:cs="Times New Roman"/>
          <w:sz w:val="17"/>
        </w:rPr>
      </w:pPr>
    </w:p>
    <w:p w14:paraId="586D7002">
      <w:pPr>
        <w:pStyle w:val="18"/>
        <w:spacing w:before="8" w:line="360" w:lineRule="auto"/>
        <w:rPr>
          <w:rFonts w:ascii="Times New Roman" w:hAnsi="Times New Roman" w:cs="Times New Roman"/>
          <w:sz w:val="17"/>
        </w:rPr>
      </w:pPr>
    </w:p>
    <w:p w14:paraId="55C7A427">
      <w:pPr>
        <w:pStyle w:val="18"/>
        <w:spacing w:before="8" w:line="360" w:lineRule="auto"/>
        <w:rPr>
          <w:rFonts w:ascii="Times New Roman" w:hAnsi="Times New Roman" w:cs="Times New Roman"/>
          <w:sz w:val="17"/>
        </w:rPr>
      </w:pPr>
    </w:p>
    <w:p w14:paraId="41D9408B">
      <w:pPr>
        <w:pStyle w:val="18"/>
        <w:spacing w:before="8" w:line="360" w:lineRule="auto"/>
        <w:rPr>
          <w:rFonts w:ascii="Times New Roman" w:hAnsi="Times New Roman" w:cs="Times New Roman"/>
          <w:sz w:val="17"/>
        </w:rPr>
      </w:pPr>
    </w:p>
    <w:p w14:paraId="79A4209C">
      <w:pPr>
        <w:pStyle w:val="18"/>
        <w:spacing w:before="8" w:line="360" w:lineRule="auto"/>
        <w:rPr>
          <w:rFonts w:ascii="Times New Roman" w:hAnsi="Times New Roman" w:cs="Times New Roman"/>
          <w:sz w:val="17"/>
        </w:rPr>
      </w:pPr>
    </w:p>
    <w:p w14:paraId="04E6B5DF">
      <w:pPr>
        <w:pStyle w:val="18"/>
        <w:spacing w:before="8" w:line="360" w:lineRule="auto"/>
        <w:rPr>
          <w:rFonts w:ascii="Times New Roman" w:hAnsi="Times New Roman" w:cs="Times New Roman"/>
          <w:sz w:val="17"/>
        </w:rPr>
      </w:pPr>
    </w:p>
    <w:p w14:paraId="52A6BCD0">
      <w:pPr>
        <w:pStyle w:val="18"/>
        <w:spacing w:before="8" w:line="360" w:lineRule="auto"/>
        <w:rPr>
          <w:rFonts w:ascii="Times New Roman" w:hAnsi="Times New Roman" w:cs="Times New Roman"/>
          <w:sz w:val="17"/>
        </w:rPr>
      </w:pPr>
    </w:p>
    <w:p w14:paraId="39C10357">
      <w:pPr>
        <w:pStyle w:val="18"/>
        <w:spacing w:before="8" w:line="360" w:lineRule="auto"/>
        <w:rPr>
          <w:rFonts w:ascii="Times New Roman" w:hAnsi="Times New Roman" w:cs="Times New Roman"/>
          <w:sz w:val="17"/>
        </w:rPr>
      </w:pPr>
    </w:p>
    <w:p w14:paraId="55B08588">
      <w:pPr>
        <w:pStyle w:val="18"/>
        <w:spacing w:before="8" w:line="360" w:lineRule="auto"/>
        <w:rPr>
          <w:rFonts w:ascii="Times New Roman" w:hAnsi="Times New Roman" w:cs="Times New Roman"/>
          <w:sz w:val="17"/>
        </w:rPr>
      </w:pPr>
    </w:p>
    <w:p w14:paraId="225CC163">
      <w:pPr>
        <w:pStyle w:val="18"/>
        <w:spacing w:before="8" w:line="360" w:lineRule="auto"/>
        <w:rPr>
          <w:rFonts w:ascii="Times New Roman" w:hAnsi="Times New Roman" w:cs="Times New Roman"/>
          <w:sz w:val="17"/>
        </w:rPr>
      </w:pPr>
    </w:p>
    <w:p w14:paraId="7D0B3C1E">
      <w:pPr>
        <w:pStyle w:val="18"/>
        <w:spacing w:before="8" w:line="360" w:lineRule="auto"/>
        <w:rPr>
          <w:rFonts w:ascii="Times New Roman" w:hAnsi="Times New Roman" w:cs="Times New Roman"/>
          <w:sz w:val="17"/>
        </w:rPr>
      </w:pPr>
    </w:p>
    <w:p w14:paraId="6CB89FC9">
      <w:pPr>
        <w:pStyle w:val="18"/>
        <w:spacing w:before="8" w:line="360" w:lineRule="auto"/>
        <w:rPr>
          <w:rFonts w:ascii="Times New Roman" w:hAnsi="Times New Roman" w:cs="Times New Roman"/>
          <w:sz w:val="17"/>
        </w:rPr>
      </w:pPr>
    </w:p>
    <w:p w14:paraId="70C3B08A">
      <w:pPr>
        <w:pStyle w:val="18"/>
        <w:spacing w:before="8" w:line="360" w:lineRule="auto"/>
        <w:rPr>
          <w:rFonts w:ascii="Times New Roman" w:hAnsi="Times New Roman" w:cs="Times New Roman"/>
          <w:sz w:val="17"/>
        </w:rPr>
      </w:pPr>
    </w:p>
    <w:p w14:paraId="4915CB75">
      <w:pPr>
        <w:pStyle w:val="18"/>
        <w:spacing w:before="8" w:line="360" w:lineRule="auto"/>
        <w:rPr>
          <w:rFonts w:ascii="Times New Roman" w:hAnsi="Times New Roman" w:cs="Times New Roman"/>
          <w:sz w:val="17"/>
        </w:rPr>
      </w:pPr>
    </w:p>
    <w:p w14:paraId="4F969099">
      <w:pPr>
        <w:pStyle w:val="18"/>
        <w:spacing w:before="8" w:line="360" w:lineRule="auto"/>
        <w:rPr>
          <w:rFonts w:ascii="Times New Roman" w:hAnsi="Times New Roman" w:cs="Times New Roman"/>
          <w:sz w:val="17"/>
        </w:rPr>
      </w:pPr>
    </w:p>
    <w:p w14:paraId="59FD1611">
      <w:pPr>
        <w:pStyle w:val="18"/>
        <w:spacing w:before="8" w:line="360" w:lineRule="auto"/>
        <w:rPr>
          <w:rFonts w:ascii="Times New Roman" w:hAnsi="Times New Roman" w:cs="Times New Roman"/>
          <w:sz w:val="17"/>
        </w:rPr>
      </w:pPr>
    </w:p>
    <w:p w14:paraId="56E1DB0F">
      <w:pPr>
        <w:pStyle w:val="18"/>
        <w:spacing w:before="8" w:line="360" w:lineRule="auto"/>
        <w:rPr>
          <w:rFonts w:ascii="Times New Roman" w:hAnsi="Times New Roman" w:cs="Times New Roman"/>
          <w:sz w:val="17"/>
        </w:rPr>
      </w:pPr>
    </w:p>
    <w:p w14:paraId="54876EEE">
      <w:pPr>
        <w:pStyle w:val="18"/>
        <w:spacing w:before="8" w:line="360" w:lineRule="auto"/>
        <w:rPr>
          <w:rFonts w:ascii="Times New Roman" w:hAnsi="Times New Roman" w:cs="Times New Roman"/>
          <w:sz w:val="17"/>
        </w:rPr>
      </w:pPr>
    </w:p>
    <w:p w14:paraId="4D4E659F">
      <w:pPr>
        <w:pStyle w:val="18"/>
        <w:spacing w:before="8" w:line="360" w:lineRule="auto"/>
        <w:rPr>
          <w:rFonts w:ascii="Times New Roman" w:hAnsi="Times New Roman" w:cs="Times New Roman"/>
          <w:sz w:val="17"/>
        </w:rPr>
      </w:pPr>
    </w:p>
    <w:p w14:paraId="084D73A1">
      <w:pPr>
        <w:pStyle w:val="18"/>
        <w:spacing w:before="8" w:line="360" w:lineRule="auto"/>
        <w:rPr>
          <w:rFonts w:ascii="Times New Roman" w:hAnsi="Times New Roman" w:cs="Times New Roman"/>
          <w:sz w:val="17"/>
        </w:rPr>
      </w:pPr>
    </w:p>
    <w:p w14:paraId="59B59C0B">
      <w:pPr>
        <w:pStyle w:val="18"/>
        <w:spacing w:before="8" w:line="360" w:lineRule="auto"/>
        <w:rPr>
          <w:rFonts w:ascii="Times New Roman" w:hAnsi="Times New Roman" w:cs="Times New Roman"/>
          <w:sz w:val="17"/>
        </w:rPr>
      </w:pPr>
    </w:p>
    <w:p w14:paraId="4258E91E">
      <w:pPr>
        <w:pStyle w:val="18"/>
        <w:spacing w:before="8" w:line="360" w:lineRule="auto"/>
        <w:rPr>
          <w:rFonts w:ascii="Times New Roman" w:hAnsi="Times New Roman" w:cs="Times New Roman"/>
          <w:sz w:val="17"/>
        </w:rPr>
      </w:pPr>
    </w:p>
    <w:p w14:paraId="79049540">
      <w:pPr>
        <w:pStyle w:val="18"/>
        <w:spacing w:before="8" w:line="360" w:lineRule="auto"/>
        <w:rPr>
          <w:rFonts w:ascii="Times New Roman" w:hAnsi="Times New Roman" w:cs="Times New Roman"/>
          <w:sz w:val="17"/>
        </w:rPr>
      </w:pPr>
    </w:p>
    <w:p w14:paraId="732C4922">
      <w:pPr>
        <w:pStyle w:val="18"/>
        <w:spacing w:before="8" w:line="360" w:lineRule="auto"/>
        <w:rPr>
          <w:rFonts w:ascii="Times New Roman" w:hAnsi="Times New Roman" w:cs="Times New Roman"/>
          <w:sz w:val="17"/>
        </w:rPr>
      </w:pPr>
    </w:p>
    <w:p w14:paraId="0A964F18">
      <w:pPr>
        <w:pStyle w:val="18"/>
        <w:spacing w:before="8" w:line="360" w:lineRule="auto"/>
        <w:rPr>
          <w:rFonts w:ascii="Times New Roman" w:hAnsi="Times New Roman" w:cs="Times New Roman"/>
          <w:sz w:val="17"/>
        </w:rPr>
      </w:pPr>
    </w:p>
    <w:p w14:paraId="363852EA">
      <w:pPr>
        <w:pStyle w:val="18"/>
        <w:spacing w:before="8" w:line="360" w:lineRule="auto"/>
        <w:rPr>
          <w:rFonts w:ascii="Times New Roman" w:hAnsi="Times New Roman" w:cs="Times New Roman"/>
          <w:sz w:val="17"/>
        </w:rPr>
      </w:pPr>
    </w:p>
    <w:p w14:paraId="61F58DB7">
      <w:pPr>
        <w:pStyle w:val="18"/>
        <w:spacing w:before="8" w:line="360" w:lineRule="auto"/>
        <w:rPr>
          <w:rFonts w:ascii="Times New Roman" w:hAnsi="Times New Roman" w:cs="Times New Roman"/>
          <w:sz w:val="17"/>
        </w:rPr>
      </w:pPr>
    </w:p>
    <w:p w14:paraId="796BC534">
      <w:pPr>
        <w:pStyle w:val="3"/>
        <w:spacing w:before="67" w:line="360" w:lineRule="auto"/>
        <w:rPr>
          <w:rFonts w:ascii="Times New Roman" w:hAnsi="Times New Roman" w:cs="Times New Roman"/>
        </w:rPr>
      </w:pPr>
      <w:bookmarkStart w:id="86" w:name="_Toc108100452"/>
      <w:r>
        <w:rPr>
          <w:rFonts w:ascii="Times New Roman" w:hAnsi="Times New Roman" w:eastAsia="仿宋" w:cs="Times New Roman"/>
          <w:spacing w:val="-21"/>
        </w:rPr>
        <w:t xml:space="preserve">附件 </w:t>
      </w:r>
      <w:r>
        <w:rPr>
          <w:rFonts w:ascii="Times New Roman" w:hAnsi="Times New Roman" w:eastAsia="仿宋" w:cs="Times New Roman"/>
        </w:rPr>
        <w:t>2</w:t>
      </w:r>
      <w:r>
        <w:rPr>
          <w:rFonts w:ascii="Times New Roman" w:hAnsi="Times New Roman" w:eastAsia="仿宋" w:cs="Times New Roman"/>
          <w:spacing w:val="-2"/>
        </w:rPr>
        <w:t>： 投标人声明书</w:t>
      </w:r>
      <w:bookmarkEnd w:id="86"/>
    </w:p>
    <w:p w14:paraId="5D70CE5E">
      <w:pPr>
        <w:pStyle w:val="18"/>
        <w:spacing w:before="7" w:line="360" w:lineRule="auto"/>
        <w:rPr>
          <w:rFonts w:ascii="Times New Roman" w:hAnsi="Times New Roman" w:cs="Times New Roman"/>
        </w:rPr>
      </w:pPr>
    </w:p>
    <w:p w14:paraId="1EA3DAA4">
      <w:pPr>
        <w:pStyle w:val="18"/>
        <w:spacing w:before="7" w:line="360" w:lineRule="auto"/>
        <w:jc w:val="center"/>
        <w:rPr>
          <w:rFonts w:ascii="Times New Roman" w:hAnsi="Times New Roman" w:cs="Times New Roman"/>
          <w:b/>
          <w:sz w:val="36"/>
        </w:rPr>
      </w:pPr>
      <w:r>
        <w:rPr>
          <w:rFonts w:ascii="Times New Roman" w:hAnsi="Times New Roman" w:cs="Times New Roman"/>
          <w:b/>
          <w:sz w:val="36"/>
        </w:rPr>
        <w:t>投标人声明书</w:t>
      </w:r>
    </w:p>
    <w:p w14:paraId="4A7800BF">
      <w:pPr>
        <w:pStyle w:val="18"/>
        <w:spacing w:line="360" w:lineRule="auto"/>
        <w:rPr>
          <w:rFonts w:ascii="Times New Roman" w:hAnsi="Times New Roman" w:cs="Times New Roman"/>
          <w:b/>
          <w:sz w:val="20"/>
        </w:rPr>
      </w:pPr>
    </w:p>
    <w:p w14:paraId="337D256E">
      <w:pPr>
        <w:pStyle w:val="4"/>
        <w:spacing w:before="67" w:line="360" w:lineRule="exact"/>
        <w:rPr>
          <w:rFonts w:ascii="Times New Roman" w:hAnsi="Times New Roman" w:cs="Times New Roman"/>
        </w:rPr>
      </w:pPr>
      <w:r>
        <w:rPr>
          <w:rFonts w:hint="eastAsia" w:ascii="Times New Roman" w:hAnsi="Times New Roman" w:cs="Times New Roman"/>
        </w:rPr>
        <w:t>浙江信益工程管理有限公司</w:t>
      </w:r>
      <w:r>
        <w:rPr>
          <w:rFonts w:ascii="Times New Roman" w:hAnsi="Times New Roman" w:cs="Times New Roman"/>
        </w:rPr>
        <w:t>：</w:t>
      </w:r>
    </w:p>
    <w:p w14:paraId="5E9A602A">
      <w:pPr>
        <w:pStyle w:val="4"/>
        <w:tabs>
          <w:tab w:val="left" w:pos="3793"/>
          <w:tab w:val="left" w:pos="4993"/>
        </w:tabs>
        <w:spacing w:before="1" w:line="360" w:lineRule="exact"/>
        <w:ind w:right="417" w:firstLine="480"/>
        <w:jc w:val="both"/>
        <w:rPr>
          <w:rFonts w:ascii="Times New Roman" w:hAnsi="Times New Roman" w:cs="Times New Roman"/>
        </w:rPr>
      </w:pPr>
      <w:r>
        <w:rPr>
          <w:rFonts w:ascii="Times New Roman" w:hAnsi="Times New Roman" w:eastAsia="Times New Roman" w:cs="Times New Roman"/>
          <w:u w:val="single"/>
        </w:rPr>
        <w:tab/>
      </w:r>
      <w:r>
        <w:rPr>
          <w:rFonts w:ascii="Times New Roman" w:hAnsi="Times New Roman" w:cs="Times New Roman"/>
        </w:rPr>
        <w:t>（</w:t>
      </w:r>
      <w:r>
        <w:rPr>
          <w:rFonts w:ascii="Times New Roman" w:hAnsi="Times New Roman" w:cs="Times New Roman"/>
          <w:spacing w:val="28"/>
        </w:rPr>
        <w:t>投标人名</w:t>
      </w:r>
      <w:r>
        <w:rPr>
          <w:rFonts w:ascii="Times New Roman" w:hAnsi="Times New Roman" w:cs="Times New Roman"/>
          <w:spacing w:val="30"/>
        </w:rPr>
        <w:t>称</w:t>
      </w:r>
      <w:r>
        <w:rPr>
          <w:rFonts w:ascii="Times New Roman" w:hAnsi="Times New Roman" w:cs="Times New Roman"/>
        </w:rPr>
        <w:t>）</w:t>
      </w:r>
      <w:r>
        <w:rPr>
          <w:rFonts w:ascii="Times New Roman" w:hAnsi="Times New Roman" w:cs="Times New Roman"/>
          <w:spacing w:val="28"/>
        </w:rPr>
        <w:t>系中华人民共和</w:t>
      </w:r>
      <w:r>
        <w:rPr>
          <w:rFonts w:ascii="Times New Roman" w:hAnsi="Times New Roman" w:cs="Times New Roman"/>
          <w:spacing w:val="30"/>
        </w:rPr>
        <w:t>国</w:t>
      </w:r>
      <w:r>
        <w:rPr>
          <w:rFonts w:ascii="Times New Roman" w:hAnsi="Times New Roman" w:cs="Times New Roman"/>
          <w:spacing w:val="28"/>
        </w:rPr>
        <w:t>合法企业</w:t>
      </w:r>
      <w:r>
        <w:rPr>
          <w:rFonts w:ascii="Times New Roman" w:hAnsi="Times New Roman" w:cs="Times New Roman"/>
        </w:rPr>
        <w:t>，</w:t>
      </w:r>
      <w:r>
        <w:rPr>
          <w:rFonts w:ascii="Times New Roman" w:hAnsi="Times New Roman" w:cs="Times New Roman"/>
          <w:spacing w:val="28"/>
        </w:rPr>
        <w:t>经营</w:t>
      </w:r>
      <w:r>
        <w:rPr>
          <w:rFonts w:ascii="Times New Roman" w:hAnsi="Times New Roman" w:cs="Times New Roman"/>
        </w:rPr>
        <w:t>地址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w:t>
      </w:r>
    </w:p>
    <w:p w14:paraId="2DAE8BA8">
      <w:pPr>
        <w:pStyle w:val="4"/>
        <w:tabs>
          <w:tab w:val="left" w:pos="2482"/>
          <w:tab w:val="left" w:pos="5314"/>
          <w:tab w:val="left" w:pos="6100"/>
        </w:tabs>
        <w:spacing w:line="360" w:lineRule="exact"/>
        <w:ind w:right="411" w:firstLine="482"/>
        <w:jc w:val="both"/>
        <w:rPr>
          <w:rFonts w:ascii="Times New Roman" w:hAnsi="Times New Roman" w:cs="Times New Roman"/>
        </w:rPr>
      </w:pPr>
      <w:r>
        <w:rPr>
          <w:rFonts w:ascii="Times New Roman" w:hAnsi="Times New Roman" w:cs="Times New Roman"/>
        </w:rPr>
        <w:t>我</w:t>
      </w:r>
      <w:r>
        <w:rPr>
          <w:rFonts w:ascii="Times New Roman" w:hAnsi="Times New Roman" w:cs="Times New Roman"/>
          <w:u w:val="single"/>
        </w:rPr>
        <w:tab/>
      </w:r>
      <w:r>
        <w:rPr>
          <w:rFonts w:ascii="Times New Roman" w:hAnsi="Times New Roman" w:cs="Times New Roman"/>
        </w:rPr>
        <w:t>（姓名）系</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（投标人名称）的法定代表人，我</w:t>
      </w:r>
      <w:r>
        <w:rPr>
          <w:rFonts w:ascii="Times New Roman" w:hAnsi="Times New Roman" w:cs="Times New Roman"/>
          <w:spacing w:val="-15"/>
        </w:rPr>
        <w:t>方</w:t>
      </w:r>
      <w:r>
        <w:rPr>
          <w:rFonts w:ascii="Times New Roman" w:hAnsi="Times New Roman" w:cs="Times New Roman"/>
        </w:rPr>
        <w:t>愿意参加贵方组织</w:t>
      </w:r>
      <w:r>
        <w:rPr>
          <w:rFonts w:ascii="Times New Roman" w:hAnsi="Times New Roman" w:cs="Times New Roman"/>
          <w:spacing w:val="3"/>
        </w:rPr>
        <w:t>的</w:t>
      </w:r>
      <w:r>
        <w:rPr>
          <w:rFonts w:ascii="Times New Roman" w:hAnsi="Times New Roman" w:cs="Times New Roman"/>
          <w:spacing w:val="3"/>
          <w:u w:val="single"/>
        </w:rPr>
        <w:tab/>
      </w:r>
      <w:r>
        <w:rPr>
          <w:rFonts w:ascii="Times New Roman" w:hAnsi="Times New Roman" w:cs="Times New Roman"/>
        </w:rPr>
        <w:t>（项目名称）（编号：</w:t>
      </w:r>
      <w:r>
        <w:rPr>
          <w:rFonts w:hint="eastAsia" w:ascii="Times New Roman" w:hAnsi="Times New Roman" w:cs="Times New Roman"/>
        </w:rPr>
        <w:t>XYCG2025009</w:t>
      </w:r>
      <w:r>
        <w:rPr>
          <w:rFonts w:ascii="Times New Roman" w:hAnsi="Times New Roman" w:cs="Times New Roman"/>
        </w:rPr>
        <w:t>）的</w:t>
      </w:r>
      <w:r>
        <w:rPr>
          <w:rFonts w:ascii="Times New Roman" w:hAnsi="Times New Roman" w:cs="Times New Roman"/>
          <w:spacing w:val="-15"/>
        </w:rPr>
        <w:t>投</w:t>
      </w:r>
      <w:r>
        <w:rPr>
          <w:rFonts w:ascii="Times New Roman" w:hAnsi="Times New Roman" w:cs="Times New Roman"/>
        </w:rPr>
        <w:t>标，为此，我方就本次投标有关事项郑重声明如下：</w:t>
      </w:r>
    </w:p>
    <w:p w14:paraId="6D00A407">
      <w:pPr>
        <w:pStyle w:val="4"/>
        <w:spacing w:line="360" w:lineRule="exact"/>
        <w:ind w:left="795"/>
        <w:rPr>
          <w:rFonts w:ascii="Times New Roman" w:hAnsi="Times New Roman" w:cs="Times New Roman"/>
        </w:rPr>
      </w:pPr>
      <w:r>
        <w:rPr>
          <w:rFonts w:ascii="Times New Roman" w:hAnsi="Times New Roman" w:cs="Times New Roman"/>
        </w:rPr>
        <w:t>1、我方已详细审查全部招标文件，同意招标文件的各项要求。</w:t>
      </w:r>
    </w:p>
    <w:p w14:paraId="3F091BDE">
      <w:pPr>
        <w:pStyle w:val="4"/>
        <w:spacing w:before="134" w:line="360" w:lineRule="exact"/>
        <w:ind w:left="795"/>
        <w:rPr>
          <w:rFonts w:ascii="Times New Roman" w:hAnsi="Times New Roman" w:cs="Times New Roman"/>
        </w:rPr>
      </w:pPr>
      <w:r>
        <w:rPr>
          <w:rFonts w:ascii="Times New Roman" w:hAnsi="Times New Roman" w:cs="Times New Roman"/>
        </w:rPr>
        <w:t>2、我方向贵方提交的所有投标文件、资料都是准确的和真实的。</w:t>
      </w:r>
    </w:p>
    <w:p w14:paraId="478355CD">
      <w:pPr>
        <w:pStyle w:val="4"/>
        <w:spacing w:before="132" w:line="360" w:lineRule="exact"/>
        <w:ind w:left="795"/>
        <w:rPr>
          <w:rFonts w:ascii="Times New Roman" w:hAnsi="Times New Roman" w:cs="Times New Roman"/>
        </w:rPr>
      </w:pPr>
      <w:r>
        <w:rPr>
          <w:rFonts w:ascii="Times New Roman" w:hAnsi="Times New Roman" w:cs="Times New Roman"/>
        </w:rPr>
        <w:t>3、若中标，我方将按招标文件规定履行合同责任和义务。</w:t>
      </w:r>
    </w:p>
    <w:p w14:paraId="4FEC1E4E">
      <w:pPr>
        <w:pStyle w:val="4"/>
        <w:spacing w:before="131" w:line="360" w:lineRule="exact"/>
        <w:ind w:right="411" w:firstLine="482"/>
        <w:rPr>
          <w:rFonts w:ascii="Times New Roman" w:hAnsi="Times New Roman" w:cs="Times New Roman"/>
        </w:rPr>
      </w:pPr>
      <w:r>
        <w:rPr>
          <w:rFonts w:ascii="Times New Roman" w:hAnsi="Times New Roman" w:cs="Times New Roman"/>
        </w:rPr>
        <w:t>4</w:t>
      </w:r>
      <w:r>
        <w:rPr>
          <w:rFonts w:ascii="Times New Roman" w:hAnsi="Times New Roman" w:cs="Times New Roman"/>
          <w:spacing w:val="-10"/>
        </w:rPr>
        <w:t>、我方不是采购人的附属机构；在获知本项目采购信息后，与采购人聘请的为此项目提</w:t>
      </w:r>
      <w:r>
        <w:rPr>
          <w:rFonts w:ascii="Times New Roman" w:hAnsi="Times New Roman" w:cs="Times New Roman"/>
        </w:rPr>
        <w:t>供咨询服务的公司及其附属机构没有任何联系。</w:t>
      </w:r>
    </w:p>
    <w:p w14:paraId="6A5DADDF">
      <w:pPr>
        <w:pStyle w:val="4"/>
        <w:spacing w:line="360" w:lineRule="exact"/>
        <w:ind w:left="795"/>
        <w:rPr>
          <w:rFonts w:ascii="Times New Roman" w:hAnsi="Times New Roman" w:cs="Times New Roman"/>
        </w:rPr>
      </w:pPr>
      <w:r>
        <w:rPr>
          <w:rFonts w:ascii="Times New Roman" w:hAnsi="Times New Roman" w:cs="Times New Roman"/>
        </w:rPr>
        <w:t>5、投标文件自开标日起有效期为 90 天。</w:t>
      </w:r>
    </w:p>
    <w:p w14:paraId="33AAEE39">
      <w:pPr>
        <w:pStyle w:val="4"/>
        <w:spacing w:before="132" w:line="360" w:lineRule="exact"/>
        <w:ind w:right="411" w:firstLine="482"/>
        <w:rPr>
          <w:rFonts w:ascii="Times New Roman" w:hAnsi="Times New Roman" w:cs="Times New Roman"/>
        </w:rPr>
      </w:pPr>
      <w:r>
        <w:rPr>
          <w:rFonts w:ascii="Times New Roman" w:hAnsi="Times New Roman" w:cs="Times New Roman"/>
        </w:rPr>
        <w:t>6</w:t>
      </w:r>
      <w:r>
        <w:rPr>
          <w:rFonts w:ascii="Times New Roman" w:hAnsi="Times New Roman" w:cs="Times New Roman"/>
          <w:spacing w:val="-7"/>
        </w:rPr>
        <w:t>、未组成其他联合体参加本项目的非政府采购活动。</w:t>
      </w:r>
      <w:r>
        <w:rPr>
          <w:rFonts w:ascii="Times New Roman" w:hAnsi="Times New Roman" w:cs="Times New Roman"/>
        </w:rPr>
        <w:t>（</w:t>
      </w:r>
      <w:r>
        <w:rPr>
          <w:rFonts w:ascii="Times New Roman" w:hAnsi="Times New Roman" w:cs="Times New Roman"/>
          <w:spacing w:val="-4"/>
        </w:rPr>
        <w:t>联合体投标的，联合体各方不以</w:t>
      </w:r>
      <w:r>
        <w:rPr>
          <w:rFonts w:ascii="Times New Roman" w:hAnsi="Times New Roman" w:cs="Times New Roman"/>
        </w:rPr>
        <w:t>自己名义单独、未组成或参加其他联合体参加本项目的采购活动。）</w:t>
      </w:r>
    </w:p>
    <w:p w14:paraId="00FBA5B4">
      <w:pPr>
        <w:pStyle w:val="4"/>
        <w:spacing w:line="360" w:lineRule="exact"/>
        <w:ind w:left="795"/>
        <w:rPr>
          <w:rFonts w:ascii="Times New Roman" w:hAnsi="Times New Roman" w:cs="Times New Roman"/>
        </w:rPr>
      </w:pPr>
      <w:r>
        <w:rPr>
          <w:rFonts w:ascii="Times New Roman" w:hAnsi="Times New Roman" w:cs="Times New Roman"/>
        </w:rPr>
        <w:t>7、我方参与本项目前 3 年内的经营活动中没有重大违法记录。</w:t>
      </w:r>
    </w:p>
    <w:p w14:paraId="7FBC3376">
      <w:pPr>
        <w:pStyle w:val="4"/>
        <w:spacing w:before="132" w:line="360" w:lineRule="exact"/>
        <w:ind w:left="795"/>
        <w:rPr>
          <w:rFonts w:ascii="Times New Roman" w:hAnsi="Times New Roman" w:cs="Times New Roman"/>
        </w:rPr>
      </w:pPr>
      <w:r>
        <w:rPr>
          <w:rFonts w:ascii="Times New Roman" w:hAnsi="Times New Roman" w:cs="Times New Roman"/>
        </w:rPr>
        <w:t>8</w:t>
      </w:r>
      <w:r>
        <w:rPr>
          <w:rFonts w:ascii="Times New Roman" w:hAnsi="Times New Roman" w:cs="Times New Roman"/>
          <w:spacing w:val="5"/>
        </w:rPr>
        <w:t xml:space="preserve"> 、我方通过“ 信用中国” 网站</w:t>
      </w:r>
      <w:r>
        <w:rPr>
          <w:rFonts w:ascii="Times New Roman" w:hAnsi="Times New Roman" w:cs="Times New Roman"/>
        </w:rPr>
        <w:t>（</w:t>
      </w:r>
      <w:r>
        <w:fldChar w:fldCharType="begin"/>
      </w:r>
      <w:r>
        <w:instrText xml:space="preserve"> HYPERLINK "http://www.creditchina.gov.cn/" </w:instrText>
      </w:r>
      <w:r>
        <w:fldChar w:fldCharType="separate"/>
      </w:r>
      <w:r>
        <w:rPr>
          <w:rFonts w:ascii="Times New Roman" w:hAnsi="Times New Roman" w:cs="Times New Roman"/>
        </w:rPr>
        <w:t>www.creditchina.gov.cn</w: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spacing w:val="17"/>
        </w:rPr>
        <w:t xml:space="preserve"> 、中国政府采购网</w:t>
      </w:r>
    </w:p>
    <w:p w14:paraId="624E9B77">
      <w:pPr>
        <w:pStyle w:val="4"/>
        <w:spacing w:before="134" w:line="360" w:lineRule="exact"/>
        <w:ind w:right="410"/>
        <w:rPr>
          <w:rFonts w:ascii="Times New Roman" w:hAnsi="Times New Roman" w:cs="Times New Roman"/>
        </w:rPr>
      </w:pPr>
      <w:r>
        <w:fldChar w:fldCharType="begin"/>
      </w:r>
      <w:r>
        <w:instrText xml:space="preserve"> HYPERLINK "http://www.ccgp.gov.cn/" </w:instrText>
      </w:r>
      <w:r>
        <w:fldChar w:fldCharType="separate"/>
      </w:r>
      <w:r>
        <w:rPr>
          <w:rFonts w:ascii="Times New Roman" w:hAnsi="Times New Roman" w:cs="Times New Roman"/>
          <w:spacing w:val="-1"/>
        </w:rPr>
        <w:t>（www.ccgp.gov.cn</w:t>
      </w:r>
      <w:r>
        <w:rPr>
          <w:rFonts w:ascii="Times New Roman" w:hAnsi="Times New Roman" w:cs="Times New Roman"/>
          <w:spacing w:val="-1"/>
        </w:rPr>
        <w:fldChar w:fldCharType="end"/>
      </w:r>
      <w:r>
        <w:rPr>
          <w:rFonts w:ascii="Times New Roman" w:hAnsi="Times New Roman" w:cs="Times New Roman"/>
          <w:spacing w:val="-1"/>
        </w:rPr>
        <w:t>）</w:t>
      </w:r>
      <w:r>
        <w:rPr>
          <w:rFonts w:ascii="Times New Roman" w:hAnsi="Times New Roman" w:cs="Times New Roman"/>
          <w:spacing w:val="-9"/>
        </w:rPr>
        <w:t>查询，未被列入失信被执行人、重大税收违法案件当事人名单、政府采</w:t>
      </w:r>
      <w:r>
        <w:rPr>
          <w:rFonts w:ascii="Times New Roman" w:hAnsi="Times New Roman" w:cs="Times New Roman"/>
        </w:rPr>
        <w:t>购严重违法失信行为记录名单。</w:t>
      </w:r>
    </w:p>
    <w:p w14:paraId="5959C0EC">
      <w:pPr>
        <w:pStyle w:val="4"/>
        <w:spacing w:line="360" w:lineRule="exact"/>
        <w:ind w:right="411" w:firstLine="482"/>
        <w:rPr>
          <w:rFonts w:ascii="Times New Roman" w:hAnsi="Times New Roman" w:cs="Times New Roman"/>
        </w:rPr>
      </w:pPr>
      <w:r>
        <w:rPr>
          <w:rFonts w:ascii="Times New Roman" w:hAnsi="Times New Roman" w:cs="Times New Roman"/>
        </w:rPr>
        <w:t>9</w:t>
      </w:r>
      <w:r>
        <w:rPr>
          <w:rFonts w:ascii="Times New Roman" w:hAnsi="Times New Roman" w:cs="Times New Roman"/>
          <w:spacing w:val="-10"/>
        </w:rPr>
        <w:t>、以上事项如有虚假或隐瞒，我方愿意承担一切后果，并不再寻求任何旨在减轻或免除</w:t>
      </w:r>
      <w:r>
        <w:rPr>
          <w:rFonts w:ascii="Times New Roman" w:hAnsi="Times New Roman" w:cs="Times New Roman"/>
        </w:rPr>
        <w:t>法律责任的辩解。</w:t>
      </w:r>
    </w:p>
    <w:p w14:paraId="4C57939F">
      <w:pPr>
        <w:pStyle w:val="18"/>
        <w:spacing w:line="360" w:lineRule="auto"/>
        <w:rPr>
          <w:rFonts w:ascii="Times New Roman" w:hAnsi="Times New Roman" w:cs="Times New Roman"/>
          <w:sz w:val="24"/>
        </w:rPr>
      </w:pPr>
    </w:p>
    <w:p w14:paraId="11B4649E">
      <w:pPr>
        <w:pStyle w:val="18"/>
        <w:spacing w:line="360" w:lineRule="auto"/>
        <w:rPr>
          <w:rFonts w:ascii="Times New Roman" w:hAnsi="Times New Roman" w:cs="Times New Roman"/>
          <w:sz w:val="24"/>
        </w:rPr>
      </w:pPr>
    </w:p>
    <w:p w14:paraId="0FDB3A65">
      <w:pPr>
        <w:pStyle w:val="18"/>
        <w:spacing w:before="12" w:line="360" w:lineRule="auto"/>
        <w:rPr>
          <w:rFonts w:ascii="Times New Roman" w:hAnsi="Times New Roman" w:cs="Times New Roman"/>
          <w:sz w:val="16"/>
        </w:rPr>
      </w:pPr>
    </w:p>
    <w:p w14:paraId="5068A81D">
      <w:pPr>
        <w:spacing w:line="360" w:lineRule="auto"/>
        <w:ind w:left="312"/>
        <w:rPr>
          <w:rFonts w:ascii="Times New Roman" w:hAnsi="Times New Roman" w:cs="Times New Roman"/>
          <w:b/>
          <w:sz w:val="25"/>
        </w:rPr>
      </w:pPr>
      <w:r>
        <w:rPr>
          <w:rFonts w:ascii="Times New Roman" w:hAnsi="Times New Roman" w:cs="Times New Roman"/>
          <w:b/>
          <w:w w:val="95"/>
          <w:sz w:val="24"/>
        </w:rPr>
        <w:t>投标人（公章）：</w:t>
      </w:r>
    </w:p>
    <w:p w14:paraId="36356800">
      <w:pPr>
        <w:tabs>
          <w:tab w:val="left" w:pos="1517"/>
          <w:tab w:val="left" w:pos="2120"/>
          <w:tab w:val="left" w:pos="2845"/>
        </w:tabs>
        <w:spacing w:line="360" w:lineRule="auto"/>
        <w:ind w:left="312"/>
        <w:rPr>
          <w:rFonts w:ascii="Times New Roman" w:hAnsi="Times New Roman" w:cs="Times New Roman"/>
          <w:b/>
          <w:spacing w:val="-8"/>
          <w:sz w:val="24"/>
        </w:rPr>
      </w:pPr>
      <w:r>
        <w:rPr>
          <w:rFonts w:ascii="Times New Roman" w:hAnsi="Times New Roman" w:cs="Times New Roman"/>
          <w:b/>
          <w:sz w:val="24"/>
        </w:rPr>
        <w:t>法定代表人或授权代表（签字或盖章</w:t>
      </w:r>
      <w:r>
        <w:rPr>
          <w:rFonts w:ascii="Times New Roman" w:hAnsi="Times New Roman" w:cs="Times New Roman"/>
          <w:b/>
          <w:spacing w:val="-8"/>
          <w:sz w:val="24"/>
        </w:rPr>
        <w:t xml:space="preserve">）： </w:t>
      </w:r>
    </w:p>
    <w:p w14:paraId="74B28A9F">
      <w:pPr>
        <w:tabs>
          <w:tab w:val="left" w:pos="1517"/>
          <w:tab w:val="left" w:pos="2120"/>
          <w:tab w:val="left" w:pos="2845"/>
        </w:tabs>
        <w:spacing w:line="360" w:lineRule="auto"/>
        <w:ind w:left="312"/>
        <w:rPr>
          <w:rFonts w:ascii="Times New Roman" w:hAnsi="Times New Roman" w:cs="Times New Roman"/>
          <w:b/>
          <w:sz w:val="24"/>
        </w:rPr>
      </w:pPr>
      <w:r>
        <w:rPr>
          <w:rFonts w:ascii="Times New Roman" w:hAnsi="Times New Roman" w:cs="Times New Roman"/>
          <w:b/>
          <w:sz w:val="24"/>
        </w:rPr>
        <w:t>日期：</w:t>
      </w:r>
      <w:r>
        <w:rPr>
          <w:rFonts w:ascii="Times New Roman" w:hAnsi="Times New Roman" w:cs="Times New Roman"/>
          <w:b/>
          <w:sz w:val="24"/>
        </w:rPr>
        <w:tab/>
      </w:r>
      <w:r>
        <w:rPr>
          <w:rFonts w:ascii="Times New Roman" w:hAnsi="Times New Roman" w:cs="Times New Roman"/>
          <w:b/>
          <w:sz w:val="24"/>
        </w:rPr>
        <w:t>年</w:t>
      </w:r>
      <w:r>
        <w:rPr>
          <w:rFonts w:ascii="Times New Roman" w:hAnsi="Times New Roman" w:cs="Times New Roman"/>
          <w:b/>
          <w:sz w:val="24"/>
        </w:rPr>
        <w:tab/>
      </w:r>
      <w:r>
        <w:rPr>
          <w:rFonts w:ascii="Times New Roman" w:hAnsi="Times New Roman" w:cs="Times New Roman"/>
          <w:b/>
          <w:sz w:val="24"/>
        </w:rPr>
        <w:t>月</w:t>
      </w:r>
      <w:r>
        <w:rPr>
          <w:rFonts w:ascii="Times New Roman" w:hAnsi="Times New Roman" w:cs="Times New Roman"/>
          <w:b/>
          <w:sz w:val="24"/>
        </w:rPr>
        <w:tab/>
      </w:r>
      <w:r>
        <w:rPr>
          <w:rFonts w:ascii="Times New Roman" w:hAnsi="Times New Roman" w:cs="Times New Roman"/>
          <w:b/>
          <w:sz w:val="24"/>
        </w:rPr>
        <w:t>日</w:t>
      </w:r>
    </w:p>
    <w:p w14:paraId="1ABB1625">
      <w:pPr>
        <w:tabs>
          <w:tab w:val="left" w:pos="1517"/>
          <w:tab w:val="left" w:pos="2120"/>
          <w:tab w:val="left" w:pos="2845"/>
        </w:tabs>
        <w:spacing w:line="360" w:lineRule="auto"/>
        <w:ind w:left="312" w:right="5716"/>
        <w:rPr>
          <w:rFonts w:ascii="Times New Roman" w:hAnsi="Times New Roman" w:cs="Times New Roman"/>
          <w:b/>
          <w:sz w:val="24"/>
        </w:rPr>
      </w:pPr>
    </w:p>
    <w:p w14:paraId="5BA685DD">
      <w:pPr>
        <w:tabs>
          <w:tab w:val="left" w:pos="1517"/>
          <w:tab w:val="left" w:pos="2120"/>
          <w:tab w:val="left" w:pos="2845"/>
        </w:tabs>
        <w:spacing w:line="360" w:lineRule="auto"/>
        <w:ind w:left="312" w:right="5716"/>
        <w:rPr>
          <w:rFonts w:ascii="Times New Roman" w:hAnsi="Times New Roman" w:cs="Times New Roman"/>
          <w:b/>
          <w:sz w:val="24"/>
        </w:rPr>
      </w:pPr>
    </w:p>
    <w:p w14:paraId="3EB7E2F0">
      <w:pPr>
        <w:pStyle w:val="18"/>
        <w:spacing w:before="4" w:line="360" w:lineRule="auto"/>
        <w:rPr>
          <w:rFonts w:ascii="Times New Roman" w:hAnsi="Times New Roman" w:cs="Times New Roman"/>
          <w:b/>
          <w:sz w:val="2"/>
        </w:rPr>
      </w:pPr>
    </w:p>
    <w:p w14:paraId="5968D8DC">
      <w:pPr>
        <w:pStyle w:val="18"/>
        <w:spacing w:before="4" w:line="360" w:lineRule="auto"/>
        <w:rPr>
          <w:rFonts w:ascii="Times New Roman" w:hAnsi="Times New Roman" w:cs="Times New Roman"/>
          <w:b/>
          <w:sz w:val="2"/>
        </w:rPr>
      </w:pPr>
    </w:p>
    <w:p w14:paraId="28A71C75">
      <w:pPr>
        <w:pStyle w:val="18"/>
        <w:spacing w:before="4" w:line="360" w:lineRule="auto"/>
        <w:rPr>
          <w:rFonts w:ascii="Times New Roman" w:hAnsi="Times New Roman" w:cs="Times New Roman"/>
          <w:b/>
          <w:sz w:val="2"/>
        </w:rPr>
      </w:pPr>
    </w:p>
    <w:p w14:paraId="3A3D55BF">
      <w:pPr>
        <w:pStyle w:val="18"/>
        <w:spacing w:before="4" w:line="360" w:lineRule="auto"/>
        <w:rPr>
          <w:rFonts w:ascii="Times New Roman" w:hAnsi="Times New Roman" w:cs="Times New Roman"/>
          <w:b/>
          <w:sz w:val="2"/>
        </w:rPr>
      </w:pPr>
    </w:p>
    <w:p w14:paraId="18F04149">
      <w:pPr>
        <w:pStyle w:val="18"/>
        <w:spacing w:before="4" w:line="360" w:lineRule="auto"/>
        <w:rPr>
          <w:rFonts w:ascii="Times New Roman" w:hAnsi="Times New Roman" w:cs="Times New Roman"/>
          <w:b/>
          <w:sz w:val="2"/>
        </w:rPr>
      </w:pPr>
    </w:p>
    <w:p w14:paraId="37FB7E69">
      <w:pPr>
        <w:pStyle w:val="18"/>
        <w:spacing w:line="360" w:lineRule="auto"/>
        <w:ind w:left="276"/>
        <w:rPr>
          <w:rFonts w:ascii="Times New Roman" w:hAnsi="Times New Roman" w:cs="Times New Roman"/>
          <w:sz w:val="2"/>
        </w:rPr>
      </w:pPr>
    </w:p>
    <w:p w14:paraId="5354F923">
      <w:pPr>
        <w:pStyle w:val="3"/>
        <w:spacing w:before="29" w:line="360" w:lineRule="auto"/>
        <w:rPr>
          <w:rFonts w:ascii="Times New Roman" w:hAnsi="Times New Roman" w:eastAsia="仿宋" w:cs="Times New Roman"/>
        </w:rPr>
      </w:pPr>
      <w:bookmarkStart w:id="87" w:name="_Toc108100453"/>
      <w:r>
        <w:rPr>
          <w:rFonts w:ascii="Times New Roman" w:hAnsi="Times New Roman" w:eastAsia="仿宋" w:cs="Times New Roman"/>
        </w:rPr>
        <w:t>附件 3： 法定代表人授权委托书</w:t>
      </w:r>
      <w:bookmarkEnd w:id="87"/>
    </w:p>
    <w:p w14:paraId="01D8DC12">
      <w:pPr>
        <w:pStyle w:val="18"/>
        <w:spacing w:before="10" w:line="360" w:lineRule="auto"/>
        <w:rPr>
          <w:rFonts w:ascii="Times New Roman" w:hAnsi="Times New Roman" w:cs="Times New Roman"/>
          <w:b/>
          <w:sz w:val="17"/>
        </w:rPr>
      </w:pPr>
    </w:p>
    <w:p w14:paraId="314DD868">
      <w:pPr>
        <w:spacing w:line="360" w:lineRule="auto"/>
        <w:ind w:left="404" w:right="503"/>
        <w:jc w:val="center"/>
        <w:rPr>
          <w:rFonts w:ascii="Times New Roman" w:hAnsi="Times New Roman" w:eastAsia="楷体" w:cs="Times New Roman"/>
          <w:b/>
          <w:sz w:val="36"/>
        </w:rPr>
      </w:pPr>
      <w:r>
        <w:rPr>
          <w:rFonts w:ascii="Times New Roman" w:hAnsi="Times New Roman" w:eastAsia="楷体" w:cs="Times New Roman"/>
          <w:b/>
          <w:sz w:val="36"/>
        </w:rPr>
        <w:t>法定代表人授权委托书</w:t>
      </w:r>
    </w:p>
    <w:p w14:paraId="54C8E413">
      <w:pPr>
        <w:pStyle w:val="4"/>
        <w:spacing w:before="236" w:line="440" w:lineRule="exact"/>
        <w:rPr>
          <w:rFonts w:ascii="Times New Roman" w:hAnsi="Times New Roman" w:cs="Times New Roman"/>
        </w:rPr>
      </w:pPr>
      <w:r>
        <w:rPr>
          <w:rFonts w:ascii="Times New Roman" w:hAnsi="Times New Roman" w:cs="Times New Roman"/>
        </w:rPr>
        <w:t>致</w:t>
      </w:r>
      <w:r>
        <w:rPr>
          <w:rFonts w:hint="eastAsia" w:ascii="Times New Roman" w:hAnsi="Times New Roman" w:cs="Times New Roman"/>
          <w:u w:val="single"/>
        </w:rPr>
        <w:t>浙江信益工程管理有限公司</w:t>
      </w:r>
      <w:r>
        <w:rPr>
          <w:rFonts w:ascii="Times New Roman" w:hAnsi="Times New Roman" w:cs="Times New Roman"/>
        </w:rPr>
        <w:t xml:space="preserve"> ：</w:t>
      </w:r>
    </w:p>
    <w:p w14:paraId="03D1DCF7">
      <w:pPr>
        <w:pStyle w:val="4"/>
        <w:spacing w:before="236" w:line="440" w:lineRule="exac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我</w:t>
      </w:r>
      <w:r>
        <w:rPr>
          <w:rFonts w:ascii="Times New Roman" w:hAnsi="Times New Roman" w:cs="Times New Roman"/>
          <w:u w:val="single"/>
        </w:rPr>
        <w:tab/>
      </w:r>
      <w:r>
        <w:rPr>
          <w:rFonts w:hint="eastAsia" w:ascii="Times New Roman" w:hAnsi="Times New Roman" w:cs="Times New Roman"/>
          <w:u w:val="single"/>
        </w:rPr>
        <w:t xml:space="preserve">    </w:t>
      </w:r>
      <w:r>
        <w:rPr>
          <w:rFonts w:ascii="Times New Roman" w:hAnsi="Times New Roman" w:cs="Times New Roman"/>
          <w:u w:val="single"/>
        </w:rPr>
        <w:t>（</w:t>
      </w:r>
      <w:r>
        <w:rPr>
          <w:rFonts w:ascii="Times New Roman" w:hAnsi="Times New Roman" w:cs="Times New Roman"/>
        </w:rPr>
        <w:t>姓名</w:t>
      </w:r>
      <w:r>
        <w:rPr>
          <w:rFonts w:ascii="Times New Roman" w:hAnsi="Times New Roman" w:cs="Times New Roman"/>
          <w:spacing w:val="-17"/>
        </w:rPr>
        <w:t>）</w:t>
      </w:r>
      <w:r>
        <w:rPr>
          <w:rFonts w:ascii="Times New Roman" w:hAnsi="Times New Roman" w:cs="Times New Roman"/>
        </w:rPr>
        <w:t>系</w:t>
      </w:r>
      <w:r>
        <w:rPr>
          <w:rFonts w:ascii="Times New Roman" w:hAnsi="Times New Roman" w:cs="Times New Roman"/>
          <w:u w:val="single"/>
        </w:rPr>
        <w:tab/>
      </w:r>
      <w:r>
        <w:rPr>
          <w:rFonts w:hint="eastAsia" w:ascii="Times New Roman" w:hAnsi="Times New Roman" w:cs="Times New Roman"/>
          <w:u w:val="single"/>
        </w:rPr>
        <w:t xml:space="preserve">                     </w:t>
      </w:r>
      <w:r>
        <w:rPr>
          <w:rFonts w:ascii="Times New Roman" w:hAnsi="Times New Roman" w:cs="Times New Roman"/>
        </w:rPr>
        <w:t>（投标人名称</w:t>
      </w:r>
      <w:r>
        <w:rPr>
          <w:rFonts w:ascii="Times New Roman" w:hAnsi="Times New Roman" w:cs="Times New Roman"/>
          <w:spacing w:val="-17"/>
        </w:rPr>
        <w:t>）</w:t>
      </w:r>
      <w:r>
        <w:rPr>
          <w:rFonts w:ascii="Times New Roman" w:hAnsi="Times New Roman" w:cs="Times New Roman"/>
        </w:rPr>
        <w:t>的法定代表人</w:t>
      </w:r>
      <w:r>
        <w:rPr>
          <w:rFonts w:ascii="Times New Roman" w:hAnsi="Times New Roman" w:cs="Times New Roman"/>
          <w:spacing w:val="-17"/>
        </w:rPr>
        <w:t>，</w:t>
      </w:r>
      <w:r>
        <w:rPr>
          <w:rFonts w:ascii="Times New Roman" w:hAnsi="Times New Roman" w:cs="Times New Roman"/>
        </w:rPr>
        <w:t>现授权委托本单位在职职工</w:t>
      </w:r>
      <w:r>
        <w:rPr>
          <w:rFonts w:ascii="Times New Roman" w:hAnsi="Times New Roman" w:cs="Times New Roman"/>
          <w:u w:val="single"/>
        </w:rPr>
        <w:tab/>
      </w:r>
      <w:r>
        <w:rPr>
          <w:rFonts w:hint="eastAsia" w:ascii="Times New Roman" w:hAnsi="Times New Roman" w:cs="Times New Roman"/>
          <w:u w:val="single"/>
        </w:rPr>
        <w:t xml:space="preserve">               </w:t>
      </w:r>
      <w:r>
        <w:rPr>
          <w:rFonts w:ascii="Times New Roman" w:hAnsi="Times New Roman" w:cs="Times New Roman"/>
        </w:rPr>
        <w:t>（姓名）以我方的名义参加</w:t>
      </w:r>
      <w:r>
        <w:rPr>
          <w:rFonts w:ascii="Times New Roman" w:hAnsi="Times New Roman" w:cs="Times New Roman"/>
          <w:u w:val="single"/>
        </w:rPr>
        <w:tab/>
      </w:r>
      <w:r>
        <w:rPr>
          <w:rFonts w:hint="eastAsia" w:ascii="Times New Roman" w:hAnsi="Times New Roman" w:cs="Times New Roman"/>
          <w:u w:val="single"/>
        </w:rPr>
        <w:t xml:space="preserve">          </w:t>
      </w:r>
      <w:r>
        <w:rPr>
          <w:rFonts w:ascii="Times New Roman" w:hAnsi="Times New Roman" w:cs="Times New Roman"/>
        </w:rPr>
        <w:t>（项目编号）</w:t>
      </w:r>
      <w:r>
        <w:rPr>
          <w:rFonts w:hint="eastAsia" w:ascii="Times New Roman" w:hAnsi="Times New Roman" w:cs="Times New Roman"/>
        </w:rPr>
        <w:t xml:space="preserve">                       </w:t>
      </w:r>
      <w:r>
        <w:rPr>
          <w:rFonts w:ascii="Times New Roman" w:hAnsi="Times New Roman" w:cs="Times New Roman"/>
          <w:u w:val="single"/>
        </w:rPr>
        <w:tab/>
      </w:r>
      <w:r>
        <w:rPr>
          <w:rFonts w:hint="eastAsia" w:ascii="Times New Roman" w:hAnsi="Times New Roman" w:cs="Times New Roman"/>
          <w:u w:val="single"/>
        </w:rPr>
        <w:t xml:space="preserve">                                       </w:t>
      </w:r>
      <w:r>
        <w:rPr>
          <w:rFonts w:ascii="Times New Roman" w:hAnsi="Times New Roman" w:cs="Times New Roman"/>
        </w:rPr>
        <w:t>(项目名称)的投标活动，并代表我方全权办理针对上述项目的投标、开标、评标、签约等具体事务和签署相关文件。我方对被授权人的签名事项负全部责任。</w:t>
      </w:r>
    </w:p>
    <w:p w14:paraId="13EEF236">
      <w:pPr>
        <w:pStyle w:val="4"/>
        <w:spacing w:before="1" w:line="440" w:lineRule="exact"/>
        <w:ind w:firstLine="480"/>
        <w:rPr>
          <w:rFonts w:ascii="Times New Roman" w:hAnsi="Times New Roman" w:cs="Times New Roman"/>
        </w:rPr>
      </w:pPr>
      <w:r>
        <w:rPr>
          <w:rFonts w:ascii="Times New Roman" w:hAnsi="Times New Roman" w:cs="Times New Roman"/>
        </w:rPr>
        <w:t>在撤销授权的书面通知以前，本授权书一直有效。被授权人在授权书有效期内签署的所有文件不因授权的撤销而失效。</w:t>
      </w:r>
    </w:p>
    <w:p w14:paraId="7AD53283">
      <w:pPr>
        <w:pStyle w:val="4"/>
        <w:spacing w:before="1" w:line="440" w:lineRule="exact"/>
        <w:ind w:left="795"/>
        <w:rPr>
          <w:rFonts w:ascii="Times New Roman" w:hAnsi="Times New Roman" w:cs="Times New Roman"/>
        </w:rPr>
      </w:pPr>
      <w:r>
        <w:rPr>
          <w:rFonts w:ascii="Times New Roman" w:hAnsi="Times New Roman" w:cs="Times New Roman"/>
        </w:rPr>
        <w:t>被授权人无转委托权，特此委托。</w:t>
      </w:r>
    </w:p>
    <w:p w14:paraId="1BB89F69">
      <w:pPr>
        <w:pStyle w:val="18"/>
        <w:spacing w:line="440" w:lineRule="exact"/>
        <w:rPr>
          <w:rFonts w:ascii="Times New Roman" w:hAnsi="Times New Roman" w:cs="Times New Roman"/>
          <w:sz w:val="24"/>
        </w:rPr>
      </w:pPr>
    </w:p>
    <w:p w14:paraId="7B6D7D0D">
      <w:pPr>
        <w:pStyle w:val="18"/>
        <w:spacing w:before="1" w:line="440" w:lineRule="exact"/>
        <w:rPr>
          <w:rFonts w:ascii="Times New Roman" w:hAnsi="Times New Roman" w:cs="Times New Roman"/>
          <w:sz w:val="30"/>
        </w:rPr>
      </w:pPr>
    </w:p>
    <w:p w14:paraId="2F20D870">
      <w:pPr>
        <w:pStyle w:val="4"/>
        <w:tabs>
          <w:tab w:val="left" w:pos="5956"/>
        </w:tabs>
        <w:spacing w:before="1" w:line="440" w:lineRule="exact"/>
        <w:ind w:left="795"/>
        <w:rPr>
          <w:rFonts w:ascii="Times New Roman" w:hAnsi="Times New Roman" w:cs="Times New Roman"/>
        </w:rPr>
      </w:pPr>
      <w:r>
        <w:rPr>
          <w:rFonts w:ascii="Times New Roman" w:hAnsi="Times New Roman" w:cs="Times New Roman"/>
        </w:rPr>
        <w:t>被授权人（签字或盖章）：</w:t>
      </w:r>
      <w:r>
        <w:rPr>
          <w:rFonts w:ascii="Times New Roman" w:hAnsi="Times New Roman" w:cs="Times New Roman"/>
        </w:rPr>
        <w:tab/>
      </w:r>
    </w:p>
    <w:p w14:paraId="48C41C72">
      <w:pPr>
        <w:pStyle w:val="4"/>
        <w:tabs>
          <w:tab w:val="left" w:pos="5956"/>
        </w:tabs>
        <w:spacing w:before="1" w:line="440" w:lineRule="exact"/>
        <w:ind w:left="795"/>
        <w:rPr>
          <w:rFonts w:ascii="Times New Roman" w:hAnsi="Times New Roman" w:cs="Times New Roman"/>
        </w:rPr>
      </w:pPr>
      <w:r>
        <w:rPr>
          <w:rFonts w:ascii="Times New Roman" w:hAnsi="Times New Roman" w:cs="Times New Roman"/>
        </w:rPr>
        <w:t>法定代表人(签字或盖章)：</w:t>
      </w:r>
    </w:p>
    <w:p w14:paraId="396F7DCA">
      <w:pPr>
        <w:pStyle w:val="4"/>
        <w:tabs>
          <w:tab w:val="left" w:pos="5836"/>
        </w:tabs>
        <w:spacing w:line="440" w:lineRule="exact"/>
        <w:ind w:left="795"/>
        <w:rPr>
          <w:rFonts w:ascii="Times New Roman" w:hAnsi="Times New Roman" w:cs="Times New Roman"/>
        </w:rPr>
      </w:pPr>
      <w:r>
        <w:rPr>
          <w:rFonts w:ascii="Times New Roman" w:hAnsi="Times New Roman" w:cs="Times New Roman"/>
        </w:rPr>
        <w:t>职务：</w:t>
      </w:r>
      <w:r>
        <w:rPr>
          <w:rFonts w:ascii="Times New Roman" w:hAnsi="Times New Roman" w:cs="Times New Roman"/>
        </w:rPr>
        <w:tab/>
      </w:r>
    </w:p>
    <w:p w14:paraId="4FE38237">
      <w:pPr>
        <w:pStyle w:val="4"/>
        <w:tabs>
          <w:tab w:val="left" w:pos="5836"/>
        </w:tabs>
        <w:spacing w:line="440" w:lineRule="exact"/>
        <w:ind w:left="795"/>
        <w:rPr>
          <w:rFonts w:ascii="Times New Roman" w:hAnsi="Times New Roman" w:cs="Times New Roman"/>
        </w:rPr>
      </w:pPr>
      <w:r>
        <w:rPr>
          <w:rFonts w:ascii="Times New Roman" w:hAnsi="Times New Roman" w:cs="Times New Roman"/>
        </w:rPr>
        <w:t>职务：</w:t>
      </w:r>
    </w:p>
    <w:p w14:paraId="53D8BFD4">
      <w:pPr>
        <w:pStyle w:val="4"/>
        <w:spacing w:line="440" w:lineRule="exact"/>
        <w:ind w:left="793" w:firstLine="2"/>
        <w:rPr>
          <w:rFonts w:ascii="Times New Roman" w:hAnsi="Times New Roman" w:cs="Times New Roman"/>
        </w:rPr>
      </w:pPr>
      <w:r>
        <w:rPr>
          <w:rFonts w:ascii="Times New Roman" w:hAnsi="Times New Roman" w:cs="Times New Roman"/>
        </w:rPr>
        <w:t>被授权人身份证号码：</w:t>
      </w:r>
    </w:p>
    <w:p w14:paraId="66FB185D">
      <w:pPr>
        <w:pStyle w:val="4"/>
        <w:spacing w:line="440" w:lineRule="exact"/>
        <w:ind w:left="793" w:firstLine="2"/>
        <w:rPr>
          <w:rFonts w:ascii="Times New Roman" w:hAnsi="Times New Roman" w:cs="Times New Roman"/>
        </w:rPr>
      </w:pPr>
      <w:r>
        <w:rPr>
          <w:rFonts w:ascii="Times New Roman" w:hAnsi="Times New Roman" w:cs="Times New Roman"/>
        </w:rPr>
        <w:t xml:space="preserve"> 手机：</w:t>
      </w:r>
    </w:p>
    <w:p w14:paraId="62E26062">
      <w:pPr>
        <w:pStyle w:val="18"/>
        <w:spacing w:line="360" w:lineRule="auto"/>
        <w:rPr>
          <w:rFonts w:ascii="Times New Roman" w:hAnsi="Times New Roman" w:cs="Times New Roman"/>
          <w:sz w:val="24"/>
        </w:rPr>
      </w:pPr>
    </w:p>
    <w:p w14:paraId="06422D01">
      <w:pPr>
        <w:pStyle w:val="18"/>
        <w:spacing w:line="360" w:lineRule="auto"/>
        <w:rPr>
          <w:rFonts w:ascii="Times New Roman" w:hAnsi="Times New Roman" w:cs="Times New Roman"/>
          <w:sz w:val="24"/>
        </w:rPr>
      </w:pPr>
    </w:p>
    <w:p w14:paraId="0C9AECC8">
      <w:pPr>
        <w:pStyle w:val="18"/>
        <w:spacing w:before="6" w:line="360" w:lineRule="auto"/>
        <w:rPr>
          <w:rFonts w:ascii="Times New Roman" w:hAnsi="Times New Roman" w:cs="Times New Roman"/>
          <w:sz w:val="34"/>
        </w:rPr>
      </w:pPr>
    </w:p>
    <w:p w14:paraId="481C18CC">
      <w:pPr>
        <w:spacing w:before="1" w:line="360" w:lineRule="auto"/>
        <w:ind w:left="312"/>
        <w:rPr>
          <w:rFonts w:ascii="Times New Roman" w:hAnsi="Times New Roman" w:cs="Times New Roman"/>
          <w:b/>
          <w:sz w:val="24"/>
        </w:rPr>
      </w:pPr>
      <w:r>
        <w:rPr>
          <w:rFonts w:ascii="Times New Roman" w:hAnsi="Times New Roman" w:cs="Times New Roman"/>
          <w:b/>
          <w:sz w:val="24"/>
        </w:rPr>
        <w:t>投标人（公章）：</w:t>
      </w:r>
    </w:p>
    <w:p w14:paraId="58E890F8">
      <w:pPr>
        <w:tabs>
          <w:tab w:val="left" w:pos="1517"/>
          <w:tab w:val="left" w:pos="2242"/>
          <w:tab w:val="left" w:pos="2965"/>
        </w:tabs>
        <w:spacing w:line="360" w:lineRule="auto"/>
        <w:ind w:left="312"/>
        <w:rPr>
          <w:rFonts w:ascii="Times New Roman" w:hAnsi="Times New Roman" w:cs="Times New Roman"/>
          <w:b/>
          <w:sz w:val="24"/>
        </w:rPr>
      </w:pPr>
      <w:r>
        <w:rPr>
          <w:rFonts w:ascii="Times New Roman" w:hAnsi="Times New Roman" w:cs="Times New Roman"/>
          <w:b/>
          <w:sz w:val="24"/>
        </w:rPr>
        <w:t>日期：</w:t>
      </w:r>
      <w:r>
        <w:rPr>
          <w:rFonts w:ascii="Times New Roman" w:hAnsi="Times New Roman" w:cs="Times New Roman"/>
          <w:b/>
          <w:sz w:val="24"/>
        </w:rPr>
        <w:tab/>
      </w:r>
      <w:r>
        <w:rPr>
          <w:rFonts w:ascii="Times New Roman" w:hAnsi="Times New Roman" w:cs="Times New Roman"/>
          <w:b/>
          <w:sz w:val="24"/>
        </w:rPr>
        <w:t>年</w:t>
      </w:r>
      <w:r>
        <w:rPr>
          <w:rFonts w:ascii="Times New Roman" w:hAnsi="Times New Roman" w:cs="Times New Roman"/>
          <w:b/>
          <w:sz w:val="24"/>
        </w:rPr>
        <w:tab/>
      </w:r>
      <w:r>
        <w:rPr>
          <w:rFonts w:ascii="Times New Roman" w:hAnsi="Times New Roman" w:cs="Times New Roman"/>
          <w:b/>
          <w:sz w:val="24"/>
        </w:rPr>
        <w:t>月</w:t>
      </w:r>
      <w:r>
        <w:rPr>
          <w:rFonts w:ascii="Times New Roman" w:hAnsi="Times New Roman" w:cs="Times New Roman"/>
          <w:b/>
          <w:sz w:val="24"/>
        </w:rPr>
        <w:tab/>
      </w:r>
      <w:r>
        <w:rPr>
          <w:rFonts w:ascii="Times New Roman" w:hAnsi="Times New Roman" w:cs="Times New Roman"/>
          <w:b/>
          <w:sz w:val="24"/>
        </w:rPr>
        <w:t>日</w:t>
      </w:r>
    </w:p>
    <w:p w14:paraId="2D54F54C">
      <w:pPr>
        <w:tabs>
          <w:tab w:val="left" w:pos="1517"/>
          <w:tab w:val="left" w:pos="2242"/>
          <w:tab w:val="left" w:pos="2965"/>
        </w:tabs>
        <w:spacing w:line="360" w:lineRule="auto"/>
        <w:ind w:left="312"/>
        <w:rPr>
          <w:rFonts w:ascii="Times New Roman" w:hAnsi="Times New Roman" w:cs="Times New Roman"/>
          <w:b/>
          <w:sz w:val="24"/>
        </w:rPr>
      </w:pPr>
    </w:p>
    <w:p w14:paraId="1B93A97B">
      <w:pPr>
        <w:tabs>
          <w:tab w:val="left" w:pos="1517"/>
          <w:tab w:val="left" w:pos="2242"/>
          <w:tab w:val="left" w:pos="2965"/>
        </w:tabs>
        <w:spacing w:line="360" w:lineRule="auto"/>
        <w:ind w:left="312"/>
        <w:rPr>
          <w:rFonts w:ascii="Times New Roman" w:hAnsi="Times New Roman" w:cs="Times New Roman"/>
          <w:b/>
          <w:sz w:val="24"/>
        </w:rPr>
      </w:pPr>
    </w:p>
    <w:p w14:paraId="0DDE0AFE">
      <w:pPr>
        <w:tabs>
          <w:tab w:val="left" w:pos="1517"/>
          <w:tab w:val="left" w:pos="2242"/>
          <w:tab w:val="left" w:pos="2965"/>
        </w:tabs>
        <w:spacing w:line="360" w:lineRule="auto"/>
        <w:ind w:left="312"/>
        <w:rPr>
          <w:rFonts w:ascii="Times New Roman" w:hAnsi="Times New Roman" w:cs="Times New Roman"/>
          <w:b/>
          <w:sz w:val="24"/>
        </w:rPr>
      </w:pPr>
    </w:p>
    <w:p w14:paraId="5270A5BE">
      <w:pPr>
        <w:tabs>
          <w:tab w:val="left" w:pos="1517"/>
          <w:tab w:val="left" w:pos="2242"/>
          <w:tab w:val="left" w:pos="2965"/>
        </w:tabs>
        <w:spacing w:line="360" w:lineRule="auto"/>
        <w:ind w:left="312"/>
        <w:rPr>
          <w:rFonts w:ascii="Times New Roman" w:hAnsi="Times New Roman" w:cs="Times New Roman"/>
          <w:b/>
          <w:sz w:val="24"/>
        </w:rPr>
      </w:pPr>
    </w:p>
    <w:p w14:paraId="5F857F97">
      <w:pPr>
        <w:tabs>
          <w:tab w:val="left" w:pos="1517"/>
          <w:tab w:val="left" w:pos="2242"/>
          <w:tab w:val="left" w:pos="2965"/>
        </w:tabs>
        <w:spacing w:line="360" w:lineRule="auto"/>
        <w:ind w:left="312"/>
        <w:rPr>
          <w:rFonts w:ascii="Times New Roman" w:hAnsi="Times New Roman" w:cs="Times New Roman"/>
          <w:b/>
          <w:sz w:val="24"/>
        </w:rPr>
      </w:pPr>
    </w:p>
    <w:p w14:paraId="11C7B588">
      <w:pPr>
        <w:pStyle w:val="18"/>
        <w:spacing w:before="4" w:line="360" w:lineRule="auto"/>
        <w:rPr>
          <w:rFonts w:ascii="Times New Roman" w:hAnsi="Times New Roman" w:cs="Times New Roman"/>
          <w:b/>
          <w:sz w:val="2"/>
        </w:rPr>
      </w:pPr>
    </w:p>
    <w:p w14:paraId="3DADB4D6">
      <w:pPr>
        <w:pStyle w:val="18"/>
        <w:spacing w:before="4" w:line="360" w:lineRule="auto"/>
        <w:rPr>
          <w:rFonts w:ascii="Times New Roman" w:hAnsi="Times New Roman" w:cs="Times New Roman"/>
          <w:b/>
          <w:sz w:val="2"/>
        </w:rPr>
      </w:pPr>
    </w:p>
    <w:p w14:paraId="68D849F6">
      <w:pPr>
        <w:pStyle w:val="18"/>
        <w:spacing w:before="4" w:line="360" w:lineRule="auto"/>
        <w:rPr>
          <w:rFonts w:ascii="Times New Roman" w:hAnsi="Times New Roman" w:cs="Times New Roman"/>
          <w:b/>
          <w:sz w:val="2"/>
        </w:rPr>
      </w:pPr>
    </w:p>
    <w:p w14:paraId="269CEE94">
      <w:pPr>
        <w:pStyle w:val="18"/>
        <w:spacing w:before="4" w:line="360" w:lineRule="auto"/>
        <w:rPr>
          <w:rFonts w:ascii="Times New Roman" w:hAnsi="Times New Roman" w:cs="Times New Roman"/>
          <w:b/>
          <w:sz w:val="2"/>
        </w:rPr>
      </w:pPr>
    </w:p>
    <w:p w14:paraId="6F949D4F">
      <w:pPr>
        <w:pStyle w:val="18"/>
        <w:spacing w:before="4" w:line="360" w:lineRule="auto"/>
        <w:rPr>
          <w:rFonts w:ascii="Times New Roman" w:hAnsi="Times New Roman" w:cs="Times New Roman"/>
          <w:b/>
          <w:sz w:val="2"/>
        </w:rPr>
      </w:pPr>
    </w:p>
    <w:p w14:paraId="5DD99A87">
      <w:pPr>
        <w:pStyle w:val="18"/>
        <w:spacing w:before="4" w:line="360" w:lineRule="auto"/>
        <w:rPr>
          <w:rFonts w:ascii="Times New Roman" w:hAnsi="Times New Roman" w:cs="Times New Roman"/>
          <w:b/>
          <w:sz w:val="2"/>
        </w:rPr>
      </w:pPr>
    </w:p>
    <w:p w14:paraId="1312AF0A">
      <w:pPr>
        <w:pStyle w:val="18"/>
        <w:spacing w:line="360" w:lineRule="auto"/>
        <w:ind w:left="276"/>
        <w:rPr>
          <w:rFonts w:ascii="Times New Roman" w:hAnsi="Times New Roman" w:cs="Times New Roman"/>
          <w:sz w:val="2"/>
        </w:rPr>
      </w:pPr>
    </w:p>
    <w:p w14:paraId="18A0E931">
      <w:pPr>
        <w:pStyle w:val="3"/>
        <w:spacing w:before="29" w:line="360" w:lineRule="auto"/>
        <w:rPr>
          <w:rFonts w:ascii="Times New Roman" w:hAnsi="Times New Roman" w:eastAsia="仿宋" w:cs="Times New Roman"/>
        </w:rPr>
      </w:pPr>
      <w:bookmarkStart w:id="88" w:name="_Toc108100454"/>
      <w:r>
        <w:rPr>
          <w:rFonts w:ascii="Times New Roman" w:hAnsi="Times New Roman" w:eastAsia="仿宋" w:cs="Times New Roman"/>
        </w:rPr>
        <w:t>附件 4： 技术商务文件封面格式及目录</w:t>
      </w:r>
      <w:bookmarkEnd w:id="88"/>
    </w:p>
    <w:p w14:paraId="6325A1E9">
      <w:pPr>
        <w:pStyle w:val="18"/>
        <w:spacing w:before="2" w:line="360" w:lineRule="auto"/>
        <w:rPr>
          <w:rFonts w:ascii="Times New Roman" w:hAnsi="Times New Roman" w:cs="Times New Roman"/>
          <w:b/>
          <w:sz w:val="18"/>
        </w:rPr>
      </w:pPr>
    </w:p>
    <w:p w14:paraId="36C5EEF2">
      <w:pPr>
        <w:spacing w:before="58" w:line="360" w:lineRule="auto"/>
        <w:ind w:right="411"/>
        <w:jc w:val="right"/>
        <w:rPr>
          <w:rFonts w:ascii="Times New Roman" w:hAnsi="Times New Roman" w:cs="Times New Roman"/>
          <w:sz w:val="30"/>
        </w:rPr>
      </w:pPr>
      <w:r>
        <w:rPr>
          <w:rFonts w:ascii="Times New Roman" w:hAnsi="Times New Roman" w:cs="Times New Roman"/>
          <w:sz w:val="30"/>
        </w:rPr>
        <w:t>正本或副本</w:t>
      </w:r>
    </w:p>
    <w:p w14:paraId="737FDAA5">
      <w:pPr>
        <w:spacing w:before="28" w:line="360" w:lineRule="auto"/>
        <w:ind w:left="472" w:right="503"/>
        <w:jc w:val="center"/>
        <w:rPr>
          <w:rFonts w:ascii="Times New Roman" w:hAnsi="Times New Roman" w:cs="Times New Roman"/>
          <w:sz w:val="52"/>
        </w:rPr>
      </w:pPr>
      <w:r>
        <w:rPr>
          <w:rFonts w:ascii="Times New Roman" w:hAnsi="Times New Roman" w:cs="Times New Roman"/>
          <w:sz w:val="52"/>
        </w:rPr>
        <w:t>项目名称： ×××</w:t>
      </w:r>
    </w:p>
    <w:p w14:paraId="75500BD9">
      <w:pPr>
        <w:tabs>
          <w:tab w:val="left" w:pos="3245"/>
        </w:tabs>
        <w:spacing w:before="247" w:line="360" w:lineRule="auto"/>
        <w:ind w:left="4"/>
        <w:jc w:val="center"/>
        <w:rPr>
          <w:rFonts w:ascii="Times New Roman" w:hAnsi="Times New Roman" w:cs="Times New Roman"/>
          <w:sz w:val="36"/>
        </w:rPr>
      </w:pPr>
      <w:r>
        <w:rPr>
          <w:rFonts w:ascii="Times New Roman" w:hAnsi="Times New Roman" w:cs="Times New Roman"/>
          <w:sz w:val="36"/>
        </w:rPr>
        <w:t>项目编号：</w:t>
      </w:r>
      <w:r>
        <w:rPr>
          <w:rFonts w:ascii="Times New Roman" w:hAnsi="Times New Roman" w:cs="Times New Roman"/>
          <w:sz w:val="36"/>
        </w:rPr>
        <w:tab/>
      </w:r>
      <w:r>
        <w:rPr>
          <w:rFonts w:ascii="Times New Roman" w:hAnsi="Times New Roman" w:cs="Times New Roman"/>
          <w:sz w:val="36"/>
        </w:rPr>
        <w:t>××××</w:t>
      </w:r>
    </w:p>
    <w:p w14:paraId="4FBDD39D">
      <w:pPr>
        <w:tabs>
          <w:tab w:val="left" w:pos="3245"/>
        </w:tabs>
        <w:spacing w:before="247" w:line="360" w:lineRule="auto"/>
        <w:ind w:left="4"/>
        <w:jc w:val="center"/>
        <w:rPr>
          <w:rFonts w:ascii="Times New Roman" w:hAnsi="Times New Roman" w:cs="Times New Roman"/>
          <w:sz w:val="36"/>
        </w:rPr>
      </w:pPr>
    </w:p>
    <w:p w14:paraId="6F04B631">
      <w:pPr>
        <w:jc w:val="center"/>
        <w:rPr>
          <w:rFonts w:ascii="Times New Roman" w:hAnsi="Times New Roman" w:cs="Times New Roman"/>
          <w:b/>
          <w:sz w:val="72"/>
        </w:rPr>
      </w:pPr>
      <w:r>
        <w:rPr>
          <w:rFonts w:ascii="Times New Roman" w:hAnsi="Times New Roman" w:cs="Times New Roman"/>
          <w:b/>
          <w:sz w:val="72"/>
        </w:rPr>
        <w:t>技</w:t>
      </w:r>
    </w:p>
    <w:p w14:paraId="5CF322C3">
      <w:pPr>
        <w:jc w:val="center"/>
        <w:rPr>
          <w:rFonts w:ascii="Times New Roman" w:hAnsi="Times New Roman" w:cs="Times New Roman"/>
          <w:b/>
          <w:sz w:val="72"/>
        </w:rPr>
      </w:pPr>
      <w:r>
        <w:rPr>
          <w:rFonts w:ascii="Times New Roman" w:hAnsi="Times New Roman" w:cs="Times New Roman"/>
          <w:b/>
          <w:sz w:val="72"/>
        </w:rPr>
        <w:t>术</w:t>
      </w:r>
    </w:p>
    <w:p w14:paraId="6944A729">
      <w:pPr>
        <w:jc w:val="center"/>
        <w:rPr>
          <w:rFonts w:ascii="Times New Roman" w:hAnsi="Times New Roman" w:cs="Times New Roman"/>
          <w:b/>
          <w:sz w:val="72"/>
        </w:rPr>
      </w:pPr>
      <w:r>
        <w:rPr>
          <w:rFonts w:ascii="Times New Roman" w:hAnsi="Times New Roman" w:cs="Times New Roman"/>
          <w:b/>
          <w:sz w:val="72"/>
        </w:rPr>
        <w:t>商</w:t>
      </w:r>
    </w:p>
    <w:p w14:paraId="79E73870">
      <w:pPr>
        <w:jc w:val="center"/>
        <w:rPr>
          <w:rFonts w:ascii="Times New Roman" w:hAnsi="Times New Roman" w:cs="Times New Roman"/>
          <w:b/>
          <w:sz w:val="72"/>
        </w:rPr>
      </w:pPr>
      <w:r>
        <w:rPr>
          <w:rFonts w:ascii="Times New Roman" w:hAnsi="Times New Roman" w:cs="Times New Roman"/>
          <w:b/>
          <w:sz w:val="72"/>
        </w:rPr>
        <w:t>务</w:t>
      </w:r>
    </w:p>
    <w:p w14:paraId="73711AC3">
      <w:pPr>
        <w:jc w:val="center"/>
        <w:rPr>
          <w:rFonts w:ascii="Times New Roman" w:hAnsi="Times New Roman" w:cs="Times New Roman"/>
          <w:b/>
          <w:sz w:val="72"/>
        </w:rPr>
      </w:pPr>
      <w:r>
        <w:rPr>
          <w:rFonts w:ascii="Times New Roman" w:hAnsi="Times New Roman" w:cs="Times New Roman"/>
          <w:b/>
          <w:sz w:val="72"/>
        </w:rPr>
        <w:t>文</w:t>
      </w:r>
    </w:p>
    <w:p w14:paraId="7A6057AA">
      <w:pPr>
        <w:jc w:val="center"/>
        <w:rPr>
          <w:rFonts w:ascii="Times New Roman" w:hAnsi="Times New Roman" w:cs="Times New Roman"/>
          <w:b/>
          <w:sz w:val="72"/>
        </w:rPr>
      </w:pPr>
      <w:r>
        <w:rPr>
          <w:rFonts w:ascii="Times New Roman" w:hAnsi="Times New Roman" w:cs="Times New Roman"/>
          <w:b/>
          <w:sz w:val="72"/>
        </w:rPr>
        <w:t>件</w:t>
      </w:r>
    </w:p>
    <w:p w14:paraId="7D01E301">
      <w:pPr>
        <w:tabs>
          <w:tab w:val="left" w:pos="2113"/>
        </w:tabs>
        <w:spacing w:before="4" w:line="360" w:lineRule="auto"/>
        <w:ind w:left="1033"/>
        <w:rPr>
          <w:rFonts w:ascii="Times New Roman" w:hAnsi="Times New Roman" w:cs="Times New Roman"/>
          <w:sz w:val="36"/>
        </w:rPr>
      </w:pPr>
    </w:p>
    <w:p w14:paraId="51D8DBAD">
      <w:pPr>
        <w:tabs>
          <w:tab w:val="left" w:pos="2113"/>
        </w:tabs>
        <w:spacing w:before="4" w:line="360" w:lineRule="auto"/>
        <w:ind w:left="1033"/>
        <w:rPr>
          <w:rFonts w:ascii="Times New Roman" w:hAnsi="Times New Roman" w:cs="Times New Roman"/>
          <w:sz w:val="36"/>
        </w:rPr>
      </w:pPr>
      <w:r>
        <w:rPr>
          <w:rFonts w:ascii="Times New Roman" w:hAnsi="Times New Roman" w:cs="Times New Roman"/>
          <w:sz w:val="36"/>
        </w:rPr>
        <w:t>投标人全称（公章）：</w:t>
      </w:r>
    </w:p>
    <w:p w14:paraId="75A15365">
      <w:pPr>
        <w:tabs>
          <w:tab w:val="left" w:pos="2113"/>
        </w:tabs>
        <w:spacing w:before="4" w:line="360" w:lineRule="auto"/>
        <w:ind w:left="1033"/>
        <w:rPr>
          <w:rFonts w:ascii="Times New Roman" w:hAnsi="Times New Roman" w:cs="Times New Roman"/>
          <w:sz w:val="36"/>
        </w:rPr>
      </w:pPr>
      <w:r>
        <w:rPr>
          <w:rFonts w:ascii="Times New Roman" w:hAnsi="Times New Roman" w:cs="Times New Roman"/>
          <w:sz w:val="36"/>
        </w:rPr>
        <w:t xml:space="preserve"> 地</w:t>
      </w:r>
      <w:r>
        <w:rPr>
          <w:rFonts w:ascii="Times New Roman" w:hAnsi="Times New Roman" w:cs="Times New Roman"/>
          <w:sz w:val="36"/>
        </w:rPr>
        <w:tab/>
      </w:r>
      <w:r>
        <w:rPr>
          <w:rFonts w:ascii="Times New Roman" w:hAnsi="Times New Roman" w:cs="Times New Roman"/>
          <w:sz w:val="36"/>
        </w:rPr>
        <w:t>址：</w:t>
      </w:r>
    </w:p>
    <w:p w14:paraId="34B21124">
      <w:pPr>
        <w:tabs>
          <w:tab w:val="left" w:pos="2113"/>
        </w:tabs>
        <w:spacing w:before="4" w:line="360" w:lineRule="auto"/>
        <w:ind w:left="1033"/>
        <w:rPr>
          <w:rFonts w:ascii="Times New Roman" w:hAnsi="Times New Roman" w:cs="Times New Roman"/>
          <w:sz w:val="36"/>
        </w:rPr>
      </w:pPr>
      <w:r>
        <w:rPr>
          <w:rFonts w:ascii="Times New Roman" w:hAnsi="Times New Roman" w:cs="Times New Roman"/>
          <w:sz w:val="36"/>
        </w:rPr>
        <w:t>时</w:t>
      </w:r>
      <w:r>
        <w:rPr>
          <w:rFonts w:ascii="Times New Roman" w:hAnsi="Times New Roman" w:cs="Times New Roman"/>
          <w:sz w:val="36"/>
        </w:rPr>
        <w:tab/>
      </w:r>
      <w:r>
        <w:rPr>
          <w:rFonts w:ascii="Times New Roman" w:hAnsi="Times New Roman" w:cs="Times New Roman"/>
          <w:sz w:val="36"/>
        </w:rPr>
        <w:t>间：</w:t>
      </w:r>
    </w:p>
    <w:p w14:paraId="45F7A849">
      <w:pPr>
        <w:pStyle w:val="18"/>
        <w:spacing w:line="360" w:lineRule="auto"/>
        <w:rPr>
          <w:rFonts w:ascii="Times New Roman" w:hAnsi="Times New Roman" w:cs="Times New Roman"/>
          <w:sz w:val="28"/>
        </w:rPr>
      </w:pPr>
    </w:p>
    <w:p w14:paraId="3F050644">
      <w:pPr>
        <w:pStyle w:val="18"/>
        <w:spacing w:line="360" w:lineRule="auto"/>
        <w:rPr>
          <w:rFonts w:ascii="Times New Roman" w:hAnsi="Times New Roman" w:cs="Times New Roman"/>
          <w:sz w:val="28"/>
        </w:rPr>
      </w:pPr>
    </w:p>
    <w:p w14:paraId="32C61188">
      <w:pPr>
        <w:pStyle w:val="18"/>
        <w:spacing w:line="360" w:lineRule="auto"/>
        <w:rPr>
          <w:rFonts w:ascii="Times New Roman" w:hAnsi="Times New Roman" w:cs="Times New Roman"/>
          <w:sz w:val="28"/>
        </w:rPr>
      </w:pPr>
    </w:p>
    <w:p w14:paraId="4DD1925F">
      <w:pPr>
        <w:spacing w:before="50" w:line="360" w:lineRule="auto"/>
        <w:ind w:left="401" w:right="503"/>
        <w:jc w:val="center"/>
        <w:rPr>
          <w:rFonts w:ascii="Times New Roman" w:hAnsi="Times New Roman" w:cs="Times New Roman"/>
          <w:b/>
          <w:sz w:val="36"/>
        </w:rPr>
      </w:pPr>
      <w:r>
        <w:rPr>
          <w:rFonts w:ascii="Times New Roman" w:hAnsi="Times New Roman" w:cs="Times New Roman"/>
          <w:b/>
          <w:sz w:val="36"/>
        </w:rPr>
        <w:t>技术商务文件目录</w:t>
      </w:r>
    </w:p>
    <w:p w14:paraId="549C19A0">
      <w:pPr>
        <w:pStyle w:val="18"/>
        <w:spacing w:before="166" w:line="360" w:lineRule="auto"/>
        <w:ind w:left="405" w:right="503"/>
        <w:jc w:val="center"/>
        <w:rPr>
          <w:rFonts w:ascii="Times New Roman" w:hAnsi="Times New Roman" w:cs="Times New Roman"/>
        </w:rPr>
      </w:pPr>
      <w:r>
        <w:rPr>
          <w:rFonts w:ascii="Times New Roman" w:hAnsi="Times New Roman" w:cs="Times New Roman"/>
        </w:rPr>
        <w:t>（标注页码）</w:t>
      </w:r>
    </w:p>
    <w:p w14:paraId="5FF1F35D">
      <w:pPr>
        <w:spacing w:line="400" w:lineRule="exact"/>
        <w:ind w:firstLine="420" w:firstLineChars="200"/>
        <w:jc w:val="both"/>
        <w:rPr>
          <w:rFonts w:ascii="Times New Roman" w:hAnsi="Times New Roman" w:cs="Times New Roman"/>
          <w:kern w:val="2"/>
          <w:sz w:val="21"/>
          <w:szCs w:val="21"/>
          <w:lang w:val="en-US"/>
        </w:rPr>
      </w:pPr>
      <w:r>
        <w:rPr>
          <w:rFonts w:ascii="Times New Roman" w:hAnsi="Times New Roman" w:cs="Times New Roman"/>
          <w:kern w:val="2"/>
          <w:sz w:val="21"/>
          <w:szCs w:val="21"/>
          <w:lang w:val="en-US"/>
        </w:rPr>
        <w:t>1.投标人基本情况表（附件5）；</w:t>
      </w:r>
    </w:p>
    <w:p w14:paraId="06D504D3">
      <w:pPr>
        <w:spacing w:line="400" w:lineRule="exact"/>
        <w:ind w:firstLine="408" w:firstLineChars="200"/>
        <w:jc w:val="both"/>
        <w:rPr>
          <w:rFonts w:ascii="Times New Roman" w:hAnsi="Times New Roman" w:cs="Times New Roman"/>
          <w:color w:val="000000"/>
          <w:kern w:val="2"/>
          <w:sz w:val="21"/>
          <w:szCs w:val="21"/>
          <w:lang w:val="en-US"/>
        </w:rPr>
      </w:pPr>
      <w:r>
        <w:rPr>
          <w:rFonts w:ascii="Times New Roman" w:hAnsi="Times New Roman" w:cs="Times New Roman"/>
          <w:spacing w:val="-3"/>
          <w:sz w:val="21"/>
        </w:rPr>
        <w:t>2</w:t>
      </w:r>
      <w:r>
        <w:rPr>
          <w:rFonts w:hint="eastAsia" w:ascii="Times New Roman" w:hAnsi="Times New Roman" w:cs="Times New Roman"/>
          <w:spacing w:val="-3"/>
          <w:sz w:val="21"/>
        </w:rPr>
        <w:t>.</w:t>
      </w:r>
      <w:r>
        <w:rPr>
          <w:rFonts w:ascii="Times New Roman" w:hAnsi="Times New Roman" w:cs="Times New Roman"/>
          <w:spacing w:val="-3"/>
          <w:sz w:val="21"/>
        </w:rPr>
        <w:t>商务响应表</w:t>
      </w:r>
      <w:r>
        <w:rPr>
          <w:rFonts w:ascii="Times New Roman" w:hAnsi="Times New Roman" w:cs="Times New Roman"/>
          <w:sz w:val="21"/>
        </w:rPr>
        <w:t>（</w:t>
      </w:r>
      <w:r>
        <w:rPr>
          <w:rFonts w:ascii="Times New Roman" w:hAnsi="Times New Roman" w:cs="Times New Roman"/>
          <w:spacing w:val="-15"/>
          <w:sz w:val="21"/>
        </w:rPr>
        <w:t xml:space="preserve">附件 </w:t>
      </w:r>
      <w:r>
        <w:rPr>
          <w:rFonts w:hint="eastAsia" w:ascii="Times New Roman" w:hAnsi="Times New Roman" w:cs="Times New Roman"/>
          <w:spacing w:val="-3"/>
          <w:sz w:val="21"/>
        </w:rPr>
        <w:t>6</w:t>
      </w:r>
      <w:r>
        <w:rPr>
          <w:rFonts w:ascii="Times New Roman" w:hAnsi="Times New Roman" w:cs="Times New Roman"/>
          <w:spacing w:val="-3"/>
          <w:sz w:val="21"/>
        </w:rPr>
        <w:t>）</w:t>
      </w:r>
    </w:p>
    <w:p w14:paraId="563FB8A7">
      <w:pPr>
        <w:spacing w:line="400" w:lineRule="exact"/>
        <w:ind w:firstLine="420" w:firstLineChars="200"/>
        <w:jc w:val="both"/>
        <w:rPr>
          <w:rFonts w:ascii="Times New Roman" w:hAnsi="Times New Roman" w:cs="Times New Roman"/>
          <w:kern w:val="2"/>
          <w:sz w:val="21"/>
          <w:szCs w:val="21"/>
          <w:lang w:val="en-US"/>
        </w:rPr>
      </w:pPr>
      <w:r>
        <w:rPr>
          <w:rFonts w:hint="eastAsia" w:ascii="Times New Roman" w:hAnsi="Times New Roman" w:cs="Times New Roman"/>
          <w:kern w:val="2"/>
          <w:sz w:val="21"/>
          <w:szCs w:val="21"/>
          <w:lang w:val="en-US"/>
        </w:rPr>
        <w:t>3.</w:t>
      </w:r>
      <w:r>
        <w:rPr>
          <w:rFonts w:ascii="Times New Roman" w:hAnsi="Times New Roman" w:cs="Times New Roman"/>
          <w:spacing w:val="-3"/>
          <w:sz w:val="21"/>
        </w:rPr>
        <w:t>各类资质证书、荣誉证书、认证证书等复印件（盖单位公章</w:t>
      </w:r>
      <w:r>
        <w:rPr>
          <w:rFonts w:ascii="Times New Roman" w:hAnsi="Times New Roman" w:cs="Times New Roman"/>
          <w:sz w:val="21"/>
        </w:rPr>
        <w:t>）</w:t>
      </w:r>
      <w:r>
        <w:rPr>
          <w:rFonts w:hint="eastAsia" w:ascii="Times New Roman" w:hAnsi="Times New Roman" w:cs="Times New Roman"/>
          <w:sz w:val="21"/>
        </w:rPr>
        <w:t>；</w:t>
      </w:r>
    </w:p>
    <w:p w14:paraId="70E4D8FB">
      <w:pPr>
        <w:spacing w:line="400" w:lineRule="exact"/>
        <w:ind w:firstLine="408" w:firstLineChars="200"/>
        <w:jc w:val="both"/>
        <w:rPr>
          <w:rFonts w:ascii="Times New Roman" w:hAnsi="Times New Roman" w:cs="Times New Roman"/>
          <w:kern w:val="2"/>
          <w:sz w:val="21"/>
          <w:szCs w:val="21"/>
          <w:lang w:val="en-US"/>
        </w:rPr>
      </w:pPr>
      <w:r>
        <w:rPr>
          <w:rFonts w:hint="eastAsia" w:ascii="Times New Roman" w:hAnsi="Times New Roman" w:cs="Times New Roman"/>
          <w:spacing w:val="-3"/>
          <w:sz w:val="21"/>
          <w:lang w:val="en-US"/>
        </w:rPr>
        <w:t>4.</w:t>
      </w:r>
      <w:r>
        <w:rPr>
          <w:rFonts w:hint="eastAsia" w:cs="Times New Roman"/>
          <w:color w:val="000000"/>
          <w:sz w:val="21"/>
          <w:szCs w:val="21"/>
        </w:rPr>
        <w:t>技术方案及组织措施</w:t>
      </w:r>
      <w:r>
        <w:rPr>
          <w:rFonts w:hint="eastAsia" w:ascii="Times New Roman" w:hAnsi="Times New Roman" w:cs="Times New Roman"/>
          <w:kern w:val="2"/>
          <w:sz w:val="21"/>
          <w:szCs w:val="21"/>
          <w:lang w:val="en-US"/>
        </w:rPr>
        <w:t>；</w:t>
      </w:r>
    </w:p>
    <w:p w14:paraId="5871BF97">
      <w:pPr>
        <w:spacing w:line="400" w:lineRule="exact"/>
        <w:ind w:firstLine="408" w:firstLineChars="200"/>
        <w:jc w:val="both"/>
        <w:rPr>
          <w:rFonts w:ascii="Times New Roman" w:hAnsi="Times New Roman" w:cs="Times New Roman"/>
          <w:spacing w:val="-3"/>
          <w:sz w:val="21"/>
        </w:rPr>
      </w:pPr>
      <w:r>
        <w:rPr>
          <w:rFonts w:hint="eastAsia" w:ascii="Times New Roman" w:hAnsi="Times New Roman" w:cs="Times New Roman"/>
          <w:spacing w:val="-3"/>
          <w:sz w:val="21"/>
        </w:rPr>
        <w:t>5.</w:t>
      </w:r>
      <w:r>
        <w:rPr>
          <w:rFonts w:ascii="Times New Roman" w:hAnsi="Times New Roman" w:cs="Times New Roman"/>
          <w:kern w:val="2"/>
          <w:sz w:val="21"/>
          <w:szCs w:val="21"/>
          <w:lang w:val="en-US"/>
        </w:rPr>
        <w:t>同类项目业绩证明材料复印件；</w:t>
      </w:r>
    </w:p>
    <w:p w14:paraId="3B6BDE4D">
      <w:pPr>
        <w:spacing w:line="400" w:lineRule="exact"/>
        <w:ind w:firstLine="408" w:firstLineChars="200"/>
        <w:jc w:val="both"/>
        <w:rPr>
          <w:rFonts w:ascii="Times New Roman" w:hAnsi="Times New Roman" w:cs="Times New Roman"/>
          <w:spacing w:val="-3"/>
          <w:sz w:val="21"/>
        </w:rPr>
      </w:pPr>
      <w:r>
        <w:rPr>
          <w:rFonts w:hint="eastAsia" w:ascii="Times New Roman" w:hAnsi="Times New Roman" w:cs="Times New Roman"/>
          <w:spacing w:val="-3"/>
          <w:sz w:val="21"/>
        </w:rPr>
        <w:t>6.</w:t>
      </w:r>
      <w:r>
        <w:rPr>
          <w:rFonts w:ascii="Times New Roman" w:hAnsi="Times New Roman" w:cs="Times New Roman"/>
          <w:color w:val="000000"/>
          <w:kern w:val="2"/>
          <w:sz w:val="21"/>
          <w:szCs w:val="21"/>
          <w:lang w:val="en-US"/>
        </w:rPr>
        <w:t>服务承诺（附件</w:t>
      </w:r>
      <w:r>
        <w:rPr>
          <w:rFonts w:hint="eastAsia" w:ascii="Times New Roman" w:hAnsi="Times New Roman" w:cs="Times New Roman"/>
          <w:color w:val="000000"/>
          <w:kern w:val="2"/>
          <w:sz w:val="21"/>
          <w:szCs w:val="21"/>
          <w:lang w:val="en-US"/>
        </w:rPr>
        <w:t>8</w:t>
      </w:r>
      <w:r>
        <w:rPr>
          <w:rFonts w:ascii="Times New Roman" w:hAnsi="Times New Roman" w:cs="Times New Roman"/>
          <w:color w:val="000000"/>
          <w:kern w:val="2"/>
          <w:sz w:val="21"/>
          <w:szCs w:val="21"/>
          <w:lang w:val="en-US"/>
        </w:rPr>
        <w:t>） ；</w:t>
      </w:r>
    </w:p>
    <w:p w14:paraId="310BEC47">
      <w:pPr>
        <w:spacing w:line="400" w:lineRule="exact"/>
        <w:ind w:firstLine="408" w:firstLineChars="200"/>
        <w:jc w:val="both"/>
        <w:rPr>
          <w:rFonts w:ascii="Times New Roman" w:hAnsi="Times New Roman" w:cs="Times New Roman"/>
          <w:sz w:val="21"/>
        </w:rPr>
      </w:pPr>
      <w:r>
        <w:rPr>
          <w:rFonts w:hint="eastAsia" w:ascii="Times New Roman" w:hAnsi="Times New Roman" w:cs="Times New Roman"/>
          <w:spacing w:val="-3"/>
          <w:sz w:val="21"/>
        </w:rPr>
        <w:t>7.</w:t>
      </w:r>
      <w:r>
        <w:rPr>
          <w:rFonts w:ascii="Times New Roman" w:hAnsi="Times New Roman" w:cs="Times New Roman"/>
          <w:color w:val="000000"/>
          <w:kern w:val="2"/>
          <w:sz w:val="21"/>
          <w:szCs w:val="21"/>
          <w:lang w:val="en-US"/>
        </w:rPr>
        <w:t>招标文件需要的其他资料及投标人认为需要提供的其他内容。</w:t>
      </w:r>
    </w:p>
    <w:p w14:paraId="1B041187">
      <w:pPr>
        <w:pStyle w:val="61"/>
        <w:tabs>
          <w:tab w:val="left" w:pos="998"/>
        </w:tabs>
        <w:spacing w:line="360" w:lineRule="auto"/>
        <w:ind w:hanging="312"/>
        <w:rPr>
          <w:rFonts w:ascii="Times New Roman" w:hAnsi="Times New Roman" w:cs="Times New Roman"/>
          <w:spacing w:val="-3"/>
          <w:sz w:val="21"/>
        </w:rPr>
      </w:pPr>
    </w:p>
    <w:p w14:paraId="596A8310">
      <w:pPr>
        <w:pStyle w:val="61"/>
        <w:tabs>
          <w:tab w:val="left" w:pos="998"/>
        </w:tabs>
        <w:spacing w:line="360" w:lineRule="auto"/>
        <w:ind w:hanging="312"/>
        <w:rPr>
          <w:rFonts w:ascii="Times New Roman" w:hAnsi="Times New Roman" w:cs="Times New Roman"/>
          <w:spacing w:val="-3"/>
          <w:sz w:val="21"/>
        </w:rPr>
      </w:pPr>
    </w:p>
    <w:p w14:paraId="0A2245AE">
      <w:pPr>
        <w:pStyle w:val="61"/>
        <w:tabs>
          <w:tab w:val="left" w:pos="998"/>
        </w:tabs>
        <w:spacing w:line="360" w:lineRule="auto"/>
        <w:ind w:hanging="312"/>
        <w:rPr>
          <w:rFonts w:ascii="Times New Roman" w:hAnsi="Times New Roman" w:cs="Times New Roman"/>
          <w:spacing w:val="-3"/>
          <w:sz w:val="21"/>
        </w:rPr>
      </w:pPr>
    </w:p>
    <w:p w14:paraId="3DD1BA87">
      <w:pPr>
        <w:pStyle w:val="61"/>
        <w:tabs>
          <w:tab w:val="left" w:pos="998"/>
        </w:tabs>
        <w:spacing w:line="360" w:lineRule="auto"/>
        <w:ind w:hanging="312"/>
        <w:rPr>
          <w:rFonts w:ascii="Times New Roman" w:hAnsi="Times New Roman" w:cs="Times New Roman"/>
          <w:spacing w:val="-3"/>
          <w:sz w:val="21"/>
        </w:rPr>
      </w:pPr>
    </w:p>
    <w:p w14:paraId="15333E84">
      <w:pPr>
        <w:pStyle w:val="61"/>
        <w:tabs>
          <w:tab w:val="left" w:pos="998"/>
        </w:tabs>
        <w:spacing w:line="360" w:lineRule="auto"/>
        <w:ind w:hanging="312"/>
        <w:rPr>
          <w:rFonts w:ascii="Times New Roman" w:hAnsi="Times New Roman" w:cs="Times New Roman"/>
          <w:spacing w:val="-3"/>
          <w:sz w:val="21"/>
        </w:rPr>
      </w:pPr>
    </w:p>
    <w:p w14:paraId="083430EA">
      <w:pPr>
        <w:pStyle w:val="61"/>
        <w:tabs>
          <w:tab w:val="left" w:pos="998"/>
        </w:tabs>
        <w:spacing w:line="360" w:lineRule="auto"/>
        <w:ind w:hanging="312"/>
        <w:rPr>
          <w:rFonts w:ascii="Times New Roman" w:hAnsi="Times New Roman" w:cs="Times New Roman"/>
          <w:spacing w:val="-3"/>
          <w:sz w:val="21"/>
        </w:rPr>
      </w:pPr>
    </w:p>
    <w:p w14:paraId="605FF06D">
      <w:pPr>
        <w:pStyle w:val="61"/>
        <w:tabs>
          <w:tab w:val="left" w:pos="998"/>
        </w:tabs>
        <w:spacing w:line="360" w:lineRule="auto"/>
        <w:ind w:hanging="312"/>
        <w:rPr>
          <w:rFonts w:ascii="Times New Roman" w:hAnsi="Times New Roman" w:cs="Times New Roman"/>
          <w:spacing w:val="-3"/>
          <w:sz w:val="21"/>
        </w:rPr>
      </w:pPr>
    </w:p>
    <w:p w14:paraId="5727DE4F">
      <w:pPr>
        <w:pStyle w:val="61"/>
        <w:tabs>
          <w:tab w:val="left" w:pos="998"/>
        </w:tabs>
        <w:spacing w:line="360" w:lineRule="auto"/>
        <w:ind w:hanging="312"/>
        <w:rPr>
          <w:rFonts w:ascii="Times New Roman" w:hAnsi="Times New Roman" w:cs="Times New Roman"/>
          <w:spacing w:val="-3"/>
          <w:sz w:val="21"/>
        </w:rPr>
      </w:pPr>
    </w:p>
    <w:p w14:paraId="3512A766">
      <w:pPr>
        <w:pStyle w:val="61"/>
        <w:tabs>
          <w:tab w:val="left" w:pos="998"/>
        </w:tabs>
        <w:spacing w:line="360" w:lineRule="auto"/>
        <w:ind w:hanging="312"/>
        <w:rPr>
          <w:rFonts w:ascii="Times New Roman" w:hAnsi="Times New Roman" w:cs="Times New Roman"/>
          <w:spacing w:val="-3"/>
          <w:sz w:val="21"/>
        </w:rPr>
      </w:pPr>
    </w:p>
    <w:p w14:paraId="4024AA2D">
      <w:pPr>
        <w:pStyle w:val="61"/>
        <w:tabs>
          <w:tab w:val="left" w:pos="998"/>
        </w:tabs>
        <w:spacing w:line="360" w:lineRule="auto"/>
        <w:ind w:hanging="312"/>
        <w:rPr>
          <w:rFonts w:ascii="Times New Roman" w:hAnsi="Times New Roman" w:cs="Times New Roman"/>
          <w:spacing w:val="-3"/>
          <w:sz w:val="21"/>
        </w:rPr>
      </w:pPr>
    </w:p>
    <w:p w14:paraId="495FB44D">
      <w:pPr>
        <w:pStyle w:val="61"/>
        <w:tabs>
          <w:tab w:val="left" w:pos="998"/>
        </w:tabs>
        <w:spacing w:line="360" w:lineRule="auto"/>
        <w:ind w:hanging="312"/>
        <w:rPr>
          <w:rFonts w:ascii="Times New Roman" w:hAnsi="Times New Roman" w:cs="Times New Roman"/>
          <w:spacing w:val="-3"/>
          <w:sz w:val="21"/>
        </w:rPr>
      </w:pPr>
    </w:p>
    <w:p w14:paraId="78B1044D">
      <w:pPr>
        <w:pStyle w:val="61"/>
        <w:tabs>
          <w:tab w:val="left" w:pos="998"/>
        </w:tabs>
        <w:spacing w:line="360" w:lineRule="auto"/>
        <w:ind w:hanging="312"/>
        <w:rPr>
          <w:rFonts w:ascii="Times New Roman" w:hAnsi="Times New Roman" w:cs="Times New Roman"/>
          <w:spacing w:val="-3"/>
          <w:sz w:val="21"/>
        </w:rPr>
      </w:pPr>
    </w:p>
    <w:p w14:paraId="3EEAB5A9">
      <w:pPr>
        <w:pStyle w:val="61"/>
        <w:tabs>
          <w:tab w:val="left" w:pos="998"/>
        </w:tabs>
        <w:spacing w:line="360" w:lineRule="auto"/>
        <w:ind w:hanging="312"/>
        <w:rPr>
          <w:rFonts w:ascii="Times New Roman" w:hAnsi="Times New Roman" w:cs="Times New Roman"/>
          <w:spacing w:val="-3"/>
          <w:sz w:val="21"/>
        </w:rPr>
      </w:pPr>
    </w:p>
    <w:p w14:paraId="7A91C527">
      <w:pPr>
        <w:pStyle w:val="61"/>
        <w:tabs>
          <w:tab w:val="left" w:pos="998"/>
        </w:tabs>
        <w:spacing w:line="360" w:lineRule="auto"/>
        <w:ind w:hanging="312"/>
        <w:rPr>
          <w:rFonts w:ascii="Times New Roman" w:hAnsi="Times New Roman" w:cs="Times New Roman"/>
          <w:spacing w:val="-3"/>
          <w:sz w:val="21"/>
        </w:rPr>
      </w:pPr>
    </w:p>
    <w:p w14:paraId="65647916">
      <w:pPr>
        <w:pStyle w:val="61"/>
        <w:tabs>
          <w:tab w:val="left" w:pos="998"/>
        </w:tabs>
        <w:spacing w:line="360" w:lineRule="auto"/>
        <w:ind w:hanging="312"/>
        <w:rPr>
          <w:rFonts w:ascii="Times New Roman" w:hAnsi="Times New Roman" w:cs="Times New Roman"/>
          <w:spacing w:val="-3"/>
          <w:sz w:val="21"/>
        </w:rPr>
      </w:pPr>
    </w:p>
    <w:p w14:paraId="0837F0DE">
      <w:pPr>
        <w:pStyle w:val="61"/>
        <w:tabs>
          <w:tab w:val="left" w:pos="998"/>
        </w:tabs>
        <w:spacing w:line="360" w:lineRule="auto"/>
        <w:ind w:hanging="312"/>
        <w:rPr>
          <w:rFonts w:ascii="Times New Roman" w:hAnsi="Times New Roman" w:cs="Times New Roman"/>
          <w:spacing w:val="-3"/>
          <w:sz w:val="21"/>
        </w:rPr>
      </w:pPr>
    </w:p>
    <w:p w14:paraId="49F14278">
      <w:pPr>
        <w:pStyle w:val="61"/>
        <w:tabs>
          <w:tab w:val="left" w:pos="998"/>
        </w:tabs>
        <w:spacing w:line="360" w:lineRule="auto"/>
        <w:ind w:hanging="312"/>
        <w:rPr>
          <w:rFonts w:ascii="Times New Roman" w:hAnsi="Times New Roman" w:cs="Times New Roman"/>
          <w:spacing w:val="-3"/>
          <w:sz w:val="21"/>
        </w:rPr>
      </w:pPr>
    </w:p>
    <w:p w14:paraId="7B7B85CF">
      <w:pPr>
        <w:pStyle w:val="61"/>
        <w:tabs>
          <w:tab w:val="left" w:pos="998"/>
        </w:tabs>
        <w:spacing w:line="360" w:lineRule="auto"/>
        <w:ind w:hanging="312"/>
        <w:rPr>
          <w:rFonts w:ascii="Times New Roman" w:hAnsi="Times New Roman" w:cs="Times New Roman"/>
          <w:spacing w:val="-3"/>
          <w:sz w:val="21"/>
        </w:rPr>
      </w:pPr>
    </w:p>
    <w:p w14:paraId="392E1A86">
      <w:pPr>
        <w:pStyle w:val="61"/>
        <w:tabs>
          <w:tab w:val="left" w:pos="998"/>
        </w:tabs>
        <w:spacing w:line="360" w:lineRule="auto"/>
        <w:ind w:hanging="312"/>
        <w:rPr>
          <w:rFonts w:ascii="Times New Roman" w:hAnsi="Times New Roman" w:cs="Times New Roman"/>
          <w:spacing w:val="-3"/>
          <w:sz w:val="21"/>
        </w:rPr>
      </w:pPr>
    </w:p>
    <w:p w14:paraId="61DAFEC6">
      <w:pPr>
        <w:pStyle w:val="61"/>
        <w:tabs>
          <w:tab w:val="left" w:pos="998"/>
        </w:tabs>
        <w:spacing w:line="360" w:lineRule="auto"/>
        <w:ind w:hanging="312"/>
        <w:rPr>
          <w:rFonts w:ascii="Times New Roman" w:hAnsi="Times New Roman" w:cs="Times New Roman"/>
          <w:sz w:val="21"/>
        </w:rPr>
      </w:pPr>
    </w:p>
    <w:p w14:paraId="73F6F3EA">
      <w:pPr>
        <w:pStyle w:val="3"/>
        <w:spacing w:before="67" w:line="360" w:lineRule="auto"/>
        <w:rPr>
          <w:rFonts w:ascii="Times New Roman" w:hAnsi="Times New Roman" w:eastAsia="仿宋" w:cs="Times New Roman"/>
        </w:rPr>
      </w:pPr>
      <w:bookmarkStart w:id="89" w:name="_Toc108100455"/>
      <w:r>
        <w:rPr>
          <w:rFonts w:ascii="Times New Roman" w:hAnsi="Times New Roman" w:eastAsia="仿宋" w:cs="Times New Roman"/>
          <w:spacing w:val="-21"/>
        </w:rPr>
        <w:t xml:space="preserve">附件 </w:t>
      </w:r>
      <w:r>
        <w:rPr>
          <w:rFonts w:ascii="Times New Roman" w:hAnsi="Times New Roman" w:eastAsia="仿宋" w:cs="Times New Roman"/>
        </w:rPr>
        <w:t>5</w:t>
      </w:r>
      <w:r>
        <w:rPr>
          <w:rFonts w:ascii="Times New Roman" w:hAnsi="Times New Roman" w:eastAsia="仿宋" w:cs="Times New Roman"/>
          <w:spacing w:val="-1"/>
        </w:rPr>
        <w:t>： 投标人基本情况表</w:t>
      </w:r>
      <w:bookmarkEnd w:id="89"/>
    </w:p>
    <w:p w14:paraId="309FEC60">
      <w:pPr>
        <w:widowControl/>
        <w:spacing w:line="400" w:lineRule="exact"/>
        <w:jc w:val="center"/>
        <w:rPr>
          <w:rFonts w:ascii="Times New Roman" w:hAnsi="Times New Roman" w:cs="Times New Roman"/>
          <w:b/>
          <w:kern w:val="2"/>
          <w:sz w:val="36"/>
          <w:szCs w:val="36"/>
          <w:lang w:val="en-US"/>
        </w:rPr>
      </w:pPr>
      <w:r>
        <w:rPr>
          <w:rFonts w:ascii="Times New Roman" w:hAnsi="Times New Roman" w:cs="Times New Roman"/>
          <w:b/>
          <w:kern w:val="2"/>
          <w:sz w:val="36"/>
          <w:szCs w:val="36"/>
          <w:lang w:val="en-US"/>
        </w:rPr>
        <w:t>投标人基本情况表</w:t>
      </w:r>
    </w:p>
    <w:tbl>
      <w:tblPr>
        <w:tblStyle w:val="50"/>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3FAC8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D21EB8D">
            <w:pPr>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0027441">
            <w:pPr>
              <w:spacing w:line="240" w:lineRule="exact"/>
              <w:jc w:val="both"/>
              <w:rPr>
                <w:rFonts w:ascii="Times New Roman" w:hAnsi="Times New Roman" w:cs="Times New Roman"/>
                <w:kern w:val="2"/>
                <w:sz w:val="21"/>
                <w:szCs w:val="21"/>
                <w:lang w:val="en-US"/>
              </w:rPr>
            </w:pPr>
          </w:p>
        </w:tc>
      </w:tr>
      <w:tr w14:paraId="54265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46938831">
            <w:pPr>
              <w:spacing w:line="320" w:lineRule="exact"/>
              <w:ind w:left="-43" w:leftChars="-51" w:right="-112" w:rightChars="-51" w:hanging="69" w:hangingChars="33"/>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70C56802">
            <w:pPr>
              <w:spacing w:line="240" w:lineRule="exact"/>
              <w:jc w:val="center"/>
              <w:rPr>
                <w:rFonts w:ascii="Times New Roman" w:hAnsi="Times New Roman" w:cs="Times New Roman"/>
                <w:bCs/>
                <w:kern w:val="2"/>
                <w:sz w:val="21"/>
                <w:szCs w:val="21"/>
                <w:lang w:val="en-US"/>
              </w:rPr>
            </w:pPr>
          </w:p>
        </w:tc>
        <w:tc>
          <w:tcPr>
            <w:tcW w:w="1423" w:type="dxa"/>
            <w:tcBorders>
              <w:top w:val="single" w:color="auto" w:sz="4" w:space="0"/>
              <w:left w:val="single" w:color="auto" w:sz="4" w:space="0"/>
              <w:bottom w:val="single" w:color="auto" w:sz="4" w:space="0"/>
              <w:right w:val="single" w:color="auto" w:sz="4" w:space="0"/>
            </w:tcBorders>
            <w:vAlign w:val="center"/>
          </w:tcPr>
          <w:p w14:paraId="503514DE">
            <w:pPr>
              <w:spacing w:line="320" w:lineRule="exact"/>
              <w:ind w:left="-43" w:leftChars="-51" w:right="-112" w:rightChars="-51" w:hanging="69" w:hangingChars="33"/>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1524C071">
            <w:pPr>
              <w:spacing w:line="240" w:lineRule="exact"/>
              <w:jc w:val="center"/>
              <w:rPr>
                <w:rFonts w:ascii="Times New Roman" w:hAnsi="Times New Roman" w:cs="Times New Roman"/>
                <w:bCs/>
                <w:kern w:val="2"/>
                <w:sz w:val="21"/>
                <w:szCs w:val="21"/>
                <w:lang w:val="en-US"/>
              </w:rPr>
            </w:pPr>
          </w:p>
        </w:tc>
        <w:tc>
          <w:tcPr>
            <w:tcW w:w="1533" w:type="dxa"/>
            <w:tcBorders>
              <w:top w:val="single" w:color="auto" w:sz="4" w:space="0"/>
              <w:left w:val="single" w:color="auto" w:sz="4" w:space="0"/>
              <w:bottom w:val="single" w:color="auto" w:sz="4" w:space="0"/>
              <w:right w:val="single" w:color="auto" w:sz="4" w:space="0"/>
            </w:tcBorders>
            <w:vAlign w:val="center"/>
          </w:tcPr>
          <w:p w14:paraId="27724A53">
            <w:pPr>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5A3FDB26">
            <w:pPr>
              <w:spacing w:line="240" w:lineRule="exact"/>
              <w:jc w:val="both"/>
              <w:rPr>
                <w:rFonts w:ascii="Times New Roman" w:hAnsi="Times New Roman" w:cs="Times New Roman"/>
                <w:bCs/>
                <w:kern w:val="2"/>
                <w:sz w:val="21"/>
                <w:szCs w:val="21"/>
                <w:lang w:val="en-US"/>
              </w:rPr>
            </w:pPr>
          </w:p>
        </w:tc>
      </w:tr>
      <w:tr w14:paraId="51936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56D1879">
            <w:pPr>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7AF7EB22">
            <w:pPr>
              <w:spacing w:line="240" w:lineRule="exact"/>
              <w:jc w:val="center"/>
              <w:rPr>
                <w:rFonts w:ascii="Times New Roman" w:hAnsi="Times New Roman" w:cs="Times New Roman"/>
                <w:bCs/>
                <w:kern w:val="2"/>
                <w:sz w:val="21"/>
                <w:szCs w:val="21"/>
                <w:lang w:val="en-US"/>
              </w:rPr>
            </w:pPr>
          </w:p>
        </w:tc>
        <w:tc>
          <w:tcPr>
            <w:tcW w:w="1423" w:type="dxa"/>
            <w:tcBorders>
              <w:top w:val="single" w:color="auto" w:sz="4" w:space="0"/>
              <w:left w:val="single" w:color="auto" w:sz="4" w:space="0"/>
              <w:bottom w:val="single" w:color="auto" w:sz="4" w:space="0"/>
              <w:right w:val="single" w:color="auto" w:sz="4" w:space="0"/>
            </w:tcBorders>
            <w:vAlign w:val="center"/>
          </w:tcPr>
          <w:p w14:paraId="57C5803E">
            <w:pPr>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003ECDB8">
            <w:pPr>
              <w:spacing w:line="240" w:lineRule="exact"/>
              <w:ind w:right="-89"/>
              <w:jc w:val="center"/>
              <w:rPr>
                <w:rFonts w:ascii="Times New Roman" w:hAnsi="Times New Roman" w:cs="Times New Roman"/>
                <w:bCs/>
                <w:kern w:val="2"/>
                <w:sz w:val="21"/>
                <w:szCs w:val="21"/>
                <w:lang w:val="en-US"/>
              </w:rPr>
            </w:pPr>
          </w:p>
        </w:tc>
        <w:tc>
          <w:tcPr>
            <w:tcW w:w="1533" w:type="dxa"/>
            <w:tcBorders>
              <w:top w:val="single" w:color="auto" w:sz="4" w:space="0"/>
              <w:left w:val="single" w:color="auto" w:sz="4" w:space="0"/>
              <w:bottom w:val="single" w:color="auto" w:sz="4" w:space="0"/>
              <w:right w:val="single" w:color="auto" w:sz="4" w:space="0"/>
            </w:tcBorders>
            <w:vAlign w:val="center"/>
          </w:tcPr>
          <w:p w14:paraId="177A00CD">
            <w:pPr>
              <w:spacing w:line="320" w:lineRule="exact"/>
              <w:ind w:left="-43" w:leftChars="-51" w:hanging="69" w:hangingChars="33"/>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5BD5CABF">
            <w:pPr>
              <w:spacing w:line="320" w:lineRule="exact"/>
              <w:jc w:val="both"/>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 xml:space="preserve">      万元</w:t>
            </w:r>
          </w:p>
        </w:tc>
      </w:tr>
      <w:tr w14:paraId="2DDE9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5C8AB3B">
            <w:pPr>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19123AB">
            <w:pPr>
              <w:spacing w:line="240" w:lineRule="exact"/>
              <w:jc w:val="center"/>
              <w:rPr>
                <w:rFonts w:ascii="Times New Roman" w:hAnsi="Times New Roman" w:cs="Times New Roman"/>
                <w:bCs/>
                <w:kern w:val="2"/>
                <w:sz w:val="21"/>
                <w:szCs w:val="21"/>
                <w:lang w:val="en-US"/>
              </w:rPr>
            </w:pPr>
          </w:p>
        </w:tc>
      </w:tr>
      <w:tr w14:paraId="529F3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280B0698">
            <w:pPr>
              <w:spacing w:line="320" w:lineRule="exact"/>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所获资质</w:t>
            </w:r>
          </w:p>
          <w:p w14:paraId="0419D905">
            <w:pPr>
              <w:spacing w:line="320" w:lineRule="exact"/>
              <w:jc w:val="center"/>
              <w:rPr>
                <w:rFonts w:ascii="Times New Roman" w:hAnsi="Times New Roman" w:cs="Times New Roman"/>
                <w:kern w:val="2"/>
                <w:sz w:val="21"/>
                <w:szCs w:val="21"/>
                <w:lang w:val="en-US"/>
              </w:rPr>
            </w:pPr>
            <w:r>
              <w:rPr>
                <w:rFonts w:ascii="Times New Roman" w:hAnsi="Times New Roman" w:cs="Times New Roman"/>
                <w:kern w:val="2"/>
                <w:sz w:val="21"/>
                <w:szCs w:val="21"/>
                <w:lang w:val="en-US"/>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7989F202">
            <w:pPr>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29FA700">
            <w:pPr>
              <w:widowControl/>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FECAAE3">
            <w:pPr>
              <w:widowControl/>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29341157">
            <w:pPr>
              <w:widowControl/>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有效期</w:t>
            </w:r>
          </w:p>
        </w:tc>
      </w:tr>
      <w:tr w14:paraId="265D3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73C5DE5">
            <w:pPr>
              <w:spacing w:line="240" w:lineRule="exact"/>
              <w:jc w:val="center"/>
              <w:rPr>
                <w:rFonts w:ascii="Times New Roman" w:hAnsi="Times New Roman" w:cs="Times New Roman"/>
                <w:kern w:val="2"/>
                <w:sz w:val="21"/>
                <w:szCs w:val="21"/>
                <w:lang w:val="en-US"/>
              </w:rPr>
            </w:pPr>
          </w:p>
        </w:tc>
        <w:tc>
          <w:tcPr>
            <w:tcW w:w="1434" w:type="dxa"/>
            <w:tcBorders>
              <w:top w:val="single" w:color="auto" w:sz="4" w:space="0"/>
              <w:left w:val="single" w:color="auto" w:sz="4" w:space="0"/>
              <w:bottom w:val="single" w:color="auto" w:sz="4" w:space="0"/>
              <w:right w:val="single" w:color="auto" w:sz="4" w:space="0"/>
            </w:tcBorders>
            <w:vAlign w:val="center"/>
          </w:tcPr>
          <w:p w14:paraId="19B7C42C">
            <w:pPr>
              <w:spacing w:line="240" w:lineRule="exact"/>
              <w:jc w:val="both"/>
              <w:rPr>
                <w:rFonts w:ascii="Times New Roman" w:hAnsi="Times New Roman" w:cs="Times New Roman"/>
                <w:kern w:val="2"/>
                <w:sz w:val="21"/>
                <w:szCs w:val="21"/>
                <w:u w:val="single"/>
                <w:lang w:val="en-US"/>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12384EC">
            <w:pPr>
              <w:spacing w:line="240" w:lineRule="exact"/>
              <w:jc w:val="both"/>
              <w:rPr>
                <w:rFonts w:ascii="Times New Roman" w:hAnsi="Times New Roman" w:cs="Times New Roman"/>
                <w:kern w:val="2"/>
                <w:sz w:val="21"/>
                <w:szCs w:val="21"/>
                <w:u w:val="single"/>
                <w:lang w:val="en-US"/>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CB69DC8">
            <w:pPr>
              <w:spacing w:line="240" w:lineRule="exact"/>
              <w:jc w:val="both"/>
              <w:rPr>
                <w:rFonts w:ascii="Times New Roman" w:hAnsi="Times New Roman" w:cs="Times New Roman"/>
                <w:kern w:val="2"/>
                <w:sz w:val="21"/>
                <w:szCs w:val="21"/>
                <w:u w:val="single"/>
                <w:lang w:val="en-US"/>
              </w:rPr>
            </w:pPr>
          </w:p>
        </w:tc>
        <w:tc>
          <w:tcPr>
            <w:tcW w:w="1571" w:type="dxa"/>
            <w:tcBorders>
              <w:top w:val="single" w:color="auto" w:sz="4" w:space="0"/>
              <w:left w:val="single" w:color="auto" w:sz="4" w:space="0"/>
              <w:bottom w:val="single" w:color="auto" w:sz="4" w:space="0"/>
              <w:right w:val="single" w:color="auto" w:sz="4" w:space="0"/>
            </w:tcBorders>
            <w:vAlign w:val="center"/>
          </w:tcPr>
          <w:p w14:paraId="21D5B08C">
            <w:pPr>
              <w:spacing w:line="240" w:lineRule="exact"/>
              <w:jc w:val="both"/>
              <w:rPr>
                <w:rFonts w:ascii="Times New Roman" w:hAnsi="Times New Roman" w:cs="Times New Roman"/>
                <w:kern w:val="2"/>
                <w:sz w:val="21"/>
                <w:szCs w:val="21"/>
                <w:u w:val="single"/>
                <w:lang w:val="en-US"/>
              </w:rPr>
            </w:pPr>
          </w:p>
        </w:tc>
      </w:tr>
      <w:tr w14:paraId="653E3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A8D8FAA">
            <w:pPr>
              <w:spacing w:line="240" w:lineRule="exact"/>
              <w:jc w:val="center"/>
              <w:rPr>
                <w:rFonts w:ascii="Times New Roman" w:hAnsi="Times New Roman" w:cs="Times New Roman"/>
                <w:kern w:val="2"/>
                <w:sz w:val="21"/>
                <w:szCs w:val="21"/>
                <w:lang w:val="en-US"/>
              </w:rPr>
            </w:pPr>
          </w:p>
        </w:tc>
        <w:tc>
          <w:tcPr>
            <w:tcW w:w="1434" w:type="dxa"/>
            <w:tcBorders>
              <w:top w:val="single" w:color="auto" w:sz="4" w:space="0"/>
              <w:left w:val="single" w:color="auto" w:sz="4" w:space="0"/>
              <w:bottom w:val="single" w:color="auto" w:sz="4" w:space="0"/>
              <w:right w:val="single" w:color="auto" w:sz="4" w:space="0"/>
            </w:tcBorders>
            <w:vAlign w:val="center"/>
          </w:tcPr>
          <w:p w14:paraId="208F2A29">
            <w:pPr>
              <w:spacing w:line="240" w:lineRule="exact"/>
              <w:jc w:val="both"/>
              <w:rPr>
                <w:rFonts w:ascii="Times New Roman" w:hAnsi="Times New Roman" w:cs="Times New Roman"/>
                <w:kern w:val="2"/>
                <w:sz w:val="21"/>
                <w:szCs w:val="21"/>
                <w:u w:val="single"/>
                <w:lang w:val="en-US"/>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5E89F10">
            <w:pPr>
              <w:spacing w:line="240" w:lineRule="exact"/>
              <w:jc w:val="both"/>
              <w:rPr>
                <w:rFonts w:ascii="Times New Roman" w:hAnsi="Times New Roman" w:cs="Times New Roman"/>
                <w:kern w:val="2"/>
                <w:sz w:val="21"/>
                <w:szCs w:val="21"/>
                <w:u w:val="single"/>
                <w:lang w:val="en-US"/>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050B51A">
            <w:pPr>
              <w:spacing w:line="240" w:lineRule="exact"/>
              <w:jc w:val="both"/>
              <w:rPr>
                <w:rFonts w:ascii="Times New Roman" w:hAnsi="Times New Roman" w:cs="Times New Roman"/>
                <w:kern w:val="2"/>
                <w:sz w:val="21"/>
                <w:szCs w:val="21"/>
                <w:u w:val="single"/>
                <w:lang w:val="en-US"/>
              </w:rPr>
            </w:pPr>
          </w:p>
        </w:tc>
        <w:tc>
          <w:tcPr>
            <w:tcW w:w="1571" w:type="dxa"/>
            <w:tcBorders>
              <w:top w:val="single" w:color="auto" w:sz="4" w:space="0"/>
              <w:left w:val="single" w:color="auto" w:sz="4" w:space="0"/>
              <w:bottom w:val="single" w:color="auto" w:sz="4" w:space="0"/>
              <w:right w:val="single" w:color="auto" w:sz="4" w:space="0"/>
            </w:tcBorders>
            <w:vAlign w:val="center"/>
          </w:tcPr>
          <w:p w14:paraId="2A8ABABC">
            <w:pPr>
              <w:spacing w:line="240" w:lineRule="exact"/>
              <w:jc w:val="both"/>
              <w:rPr>
                <w:rFonts w:ascii="Times New Roman" w:hAnsi="Times New Roman" w:cs="Times New Roman"/>
                <w:kern w:val="2"/>
                <w:sz w:val="21"/>
                <w:szCs w:val="21"/>
                <w:u w:val="single"/>
                <w:lang w:val="en-US"/>
              </w:rPr>
            </w:pPr>
          </w:p>
        </w:tc>
      </w:tr>
      <w:tr w14:paraId="5220D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A7DB0A5">
            <w:pPr>
              <w:spacing w:line="240" w:lineRule="exact"/>
              <w:jc w:val="center"/>
              <w:rPr>
                <w:rFonts w:ascii="Times New Roman" w:hAnsi="Times New Roman" w:cs="Times New Roman"/>
                <w:kern w:val="2"/>
                <w:sz w:val="21"/>
                <w:szCs w:val="21"/>
                <w:lang w:val="en-US"/>
              </w:rPr>
            </w:pPr>
          </w:p>
        </w:tc>
        <w:tc>
          <w:tcPr>
            <w:tcW w:w="1434" w:type="dxa"/>
            <w:tcBorders>
              <w:top w:val="single" w:color="auto" w:sz="4" w:space="0"/>
              <w:left w:val="single" w:color="auto" w:sz="4" w:space="0"/>
              <w:bottom w:val="single" w:color="auto" w:sz="4" w:space="0"/>
              <w:right w:val="single" w:color="auto" w:sz="4" w:space="0"/>
            </w:tcBorders>
            <w:vAlign w:val="center"/>
          </w:tcPr>
          <w:p w14:paraId="1E45D971">
            <w:pPr>
              <w:spacing w:line="240" w:lineRule="exact"/>
              <w:jc w:val="both"/>
              <w:rPr>
                <w:rFonts w:ascii="Times New Roman" w:hAnsi="Times New Roman" w:cs="Times New Roman"/>
                <w:kern w:val="2"/>
                <w:sz w:val="21"/>
                <w:szCs w:val="21"/>
                <w:u w:val="single"/>
                <w:lang w:val="en-US"/>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DBFB2C6">
            <w:pPr>
              <w:spacing w:line="240" w:lineRule="exact"/>
              <w:jc w:val="both"/>
              <w:rPr>
                <w:rFonts w:ascii="Times New Roman" w:hAnsi="Times New Roman" w:cs="Times New Roman"/>
                <w:kern w:val="2"/>
                <w:sz w:val="21"/>
                <w:szCs w:val="21"/>
                <w:u w:val="single"/>
                <w:lang w:val="en-US"/>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3A44A4C">
            <w:pPr>
              <w:spacing w:line="240" w:lineRule="exact"/>
              <w:jc w:val="both"/>
              <w:rPr>
                <w:rFonts w:ascii="Times New Roman" w:hAnsi="Times New Roman" w:cs="Times New Roman"/>
                <w:kern w:val="2"/>
                <w:sz w:val="21"/>
                <w:szCs w:val="21"/>
                <w:u w:val="single"/>
                <w:lang w:val="en-US"/>
              </w:rPr>
            </w:pPr>
          </w:p>
        </w:tc>
        <w:tc>
          <w:tcPr>
            <w:tcW w:w="1571" w:type="dxa"/>
            <w:tcBorders>
              <w:top w:val="single" w:color="auto" w:sz="4" w:space="0"/>
              <w:left w:val="single" w:color="auto" w:sz="4" w:space="0"/>
              <w:bottom w:val="single" w:color="auto" w:sz="4" w:space="0"/>
              <w:right w:val="single" w:color="auto" w:sz="4" w:space="0"/>
            </w:tcBorders>
            <w:vAlign w:val="center"/>
          </w:tcPr>
          <w:p w14:paraId="0C204CED">
            <w:pPr>
              <w:spacing w:line="240" w:lineRule="exact"/>
              <w:jc w:val="both"/>
              <w:rPr>
                <w:rFonts w:ascii="Times New Roman" w:hAnsi="Times New Roman" w:cs="Times New Roman"/>
                <w:kern w:val="2"/>
                <w:sz w:val="21"/>
                <w:szCs w:val="21"/>
                <w:u w:val="single"/>
                <w:lang w:val="en-US"/>
              </w:rPr>
            </w:pPr>
          </w:p>
        </w:tc>
      </w:tr>
      <w:tr w14:paraId="222F1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732C244">
            <w:pPr>
              <w:spacing w:line="240" w:lineRule="exact"/>
              <w:jc w:val="center"/>
              <w:rPr>
                <w:rFonts w:ascii="Times New Roman" w:hAnsi="Times New Roman" w:cs="Times New Roman"/>
                <w:kern w:val="2"/>
                <w:sz w:val="21"/>
                <w:szCs w:val="21"/>
                <w:lang w:val="en-US"/>
              </w:rPr>
            </w:pPr>
          </w:p>
        </w:tc>
        <w:tc>
          <w:tcPr>
            <w:tcW w:w="1434" w:type="dxa"/>
            <w:tcBorders>
              <w:top w:val="single" w:color="auto" w:sz="4" w:space="0"/>
              <w:left w:val="single" w:color="auto" w:sz="4" w:space="0"/>
              <w:bottom w:val="single" w:color="auto" w:sz="4" w:space="0"/>
              <w:right w:val="single" w:color="auto" w:sz="4" w:space="0"/>
            </w:tcBorders>
            <w:vAlign w:val="center"/>
          </w:tcPr>
          <w:p w14:paraId="6BBFF5BD">
            <w:pPr>
              <w:spacing w:line="240" w:lineRule="exact"/>
              <w:jc w:val="both"/>
              <w:rPr>
                <w:rFonts w:ascii="Times New Roman" w:hAnsi="Times New Roman" w:cs="Times New Roman"/>
                <w:kern w:val="2"/>
                <w:sz w:val="21"/>
                <w:szCs w:val="21"/>
                <w:u w:val="single"/>
                <w:lang w:val="en-US"/>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291C834">
            <w:pPr>
              <w:spacing w:line="240" w:lineRule="exact"/>
              <w:jc w:val="both"/>
              <w:rPr>
                <w:rFonts w:ascii="Times New Roman" w:hAnsi="Times New Roman" w:cs="Times New Roman"/>
                <w:kern w:val="2"/>
                <w:sz w:val="21"/>
                <w:szCs w:val="21"/>
                <w:u w:val="single"/>
                <w:lang w:val="en-US"/>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E4A9433">
            <w:pPr>
              <w:spacing w:line="240" w:lineRule="exact"/>
              <w:jc w:val="both"/>
              <w:rPr>
                <w:rFonts w:ascii="Times New Roman" w:hAnsi="Times New Roman" w:cs="Times New Roman"/>
                <w:kern w:val="2"/>
                <w:sz w:val="21"/>
                <w:szCs w:val="21"/>
                <w:u w:val="single"/>
                <w:lang w:val="en-US"/>
              </w:rPr>
            </w:pPr>
          </w:p>
        </w:tc>
        <w:tc>
          <w:tcPr>
            <w:tcW w:w="1571" w:type="dxa"/>
            <w:tcBorders>
              <w:top w:val="single" w:color="auto" w:sz="4" w:space="0"/>
              <w:left w:val="single" w:color="auto" w:sz="4" w:space="0"/>
              <w:bottom w:val="single" w:color="auto" w:sz="4" w:space="0"/>
              <w:right w:val="single" w:color="auto" w:sz="4" w:space="0"/>
            </w:tcBorders>
            <w:vAlign w:val="center"/>
          </w:tcPr>
          <w:p w14:paraId="2BE29D1F">
            <w:pPr>
              <w:spacing w:line="240" w:lineRule="exact"/>
              <w:jc w:val="both"/>
              <w:rPr>
                <w:rFonts w:ascii="Times New Roman" w:hAnsi="Times New Roman" w:cs="Times New Roman"/>
                <w:kern w:val="2"/>
                <w:sz w:val="21"/>
                <w:szCs w:val="21"/>
                <w:u w:val="single"/>
                <w:lang w:val="en-US"/>
              </w:rPr>
            </w:pPr>
          </w:p>
        </w:tc>
      </w:tr>
      <w:tr w14:paraId="2BF30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0C3A0296">
            <w:pPr>
              <w:spacing w:line="320" w:lineRule="exact"/>
              <w:jc w:val="center"/>
              <w:rPr>
                <w:rFonts w:ascii="Times New Roman" w:hAnsi="Times New Roman" w:cs="Times New Roman"/>
                <w:kern w:val="2"/>
                <w:sz w:val="21"/>
                <w:szCs w:val="21"/>
                <w:lang w:val="en-US"/>
              </w:rPr>
            </w:pPr>
            <w:r>
              <w:rPr>
                <w:rFonts w:ascii="Times New Roman" w:hAnsi="Times New Roman" w:cs="Times New Roman"/>
                <w:bCs/>
                <w:kern w:val="2"/>
                <w:sz w:val="21"/>
                <w:szCs w:val="21"/>
                <w:lang w:val="en-US"/>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782297FE">
            <w:pPr>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F7F4A25">
            <w:pPr>
              <w:widowControl/>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B41CCF5">
            <w:pPr>
              <w:widowControl/>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6EA879CA">
            <w:pPr>
              <w:widowControl/>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有效期</w:t>
            </w:r>
          </w:p>
        </w:tc>
      </w:tr>
      <w:tr w14:paraId="0EB81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601A92D3">
            <w:pPr>
              <w:spacing w:line="240" w:lineRule="exact"/>
              <w:jc w:val="center"/>
              <w:rPr>
                <w:rFonts w:ascii="Times New Roman" w:hAnsi="Times New Roman" w:cs="Times New Roman"/>
                <w:kern w:val="2"/>
                <w:sz w:val="21"/>
                <w:szCs w:val="21"/>
                <w:lang w:val="en-US"/>
              </w:rPr>
            </w:pPr>
          </w:p>
        </w:tc>
        <w:tc>
          <w:tcPr>
            <w:tcW w:w="1434" w:type="dxa"/>
            <w:tcBorders>
              <w:top w:val="single" w:color="auto" w:sz="4" w:space="0"/>
              <w:left w:val="single" w:color="auto" w:sz="4" w:space="0"/>
              <w:bottom w:val="single" w:color="auto" w:sz="4" w:space="0"/>
              <w:right w:val="single" w:color="auto" w:sz="4" w:space="0"/>
            </w:tcBorders>
            <w:vAlign w:val="center"/>
          </w:tcPr>
          <w:p w14:paraId="4E4CEB07">
            <w:pPr>
              <w:spacing w:line="240" w:lineRule="exact"/>
              <w:jc w:val="both"/>
              <w:rPr>
                <w:rFonts w:ascii="Times New Roman" w:hAnsi="Times New Roman" w:cs="Times New Roman"/>
                <w:kern w:val="2"/>
                <w:sz w:val="21"/>
                <w:szCs w:val="21"/>
                <w:u w:val="single"/>
                <w:lang w:val="en-US"/>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76A6891">
            <w:pPr>
              <w:spacing w:line="240" w:lineRule="exact"/>
              <w:jc w:val="both"/>
              <w:rPr>
                <w:rFonts w:ascii="Times New Roman" w:hAnsi="Times New Roman" w:cs="Times New Roman"/>
                <w:kern w:val="2"/>
                <w:sz w:val="21"/>
                <w:szCs w:val="21"/>
                <w:u w:val="single"/>
                <w:lang w:val="en-US"/>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B7ADF87">
            <w:pPr>
              <w:spacing w:line="240" w:lineRule="exact"/>
              <w:jc w:val="both"/>
              <w:rPr>
                <w:rFonts w:ascii="Times New Roman" w:hAnsi="Times New Roman" w:cs="Times New Roman"/>
                <w:kern w:val="2"/>
                <w:sz w:val="21"/>
                <w:szCs w:val="21"/>
                <w:u w:val="single"/>
                <w:lang w:val="en-US"/>
              </w:rPr>
            </w:pPr>
          </w:p>
        </w:tc>
        <w:tc>
          <w:tcPr>
            <w:tcW w:w="1571" w:type="dxa"/>
            <w:tcBorders>
              <w:top w:val="single" w:color="auto" w:sz="4" w:space="0"/>
              <w:left w:val="single" w:color="auto" w:sz="4" w:space="0"/>
              <w:bottom w:val="single" w:color="auto" w:sz="4" w:space="0"/>
              <w:right w:val="single" w:color="auto" w:sz="4" w:space="0"/>
            </w:tcBorders>
            <w:vAlign w:val="center"/>
          </w:tcPr>
          <w:p w14:paraId="1ED599DA">
            <w:pPr>
              <w:spacing w:line="240" w:lineRule="exact"/>
              <w:jc w:val="both"/>
              <w:rPr>
                <w:rFonts w:ascii="Times New Roman" w:hAnsi="Times New Roman" w:cs="Times New Roman"/>
                <w:kern w:val="2"/>
                <w:sz w:val="21"/>
                <w:szCs w:val="21"/>
                <w:u w:val="single"/>
                <w:lang w:val="en-US"/>
              </w:rPr>
            </w:pPr>
          </w:p>
        </w:tc>
      </w:tr>
      <w:tr w14:paraId="55E72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6EDF4F31">
            <w:pPr>
              <w:spacing w:line="240" w:lineRule="exact"/>
              <w:jc w:val="center"/>
              <w:rPr>
                <w:rFonts w:ascii="Times New Roman" w:hAnsi="Times New Roman" w:cs="Times New Roman"/>
                <w:kern w:val="2"/>
                <w:sz w:val="21"/>
                <w:szCs w:val="21"/>
                <w:lang w:val="en-US"/>
              </w:rPr>
            </w:pPr>
          </w:p>
        </w:tc>
        <w:tc>
          <w:tcPr>
            <w:tcW w:w="1434" w:type="dxa"/>
            <w:tcBorders>
              <w:top w:val="single" w:color="auto" w:sz="4" w:space="0"/>
              <w:left w:val="single" w:color="auto" w:sz="4" w:space="0"/>
              <w:bottom w:val="single" w:color="auto" w:sz="4" w:space="0"/>
              <w:right w:val="single" w:color="auto" w:sz="4" w:space="0"/>
            </w:tcBorders>
            <w:vAlign w:val="center"/>
          </w:tcPr>
          <w:p w14:paraId="483ED8F6">
            <w:pPr>
              <w:spacing w:line="240" w:lineRule="exact"/>
              <w:jc w:val="both"/>
              <w:rPr>
                <w:rFonts w:ascii="Times New Roman" w:hAnsi="Times New Roman" w:cs="Times New Roman"/>
                <w:kern w:val="2"/>
                <w:sz w:val="21"/>
                <w:szCs w:val="21"/>
                <w:u w:val="single"/>
                <w:lang w:val="en-US"/>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7ABC67A">
            <w:pPr>
              <w:spacing w:line="240" w:lineRule="exact"/>
              <w:jc w:val="both"/>
              <w:rPr>
                <w:rFonts w:ascii="Times New Roman" w:hAnsi="Times New Roman" w:cs="Times New Roman"/>
                <w:kern w:val="2"/>
                <w:sz w:val="21"/>
                <w:szCs w:val="21"/>
                <w:u w:val="single"/>
                <w:lang w:val="en-US"/>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862EC8C">
            <w:pPr>
              <w:spacing w:line="240" w:lineRule="exact"/>
              <w:jc w:val="both"/>
              <w:rPr>
                <w:rFonts w:ascii="Times New Roman" w:hAnsi="Times New Roman" w:cs="Times New Roman"/>
                <w:kern w:val="2"/>
                <w:sz w:val="21"/>
                <w:szCs w:val="21"/>
                <w:u w:val="single"/>
                <w:lang w:val="en-US"/>
              </w:rPr>
            </w:pPr>
          </w:p>
        </w:tc>
        <w:tc>
          <w:tcPr>
            <w:tcW w:w="1571" w:type="dxa"/>
            <w:tcBorders>
              <w:top w:val="single" w:color="auto" w:sz="4" w:space="0"/>
              <w:left w:val="single" w:color="auto" w:sz="4" w:space="0"/>
              <w:bottom w:val="single" w:color="auto" w:sz="4" w:space="0"/>
              <w:right w:val="single" w:color="auto" w:sz="4" w:space="0"/>
            </w:tcBorders>
            <w:vAlign w:val="center"/>
          </w:tcPr>
          <w:p w14:paraId="00580ABB">
            <w:pPr>
              <w:spacing w:line="240" w:lineRule="exact"/>
              <w:jc w:val="both"/>
              <w:rPr>
                <w:rFonts w:ascii="Times New Roman" w:hAnsi="Times New Roman" w:cs="Times New Roman"/>
                <w:kern w:val="2"/>
                <w:sz w:val="21"/>
                <w:szCs w:val="21"/>
                <w:u w:val="single"/>
                <w:lang w:val="en-US"/>
              </w:rPr>
            </w:pPr>
          </w:p>
        </w:tc>
      </w:tr>
      <w:tr w14:paraId="18A8C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1CB12A01">
            <w:pPr>
              <w:spacing w:line="240" w:lineRule="exact"/>
              <w:jc w:val="center"/>
              <w:rPr>
                <w:rFonts w:ascii="Times New Roman" w:hAnsi="Times New Roman" w:cs="Times New Roman"/>
                <w:kern w:val="2"/>
                <w:sz w:val="21"/>
                <w:szCs w:val="21"/>
                <w:lang w:val="en-US"/>
              </w:rPr>
            </w:pPr>
          </w:p>
        </w:tc>
        <w:tc>
          <w:tcPr>
            <w:tcW w:w="1434" w:type="dxa"/>
            <w:tcBorders>
              <w:top w:val="single" w:color="auto" w:sz="4" w:space="0"/>
              <w:left w:val="single" w:color="auto" w:sz="4" w:space="0"/>
              <w:bottom w:val="single" w:color="auto" w:sz="4" w:space="0"/>
              <w:right w:val="single" w:color="auto" w:sz="4" w:space="0"/>
            </w:tcBorders>
            <w:vAlign w:val="center"/>
          </w:tcPr>
          <w:p w14:paraId="68540B70">
            <w:pPr>
              <w:spacing w:line="240" w:lineRule="exact"/>
              <w:jc w:val="both"/>
              <w:rPr>
                <w:rFonts w:ascii="Times New Roman" w:hAnsi="Times New Roman" w:cs="Times New Roman"/>
                <w:kern w:val="2"/>
                <w:sz w:val="21"/>
                <w:szCs w:val="21"/>
                <w:u w:val="single"/>
                <w:lang w:val="en-US"/>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A9D0E90">
            <w:pPr>
              <w:spacing w:line="240" w:lineRule="exact"/>
              <w:jc w:val="both"/>
              <w:rPr>
                <w:rFonts w:ascii="Times New Roman" w:hAnsi="Times New Roman" w:cs="Times New Roman"/>
                <w:kern w:val="2"/>
                <w:sz w:val="21"/>
                <w:szCs w:val="21"/>
                <w:u w:val="single"/>
                <w:lang w:val="en-US"/>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103ABEA">
            <w:pPr>
              <w:spacing w:line="240" w:lineRule="exact"/>
              <w:jc w:val="both"/>
              <w:rPr>
                <w:rFonts w:ascii="Times New Roman" w:hAnsi="Times New Roman" w:cs="Times New Roman"/>
                <w:kern w:val="2"/>
                <w:sz w:val="21"/>
                <w:szCs w:val="21"/>
                <w:u w:val="single"/>
                <w:lang w:val="en-US"/>
              </w:rPr>
            </w:pPr>
          </w:p>
        </w:tc>
        <w:tc>
          <w:tcPr>
            <w:tcW w:w="1571" w:type="dxa"/>
            <w:tcBorders>
              <w:top w:val="single" w:color="auto" w:sz="4" w:space="0"/>
              <w:left w:val="single" w:color="auto" w:sz="4" w:space="0"/>
              <w:bottom w:val="single" w:color="auto" w:sz="4" w:space="0"/>
              <w:right w:val="single" w:color="auto" w:sz="4" w:space="0"/>
            </w:tcBorders>
            <w:vAlign w:val="center"/>
          </w:tcPr>
          <w:p w14:paraId="0D721851">
            <w:pPr>
              <w:spacing w:line="240" w:lineRule="exact"/>
              <w:jc w:val="both"/>
              <w:rPr>
                <w:rFonts w:ascii="Times New Roman" w:hAnsi="Times New Roman" w:cs="Times New Roman"/>
                <w:kern w:val="2"/>
                <w:sz w:val="21"/>
                <w:szCs w:val="21"/>
                <w:u w:val="single"/>
                <w:lang w:val="en-US"/>
              </w:rPr>
            </w:pPr>
          </w:p>
        </w:tc>
      </w:tr>
      <w:tr w14:paraId="03032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CF00401">
            <w:pPr>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6C060632">
            <w:pPr>
              <w:tabs>
                <w:tab w:val="left" w:pos="1800"/>
                <w:tab w:val="left" w:pos="1980"/>
              </w:tabs>
              <w:spacing w:line="240" w:lineRule="exact"/>
              <w:jc w:val="both"/>
              <w:rPr>
                <w:rFonts w:ascii="Times New Roman" w:hAnsi="Times New Roman" w:cs="Times New Roman"/>
                <w:kern w:val="2"/>
                <w:sz w:val="21"/>
                <w:szCs w:val="21"/>
                <w:lang w:val="en-US"/>
              </w:rPr>
            </w:pPr>
          </w:p>
        </w:tc>
      </w:tr>
      <w:tr w14:paraId="1AC18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74E91157">
            <w:pPr>
              <w:spacing w:line="320" w:lineRule="exact"/>
              <w:jc w:val="center"/>
              <w:rPr>
                <w:rFonts w:ascii="Times New Roman" w:hAnsi="Times New Roman" w:cs="Times New Roman"/>
                <w:bCs/>
                <w:kern w:val="2"/>
                <w:sz w:val="21"/>
                <w:szCs w:val="21"/>
                <w:lang w:val="en-US"/>
              </w:rPr>
            </w:pPr>
            <w:r>
              <w:rPr>
                <w:rFonts w:ascii="Times New Roman" w:hAnsi="Times New Roman" w:cs="Times New Roman"/>
                <w:bCs/>
                <w:kern w:val="2"/>
                <w:sz w:val="21"/>
                <w:szCs w:val="21"/>
                <w:lang w:val="en-US"/>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2C56EDE1">
            <w:pPr>
              <w:spacing w:line="240" w:lineRule="exact"/>
              <w:jc w:val="both"/>
              <w:rPr>
                <w:rFonts w:ascii="Times New Roman" w:hAnsi="Times New Roman" w:cs="Times New Roman"/>
                <w:bCs/>
                <w:kern w:val="2"/>
                <w:sz w:val="21"/>
                <w:szCs w:val="21"/>
                <w:lang w:val="en-US"/>
              </w:rPr>
            </w:pPr>
          </w:p>
        </w:tc>
      </w:tr>
    </w:tbl>
    <w:p w14:paraId="333650C4">
      <w:pPr>
        <w:spacing w:line="320" w:lineRule="exact"/>
        <w:ind w:firstLine="90"/>
        <w:jc w:val="both"/>
        <w:rPr>
          <w:rFonts w:ascii="Times New Roman" w:hAnsi="Times New Roman" w:cs="Times New Roman"/>
          <w:kern w:val="2"/>
          <w:sz w:val="18"/>
          <w:szCs w:val="18"/>
          <w:lang w:val="en-US"/>
        </w:rPr>
      </w:pPr>
      <w:r>
        <w:rPr>
          <w:rFonts w:ascii="Times New Roman" w:hAnsi="Times New Roman" w:cs="Times New Roman"/>
          <w:kern w:val="2"/>
          <w:sz w:val="18"/>
          <w:szCs w:val="18"/>
          <w:lang w:val="en-US"/>
        </w:rPr>
        <w:t>注：1、表格内容不够,可另附页。</w:t>
      </w:r>
    </w:p>
    <w:p w14:paraId="41A5FEAC">
      <w:pPr>
        <w:spacing w:line="320" w:lineRule="exact"/>
        <w:ind w:firstLine="435"/>
        <w:jc w:val="both"/>
        <w:rPr>
          <w:rFonts w:ascii="Times New Roman" w:hAnsi="Times New Roman" w:cs="Times New Roman"/>
          <w:kern w:val="2"/>
          <w:sz w:val="18"/>
          <w:szCs w:val="18"/>
          <w:lang w:val="en-US"/>
        </w:rPr>
      </w:pPr>
      <w:r>
        <w:rPr>
          <w:rFonts w:ascii="Times New Roman" w:hAnsi="Times New Roman" w:cs="Times New Roman"/>
          <w:kern w:val="2"/>
          <w:sz w:val="18"/>
          <w:szCs w:val="18"/>
          <w:lang w:val="en-US"/>
        </w:rPr>
        <w:t>2、所获认证证书、荣誉资料的复印件附后。</w:t>
      </w:r>
    </w:p>
    <w:p w14:paraId="0033CEF2">
      <w:pPr>
        <w:spacing w:line="320" w:lineRule="exact"/>
        <w:jc w:val="both"/>
        <w:rPr>
          <w:rFonts w:ascii="Times New Roman" w:hAnsi="Times New Roman" w:cs="Times New Roman"/>
          <w:b/>
          <w:kern w:val="2"/>
          <w:sz w:val="24"/>
          <w:szCs w:val="24"/>
          <w:lang w:val="en-US"/>
        </w:rPr>
      </w:pPr>
    </w:p>
    <w:p w14:paraId="79EC70E5">
      <w:pPr>
        <w:spacing w:line="320" w:lineRule="exact"/>
        <w:jc w:val="both"/>
        <w:rPr>
          <w:rFonts w:ascii="Times New Roman" w:hAnsi="Times New Roman" w:cs="Times New Roman"/>
          <w:b/>
          <w:kern w:val="2"/>
          <w:sz w:val="24"/>
          <w:szCs w:val="24"/>
          <w:lang w:val="en-US"/>
        </w:rPr>
      </w:pPr>
    </w:p>
    <w:p w14:paraId="3F92F504">
      <w:pPr>
        <w:spacing w:line="320" w:lineRule="exact"/>
        <w:ind w:firstLine="480"/>
        <w:jc w:val="both"/>
        <w:rPr>
          <w:rFonts w:ascii="Times New Roman" w:hAnsi="Times New Roman" w:cs="Times New Roman"/>
          <w:b/>
          <w:kern w:val="2"/>
          <w:sz w:val="24"/>
          <w:szCs w:val="24"/>
          <w:lang w:val="en-US"/>
        </w:rPr>
      </w:pPr>
      <w:r>
        <w:rPr>
          <w:rFonts w:ascii="Times New Roman" w:hAnsi="Times New Roman" w:cs="Times New Roman"/>
          <w:b/>
          <w:kern w:val="2"/>
          <w:sz w:val="24"/>
          <w:szCs w:val="24"/>
          <w:lang w:val="en-US"/>
        </w:rPr>
        <w:t xml:space="preserve">投标人（公章）：                   </w:t>
      </w:r>
    </w:p>
    <w:p w14:paraId="104B0B68">
      <w:pPr>
        <w:spacing w:line="320" w:lineRule="exact"/>
        <w:ind w:firstLine="480"/>
        <w:jc w:val="both"/>
        <w:rPr>
          <w:rFonts w:ascii="Times New Roman" w:hAnsi="Times New Roman" w:cs="Times New Roman"/>
          <w:b/>
          <w:kern w:val="2"/>
          <w:sz w:val="24"/>
          <w:szCs w:val="24"/>
          <w:lang w:val="en-US"/>
        </w:rPr>
      </w:pPr>
    </w:p>
    <w:p w14:paraId="3ACB2B91">
      <w:pPr>
        <w:spacing w:line="320" w:lineRule="exact"/>
        <w:ind w:firstLine="480"/>
        <w:jc w:val="both"/>
        <w:rPr>
          <w:rFonts w:ascii="Times New Roman" w:hAnsi="Times New Roman" w:cs="Times New Roman"/>
          <w:b/>
          <w:kern w:val="2"/>
          <w:sz w:val="24"/>
          <w:szCs w:val="24"/>
          <w:lang w:val="en-US"/>
        </w:rPr>
      </w:pPr>
      <w:r>
        <w:rPr>
          <w:rFonts w:ascii="Times New Roman" w:hAnsi="Times New Roman" w:cs="Times New Roman"/>
          <w:b/>
          <w:kern w:val="2"/>
          <w:sz w:val="24"/>
          <w:szCs w:val="24"/>
          <w:lang w:val="en-US"/>
        </w:rPr>
        <w:t xml:space="preserve">法定代表人或授权代表（签字或盖章）： </w:t>
      </w:r>
    </w:p>
    <w:p w14:paraId="7688F1D4">
      <w:pPr>
        <w:spacing w:line="320" w:lineRule="exact"/>
        <w:ind w:firstLine="480"/>
        <w:jc w:val="both"/>
        <w:rPr>
          <w:rFonts w:ascii="Times New Roman" w:hAnsi="Times New Roman" w:cs="Times New Roman"/>
          <w:b/>
          <w:kern w:val="2"/>
          <w:sz w:val="24"/>
          <w:szCs w:val="24"/>
          <w:lang w:val="en-US"/>
        </w:rPr>
      </w:pPr>
    </w:p>
    <w:p w14:paraId="7299B2BD">
      <w:pPr>
        <w:spacing w:line="320" w:lineRule="exact"/>
        <w:ind w:firstLine="480"/>
        <w:jc w:val="both"/>
        <w:rPr>
          <w:rFonts w:ascii="Times New Roman" w:hAnsi="Times New Roman" w:cs="Times New Roman"/>
          <w:kern w:val="2"/>
          <w:sz w:val="24"/>
          <w:szCs w:val="24"/>
          <w:lang w:val="en-US"/>
        </w:rPr>
      </w:pPr>
      <w:r>
        <w:rPr>
          <w:rFonts w:ascii="Times New Roman" w:hAnsi="Times New Roman" w:cs="Times New Roman"/>
          <w:b/>
          <w:kern w:val="2"/>
          <w:sz w:val="24"/>
          <w:szCs w:val="24"/>
          <w:lang w:val="en-US"/>
        </w:rPr>
        <w:t>日期：  　年　 月　  日</w:t>
      </w:r>
    </w:p>
    <w:p w14:paraId="0557BD1D">
      <w:pPr>
        <w:pStyle w:val="18"/>
        <w:spacing w:before="1" w:line="360" w:lineRule="auto"/>
        <w:rPr>
          <w:rFonts w:ascii="Times New Roman" w:hAnsi="Times New Roman" w:cs="Times New Roman"/>
        </w:rPr>
      </w:pPr>
    </w:p>
    <w:p w14:paraId="0CA02A28">
      <w:pPr>
        <w:pStyle w:val="18"/>
        <w:spacing w:before="1" w:line="360" w:lineRule="auto"/>
        <w:rPr>
          <w:rFonts w:ascii="Times New Roman" w:hAnsi="Times New Roman" w:cs="Times New Roman"/>
        </w:rPr>
      </w:pPr>
    </w:p>
    <w:p w14:paraId="63CF353F">
      <w:pPr>
        <w:pStyle w:val="18"/>
        <w:spacing w:before="1" w:line="360" w:lineRule="auto"/>
        <w:rPr>
          <w:rFonts w:ascii="Times New Roman" w:hAnsi="Times New Roman" w:cs="Times New Roman"/>
        </w:rPr>
      </w:pPr>
    </w:p>
    <w:p w14:paraId="71843313">
      <w:pPr>
        <w:pStyle w:val="3"/>
        <w:spacing w:before="78" w:line="360" w:lineRule="auto"/>
        <w:rPr>
          <w:rFonts w:ascii="Times New Roman" w:hAnsi="Times New Roman" w:cs="Times New Roman"/>
          <w:b w:val="0"/>
          <w:sz w:val="47"/>
        </w:rPr>
      </w:pPr>
      <w:bookmarkStart w:id="90" w:name="_Toc108100457"/>
      <w:r>
        <w:rPr>
          <w:rFonts w:ascii="Times New Roman" w:hAnsi="Times New Roman" w:eastAsia="仿宋" w:cs="Times New Roman"/>
          <w:spacing w:val="-21"/>
        </w:rPr>
        <w:t xml:space="preserve">附件 </w:t>
      </w:r>
      <w:r>
        <w:rPr>
          <w:rFonts w:hint="eastAsia" w:ascii="Times New Roman" w:hAnsi="Times New Roman" w:eastAsia="仿宋" w:cs="Times New Roman"/>
        </w:rPr>
        <w:t>6</w:t>
      </w:r>
      <w:r>
        <w:rPr>
          <w:rFonts w:ascii="Times New Roman" w:hAnsi="Times New Roman" w:eastAsia="仿宋" w:cs="Times New Roman"/>
          <w:spacing w:val="-1"/>
        </w:rPr>
        <w:t>： 商务响应表</w:t>
      </w:r>
      <w:bookmarkEnd w:id="90"/>
    </w:p>
    <w:p w14:paraId="456FCD72">
      <w:pPr>
        <w:spacing w:line="360" w:lineRule="auto"/>
        <w:ind w:left="312"/>
        <w:jc w:val="center"/>
        <w:rPr>
          <w:rFonts w:ascii="Times New Roman" w:hAnsi="Times New Roman" w:eastAsia="楷体" w:cs="Times New Roman"/>
          <w:b/>
          <w:sz w:val="36"/>
        </w:rPr>
      </w:pPr>
      <w:r>
        <w:rPr>
          <w:rFonts w:ascii="Times New Roman" w:hAnsi="Times New Roman" w:eastAsia="楷体" w:cs="Times New Roman"/>
          <w:b/>
          <w:sz w:val="36"/>
        </w:rPr>
        <w:t>商务响应表</w:t>
      </w:r>
    </w:p>
    <w:p w14:paraId="039E1365">
      <w:pPr>
        <w:pStyle w:val="18"/>
        <w:spacing w:before="5" w:line="360" w:lineRule="auto"/>
        <w:rPr>
          <w:rFonts w:ascii="Times New Roman" w:hAnsi="Times New Roman" w:cs="Times New Roman"/>
          <w:b/>
          <w:sz w:val="19"/>
        </w:rPr>
      </w:pPr>
    </w:p>
    <w:tbl>
      <w:tblPr>
        <w:tblStyle w:val="50"/>
        <w:tblW w:w="8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3341"/>
        <w:gridCol w:w="2875"/>
        <w:gridCol w:w="1529"/>
      </w:tblGrid>
      <w:tr w14:paraId="71891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84" w:type="dxa"/>
          </w:tcPr>
          <w:p w14:paraId="7EB713C3">
            <w:pPr>
              <w:pStyle w:val="62"/>
              <w:spacing w:before="10" w:line="360" w:lineRule="auto"/>
              <w:rPr>
                <w:rFonts w:ascii="Times New Roman" w:hAnsi="Times New Roman" w:cs="Times New Roman"/>
                <w:b/>
                <w:sz w:val="18"/>
              </w:rPr>
            </w:pPr>
          </w:p>
          <w:p w14:paraId="06C3CCA0">
            <w:pPr>
              <w:pStyle w:val="62"/>
              <w:spacing w:line="360" w:lineRule="auto"/>
              <w:ind w:left="280"/>
              <w:rPr>
                <w:rFonts w:ascii="Times New Roman" w:hAnsi="Times New Roman" w:cs="Times New Roman"/>
                <w:sz w:val="21"/>
              </w:rPr>
            </w:pPr>
            <w:r>
              <w:rPr>
                <w:rFonts w:ascii="Times New Roman" w:hAnsi="Times New Roman" w:cs="Times New Roman"/>
                <w:sz w:val="21"/>
              </w:rPr>
              <w:t>序号</w:t>
            </w:r>
          </w:p>
        </w:tc>
        <w:tc>
          <w:tcPr>
            <w:tcW w:w="3341" w:type="dxa"/>
          </w:tcPr>
          <w:p w14:paraId="545BD455">
            <w:pPr>
              <w:pStyle w:val="62"/>
              <w:spacing w:before="10" w:line="360" w:lineRule="auto"/>
              <w:rPr>
                <w:rFonts w:ascii="Times New Roman" w:hAnsi="Times New Roman" w:cs="Times New Roman"/>
                <w:b/>
                <w:sz w:val="18"/>
              </w:rPr>
            </w:pPr>
          </w:p>
          <w:p w14:paraId="04B82D0C">
            <w:pPr>
              <w:pStyle w:val="62"/>
              <w:spacing w:line="360" w:lineRule="auto"/>
              <w:ind w:left="933"/>
              <w:rPr>
                <w:rFonts w:ascii="Times New Roman" w:hAnsi="Times New Roman" w:cs="Times New Roman"/>
                <w:sz w:val="21"/>
              </w:rPr>
            </w:pPr>
            <w:r>
              <w:rPr>
                <w:rFonts w:ascii="Times New Roman" w:hAnsi="Times New Roman" w:cs="Times New Roman"/>
                <w:sz w:val="21"/>
              </w:rPr>
              <w:t>招标文件的规定</w:t>
            </w:r>
          </w:p>
        </w:tc>
        <w:tc>
          <w:tcPr>
            <w:tcW w:w="2875" w:type="dxa"/>
          </w:tcPr>
          <w:p w14:paraId="106FC666">
            <w:pPr>
              <w:pStyle w:val="62"/>
              <w:spacing w:before="10" w:line="360" w:lineRule="auto"/>
              <w:rPr>
                <w:rFonts w:ascii="Times New Roman" w:hAnsi="Times New Roman" w:cs="Times New Roman"/>
                <w:b/>
                <w:sz w:val="18"/>
              </w:rPr>
            </w:pPr>
          </w:p>
          <w:p w14:paraId="7136C949">
            <w:pPr>
              <w:pStyle w:val="62"/>
              <w:spacing w:line="360" w:lineRule="auto"/>
              <w:ind w:left="933"/>
              <w:rPr>
                <w:rFonts w:ascii="Times New Roman" w:hAnsi="Times New Roman" w:cs="Times New Roman"/>
                <w:sz w:val="21"/>
              </w:rPr>
            </w:pPr>
            <w:r>
              <w:rPr>
                <w:rFonts w:ascii="Times New Roman" w:hAnsi="Times New Roman" w:cs="Times New Roman"/>
                <w:sz w:val="21"/>
              </w:rPr>
              <w:t>投标文件的响应</w:t>
            </w:r>
          </w:p>
        </w:tc>
        <w:tc>
          <w:tcPr>
            <w:tcW w:w="1529" w:type="dxa"/>
          </w:tcPr>
          <w:p w14:paraId="347199F2">
            <w:pPr>
              <w:pStyle w:val="62"/>
              <w:spacing w:before="10" w:line="360" w:lineRule="auto"/>
              <w:rPr>
                <w:rFonts w:ascii="Times New Roman" w:hAnsi="Times New Roman" w:cs="Times New Roman"/>
                <w:b/>
                <w:sz w:val="18"/>
              </w:rPr>
            </w:pPr>
          </w:p>
          <w:p w14:paraId="24606FF6">
            <w:pPr>
              <w:pStyle w:val="62"/>
              <w:spacing w:line="360" w:lineRule="auto"/>
              <w:ind w:left="347"/>
              <w:rPr>
                <w:rFonts w:ascii="Times New Roman" w:hAnsi="Times New Roman" w:cs="Times New Roman"/>
                <w:sz w:val="21"/>
              </w:rPr>
            </w:pPr>
            <w:r>
              <w:rPr>
                <w:rFonts w:ascii="Times New Roman" w:hAnsi="Times New Roman" w:cs="Times New Roman"/>
                <w:sz w:val="21"/>
              </w:rPr>
              <w:t>偏离说明</w:t>
            </w:r>
          </w:p>
        </w:tc>
      </w:tr>
      <w:tr w14:paraId="4AB9E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84" w:type="dxa"/>
          </w:tcPr>
          <w:p w14:paraId="1880D664">
            <w:pPr>
              <w:pStyle w:val="62"/>
              <w:spacing w:line="360" w:lineRule="auto"/>
              <w:rPr>
                <w:rFonts w:ascii="Times New Roman" w:hAnsi="Times New Roman" w:cs="Times New Roman"/>
                <w:sz w:val="20"/>
              </w:rPr>
            </w:pPr>
          </w:p>
        </w:tc>
        <w:tc>
          <w:tcPr>
            <w:tcW w:w="3341" w:type="dxa"/>
          </w:tcPr>
          <w:p w14:paraId="02A41F65">
            <w:pPr>
              <w:pStyle w:val="62"/>
              <w:spacing w:line="360" w:lineRule="auto"/>
              <w:rPr>
                <w:rFonts w:ascii="Times New Roman" w:hAnsi="Times New Roman" w:cs="Times New Roman"/>
                <w:sz w:val="20"/>
              </w:rPr>
            </w:pPr>
          </w:p>
        </w:tc>
        <w:tc>
          <w:tcPr>
            <w:tcW w:w="2875" w:type="dxa"/>
          </w:tcPr>
          <w:p w14:paraId="1DECE212">
            <w:pPr>
              <w:pStyle w:val="62"/>
              <w:spacing w:line="360" w:lineRule="auto"/>
              <w:rPr>
                <w:rFonts w:ascii="Times New Roman" w:hAnsi="Times New Roman" w:cs="Times New Roman"/>
                <w:sz w:val="20"/>
              </w:rPr>
            </w:pPr>
          </w:p>
        </w:tc>
        <w:tc>
          <w:tcPr>
            <w:tcW w:w="1529" w:type="dxa"/>
          </w:tcPr>
          <w:p w14:paraId="18270CCA">
            <w:pPr>
              <w:pStyle w:val="62"/>
              <w:spacing w:line="360" w:lineRule="auto"/>
              <w:rPr>
                <w:rFonts w:ascii="Times New Roman" w:hAnsi="Times New Roman" w:cs="Times New Roman"/>
                <w:sz w:val="20"/>
              </w:rPr>
            </w:pPr>
          </w:p>
        </w:tc>
      </w:tr>
      <w:tr w14:paraId="7955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984" w:type="dxa"/>
          </w:tcPr>
          <w:p w14:paraId="3F2C44D4">
            <w:pPr>
              <w:pStyle w:val="62"/>
              <w:spacing w:line="360" w:lineRule="auto"/>
              <w:rPr>
                <w:rFonts w:ascii="Times New Roman" w:hAnsi="Times New Roman" w:cs="Times New Roman"/>
                <w:sz w:val="20"/>
              </w:rPr>
            </w:pPr>
          </w:p>
        </w:tc>
        <w:tc>
          <w:tcPr>
            <w:tcW w:w="3341" w:type="dxa"/>
          </w:tcPr>
          <w:p w14:paraId="45B8F3C5">
            <w:pPr>
              <w:pStyle w:val="62"/>
              <w:spacing w:line="360" w:lineRule="auto"/>
              <w:rPr>
                <w:rFonts w:ascii="Times New Roman" w:hAnsi="Times New Roman" w:cs="Times New Roman"/>
                <w:sz w:val="20"/>
              </w:rPr>
            </w:pPr>
          </w:p>
        </w:tc>
        <w:tc>
          <w:tcPr>
            <w:tcW w:w="2875" w:type="dxa"/>
          </w:tcPr>
          <w:p w14:paraId="679F8F56">
            <w:pPr>
              <w:pStyle w:val="62"/>
              <w:spacing w:line="360" w:lineRule="auto"/>
              <w:rPr>
                <w:rFonts w:ascii="Times New Roman" w:hAnsi="Times New Roman" w:cs="Times New Roman"/>
                <w:sz w:val="20"/>
              </w:rPr>
            </w:pPr>
          </w:p>
        </w:tc>
        <w:tc>
          <w:tcPr>
            <w:tcW w:w="1529" w:type="dxa"/>
          </w:tcPr>
          <w:p w14:paraId="5059C43A">
            <w:pPr>
              <w:pStyle w:val="62"/>
              <w:spacing w:line="360" w:lineRule="auto"/>
              <w:rPr>
                <w:rFonts w:ascii="Times New Roman" w:hAnsi="Times New Roman" w:cs="Times New Roman"/>
                <w:sz w:val="20"/>
              </w:rPr>
            </w:pPr>
          </w:p>
        </w:tc>
      </w:tr>
      <w:tr w14:paraId="6E02A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84" w:type="dxa"/>
          </w:tcPr>
          <w:p w14:paraId="500BB9E4">
            <w:pPr>
              <w:pStyle w:val="62"/>
              <w:spacing w:line="360" w:lineRule="auto"/>
              <w:rPr>
                <w:rFonts w:ascii="Times New Roman" w:hAnsi="Times New Roman" w:cs="Times New Roman"/>
                <w:sz w:val="20"/>
              </w:rPr>
            </w:pPr>
          </w:p>
        </w:tc>
        <w:tc>
          <w:tcPr>
            <w:tcW w:w="3341" w:type="dxa"/>
          </w:tcPr>
          <w:p w14:paraId="6D862004">
            <w:pPr>
              <w:pStyle w:val="62"/>
              <w:spacing w:line="360" w:lineRule="auto"/>
              <w:rPr>
                <w:rFonts w:ascii="Times New Roman" w:hAnsi="Times New Roman" w:cs="Times New Roman"/>
                <w:sz w:val="20"/>
              </w:rPr>
            </w:pPr>
          </w:p>
        </w:tc>
        <w:tc>
          <w:tcPr>
            <w:tcW w:w="2875" w:type="dxa"/>
          </w:tcPr>
          <w:p w14:paraId="08F04E80">
            <w:pPr>
              <w:pStyle w:val="62"/>
              <w:spacing w:line="360" w:lineRule="auto"/>
              <w:rPr>
                <w:rFonts w:ascii="Times New Roman" w:hAnsi="Times New Roman" w:cs="Times New Roman"/>
                <w:sz w:val="20"/>
              </w:rPr>
            </w:pPr>
          </w:p>
        </w:tc>
        <w:tc>
          <w:tcPr>
            <w:tcW w:w="1529" w:type="dxa"/>
          </w:tcPr>
          <w:p w14:paraId="25DD53EE">
            <w:pPr>
              <w:pStyle w:val="62"/>
              <w:spacing w:line="360" w:lineRule="auto"/>
              <w:rPr>
                <w:rFonts w:ascii="Times New Roman" w:hAnsi="Times New Roman" w:cs="Times New Roman"/>
                <w:sz w:val="20"/>
              </w:rPr>
            </w:pPr>
          </w:p>
        </w:tc>
      </w:tr>
    </w:tbl>
    <w:p w14:paraId="1582E0B9">
      <w:pPr>
        <w:spacing w:before="2" w:line="360" w:lineRule="auto"/>
        <w:ind w:left="312" w:right="422"/>
        <w:rPr>
          <w:rFonts w:ascii="Times New Roman" w:hAnsi="Times New Roman" w:cs="Times New Roman"/>
          <w:sz w:val="20"/>
        </w:rPr>
      </w:pPr>
      <w:r>
        <w:rPr>
          <w:rFonts w:ascii="Times New Roman" w:hAnsi="Times New Roman" w:cs="Times New Roman"/>
          <w:sz w:val="20"/>
        </w:rPr>
        <w:t>注：投标人的投标文件（除技术部分）与招标文件之规定存在偏离的，应在此表中如实说明。未在上表中说明的，将被认为完全响应招标文件的规定。</w:t>
      </w:r>
    </w:p>
    <w:p w14:paraId="4B523725">
      <w:pPr>
        <w:pStyle w:val="18"/>
        <w:spacing w:before="9" w:line="360" w:lineRule="auto"/>
        <w:rPr>
          <w:rFonts w:ascii="Times New Roman" w:hAnsi="Times New Roman" w:cs="Times New Roman"/>
          <w:sz w:val="26"/>
        </w:rPr>
      </w:pPr>
    </w:p>
    <w:p w14:paraId="23BAD77E">
      <w:pPr>
        <w:spacing w:line="360" w:lineRule="auto"/>
        <w:ind w:left="312"/>
        <w:rPr>
          <w:rFonts w:ascii="Times New Roman" w:hAnsi="Times New Roman" w:cs="Times New Roman"/>
          <w:b/>
          <w:sz w:val="24"/>
        </w:rPr>
      </w:pPr>
      <w:r>
        <w:rPr>
          <w:rFonts w:ascii="Times New Roman" w:hAnsi="Times New Roman" w:cs="Times New Roman"/>
          <w:b/>
          <w:sz w:val="24"/>
        </w:rPr>
        <w:t>投标人（公章）：</w:t>
      </w:r>
    </w:p>
    <w:p w14:paraId="580CB182">
      <w:pPr>
        <w:pStyle w:val="18"/>
        <w:spacing w:line="360" w:lineRule="auto"/>
        <w:rPr>
          <w:rFonts w:ascii="Times New Roman" w:hAnsi="Times New Roman" w:cs="Times New Roman"/>
          <w:b/>
          <w:sz w:val="24"/>
        </w:rPr>
      </w:pPr>
    </w:p>
    <w:p w14:paraId="050AE70A">
      <w:pPr>
        <w:pStyle w:val="18"/>
        <w:spacing w:before="11" w:line="360" w:lineRule="auto"/>
        <w:rPr>
          <w:rFonts w:ascii="Times New Roman" w:hAnsi="Times New Roman" w:cs="Times New Roman"/>
          <w:b/>
          <w:sz w:val="24"/>
        </w:rPr>
      </w:pPr>
    </w:p>
    <w:p w14:paraId="67F8EDBB">
      <w:pPr>
        <w:spacing w:line="360" w:lineRule="auto"/>
        <w:ind w:left="312"/>
        <w:rPr>
          <w:rFonts w:ascii="Times New Roman" w:hAnsi="Times New Roman" w:cs="Times New Roman"/>
          <w:b/>
          <w:sz w:val="24"/>
        </w:rPr>
      </w:pPr>
      <w:r>
        <w:rPr>
          <w:rFonts w:ascii="Times New Roman" w:hAnsi="Times New Roman" w:cs="Times New Roman"/>
          <w:b/>
          <w:sz w:val="24"/>
        </w:rPr>
        <w:t>法定代表人或授权代表（签字或盖章）：</w:t>
      </w:r>
    </w:p>
    <w:p w14:paraId="675DC09F">
      <w:pPr>
        <w:pStyle w:val="18"/>
        <w:spacing w:line="360" w:lineRule="auto"/>
        <w:rPr>
          <w:rFonts w:ascii="Times New Roman" w:hAnsi="Times New Roman" w:cs="Times New Roman"/>
          <w:b/>
          <w:sz w:val="24"/>
        </w:rPr>
      </w:pPr>
    </w:p>
    <w:p w14:paraId="517E6A45">
      <w:pPr>
        <w:pStyle w:val="18"/>
        <w:spacing w:before="11" w:line="360" w:lineRule="auto"/>
        <w:rPr>
          <w:rFonts w:ascii="Times New Roman" w:hAnsi="Times New Roman" w:cs="Times New Roman"/>
          <w:b/>
          <w:sz w:val="24"/>
        </w:rPr>
      </w:pPr>
    </w:p>
    <w:p w14:paraId="26DB0EE1">
      <w:pPr>
        <w:tabs>
          <w:tab w:val="left" w:pos="1517"/>
          <w:tab w:val="left" w:pos="2120"/>
          <w:tab w:val="left" w:pos="2845"/>
        </w:tabs>
        <w:spacing w:line="360" w:lineRule="auto"/>
        <w:ind w:left="312"/>
        <w:rPr>
          <w:rFonts w:ascii="Times New Roman" w:hAnsi="Times New Roman" w:cs="Times New Roman"/>
          <w:b/>
          <w:sz w:val="24"/>
        </w:rPr>
      </w:pPr>
      <w:r>
        <w:rPr>
          <w:rFonts w:ascii="Times New Roman" w:hAnsi="Times New Roman" w:cs="Times New Roman"/>
          <w:b/>
          <w:sz w:val="24"/>
        </w:rPr>
        <w:t>日期：</w:t>
      </w:r>
      <w:r>
        <w:rPr>
          <w:rFonts w:ascii="Times New Roman" w:hAnsi="Times New Roman" w:cs="Times New Roman"/>
          <w:b/>
          <w:sz w:val="24"/>
        </w:rPr>
        <w:tab/>
      </w:r>
      <w:r>
        <w:rPr>
          <w:rFonts w:ascii="Times New Roman" w:hAnsi="Times New Roman" w:cs="Times New Roman"/>
          <w:b/>
          <w:sz w:val="24"/>
        </w:rPr>
        <w:t>年</w:t>
      </w:r>
      <w:r>
        <w:rPr>
          <w:rFonts w:ascii="Times New Roman" w:hAnsi="Times New Roman" w:cs="Times New Roman"/>
          <w:b/>
          <w:sz w:val="24"/>
        </w:rPr>
        <w:tab/>
      </w:r>
      <w:r>
        <w:rPr>
          <w:rFonts w:ascii="Times New Roman" w:hAnsi="Times New Roman" w:cs="Times New Roman"/>
          <w:b/>
          <w:sz w:val="24"/>
        </w:rPr>
        <w:t>月</w:t>
      </w:r>
      <w:r>
        <w:rPr>
          <w:rFonts w:ascii="Times New Roman" w:hAnsi="Times New Roman" w:cs="Times New Roman"/>
          <w:b/>
          <w:sz w:val="24"/>
        </w:rPr>
        <w:tab/>
      </w:r>
      <w:r>
        <w:rPr>
          <w:rFonts w:ascii="Times New Roman" w:hAnsi="Times New Roman" w:cs="Times New Roman"/>
          <w:b/>
          <w:sz w:val="24"/>
        </w:rPr>
        <w:t>日</w:t>
      </w:r>
    </w:p>
    <w:p w14:paraId="47500C20">
      <w:pPr>
        <w:pStyle w:val="3"/>
        <w:spacing w:before="78" w:line="360" w:lineRule="auto"/>
        <w:rPr>
          <w:rFonts w:ascii="Times New Roman" w:hAnsi="Times New Roman" w:eastAsia="仿宋" w:cs="Times New Roman"/>
          <w:spacing w:val="-21"/>
        </w:rPr>
      </w:pPr>
    </w:p>
    <w:p w14:paraId="2DCE7936">
      <w:pPr>
        <w:pStyle w:val="3"/>
        <w:spacing w:before="78" w:line="360" w:lineRule="auto"/>
        <w:rPr>
          <w:rFonts w:ascii="Times New Roman" w:hAnsi="Times New Roman" w:eastAsia="仿宋" w:cs="Times New Roman"/>
          <w:spacing w:val="-21"/>
        </w:rPr>
      </w:pPr>
    </w:p>
    <w:p w14:paraId="748B27DA">
      <w:pPr>
        <w:pStyle w:val="3"/>
        <w:spacing w:before="78" w:line="360" w:lineRule="auto"/>
        <w:rPr>
          <w:rFonts w:ascii="Times New Roman" w:hAnsi="Times New Roman" w:eastAsia="仿宋" w:cs="Times New Roman"/>
          <w:spacing w:val="-21"/>
        </w:rPr>
      </w:pPr>
    </w:p>
    <w:p w14:paraId="73EEF6AD">
      <w:pPr>
        <w:rPr>
          <w:rFonts w:ascii="Times New Roman" w:hAnsi="Times New Roman" w:cs="Times New Roman"/>
        </w:rPr>
      </w:pPr>
    </w:p>
    <w:p w14:paraId="1F308FE5">
      <w:pPr>
        <w:rPr>
          <w:rFonts w:ascii="Times New Roman" w:hAnsi="Times New Roman" w:cs="Times New Roman"/>
        </w:rPr>
      </w:pPr>
    </w:p>
    <w:p w14:paraId="6E452726">
      <w:pPr>
        <w:rPr>
          <w:rFonts w:ascii="Times New Roman" w:hAnsi="Times New Roman" w:cs="Times New Roman"/>
        </w:rPr>
      </w:pPr>
    </w:p>
    <w:p w14:paraId="5098BFED">
      <w:pPr>
        <w:rPr>
          <w:rFonts w:ascii="Times New Roman" w:hAnsi="Times New Roman" w:cs="Times New Roman"/>
        </w:rPr>
      </w:pPr>
    </w:p>
    <w:p w14:paraId="1E0A328A">
      <w:pPr>
        <w:rPr>
          <w:rFonts w:ascii="Times New Roman" w:hAnsi="Times New Roman" w:cs="Times New Roman"/>
        </w:rPr>
      </w:pPr>
    </w:p>
    <w:p w14:paraId="47069EC1">
      <w:pPr>
        <w:rPr>
          <w:rFonts w:ascii="Times New Roman" w:hAnsi="Times New Roman" w:cs="Times New Roman"/>
        </w:rPr>
      </w:pPr>
    </w:p>
    <w:p w14:paraId="0C41CA8B">
      <w:pPr>
        <w:rPr>
          <w:rFonts w:ascii="Times New Roman" w:hAnsi="Times New Roman" w:cs="Times New Roman"/>
        </w:rPr>
      </w:pPr>
    </w:p>
    <w:p w14:paraId="185F48F3">
      <w:pPr>
        <w:rPr>
          <w:rFonts w:ascii="Times New Roman" w:hAnsi="Times New Roman" w:cs="Times New Roman"/>
        </w:rPr>
      </w:pPr>
    </w:p>
    <w:p w14:paraId="5AC2F265">
      <w:pPr>
        <w:rPr>
          <w:rFonts w:ascii="Times New Roman" w:hAnsi="Times New Roman" w:cs="Times New Roman"/>
        </w:rPr>
      </w:pPr>
    </w:p>
    <w:p w14:paraId="5CFB6C12">
      <w:pPr>
        <w:rPr>
          <w:rFonts w:ascii="Times New Roman" w:hAnsi="Times New Roman" w:cs="Times New Roman"/>
        </w:rPr>
      </w:pPr>
    </w:p>
    <w:p w14:paraId="6EC594FE">
      <w:pPr>
        <w:rPr>
          <w:rFonts w:ascii="Times New Roman" w:hAnsi="Times New Roman" w:cs="Times New Roman"/>
        </w:rPr>
      </w:pPr>
    </w:p>
    <w:p w14:paraId="2106CB50">
      <w:pPr>
        <w:rPr>
          <w:rFonts w:ascii="Times New Roman" w:hAnsi="Times New Roman" w:cs="Times New Roman"/>
        </w:rPr>
      </w:pPr>
    </w:p>
    <w:p w14:paraId="1B00780D">
      <w:pPr>
        <w:rPr>
          <w:rFonts w:ascii="Times New Roman" w:hAnsi="Times New Roman" w:cs="Times New Roman"/>
        </w:rPr>
      </w:pPr>
    </w:p>
    <w:p w14:paraId="544C704B">
      <w:pPr>
        <w:rPr>
          <w:rFonts w:ascii="Times New Roman" w:hAnsi="Times New Roman" w:cs="Times New Roman"/>
        </w:rPr>
      </w:pPr>
    </w:p>
    <w:p w14:paraId="5B4EC55D">
      <w:pPr>
        <w:rPr>
          <w:rFonts w:ascii="Times New Roman" w:hAnsi="Times New Roman" w:cs="Times New Roman"/>
        </w:rPr>
      </w:pPr>
    </w:p>
    <w:p w14:paraId="2F795E16">
      <w:pPr>
        <w:pStyle w:val="3"/>
        <w:spacing w:before="78" w:line="360" w:lineRule="auto"/>
        <w:rPr>
          <w:rFonts w:ascii="Times New Roman" w:hAnsi="Times New Roman" w:eastAsia="仿宋" w:cs="Times New Roman"/>
        </w:rPr>
      </w:pPr>
      <w:bookmarkStart w:id="91" w:name="_Toc108100460"/>
      <w:r>
        <w:rPr>
          <w:rFonts w:ascii="Times New Roman" w:hAnsi="Times New Roman" w:eastAsia="仿宋" w:cs="Times New Roman"/>
          <w:spacing w:val="-21"/>
        </w:rPr>
        <w:t>附件</w:t>
      </w:r>
      <w:r>
        <w:rPr>
          <w:rFonts w:hint="eastAsia" w:ascii="Times New Roman" w:hAnsi="Times New Roman" w:eastAsia="仿宋" w:cs="Times New Roman"/>
        </w:rPr>
        <w:t>7</w:t>
      </w:r>
      <w:r>
        <w:rPr>
          <w:rFonts w:ascii="Times New Roman" w:hAnsi="Times New Roman" w:eastAsia="仿宋" w:cs="Times New Roman"/>
        </w:rPr>
        <w:t>： 服务承诺</w:t>
      </w:r>
      <w:bookmarkEnd w:id="91"/>
    </w:p>
    <w:p w14:paraId="3222D5A4">
      <w:pPr>
        <w:spacing w:line="360" w:lineRule="auto"/>
        <w:ind w:left="312"/>
        <w:jc w:val="center"/>
        <w:rPr>
          <w:rFonts w:ascii="Times New Roman" w:hAnsi="Times New Roman" w:eastAsia="楷体" w:cs="Times New Roman"/>
          <w:b/>
          <w:sz w:val="36"/>
        </w:rPr>
      </w:pPr>
      <w:r>
        <w:rPr>
          <w:rFonts w:ascii="Times New Roman" w:hAnsi="Times New Roman" w:eastAsia="楷体" w:cs="Times New Roman"/>
          <w:b/>
          <w:sz w:val="36"/>
        </w:rPr>
        <w:t>服务承诺</w:t>
      </w:r>
    </w:p>
    <w:p w14:paraId="09FD8C84">
      <w:pPr>
        <w:pStyle w:val="18"/>
        <w:spacing w:before="99" w:line="360" w:lineRule="auto"/>
        <w:ind w:left="312" w:right="416" w:firstLine="420"/>
        <w:rPr>
          <w:rFonts w:ascii="Times New Roman" w:hAnsi="Times New Roman" w:cs="Times New Roman"/>
        </w:rPr>
      </w:pPr>
      <w:r>
        <w:rPr>
          <w:rFonts w:ascii="Times New Roman" w:hAnsi="Times New Roman" w:eastAsia="Times New Roman" w:cs="Times New Roman"/>
        </w:rPr>
        <w:t>1</w:t>
      </w:r>
      <w:r>
        <w:rPr>
          <w:rFonts w:ascii="Times New Roman" w:hAnsi="Times New Roman" w:cs="Times New Roman"/>
        </w:rPr>
        <w:t>、我单位承诺，一旦我方中标，我们将根据招标文件的规定，提供不低于招标文件要求的服务和相关规定。</w:t>
      </w:r>
    </w:p>
    <w:p w14:paraId="0E90EF44">
      <w:pPr>
        <w:pStyle w:val="18"/>
        <w:spacing w:line="360" w:lineRule="auto"/>
        <w:ind w:left="733"/>
        <w:rPr>
          <w:rFonts w:ascii="Times New Roman" w:hAnsi="Times New Roman" w:cs="Times New Roman"/>
        </w:rPr>
      </w:pPr>
      <w:r>
        <w:rPr>
          <w:rFonts w:ascii="Times New Roman" w:hAnsi="Times New Roman" w:eastAsia="Times New Roman" w:cs="Times New Roman"/>
        </w:rPr>
        <w:t>2</w:t>
      </w:r>
      <w:r>
        <w:rPr>
          <w:rFonts w:ascii="Times New Roman" w:hAnsi="Times New Roman" w:cs="Times New Roman"/>
        </w:rPr>
        <w:t>、其他服务承诺：</w:t>
      </w:r>
    </w:p>
    <w:p w14:paraId="7D81542C">
      <w:pPr>
        <w:pStyle w:val="18"/>
        <w:spacing w:line="360" w:lineRule="auto"/>
        <w:rPr>
          <w:rFonts w:ascii="Times New Roman" w:hAnsi="Times New Roman" w:cs="Times New Roman"/>
          <w:sz w:val="22"/>
        </w:rPr>
      </w:pPr>
    </w:p>
    <w:p w14:paraId="43E78C7A">
      <w:pPr>
        <w:pStyle w:val="18"/>
        <w:spacing w:line="360" w:lineRule="auto"/>
        <w:rPr>
          <w:rFonts w:ascii="Times New Roman" w:hAnsi="Times New Roman" w:cs="Times New Roman"/>
          <w:sz w:val="22"/>
        </w:rPr>
      </w:pPr>
    </w:p>
    <w:p w14:paraId="59F01A9B">
      <w:pPr>
        <w:pStyle w:val="18"/>
        <w:spacing w:line="360" w:lineRule="auto"/>
        <w:rPr>
          <w:rFonts w:ascii="Times New Roman" w:hAnsi="Times New Roman" w:cs="Times New Roman"/>
          <w:sz w:val="22"/>
        </w:rPr>
      </w:pPr>
    </w:p>
    <w:p w14:paraId="67229051">
      <w:pPr>
        <w:pStyle w:val="18"/>
        <w:spacing w:line="360" w:lineRule="auto"/>
        <w:rPr>
          <w:rFonts w:ascii="Times New Roman" w:hAnsi="Times New Roman" w:cs="Times New Roman"/>
          <w:sz w:val="22"/>
        </w:rPr>
      </w:pPr>
    </w:p>
    <w:p w14:paraId="31ED46E5">
      <w:pPr>
        <w:pStyle w:val="18"/>
        <w:spacing w:line="360" w:lineRule="auto"/>
        <w:rPr>
          <w:rFonts w:ascii="Times New Roman" w:hAnsi="Times New Roman" w:cs="Times New Roman"/>
          <w:sz w:val="22"/>
        </w:rPr>
      </w:pPr>
    </w:p>
    <w:p w14:paraId="4CA7077A">
      <w:pPr>
        <w:pStyle w:val="18"/>
        <w:spacing w:line="360" w:lineRule="auto"/>
        <w:rPr>
          <w:rFonts w:ascii="Times New Roman" w:hAnsi="Times New Roman" w:cs="Times New Roman"/>
          <w:sz w:val="22"/>
        </w:rPr>
      </w:pPr>
    </w:p>
    <w:p w14:paraId="2D05323B">
      <w:pPr>
        <w:pStyle w:val="18"/>
        <w:spacing w:line="360" w:lineRule="auto"/>
        <w:rPr>
          <w:rFonts w:ascii="Times New Roman" w:hAnsi="Times New Roman" w:cs="Times New Roman"/>
          <w:sz w:val="22"/>
        </w:rPr>
      </w:pPr>
    </w:p>
    <w:p w14:paraId="3469F61B">
      <w:pPr>
        <w:pStyle w:val="18"/>
        <w:spacing w:line="360" w:lineRule="auto"/>
        <w:rPr>
          <w:rFonts w:ascii="Times New Roman" w:hAnsi="Times New Roman" w:cs="Times New Roman"/>
          <w:sz w:val="22"/>
        </w:rPr>
      </w:pPr>
    </w:p>
    <w:p w14:paraId="3B17AF34">
      <w:pPr>
        <w:pStyle w:val="18"/>
        <w:spacing w:line="360" w:lineRule="auto"/>
        <w:rPr>
          <w:rFonts w:ascii="Times New Roman" w:hAnsi="Times New Roman" w:cs="Times New Roman"/>
          <w:sz w:val="22"/>
        </w:rPr>
      </w:pPr>
    </w:p>
    <w:p w14:paraId="04F711F4">
      <w:pPr>
        <w:pStyle w:val="18"/>
        <w:spacing w:line="360" w:lineRule="auto"/>
        <w:rPr>
          <w:rFonts w:ascii="Times New Roman" w:hAnsi="Times New Roman" w:cs="Times New Roman"/>
          <w:sz w:val="22"/>
        </w:rPr>
      </w:pPr>
    </w:p>
    <w:p w14:paraId="443F4510">
      <w:pPr>
        <w:pStyle w:val="18"/>
        <w:spacing w:line="360" w:lineRule="auto"/>
        <w:rPr>
          <w:rFonts w:ascii="Times New Roman" w:hAnsi="Times New Roman" w:cs="Times New Roman"/>
          <w:sz w:val="22"/>
        </w:rPr>
      </w:pPr>
    </w:p>
    <w:p w14:paraId="4B6321CB">
      <w:pPr>
        <w:pStyle w:val="18"/>
        <w:spacing w:line="360" w:lineRule="auto"/>
        <w:rPr>
          <w:rFonts w:ascii="Times New Roman" w:hAnsi="Times New Roman" w:cs="Times New Roman"/>
          <w:sz w:val="22"/>
        </w:rPr>
      </w:pPr>
    </w:p>
    <w:p w14:paraId="5C35E11F">
      <w:pPr>
        <w:pStyle w:val="18"/>
        <w:spacing w:line="360" w:lineRule="auto"/>
        <w:rPr>
          <w:rFonts w:ascii="Times New Roman" w:hAnsi="Times New Roman" w:cs="Times New Roman"/>
          <w:sz w:val="22"/>
        </w:rPr>
      </w:pPr>
    </w:p>
    <w:p w14:paraId="6BE4CE42">
      <w:pPr>
        <w:pStyle w:val="18"/>
        <w:spacing w:line="360" w:lineRule="auto"/>
        <w:rPr>
          <w:rFonts w:ascii="Times New Roman" w:hAnsi="Times New Roman" w:cs="Times New Roman"/>
          <w:sz w:val="22"/>
        </w:rPr>
      </w:pPr>
    </w:p>
    <w:p w14:paraId="353E2395">
      <w:pPr>
        <w:pStyle w:val="18"/>
        <w:spacing w:line="360" w:lineRule="auto"/>
        <w:rPr>
          <w:rFonts w:ascii="Times New Roman" w:hAnsi="Times New Roman" w:cs="Times New Roman"/>
          <w:sz w:val="22"/>
        </w:rPr>
      </w:pPr>
    </w:p>
    <w:p w14:paraId="528AAC50">
      <w:pPr>
        <w:pStyle w:val="18"/>
        <w:spacing w:before="10" w:line="360" w:lineRule="auto"/>
        <w:rPr>
          <w:rFonts w:ascii="Times New Roman" w:hAnsi="Times New Roman" w:cs="Times New Roman"/>
          <w:sz w:val="24"/>
        </w:rPr>
      </w:pPr>
    </w:p>
    <w:p w14:paraId="5D52ACC3">
      <w:pPr>
        <w:spacing w:line="360" w:lineRule="auto"/>
        <w:ind w:left="312"/>
        <w:rPr>
          <w:rFonts w:ascii="Times New Roman" w:hAnsi="Times New Roman" w:cs="Times New Roman"/>
          <w:b/>
          <w:sz w:val="24"/>
        </w:rPr>
      </w:pPr>
      <w:r>
        <w:rPr>
          <w:rFonts w:ascii="Times New Roman" w:hAnsi="Times New Roman" w:cs="Times New Roman"/>
          <w:b/>
          <w:sz w:val="24"/>
        </w:rPr>
        <w:t>投标人（公章）：</w:t>
      </w:r>
    </w:p>
    <w:p w14:paraId="106CC5ED">
      <w:pPr>
        <w:spacing w:line="360" w:lineRule="auto"/>
        <w:ind w:left="312"/>
        <w:rPr>
          <w:rFonts w:ascii="Times New Roman" w:hAnsi="Times New Roman" w:cs="Times New Roman"/>
          <w:b/>
          <w:sz w:val="24"/>
        </w:rPr>
      </w:pPr>
    </w:p>
    <w:p w14:paraId="413CDA1F">
      <w:pPr>
        <w:spacing w:line="360" w:lineRule="auto"/>
        <w:ind w:left="312"/>
        <w:rPr>
          <w:rFonts w:ascii="Times New Roman" w:hAnsi="Times New Roman" w:cs="Times New Roman"/>
          <w:b/>
          <w:sz w:val="24"/>
        </w:rPr>
      </w:pPr>
      <w:r>
        <w:rPr>
          <w:rFonts w:ascii="Times New Roman" w:hAnsi="Times New Roman" w:cs="Times New Roman"/>
          <w:b/>
          <w:sz w:val="24"/>
        </w:rPr>
        <w:t>法定代表人或授权代表（签字或盖章）：</w:t>
      </w:r>
    </w:p>
    <w:p w14:paraId="2D601087">
      <w:pPr>
        <w:spacing w:line="360" w:lineRule="auto"/>
        <w:ind w:left="312"/>
        <w:rPr>
          <w:rFonts w:ascii="Times New Roman" w:hAnsi="Times New Roman" w:cs="Times New Roman"/>
          <w:b/>
          <w:sz w:val="24"/>
        </w:rPr>
      </w:pPr>
      <w:r>
        <w:rPr>
          <w:rFonts w:ascii="Times New Roman" w:hAnsi="Times New Roman" w:cs="Times New Roman"/>
          <w:b/>
          <w:sz w:val="24"/>
        </w:rPr>
        <w:t xml:space="preserve"> 日</w:t>
      </w:r>
      <w:r>
        <w:rPr>
          <w:rFonts w:ascii="Times New Roman" w:hAnsi="Times New Roman" w:cs="Times New Roman"/>
          <w:b/>
          <w:sz w:val="24"/>
        </w:rPr>
        <w:tab/>
      </w:r>
      <w:r>
        <w:rPr>
          <w:rFonts w:ascii="Times New Roman" w:hAnsi="Times New Roman" w:cs="Times New Roman"/>
          <w:b/>
          <w:sz w:val="24"/>
        </w:rPr>
        <w:t>期：</w:t>
      </w:r>
      <w:r>
        <w:rPr>
          <w:rFonts w:ascii="Times New Roman" w:hAnsi="Times New Roman" w:cs="Times New Roman"/>
          <w:b/>
          <w:sz w:val="24"/>
        </w:rPr>
        <w:tab/>
      </w:r>
      <w:r>
        <w:rPr>
          <w:rFonts w:ascii="Times New Roman" w:hAnsi="Times New Roman" w:cs="Times New Roman"/>
          <w:b/>
          <w:sz w:val="24"/>
        </w:rPr>
        <w:t>年</w:t>
      </w:r>
      <w:r>
        <w:rPr>
          <w:rFonts w:ascii="Times New Roman" w:hAnsi="Times New Roman" w:cs="Times New Roman"/>
          <w:b/>
          <w:sz w:val="24"/>
        </w:rPr>
        <w:tab/>
      </w:r>
      <w:r>
        <w:rPr>
          <w:rFonts w:ascii="Times New Roman" w:hAnsi="Times New Roman" w:cs="Times New Roman"/>
          <w:b/>
          <w:sz w:val="24"/>
        </w:rPr>
        <w:t>月</w:t>
      </w:r>
      <w:r>
        <w:rPr>
          <w:rFonts w:ascii="Times New Roman" w:hAnsi="Times New Roman" w:cs="Times New Roman"/>
          <w:b/>
          <w:sz w:val="24"/>
        </w:rPr>
        <w:tab/>
      </w:r>
      <w:r>
        <w:rPr>
          <w:rFonts w:ascii="Times New Roman" w:hAnsi="Times New Roman" w:cs="Times New Roman"/>
          <w:b/>
          <w:sz w:val="24"/>
        </w:rPr>
        <w:t>日</w:t>
      </w:r>
    </w:p>
    <w:p w14:paraId="48650EC8">
      <w:pPr>
        <w:spacing w:line="360" w:lineRule="auto"/>
        <w:ind w:left="312"/>
        <w:rPr>
          <w:rFonts w:ascii="Times New Roman" w:hAnsi="Times New Roman" w:cs="Times New Roman"/>
          <w:b/>
          <w:sz w:val="24"/>
        </w:rPr>
      </w:pPr>
    </w:p>
    <w:p w14:paraId="710574D7">
      <w:pPr>
        <w:spacing w:line="360" w:lineRule="auto"/>
        <w:ind w:left="312"/>
        <w:rPr>
          <w:rFonts w:ascii="Times New Roman" w:hAnsi="Times New Roman" w:cs="Times New Roman"/>
          <w:b/>
          <w:sz w:val="24"/>
        </w:rPr>
      </w:pPr>
    </w:p>
    <w:p w14:paraId="0567085D">
      <w:pPr>
        <w:spacing w:line="360" w:lineRule="auto"/>
        <w:ind w:left="312"/>
        <w:rPr>
          <w:rFonts w:ascii="Times New Roman" w:hAnsi="Times New Roman" w:cs="Times New Roman"/>
          <w:b/>
          <w:sz w:val="24"/>
        </w:rPr>
      </w:pPr>
    </w:p>
    <w:p w14:paraId="097DA98A">
      <w:pPr>
        <w:spacing w:line="360" w:lineRule="auto"/>
        <w:ind w:left="312"/>
        <w:rPr>
          <w:rFonts w:ascii="Times New Roman" w:hAnsi="Times New Roman" w:cs="Times New Roman"/>
          <w:b/>
          <w:sz w:val="24"/>
        </w:rPr>
      </w:pPr>
    </w:p>
    <w:p w14:paraId="6F46202A">
      <w:pPr>
        <w:spacing w:line="360" w:lineRule="auto"/>
        <w:ind w:left="312"/>
        <w:rPr>
          <w:rFonts w:ascii="Times New Roman" w:hAnsi="Times New Roman" w:cs="Times New Roman"/>
          <w:b/>
          <w:sz w:val="24"/>
        </w:rPr>
      </w:pPr>
    </w:p>
    <w:p w14:paraId="212BF4DE">
      <w:pPr>
        <w:spacing w:line="360" w:lineRule="auto"/>
        <w:ind w:left="312"/>
        <w:rPr>
          <w:rFonts w:ascii="Times New Roman" w:hAnsi="Times New Roman" w:cs="Times New Roman"/>
          <w:b/>
          <w:sz w:val="24"/>
        </w:rPr>
      </w:pPr>
    </w:p>
    <w:p w14:paraId="28647281">
      <w:pPr>
        <w:spacing w:line="360" w:lineRule="auto"/>
        <w:ind w:left="312"/>
        <w:rPr>
          <w:rFonts w:ascii="Times New Roman" w:hAnsi="Times New Roman" w:cs="Times New Roman"/>
          <w:b/>
          <w:sz w:val="24"/>
        </w:rPr>
      </w:pPr>
    </w:p>
    <w:p w14:paraId="00DEAFA9">
      <w:pPr>
        <w:spacing w:line="360" w:lineRule="auto"/>
        <w:ind w:left="312"/>
        <w:rPr>
          <w:rFonts w:ascii="Times New Roman" w:hAnsi="Times New Roman" w:cs="Times New Roman"/>
          <w:b/>
          <w:sz w:val="24"/>
        </w:rPr>
      </w:pPr>
    </w:p>
    <w:p w14:paraId="3F9932EF">
      <w:pPr>
        <w:spacing w:line="360" w:lineRule="auto"/>
        <w:ind w:left="312"/>
        <w:rPr>
          <w:rFonts w:ascii="Times New Roman" w:hAnsi="Times New Roman" w:cs="Times New Roman"/>
          <w:b/>
          <w:sz w:val="24"/>
        </w:rPr>
      </w:pPr>
    </w:p>
    <w:p w14:paraId="0AC675D0">
      <w:pPr>
        <w:pStyle w:val="18"/>
        <w:spacing w:before="4" w:line="360" w:lineRule="auto"/>
        <w:rPr>
          <w:rFonts w:ascii="Times New Roman" w:hAnsi="Times New Roman" w:cs="Times New Roman"/>
          <w:b/>
          <w:sz w:val="2"/>
        </w:rPr>
      </w:pPr>
    </w:p>
    <w:p w14:paraId="2799E8E2">
      <w:pPr>
        <w:pStyle w:val="18"/>
        <w:spacing w:before="4" w:line="360" w:lineRule="auto"/>
        <w:rPr>
          <w:rFonts w:ascii="Times New Roman" w:hAnsi="Times New Roman" w:cs="Times New Roman"/>
          <w:b/>
          <w:sz w:val="2"/>
        </w:rPr>
      </w:pPr>
    </w:p>
    <w:p w14:paraId="32979D0A">
      <w:pPr>
        <w:pStyle w:val="18"/>
        <w:spacing w:before="4" w:line="360" w:lineRule="auto"/>
        <w:rPr>
          <w:rFonts w:ascii="Times New Roman" w:hAnsi="Times New Roman" w:cs="Times New Roman"/>
          <w:b/>
          <w:sz w:val="2"/>
        </w:rPr>
      </w:pPr>
    </w:p>
    <w:p w14:paraId="7F7DCC3F">
      <w:pPr>
        <w:pStyle w:val="18"/>
        <w:spacing w:before="4" w:line="360" w:lineRule="auto"/>
        <w:rPr>
          <w:rFonts w:ascii="Times New Roman" w:hAnsi="Times New Roman" w:cs="Times New Roman"/>
          <w:b/>
          <w:sz w:val="2"/>
        </w:rPr>
      </w:pPr>
    </w:p>
    <w:p w14:paraId="5EB2997D">
      <w:pPr>
        <w:pStyle w:val="18"/>
        <w:spacing w:line="360" w:lineRule="auto"/>
        <w:ind w:left="276"/>
        <w:rPr>
          <w:rFonts w:ascii="Times New Roman" w:hAnsi="Times New Roman" w:cs="Times New Roman"/>
          <w:sz w:val="2"/>
        </w:rPr>
      </w:pPr>
    </w:p>
    <w:p w14:paraId="50E15653">
      <w:pPr>
        <w:pStyle w:val="3"/>
        <w:spacing w:before="29" w:line="360" w:lineRule="auto"/>
        <w:rPr>
          <w:rFonts w:ascii="Times New Roman" w:hAnsi="Times New Roman" w:eastAsia="仿宋" w:cs="Times New Roman"/>
        </w:rPr>
      </w:pPr>
      <w:bookmarkStart w:id="92" w:name="_Toc108100461"/>
      <w:r>
        <w:rPr>
          <w:rFonts w:ascii="Times New Roman" w:hAnsi="Times New Roman" w:eastAsia="仿宋" w:cs="Times New Roman"/>
        </w:rPr>
        <w:t xml:space="preserve">附件 </w:t>
      </w:r>
      <w:r>
        <w:rPr>
          <w:rFonts w:hint="eastAsia" w:ascii="Times New Roman" w:hAnsi="Times New Roman" w:eastAsia="仿宋" w:cs="Times New Roman"/>
        </w:rPr>
        <w:t>8</w:t>
      </w:r>
      <w:r>
        <w:rPr>
          <w:rFonts w:ascii="Times New Roman" w:hAnsi="Times New Roman" w:eastAsia="仿宋" w:cs="Times New Roman"/>
        </w:rPr>
        <w:t>： 报价文件封面格式及目录</w:t>
      </w:r>
      <w:bookmarkEnd w:id="92"/>
    </w:p>
    <w:p w14:paraId="470628FD">
      <w:pPr>
        <w:pStyle w:val="18"/>
        <w:spacing w:before="8" w:line="360" w:lineRule="auto"/>
        <w:rPr>
          <w:rFonts w:ascii="Times New Roman" w:hAnsi="Times New Roman" w:cs="Times New Roman"/>
          <w:b/>
          <w:sz w:val="22"/>
        </w:rPr>
      </w:pPr>
    </w:p>
    <w:p w14:paraId="7A8A1EC1">
      <w:pPr>
        <w:spacing w:line="360" w:lineRule="auto"/>
        <w:ind w:right="1650"/>
        <w:jc w:val="right"/>
        <w:rPr>
          <w:rFonts w:ascii="Times New Roman" w:hAnsi="Times New Roman" w:cs="Times New Roman"/>
          <w:sz w:val="30"/>
        </w:rPr>
      </w:pPr>
      <w:r>
        <w:rPr>
          <w:rFonts w:ascii="Times New Roman" w:hAnsi="Times New Roman" w:cs="Times New Roman"/>
          <w:sz w:val="30"/>
        </w:rPr>
        <w:t>正本或副本</w:t>
      </w:r>
    </w:p>
    <w:p w14:paraId="13D73B16">
      <w:pPr>
        <w:pStyle w:val="18"/>
        <w:spacing w:before="6" w:line="360" w:lineRule="auto"/>
        <w:rPr>
          <w:rFonts w:ascii="Times New Roman" w:hAnsi="Times New Roman" w:cs="Times New Roman"/>
          <w:sz w:val="23"/>
        </w:rPr>
      </w:pPr>
    </w:p>
    <w:p w14:paraId="0A3A82CF">
      <w:pPr>
        <w:spacing w:line="360" w:lineRule="auto"/>
        <w:ind w:left="472" w:right="503"/>
        <w:jc w:val="center"/>
        <w:rPr>
          <w:rFonts w:ascii="Times New Roman" w:hAnsi="Times New Roman" w:cs="Times New Roman"/>
          <w:sz w:val="52"/>
        </w:rPr>
      </w:pPr>
      <w:r>
        <w:rPr>
          <w:rFonts w:ascii="Times New Roman" w:hAnsi="Times New Roman" w:cs="Times New Roman"/>
          <w:sz w:val="52"/>
        </w:rPr>
        <w:t>项目名称： ×××</w:t>
      </w:r>
    </w:p>
    <w:p w14:paraId="631D8776">
      <w:pPr>
        <w:tabs>
          <w:tab w:val="left" w:pos="3245"/>
        </w:tabs>
        <w:spacing w:before="247" w:line="360" w:lineRule="auto"/>
        <w:ind w:left="4"/>
        <w:jc w:val="center"/>
        <w:rPr>
          <w:rFonts w:ascii="Times New Roman" w:hAnsi="Times New Roman" w:cs="Times New Roman"/>
          <w:sz w:val="36"/>
        </w:rPr>
      </w:pPr>
      <w:r>
        <w:rPr>
          <w:rFonts w:ascii="Times New Roman" w:hAnsi="Times New Roman" w:cs="Times New Roman"/>
          <w:sz w:val="36"/>
        </w:rPr>
        <w:t>项目编号：</w:t>
      </w:r>
      <w:r>
        <w:rPr>
          <w:rFonts w:ascii="Times New Roman" w:hAnsi="Times New Roman" w:cs="Times New Roman"/>
          <w:sz w:val="36"/>
        </w:rPr>
        <w:tab/>
      </w:r>
      <w:r>
        <w:rPr>
          <w:rFonts w:ascii="Times New Roman" w:hAnsi="Times New Roman" w:cs="Times New Roman"/>
          <w:sz w:val="36"/>
        </w:rPr>
        <w:t>××××</w:t>
      </w:r>
    </w:p>
    <w:p w14:paraId="6EAC546F">
      <w:pPr>
        <w:pStyle w:val="18"/>
        <w:spacing w:before="1" w:line="360" w:lineRule="auto"/>
        <w:rPr>
          <w:rFonts w:ascii="Times New Roman" w:hAnsi="Times New Roman" w:cs="Times New Roman"/>
          <w:sz w:val="49"/>
        </w:rPr>
      </w:pPr>
    </w:p>
    <w:p w14:paraId="0623F3AD">
      <w:pPr>
        <w:spacing w:line="360" w:lineRule="auto"/>
        <w:jc w:val="center"/>
        <w:rPr>
          <w:rFonts w:ascii="Times New Roman" w:hAnsi="Times New Roman" w:cs="Times New Roman"/>
          <w:b/>
          <w:sz w:val="84"/>
        </w:rPr>
      </w:pPr>
      <w:r>
        <w:rPr>
          <w:rFonts w:ascii="Times New Roman" w:hAnsi="Times New Roman" w:cs="Times New Roman"/>
          <w:b/>
          <w:sz w:val="84"/>
        </w:rPr>
        <w:t>报</w:t>
      </w:r>
    </w:p>
    <w:p w14:paraId="7CB75025">
      <w:pPr>
        <w:spacing w:line="360" w:lineRule="auto"/>
        <w:jc w:val="center"/>
        <w:rPr>
          <w:rFonts w:ascii="Times New Roman" w:hAnsi="Times New Roman" w:cs="Times New Roman"/>
          <w:b/>
          <w:sz w:val="84"/>
        </w:rPr>
      </w:pPr>
      <w:r>
        <w:rPr>
          <w:rFonts w:ascii="Times New Roman" w:hAnsi="Times New Roman" w:cs="Times New Roman"/>
          <w:b/>
          <w:sz w:val="84"/>
        </w:rPr>
        <w:t>价</w:t>
      </w:r>
    </w:p>
    <w:p w14:paraId="25FB813E">
      <w:pPr>
        <w:spacing w:line="360" w:lineRule="auto"/>
        <w:jc w:val="center"/>
        <w:rPr>
          <w:rFonts w:ascii="Times New Roman" w:hAnsi="Times New Roman" w:cs="Times New Roman"/>
          <w:b/>
          <w:sz w:val="84"/>
        </w:rPr>
      </w:pPr>
      <w:r>
        <w:rPr>
          <w:rFonts w:ascii="Times New Roman" w:hAnsi="Times New Roman" w:cs="Times New Roman"/>
          <w:b/>
          <w:sz w:val="84"/>
        </w:rPr>
        <w:t>文</w:t>
      </w:r>
    </w:p>
    <w:p w14:paraId="74B64F52">
      <w:pPr>
        <w:spacing w:line="360" w:lineRule="auto"/>
        <w:jc w:val="center"/>
        <w:rPr>
          <w:rFonts w:ascii="Times New Roman" w:hAnsi="Times New Roman" w:cs="Times New Roman"/>
          <w:b/>
          <w:sz w:val="84"/>
        </w:rPr>
      </w:pPr>
      <w:r>
        <w:rPr>
          <w:rFonts w:ascii="Times New Roman" w:hAnsi="Times New Roman" w:cs="Times New Roman"/>
          <w:b/>
          <w:sz w:val="84"/>
        </w:rPr>
        <w:t>件</w:t>
      </w:r>
    </w:p>
    <w:p w14:paraId="19D697BA">
      <w:pPr>
        <w:tabs>
          <w:tab w:val="left" w:pos="2113"/>
        </w:tabs>
        <w:spacing w:line="360" w:lineRule="auto"/>
        <w:ind w:left="1033"/>
        <w:rPr>
          <w:rFonts w:ascii="Times New Roman" w:hAnsi="Times New Roman" w:cs="Times New Roman"/>
          <w:sz w:val="36"/>
        </w:rPr>
      </w:pPr>
      <w:r>
        <w:rPr>
          <w:rFonts w:ascii="Times New Roman" w:hAnsi="Times New Roman" w:cs="Times New Roman"/>
          <w:sz w:val="36"/>
        </w:rPr>
        <w:t>投标人全称（公章）：</w:t>
      </w:r>
    </w:p>
    <w:p w14:paraId="02150EEB">
      <w:pPr>
        <w:tabs>
          <w:tab w:val="left" w:pos="2113"/>
        </w:tabs>
        <w:spacing w:line="360" w:lineRule="auto"/>
        <w:ind w:left="1033"/>
        <w:rPr>
          <w:rFonts w:ascii="Times New Roman" w:hAnsi="Times New Roman" w:cs="Times New Roman"/>
          <w:sz w:val="36"/>
        </w:rPr>
      </w:pPr>
      <w:r>
        <w:rPr>
          <w:rFonts w:ascii="Times New Roman" w:hAnsi="Times New Roman" w:cs="Times New Roman"/>
          <w:sz w:val="36"/>
        </w:rPr>
        <w:t xml:space="preserve"> 地</w:t>
      </w:r>
      <w:r>
        <w:rPr>
          <w:rFonts w:ascii="Times New Roman" w:hAnsi="Times New Roman" w:cs="Times New Roman"/>
          <w:sz w:val="36"/>
        </w:rPr>
        <w:tab/>
      </w:r>
      <w:r>
        <w:rPr>
          <w:rFonts w:ascii="Times New Roman" w:hAnsi="Times New Roman" w:cs="Times New Roman"/>
          <w:sz w:val="36"/>
        </w:rPr>
        <w:t>址：</w:t>
      </w:r>
    </w:p>
    <w:p w14:paraId="7C6A919D">
      <w:pPr>
        <w:tabs>
          <w:tab w:val="left" w:pos="2113"/>
        </w:tabs>
        <w:spacing w:line="360" w:lineRule="auto"/>
        <w:ind w:left="1033"/>
        <w:rPr>
          <w:rFonts w:ascii="Times New Roman" w:hAnsi="Times New Roman" w:cs="Times New Roman"/>
          <w:sz w:val="36"/>
        </w:rPr>
      </w:pPr>
      <w:r>
        <w:rPr>
          <w:rFonts w:ascii="Times New Roman" w:hAnsi="Times New Roman" w:cs="Times New Roman"/>
          <w:sz w:val="36"/>
        </w:rPr>
        <w:t>时</w:t>
      </w:r>
      <w:r>
        <w:rPr>
          <w:rFonts w:ascii="Times New Roman" w:hAnsi="Times New Roman" w:cs="Times New Roman"/>
          <w:sz w:val="36"/>
        </w:rPr>
        <w:tab/>
      </w:r>
      <w:r>
        <w:rPr>
          <w:rFonts w:ascii="Times New Roman" w:hAnsi="Times New Roman" w:cs="Times New Roman"/>
          <w:sz w:val="36"/>
        </w:rPr>
        <w:t>间：</w:t>
      </w:r>
    </w:p>
    <w:p w14:paraId="19799FF7">
      <w:pPr>
        <w:tabs>
          <w:tab w:val="left" w:pos="2113"/>
        </w:tabs>
        <w:spacing w:line="360" w:lineRule="auto"/>
        <w:ind w:left="1033"/>
        <w:rPr>
          <w:rFonts w:ascii="Times New Roman" w:hAnsi="Times New Roman" w:cs="Times New Roman"/>
          <w:sz w:val="36"/>
        </w:rPr>
      </w:pPr>
    </w:p>
    <w:p w14:paraId="302C8B70">
      <w:pPr>
        <w:tabs>
          <w:tab w:val="left" w:pos="2113"/>
        </w:tabs>
        <w:spacing w:line="360" w:lineRule="auto"/>
        <w:ind w:left="1033"/>
        <w:rPr>
          <w:rFonts w:ascii="Times New Roman" w:hAnsi="Times New Roman" w:cs="Times New Roman"/>
          <w:sz w:val="36"/>
        </w:rPr>
      </w:pPr>
    </w:p>
    <w:p w14:paraId="16D25BAF">
      <w:pPr>
        <w:pStyle w:val="18"/>
        <w:spacing w:before="4" w:line="360" w:lineRule="auto"/>
        <w:rPr>
          <w:rFonts w:ascii="Times New Roman" w:hAnsi="Times New Roman" w:cs="Times New Roman"/>
          <w:sz w:val="2"/>
        </w:rPr>
      </w:pPr>
    </w:p>
    <w:p w14:paraId="15F81A65">
      <w:pPr>
        <w:pStyle w:val="18"/>
        <w:spacing w:line="360" w:lineRule="auto"/>
        <w:ind w:left="276"/>
        <w:rPr>
          <w:rFonts w:ascii="Times New Roman" w:hAnsi="Times New Roman" w:cs="Times New Roman"/>
          <w:sz w:val="2"/>
        </w:rPr>
      </w:pPr>
    </w:p>
    <w:p w14:paraId="3C2416D3">
      <w:pPr>
        <w:pStyle w:val="18"/>
        <w:spacing w:line="360" w:lineRule="auto"/>
        <w:ind w:left="276"/>
        <w:rPr>
          <w:rFonts w:ascii="Times New Roman" w:hAnsi="Times New Roman" w:cs="Times New Roman"/>
          <w:sz w:val="2"/>
        </w:rPr>
      </w:pPr>
    </w:p>
    <w:p w14:paraId="4CEC698E">
      <w:pPr>
        <w:pStyle w:val="18"/>
        <w:spacing w:line="360" w:lineRule="auto"/>
        <w:ind w:left="276"/>
        <w:rPr>
          <w:rFonts w:ascii="Times New Roman" w:hAnsi="Times New Roman" w:cs="Times New Roman"/>
          <w:sz w:val="2"/>
        </w:rPr>
      </w:pPr>
    </w:p>
    <w:p w14:paraId="6A079838">
      <w:pPr>
        <w:spacing w:before="12" w:line="360" w:lineRule="auto"/>
        <w:ind w:left="855"/>
        <w:jc w:val="center"/>
        <w:rPr>
          <w:rFonts w:ascii="Times New Roman" w:hAnsi="Times New Roman" w:eastAsia="仿宋" w:cs="Times New Roman"/>
          <w:b/>
          <w:sz w:val="36"/>
        </w:rPr>
      </w:pPr>
      <w:r>
        <w:rPr>
          <w:rFonts w:ascii="Times New Roman" w:hAnsi="Times New Roman" w:eastAsia="仿宋" w:cs="Times New Roman"/>
          <w:b/>
          <w:sz w:val="36"/>
        </w:rPr>
        <w:t>报价文件目录</w:t>
      </w:r>
    </w:p>
    <w:p w14:paraId="6B7D6361">
      <w:pPr>
        <w:pStyle w:val="61"/>
        <w:tabs>
          <w:tab w:val="left" w:pos="892"/>
        </w:tabs>
        <w:spacing w:before="141" w:line="360" w:lineRule="auto"/>
        <w:ind w:hanging="312"/>
        <w:rPr>
          <w:rFonts w:ascii="Times New Roman" w:hAnsi="Times New Roman" w:cs="Times New Roman"/>
          <w:spacing w:val="-3"/>
          <w:sz w:val="21"/>
        </w:rPr>
      </w:pPr>
    </w:p>
    <w:p w14:paraId="69059E5E">
      <w:pPr>
        <w:pStyle w:val="61"/>
        <w:tabs>
          <w:tab w:val="left" w:pos="1103"/>
        </w:tabs>
        <w:spacing w:before="0" w:line="360" w:lineRule="auto"/>
        <w:ind w:left="414" w:firstLine="0"/>
        <w:rPr>
          <w:rFonts w:ascii="Times New Roman" w:hAnsi="Times New Roman" w:cs="Times New Roman"/>
          <w:sz w:val="21"/>
        </w:rPr>
      </w:pPr>
      <w:r>
        <w:rPr>
          <w:rFonts w:ascii="Times New Roman" w:hAnsi="Times New Roman" w:cs="Times New Roman"/>
          <w:spacing w:val="-3"/>
          <w:sz w:val="21"/>
        </w:rPr>
        <w:t>1.报价文件封面格式及目录</w:t>
      </w:r>
      <w:r>
        <w:rPr>
          <w:rFonts w:ascii="Times New Roman" w:hAnsi="Times New Roman" w:cs="Times New Roman"/>
          <w:sz w:val="21"/>
        </w:rPr>
        <w:t>；</w:t>
      </w:r>
    </w:p>
    <w:p w14:paraId="0B804083">
      <w:pPr>
        <w:pStyle w:val="61"/>
        <w:tabs>
          <w:tab w:val="left" w:pos="1103"/>
        </w:tabs>
        <w:spacing w:before="0" w:line="360" w:lineRule="auto"/>
        <w:ind w:left="414" w:firstLine="0"/>
        <w:rPr>
          <w:rFonts w:ascii="Times New Roman" w:hAnsi="Times New Roman" w:cs="Times New Roman"/>
          <w:sz w:val="21"/>
        </w:rPr>
      </w:pPr>
      <w:r>
        <w:rPr>
          <w:rFonts w:ascii="Times New Roman" w:hAnsi="Times New Roman" w:cs="Times New Roman"/>
          <w:spacing w:val="-3"/>
          <w:sz w:val="21"/>
        </w:rPr>
        <w:t>2.报价一览表</w:t>
      </w:r>
      <w:r>
        <w:rPr>
          <w:rFonts w:ascii="Times New Roman" w:hAnsi="Times New Roman" w:cs="Times New Roman"/>
          <w:sz w:val="21"/>
        </w:rPr>
        <w:t>（</w:t>
      </w:r>
      <w:r>
        <w:rPr>
          <w:rFonts w:ascii="Times New Roman" w:hAnsi="Times New Roman" w:cs="Times New Roman"/>
          <w:spacing w:val="-16"/>
          <w:sz w:val="21"/>
        </w:rPr>
        <w:t xml:space="preserve">附件 </w:t>
      </w:r>
      <w:r>
        <w:rPr>
          <w:rFonts w:hint="eastAsia" w:ascii="Times New Roman" w:hAnsi="Times New Roman" w:cs="Times New Roman"/>
          <w:sz w:val="21"/>
        </w:rPr>
        <w:t>9</w:t>
      </w:r>
      <w:r>
        <w:rPr>
          <w:rFonts w:ascii="Times New Roman" w:hAnsi="Times New Roman" w:cs="Times New Roman"/>
          <w:sz w:val="21"/>
        </w:rPr>
        <w:t>）；</w:t>
      </w:r>
    </w:p>
    <w:p w14:paraId="567902E6">
      <w:pPr>
        <w:pStyle w:val="61"/>
        <w:tabs>
          <w:tab w:val="left" w:pos="1103"/>
        </w:tabs>
        <w:spacing w:before="0" w:line="360" w:lineRule="auto"/>
        <w:ind w:left="414" w:firstLine="0"/>
        <w:rPr>
          <w:rFonts w:ascii="Times New Roman" w:hAnsi="Times New Roman" w:cs="Times New Roman"/>
          <w:spacing w:val="-3"/>
          <w:sz w:val="21"/>
        </w:rPr>
      </w:pPr>
      <w:r>
        <w:rPr>
          <w:rFonts w:ascii="Times New Roman" w:hAnsi="Times New Roman" w:cs="Times New Roman"/>
          <w:spacing w:val="-3"/>
          <w:sz w:val="21"/>
        </w:rPr>
        <w:t>3.报价明细表（附件 1</w:t>
      </w:r>
      <w:r>
        <w:rPr>
          <w:rFonts w:hint="eastAsia" w:ascii="Times New Roman" w:hAnsi="Times New Roman" w:cs="Times New Roman"/>
          <w:spacing w:val="-3"/>
          <w:sz w:val="21"/>
        </w:rPr>
        <w:t>0</w:t>
      </w:r>
      <w:r>
        <w:rPr>
          <w:rFonts w:ascii="Times New Roman" w:hAnsi="Times New Roman" w:cs="Times New Roman"/>
          <w:spacing w:val="-3"/>
          <w:sz w:val="21"/>
        </w:rPr>
        <w:t>）；</w:t>
      </w:r>
    </w:p>
    <w:p w14:paraId="178053E2">
      <w:pPr>
        <w:pStyle w:val="61"/>
        <w:tabs>
          <w:tab w:val="left" w:pos="1103"/>
        </w:tabs>
        <w:spacing w:before="0" w:line="360" w:lineRule="auto"/>
        <w:ind w:left="414" w:firstLine="0"/>
        <w:rPr>
          <w:rFonts w:ascii="Times New Roman" w:hAnsi="Times New Roman" w:cs="Times New Roman"/>
          <w:spacing w:val="-3"/>
          <w:sz w:val="21"/>
        </w:rPr>
      </w:pPr>
      <w:r>
        <w:rPr>
          <w:rFonts w:hint="eastAsia" w:ascii="Times New Roman" w:hAnsi="Times New Roman" w:cs="Times New Roman"/>
          <w:spacing w:val="-3"/>
          <w:sz w:val="21"/>
        </w:rPr>
        <w:t>4</w:t>
      </w:r>
      <w:r>
        <w:rPr>
          <w:rFonts w:ascii="Times New Roman" w:hAnsi="Times New Roman" w:cs="Times New Roman"/>
          <w:spacing w:val="-3"/>
          <w:sz w:val="21"/>
        </w:rPr>
        <w:t>.投标人针对报价需要说明的其他文件和说明（格式自拟）</w:t>
      </w:r>
    </w:p>
    <w:p w14:paraId="5F5D9616">
      <w:pPr>
        <w:pStyle w:val="61"/>
        <w:tabs>
          <w:tab w:val="left" w:pos="892"/>
        </w:tabs>
        <w:spacing w:before="141" w:line="360" w:lineRule="auto"/>
        <w:ind w:hanging="312"/>
        <w:rPr>
          <w:rFonts w:ascii="Times New Roman" w:hAnsi="Times New Roman" w:cs="Times New Roman"/>
          <w:spacing w:val="-3"/>
          <w:sz w:val="21"/>
        </w:rPr>
      </w:pPr>
    </w:p>
    <w:p w14:paraId="26A3EA6C">
      <w:pPr>
        <w:pStyle w:val="61"/>
        <w:tabs>
          <w:tab w:val="left" w:pos="892"/>
        </w:tabs>
        <w:spacing w:before="141" w:line="360" w:lineRule="auto"/>
        <w:ind w:hanging="312"/>
        <w:rPr>
          <w:rFonts w:ascii="Times New Roman" w:hAnsi="Times New Roman" w:cs="Times New Roman"/>
          <w:spacing w:val="-3"/>
          <w:sz w:val="21"/>
        </w:rPr>
      </w:pPr>
    </w:p>
    <w:p w14:paraId="58CDBD1E">
      <w:pPr>
        <w:pStyle w:val="61"/>
        <w:tabs>
          <w:tab w:val="left" w:pos="892"/>
        </w:tabs>
        <w:spacing w:before="141" w:line="360" w:lineRule="auto"/>
        <w:ind w:hanging="312"/>
        <w:rPr>
          <w:rFonts w:ascii="Times New Roman" w:hAnsi="Times New Roman" w:cs="Times New Roman"/>
          <w:spacing w:val="-3"/>
          <w:sz w:val="21"/>
        </w:rPr>
      </w:pPr>
    </w:p>
    <w:p w14:paraId="282154B0">
      <w:pPr>
        <w:pStyle w:val="61"/>
        <w:tabs>
          <w:tab w:val="left" w:pos="892"/>
        </w:tabs>
        <w:spacing w:before="141" w:line="360" w:lineRule="auto"/>
        <w:ind w:hanging="312"/>
        <w:rPr>
          <w:rFonts w:ascii="Times New Roman" w:hAnsi="Times New Roman" w:cs="Times New Roman"/>
          <w:spacing w:val="-3"/>
          <w:sz w:val="21"/>
        </w:rPr>
      </w:pPr>
    </w:p>
    <w:p w14:paraId="21D402FC">
      <w:pPr>
        <w:pStyle w:val="61"/>
        <w:tabs>
          <w:tab w:val="left" w:pos="892"/>
        </w:tabs>
        <w:spacing w:before="141" w:line="360" w:lineRule="auto"/>
        <w:ind w:hanging="312"/>
        <w:rPr>
          <w:rFonts w:ascii="Times New Roman" w:hAnsi="Times New Roman" w:cs="Times New Roman"/>
          <w:spacing w:val="-3"/>
          <w:sz w:val="21"/>
        </w:rPr>
      </w:pPr>
    </w:p>
    <w:p w14:paraId="109B6368">
      <w:pPr>
        <w:pStyle w:val="61"/>
        <w:tabs>
          <w:tab w:val="left" w:pos="892"/>
        </w:tabs>
        <w:spacing w:before="141" w:line="360" w:lineRule="auto"/>
        <w:ind w:hanging="312"/>
        <w:rPr>
          <w:rFonts w:ascii="Times New Roman" w:hAnsi="Times New Roman" w:cs="Times New Roman"/>
          <w:spacing w:val="-3"/>
          <w:sz w:val="21"/>
        </w:rPr>
      </w:pPr>
    </w:p>
    <w:p w14:paraId="74251687">
      <w:pPr>
        <w:pStyle w:val="61"/>
        <w:tabs>
          <w:tab w:val="left" w:pos="892"/>
        </w:tabs>
        <w:spacing w:before="141" w:line="360" w:lineRule="auto"/>
        <w:ind w:hanging="312"/>
        <w:rPr>
          <w:rFonts w:ascii="Times New Roman" w:hAnsi="Times New Roman" w:cs="Times New Roman"/>
          <w:spacing w:val="-3"/>
          <w:sz w:val="21"/>
        </w:rPr>
      </w:pPr>
    </w:p>
    <w:p w14:paraId="448947C6">
      <w:pPr>
        <w:pStyle w:val="61"/>
        <w:tabs>
          <w:tab w:val="left" w:pos="892"/>
        </w:tabs>
        <w:spacing w:before="141" w:line="360" w:lineRule="auto"/>
        <w:ind w:hanging="312"/>
        <w:rPr>
          <w:rFonts w:ascii="Times New Roman" w:hAnsi="Times New Roman" w:cs="Times New Roman"/>
          <w:spacing w:val="-3"/>
          <w:sz w:val="21"/>
        </w:rPr>
      </w:pPr>
    </w:p>
    <w:p w14:paraId="4637C6DD">
      <w:pPr>
        <w:pStyle w:val="61"/>
        <w:tabs>
          <w:tab w:val="left" w:pos="892"/>
        </w:tabs>
        <w:spacing w:before="141" w:line="360" w:lineRule="auto"/>
        <w:ind w:hanging="312"/>
        <w:rPr>
          <w:rFonts w:ascii="Times New Roman" w:hAnsi="Times New Roman" w:cs="Times New Roman"/>
          <w:spacing w:val="-3"/>
          <w:sz w:val="21"/>
        </w:rPr>
      </w:pPr>
    </w:p>
    <w:p w14:paraId="5CC1AB25">
      <w:pPr>
        <w:pStyle w:val="61"/>
        <w:tabs>
          <w:tab w:val="left" w:pos="892"/>
        </w:tabs>
        <w:spacing w:before="141" w:line="360" w:lineRule="auto"/>
        <w:ind w:hanging="312"/>
        <w:rPr>
          <w:rFonts w:ascii="Times New Roman" w:hAnsi="Times New Roman" w:cs="Times New Roman"/>
          <w:spacing w:val="-3"/>
          <w:sz w:val="21"/>
        </w:rPr>
      </w:pPr>
    </w:p>
    <w:p w14:paraId="4F856A00">
      <w:pPr>
        <w:pStyle w:val="61"/>
        <w:tabs>
          <w:tab w:val="left" w:pos="892"/>
        </w:tabs>
        <w:spacing w:before="141" w:line="360" w:lineRule="auto"/>
        <w:ind w:hanging="312"/>
        <w:rPr>
          <w:rFonts w:ascii="Times New Roman" w:hAnsi="Times New Roman" w:cs="Times New Roman"/>
          <w:spacing w:val="-3"/>
          <w:sz w:val="21"/>
        </w:rPr>
      </w:pPr>
    </w:p>
    <w:p w14:paraId="18857FA5">
      <w:pPr>
        <w:pStyle w:val="61"/>
        <w:tabs>
          <w:tab w:val="left" w:pos="892"/>
        </w:tabs>
        <w:spacing w:before="141" w:line="360" w:lineRule="auto"/>
        <w:ind w:hanging="312"/>
        <w:rPr>
          <w:rFonts w:ascii="Times New Roman" w:hAnsi="Times New Roman" w:cs="Times New Roman"/>
          <w:spacing w:val="-3"/>
          <w:sz w:val="21"/>
        </w:rPr>
      </w:pPr>
    </w:p>
    <w:p w14:paraId="58273E8E">
      <w:pPr>
        <w:pStyle w:val="61"/>
        <w:tabs>
          <w:tab w:val="left" w:pos="892"/>
        </w:tabs>
        <w:spacing w:before="141" w:line="360" w:lineRule="auto"/>
        <w:ind w:hanging="312"/>
        <w:rPr>
          <w:rFonts w:ascii="Times New Roman" w:hAnsi="Times New Roman" w:cs="Times New Roman"/>
          <w:spacing w:val="-3"/>
          <w:sz w:val="21"/>
        </w:rPr>
      </w:pPr>
    </w:p>
    <w:p w14:paraId="26A2EAB3">
      <w:pPr>
        <w:pStyle w:val="61"/>
        <w:tabs>
          <w:tab w:val="left" w:pos="892"/>
        </w:tabs>
        <w:spacing w:before="141" w:line="360" w:lineRule="auto"/>
        <w:ind w:hanging="312"/>
        <w:rPr>
          <w:rFonts w:ascii="Times New Roman" w:hAnsi="Times New Roman" w:cs="Times New Roman"/>
          <w:spacing w:val="-3"/>
          <w:sz w:val="21"/>
        </w:rPr>
      </w:pPr>
    </w:p>
    <w:p w14:paraId="2681C545">
      <w:pPr>
        <w:pStyle w:val="61"/>
        <w:tabs>
          <w:tab w:val="left" w:pos="892"/>
        </w:tabs>
        <w:spacing w:before="141" w:line="360" w:lineRule="auto"/>
        <w:ind w:hanging="312"/>
        <w:rPr>
          <w:rFonts w:ascii="Times New Roman" w:hAnsi="Times New Roman" w:cs="Times New Roman"/>
          <w:spacing w:val="-3"/>
          <w:sz w:val="21"/>
        </w:rPr>
      </w:pPr>
    </w:p>
    <w:p w14:paraId="5864CE56">
      <w:pPr>
        <w:pStyle w:val="61"/>
        <w:tabs>
          <w:tab w:val="left" w:pos="892"/>
        </w:tabs>
        <w:spacing w:before="141" w:line="360" w:lineRule="auto"/>
        <w:ind w:hanging="312"/>
        <w:rPr>
          <w:rFonts w:ascii="Times New Roman" w:hAnsi="Times New Roman" w:cs="Times New Roman"/>
          <w:spacing w:val="-3"/>
          <w:sz w:val="21"/>
        </w:rPr>
      </w:pPr>
    </w:p>
    <w:p w14:paraId="23D19F2C">
      <w:pPr>
        <w:pStyle w:val="61"/>
        <w:tabs>
          <w:tab w:val="left" w:pos="892"/>
        </w:tabs>
        <w:spacing w:before="141" w:line="360" w:lineRule="auto"/>
        <w:ind w:hanging="312"/>
        <w:rPr>
          <w:rFonts w:ascii="Times New Roman" w:hAnsi="Times New Roman" w:cs="Times New Roman"/>
          <w:spacing w:val="-3"/>
          <w:sz w:val="21"/>
        </w:rPr>
      </w:pPr>
    </w:p>
    <w:p w14:paraId="0B37F5C7">
      <w:pPr>
        <w:pStyle w:val="61"/>
        <w:tabs>
          <w:tab w:val="left" w:pos="892"/>
        </w:tabs>
        <w:spacing w:before="141" w:line="360" w:lineRule="auto"/>
        <w:ind w:hanging="312"/>
        <w:rPr>
          <w:rFonts w:ascii="Times New Roman" w:hAnsi="Times New Roman" w:cs="Times New Roman"/>
          <w:spacing w:val="-3"/>
          <w:sz w:val="21"/>
        </w:rPr>
      </w:pPr>
    </w:p>
    <w:p w14:paraId="4D436942">
      <w:pPr>
        <w:pStyle w:val="61"/>
        <w:tabs>
          <w:tab w:val="left" w:pos="892"/>
        </w:tabs>
        <w:spacing w:before="141" w:line="360" w:lineRule="auto"/>
        <w:ind w:hanging="312"/>
        <w:rPr>
          <w:rFonts w:ascii="Times New Roman" w:hAnsi="Times New Roman" w:cs="Times New Roman"/>
          <w:spacing w:val="-3"/>
          <w:sz w:val="21"/>
        </w:rPr>
      </w:pPr>
    </w:p>
    <w:p w14:paraId="6BF6CFE0">
      <w:pPr>
        <w:pStyle w:val="61"/>
        <w:tabs>
          <w:tab w:val="left" w:pos="892"/>
        </w:tabs>
        <w:spacing w:before="141" w:line="360" w:lineRule="auto"/>
        <w:ind w:hanging="312"/>
        <w:rPr>
          <w:rFonts w:ascii="Times New Roman" w:hAnsi="Times New Roman" w:cs="Times New Roman"/>
          <w:spacing w:val="-3"/>
          <w:sz w:val="21"/>
        </w:rPr>
      </w:pPr>
    </w:p>
    <w:p w14:paraId="6F0FC754">
      <w:pPr>
        <w:pStyle w:val="61"/>
        <w:tabs>
          <w:tab w:val="left" w:pos="892"/>
        </w:tabs>
        <w:spacing w:before="141" w:line="360" w:lineRule="auto"/>
        <w:ind w:hanging="312"/>
        <w:rPr>
          <w:rFonts w:ascii="Times New Roman" w:hAnsi="Times New Roman" w:cs="Times New Roman"/>
          <w:spacing w:val="-3"/>
          <w:sz w:val="21"/>
        </w:rPr>
      </w:pPr>
    </w:p>
    <w:p w14:paraId="2B765712">
      <w:pPr>
        <w:pStyle w:val="61"/>
        <w:tabs>
          <w:tab w:val="left" w:pos="892"/>
        </w:tabs>
        <w:spacing w:before="141" w:line="360" w:lineRule="auto"/>
        <w:ind w:hanging="312"/>
        <w:rPr>
          <w:rFonts w:ascii="Times New Roman" w:hAnsi="Times New Roman" w:cs="Times New Roman"/>
          <w:spacing w:val="-3"/>
          <w:sz w:val="21"/>
        </w:rPr>
      </w:pPr>
    </w:p>
    <w:p w14:paraId="789FB233">
      <w:pPr>
        <w:pStyle w:val="18"/>
        <w:spacing w:before="4" w:line="360" w:lineRule="auto"/>
        <w:rPr>
          <w:rFonts w:ascii="Times New Roman" w:hAnsi="Times New Roman" w:cs="Times New Roman"/>
          <w:sz w:val="2"/>
        </w:rPr>
      </w:pPr>
    </w:p>
    <w:p w14:paraId="22DCA4AE">
      <w:pPr>
        <w:pStyle w:val="18"/>
        <w:spacing w:before="4" w:line="360" w:lineRule="auto"/>
        <w:rPr>
          <w:rFonts w:ascii="Times New Roman" w:hAnsi="Times New Roman" w:cs="Times New Roman"/>
          <w:sz w:val="2"/>
        </w:rPr>
      </w:pPr>
    </w:p>
    <w:p w14:paraId="06E8DA86">
      <w:pPr>
        <w:pStyle w:val="18"/>
        <w:spacing w:before="4" w:line="360" w:lineRule="auto"/>
        <w:rPr>
          <w:rFonts w:ascii="Times New Roman" w:hAnsi="Times New Roman" w:cs="Times New Roman"/>
          <w:sz w:val="2"/>
        </w:rPr>
      </w:pPr>
    </w:p>
    <w:p w14:paraId="62760631">
      <w:pPr>
        <w:pStyle w:val="18"/>
        <w:spacing w:before="4" w:line="360" w:lineRule="auto"/>
        <w:rPr>
          <w:rFonts w:ascii="Times New Roman" w:hAnsi="Times New Roman" w:cs="Times New Roman"/>
          <w:sz w:val="2"/>
        </w:rPr>
      </w:pPr>
    </w:p>
    <w:p w14:paraId="6EAB93CD">
      <w:pPr>
        <w:pStyle w:val="18"/>
        <w:spacing w:before="4" w:line="360" w:lineRule="auto"/>
        <w:rPr>
          <w:rFonts w:ascii="Times New Roman" w:hAnsi="Times New Roman" w:cs="Times New Roman"/>
          <w:sz w:val="2"/>
        </w:rPr>
      </w:pPr>
    </w:p>
    <w:p w14:paraId="094275C0">
      <w:pPr>
        <w:pStyle w:val="18"/>
        <w:spacing w:line="360" w:lineRule="auto"/>
        <w:ind w:left="276"/>
        <w:rPr>
          <w:rFonts w:ascii="Times New Roman" w:hAnsi="Times New Roman" w:cs="Times New Roman"/>
          <w:sz w:val="2"/>
        </w:rPr>
      </w:pPr>
    </w:p>
    <w:p w14:paraId="7D5ED114">
      <w:pPr>
        <w:pStyle w:val="3"/>
        <w:spacing w:before="29" w:line="360" w:lineRule="auto"/>
        <w:rPr>
          <w:rFonts w:ascii="Times New Roman" w:hAnsi="Times New Roman" w:eastAsia="仿宋" w:cs="Times New Roman"/>
        </w:rPr>
      </w:pPr>
      <w:bookmarkStart w:id="93" w:name="_Toc108100462"/>
      <w:r>
        <w:rPr>
          <w:rFonts w:ascii="Times New Roman" w:hAnsi="Times New Roman" w:eastAsia="仿宋" w:cs="Times New Roman"/>
        </w:rPr>
        <w:t xml:space="preserve">附件 </w:t>
      </w:r>
      <w:r>
        <w:rPr>
          <w:rFonts w:hint="eastAsia" w:ascii="Times New Roman" w:hAnsi="Times New Roman" w:eastAsia="仿宋" w:cs="Times New Roman"/>
        </w:rPr>
        <w:t>9</w:t>
      </w:r>
      <w:r>
        <w:rPr>
          <w:rFonts w:ascii="Times New Roman" w:hAnsi="Times New Roman" w:eastAsia="仿宋" w:cs="Times New Roman"/>
        </w:rPr>
        <w:t>： 报价一览表</w:t>
      </w:r>
      <w:bookmarkEnd w:id="93"/>
    </w:p>
    <w:p w14:paraId="0E3A7963">
      <w:pPr>
        <w:pStyle w:val="18"/>
        <w:spacing w:line="360" w:lineRule="auto"/>
        <w:rPr>
          <w:rFonts w:ascii="Times New Roman" w:hAnsi="Times New Roman" w:cs="Times New Roman"/>
          <w:b/>
          <w:sz w:val="20"/>
        </w:rPr>
      </w:pPr>
    </w:p>
    <w:p w14:paraId="514F0530">
      <w:pPr>
        <w:spacing w:before="210" w:line="360" w:lineRule="auto"/>
        <w:ind w:left="402" w:right="503"/>
        <w:jc w:val="center"/>
        <w:rPr>
          <w:rFonts w:ascii="Times New Roman" w:hAnsi="Times New Roman" w:eastAsia="楷体" w:cs="Times New Roman"/>
          <w:b/>
          <w:sz w:val="36"/>
        </w:rPr>
      </w:pPr>
      <w:r>
        <w:rPr>
          <w:rFonts w:ascii="Times New Roman" w:hAnsi="Times New Roman" w:eastAsia="楷体" w:cs="Times New Roman"/>
          <w:b/>
          <w:sz w:val="36"/>
        </w:rPr>
        <w:t>报价一览表</w:t>
      </w:r>
    </w:p>
    <w:p w14:paraId="09A877D6">
      <w:pPr>
        <w:spacing w:before="74" w:after="53" w:line="360" w:lineRule="auto"/>
        <w:ind w:right="913"/>
        <w:jc w:val="right"/>
        <w:rPr>
          <w:rFonts w:ascii="Times New Roman" w:hAnsi="Times New Roman" w:cs="Times New Roman"/>
          <w:sz w:val="18"/>
        </w:rPr>
      </w:pPr>
      <w:r>
        <w:rPr>
          <w:rFonts w:ascii="Times New Roman" w:hAnsi="Times New Roman" w:cs="Times New Roman"/>
          <w:sz w:val="18"/>
        </w:rPr>
        <w:t>单位：人民币元</w:t>
      </w:r>
    </w:p>
    <w:tbl>
      <w:tblPr>
        <w:tblStyle w:val="50"/>
        <w:tblW w:w="817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712"/>
        <w:gridCol w:w="1047"/>
        <w:gridCol w:w="1111"/>
        <w:gridCol w:w="1562"/>
      </w:tblGrid>
      <w:tr w14:paraId="0C77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740" w:type="dxa"/>
            <w:vAlign w:val="center"/>
          </w:tcPr>
          <w:p w14:paraId="39466930">
            <w:pPr>
              <w:pStyle w:val="62"/>
              <w:spacing w:line="360" w:lineRule="auto"/>
              <w:jc w:val="center"/>
              <w:rPr>
                <w:rFonts w:ascii="Times New Roman" w:hAnsi="Times New Roman" w:cs="Times New Roman"/>
                <w:b/>
                <w:sz w:val="21"/>
              </w:rPr>
            </w:pPr>
            <w:r>
              <w:rPr>
                <w:rFonts w:ascii="Times New Roman" w:hAnsi="Times New Roman" w:cs="Times New Roman"/>
                <w:b/>
                <w:sz w:val="21"/>
              </w:rPr>
              <w:t>序号</w:t>
            </w:r>
          </w:p>
        </w:tc>
        <w:tc>
          <w:tcPr>
            <w:tcW w:w="3712" w:type="dxa"/>
            <w:vAlign w:val="center"/>
          </w:tcPr>
          <w:p w14:paraId="211AE0C3">
            <w:pPr>
              <w:pStyle w:val="62"/>
              <w:spacing w:line="360" w:lineRule="auto"/>
              <w:jc w:val="center"/>
              <w:rPr>
                <w:rFonts w:ascii="Times New Roman" w:hAnsi="Times New Roman" w:cs="Times New Roman"/>
                <w:b/>
                <w:sz w:val="21"/>
              </w:rPr>
            </w:pPr>
            <w:r>
              <w:rPr>
                <w:rFonts w:ascii="Times New Roman" w:hAnsi="Times New Roman" w:cs="Times New Roman"/>
                <w:b/>
                <w:sz w:val="21"/>
              </w:rPr>
              <w:t>名称</w:t>
            </w:r>
          </w:p>
        </w:tc>
        <w:tc>
          <w:tcPr>
            <w:tcW w:w="1047" w:type="dxa"/>
            <w:vAlign w:val="center"/>
          </w:tcPr>
          <w:p w14:paraId="0719272A">
            <w:pPr>
              <w:pStyle w:val="62"/>
              <w:spacing w:line="360" w:lineRule="auto"/>
              <w:jc w:val="center"/>
              <w:rPr>
                <w:rFonts w:ascii="Times New Roman" w:hAnsi="Times New Roman" w:cs="Times New Roman"/>
                <w:b/>
                <w:sz w:val="21"/>
              </w:rPr>
            </w:pPr>
            <w:r>
              <w:rPr>
                <w:rFonts w:ascii="Times New Roman" w:hAnsi="Times New Roman" w:cs="Times New Roman"/>
                <w:b/>
                <w:sz w:val="21"/>
              </w:rPr>
              <w:t>单位</w:t>
            </w:r>
          </w:p>
        </w:tc>
        <w:tc>
          <w:tcPr>
            <w:tcW w:w="1111" w:type="dxa"/>
            <w:vAlign w:val="center"/>
          </w:tcPr>
          <w:p w14:paraId="7FDB7AC3">
            <w:pPr>
              <w:pStyle w:val="62"/>
              <w:spacing w:line="360" w:lineRule="auto"/>
              <w:jc w:val="center"/>
              <w:rPr>
                <w:rFonts w:ascii="Times New Roman" w:hAnsi="Times New Roman" w:cs="Times New Roman"/>
                <w:b/>
                <w:sz w:val="21"/>
              </w:rPr>
            </w:pPr>
            <w:r>
              <w:rPr>
                <w:rFonts w:ascii="Times New Roman" w:hAnsi="Times New Roman" w:cs="Times New Roman"/>
                <w:b/>
                <w:sz w:val="21"/>
              </w:rPr>
              <w:t>数量</w:t>
            </w:r>
          </w:p>
        </w:tc>
        <w:tc>
          <w:tcPr>
            <w:tcW w:w="1562" w:type="dxa"/>
            <w:vAlign w:val="center"/>
          </w:tcPr>
          <w:p w14:paraId="38042C2F">
            <w:pPr>
              <w:pStyle w:val="62"/>
              <w:spacing w:line="360" w:lineRule="auto"/>
              <w:jc w:val="center"/>
              <w:rPr>
                <w:rFonts w:ascii="Times New Roman" w:hAnsi="Times New Roman" w:cs="Times New Roman"/>
                <w:b/>
                <w:sz w:val="21"/>
              </w:rPr>
            </w:pPr>
            <w:r>
              <w:rPr>
                <w:rFonts w:ascii="Times New Roman" w:hAnsi="Times New Roman" w:cs="Times New Roman"/>
                <w:b/>
                <w:sz w:val="21"/>
              </w:rPr>
              <w:t>金额</w:t>
            </w:r>
          </w:p>
        </w:tc>
      </w:tr>
      <w:tr w14:paraId="100DB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740" w:type="dxa"/>
            <w:vAlign w:val="center"/>
          </w:tcPr>
          <w:p w14:paraId="64010B2B">
            <w:pPr>
              <w:pStyle w:val="62"/>
              <w:spacing w:line="360" w:lineRule="auto"/>
              <w:jc w:val="center"/>
              <w:rPr>
                <w:rFonts w:ascii="Times New Roman" w:hAnsi="Times New Roman" w:cs="Times New Roman"/>
                <w:sz w:val="21"/>
              </w:rPr>
            </w:pPr>
            <w:r>
              <w:rPr>
                <w:rFonts w:ascii="Times New Roman" w:hAnsi="Times New Roman" w:cs="Times New Roman"/>
                <w:sz w:val="21"/>
              </w:rPr>
              <w:t>1</w:t>
            </w:r>
          </w:p>
        </w:tc>
        <w:tc>
          <w:tcPr>
            <w:tcW w:w="3712" w:type="dxa"/>
            <w:vAlign w:val="center"/>
          </w:tcPr>
          <w:p w14:paraId="711DDC1B">
            <w:pPr>
              <w:jc w:val="center"/>
            </w:pPr>
            <w:r>
              <w:rPr>
                <w:rFonts w:hint="eastAsia"/>
              </w:rPr>
              <w:t>泛半导体产业园二期园区安装充电桩采购</w:t>
            </w:r>
          </w:p>
        </w:tc>
        <w:tc>
          <w:tcPr>
            <w:tcW w:w="1047" w:type="dxa"/>
            <w:vAlign w:val="center"/>
          </w:tcPr>
          <w:p w14:paraId="1F6CC415">
            <w:pPr>
              <w:pStyle w:val="62"/>
              <w:spacing w:line="360" w:lineRule="auto"/>
              <w:jc w:val="center"/>
              <w:rPr>
                <w:rFonts w:ascii="Times New Roman" w:hAnsi="Times New Roman" w:cs="Times New Roman"/>
                <w:sz w:val="21"/>
              </w:rPr>
            </w:pPr>
            <w:r>
              <w:rPr>
                <w:rFonts w:ascii="Times New Roman" w:hAnsi="Times New Roman" w:cs="Times New Roman"/>
                <w:sz w:val="21"/>
              </w:rPr>
              <w:t>项</w:t>
            </w:r>
          </w:p>
        </w:tc>
        <w:tc>
          <w:tcPr>
            <w:tcW w:w="1111" w:type="dxa"/>
            <w:vAlign w:val="center"/>
          </w:tcPr>
          <w:p w14:paraId="12DEF023">
            <w:pPr>
              <w:pStyle w:val="62"/>
              <w:spacing w:line="360" w:lineRule="auto"/>
              <w:jc w:val="center"/>
              <w:rPr>
                <w:rFonts w:ascii="Times New Roman" w:hAnsi="Times New Roman" w:cs="Times New Roman"/>
                <w:sz w:val="21"/>
              </w:rPr>
            </w:pPr>
            <w:r>
              <w:rPr>
                <w:rFonts w:ascii="Times New Roman" w:hAnsi="Times New Roman" w:cs="Times New Roman"/>
                <w:sz w:val="21"/>
              </w:rPr>
              <w:t>1</w:t>
            </w:r>
          </w:p>
        </w:tc>
        <w:tc>
          <w:tcPr>
            <w:tcW w:w="1562" w:type="dxa"/>
            <w:vAlign w:val="center"/>
          </w:tcPr>
          <w:p w14:paraId="23C41DE6">
            <w:pPr>
              <w:pStyle w:val="62"/>
              <w:spacing w:line="360" w:lineRule="auto"/>
              <w:rPr>
                <w:rFonts w:ascii="Times New Roman" w:hAnsi="Times New Roman" w:cs="Times New Roman"/>
                <w:sz w:val="20"/>
              </w:rPr>
            </w:pPr>
          </w:p>
        </w:tc>
      </w:tr>
      <w:tr w14:paraId="5B376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740" w:type="dxa"/>
            <w:vAlign w:val="center"/>
          </w:tcPr>
          <w:p w14:paraId="028FE03B">
            <w:pPr>
              <w:pStyle w:val="62"/>
              <w:spacing w:line="360" w:lineRule="auto"/>
              <w:jc w:val="center"/>
              <w:rPr>
                <w:rFonts w:ascii="Times New Roman" w:hAnsi="Times New Roman" w:cs="Times New Roman"/>
                <w:sz w:val="21"/>
                <w:lang w:val="en-US"/>
              </w:rPr>
            </w:pPr>
            <w:r>
              <w:rPr>
                <w:rFonts w:hint="eastAsia" w:ascii="Times New Roman" w:hAnsi="Times New Roman" w:cs="Times New Roman"/>
                <w:sz w:val="21"/>
                <w:lang w:val="en-US"/>
              </w:rPr>
              <w:t>2</w:t>
            </w:r>
          </w:p>
        </w:tc>
        <w:tc>
          <w:tcPr>
            <w:tcW w:w="3712" w:type="dxa"/>
            <w:vAlign w:val="center"/>
          </w:tcPr>
          <w:p w14:paraId="48C5D8F9">
            <w:pPr>
              <w:jc w:val="center"/>
            </w:pPr>
            <w:r>
              <w:rPr>
                <w:rFonts w:hint="eastAsia"/>
              </w:rPr>
              <w:t>泛半导体产业园四期园区安装充电桩采购</w:t>
            </w:r>
          </w:p>
        </w:tc>
        <w:tc>
          <w:tcPr>
            <w:tcW w:w="1047" w:type="dxa"/>
            <w:shd w:val="clear" w:color="auto" w:fill="auto"/>
            <w:vAlign w:val="center"/>
          </w:tcPr>
          <w:p w14:paraId="72C762FD">
            <w:pPr>
              <w:pStyle w:val="62"/>
              <w:spacing w:line="360" w:lineRule="auto"/>
              <w:jc w:val="center"/>
              <w:rPr>
                <w:rFonts w:ascii="Times New Roman" w:hAnsi="Times New Roman" w:cs="Times New Roman"/>
                <w:sz w:val="21"/>
              </w:rPr>
            </w:pPr>
            <w:r>
              <w:rPr>
                <w:rFonts w:ascii="Times New Roman" w:hAnsi="Times New Roman" w:cs="Times New Roman"/>
                <w:sz w:val="21"/>
              </w:rPr>
              <w:t>项</w:t>
            </w:r>
          </w:p>
        </w:tc>
        <w:tc>
          <w:tcPr>
            <w:tcW w:w="1111" w:type="dxa"/>
            <w:shd w:val="clear" w:color="auto" w:fill="auto"/>
            <w:vAlign w:val="center"/>
          </w:tcPr>
          <w:p w14:paraId="58566465">
            <w:pPr>
              <w:pStyle w:val="62"/>
              <w:spacing w:line="360" w:lineRule="auto"/>
              <w:jc w:val="center"/>
              <w:rPr>
                <w:rFonts w:ascii="Times New Roman" w:hAnsi="Times New Roman" w:cs="Times New Roman"/>
                <w:sz w:val="21"/>
              </w:rPr>
            </w:pPr>
            <w:r>
              <w:rPr>
                <w:rFonts w:ascii="Times New Roman" w:hAnsi="Times New Roman" w:cs="Times New Roman"/>
                <w:sz w:val="21"/>
              </w:rPr>
              <w:t>1</w:t>
            </w:r>
          </w:p>
        </w:tc>
        <w:tc>
          <w:tcPr>
            <w:tcW w:w="1562" w:type="dxa"/>
            <w:vAlign w:val="center"/>
          </w:tcPr>
          <w:p w14:paraId="31D8F523">
            <w:pPr>
              <w:pStyle w:val="62"/>
              <w:spacing w:line="360" w:lineRule="auto"/>
              <w:rPr>
                <w:rFonts w:ascii="Times New Roman" w:hAnsi="Times New Roman" w:cs="Times New Roman"/>
                <w:sz w:val="20"/>
              </w:rPr>
            </w:pPr>
          </w:p>
        </w:tc>
      </w:tr>
      <w:tr w14:paraId="0E2BB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740" w:type="dxa"/>
            <w:vAlign w:val="center"/>
          </w:tcPr>
          <w:p w14:paraId="11C1B49C">
            <w:pPr>
              <w:pStyle w:val="62"/>
              <w:spacing w:line="360" w:lineRule="auto"/>
              <w:jc w:val="center"/>
              <w:rPr>
                <w:rFonts w:ascii="Times New Roman" w:hAnsi="Times New Roman" w:cs="Times New Roman"/>
                <w:sz w:val="21"/>
                <w:lang w:val="en-US"/>
              </w:rPr>
            </w:pPr>
          </w:p>
        </w:tc>
        <w:tc>
          <w:tcPr>
            <w:tcW w:w="5870" w:type="dxa"/>
            <w:gridSpan w:val="3"/>
            <w:vAlign w:val="center"/>
          </w:tcPr>
          <w:p w14:paraId="5EEF3B44">
            <w:pPr>
              <w:pStyle w:val="62"/>
              <w:spacing w:line="360" w:lineRule="auto"/>
              <w:jc w:val="center"/>
              <w:rPr>
                <w:rFonts w:ascii="Times New Roman" w:hAnsi="Times New Roman" w:cs="Times New Roman"/>
                <w:sz w:val="21"/>
              </w:rPr>
            </w:pPr>
            <w:r>
              <w:rPr>
                <w:rFonts w:hint="eastAsia"/>
                <w:lang w:val="en-US"/>
              </w:rPr>
              <w:t>合计</w:t>
            </w:r>
          </w:p>
        </w:tc>
        <w:tc>
          <w:tcPr>
            <w:tcW w:w="1562" w:type="dxa"/>
            <w:vAlign w:val="center"/>
          </w:tcPr>
          <w:p w14:paraId="1AD75EFC">
            <w:pPr>
              <w:pStyle w:val="62"/>
              <w:spacing w:line="360" w:lineRule="auto"/>
              <w:rPr>
                <w:rFonts w:ascii="Times New Roman" w:hAnsi="Times New Roman" w:cs="Times New Roman"/>
                <w:sz w:val="20"/>
              </w:rPr>
            </w:pPr>
          </w:p>
        </w:tc>
      </w:tr>
      <w:tr w14:paraId="4A6D7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172" w:type="dxa"/>
            <w:gridSpan w:val="5"/>
            <w:vAlign w:val="center"/>
          </w:tcPr>
          <w:p w14:paraId="51931956">
            <w:pPr>
              <w:pStyle w:val="62"/>
              <w:spacing w:before="5" w:line="360" w:lineRule="auto"/>
              <w:rPr>
                <w:rFonts w:ascii="Times New Roman" w:hAnsi="Times New Roman" w:cs="Times New Roman"/>
                <w:sz w:val="25"/>
              </w:rPr>
            </w:pPr>
          </w:p>
          <w:p w14:paraId="70D91CC2">
            <w:pPr>
              <w:pStyle w:val="62"/>
              <w:tabs>
                <w:tab w:val="left" w:pos="643"/>
                <w:tab w:val="left" w:pos="4333"/>
                <w:tab w:val="left" w:pos="5070"/>
                <w:tab w:val="left" w:pos="7437"/>
              </w:tabs>
              <w:spacing w:line="360" w:lineRule="auto"/>
              <w:jc w:val="center"/>
              <w:rPr>
                <w:rFonts w:ascii="Times New Roman" w:hAnsi="Times New Roman" w:cs="Times New Roman"/>
                <w:b/>
                <w:sz w:val="21"/>
              </w:rPr>
            </w:pPr>
            <w:r>
              <w:rPr>
                <w:rFonts w:ascii="Times New Roman" w:hAnsi="Times New Roman" w:cs="Times New Roman"/>
                <w:b/>
                <w:sz w:val="21"/>
              </w:rPr>
              <w:t>合计</w:t>
            </w:r>
            <w:r>
              <w:rPr>
                <w:rFonts w:ascii="Times New Roman" w:hAnsi="Times New Roman" w:cs="Times New Roman"/>
                <w:b/>
                <w:sz w:val="21"/>
              </w:rPr>
              <w:tab/>
            </w:r>
            <w:r>
              <w:rPr>
                <w:rFonts w:ascii="Times New Roman" w:hAnsi="Times New Roman" w:cs="Times New Roman"/>
                <w:b/>
                <w:sz w:val="21"/>
              </w:rPr>
              <w:t>人民币（大</w:t>
            </w:r>
            <w:r>
              <w:rPr>
                <w:rFonts w:ascii="Times New Roman" w:hAnsi="Times New Roman" w:cs="Times New Roman"/>
                <w:b/>
                <w:spacing w:val="-3"/>
                <w:sz w:val="21"/>
              </w:rPr>
              <w:t>写</w:t>
            </w:r>
            <w:r>
              <w:rPr>
                <w:rFonts w:ascii="Times New Roman" w:hAnsi="Times New Roman" w:cs="Times New Roman"/>
                <w:b/>
                <w:sz w:val="21"/>
              </w:rPr>
              <w:t>）:</w:t>
            </w:r>
            <w:r>
              <w:rPr>
                <w:rFonts w:ascii="Times New Roman" w:hAnsi="Times New Roman" w:cs="Times New Roman"/>
                <w:b/>
                <w:sz w:val="21"/>
                <w:u w:val="single"/>
              </w:rPr>
              <w:tab/>
            </w:r>
            <w:r>
              <w:rPr>
                <w:rFonts w:ascii="Times New Roman" w:hAnsi="Times New Roman" w:cs="Times New Roman"/>
                <w:b/>
                <w:sz w:val="21"/>
              </w:rPr>
              <w:t>元整</w:t>
            </w:r>
          </w:p>
        </w:tc>
      </w:tr>
    </w:tbl>
    <w:p w14:paraId="2DFDFFDE">
      <w:pPr>
        <w:pStyle w:val="18"/>
        <w:spacing w:before="30" w:line="360" w:lineRule="auto"/>
        <w:ind w:left="524"/>
        <w:rPr>
          <w:rFonts w:ascii="Times New Roman" w:hAnsi="Times New Roman" w:cs="Times New Roman"/>
        </w:rPr>
      </w:pPr>
      <w:r>
        <w:rPr>
          <w:rFonts w:ascii="Times New Roman" w:hAnsi="Times New Roman" w:cs="Times New Roman"/>
        </w:rPr>
        <w:t>注：配置要求详见第二章招标需求。</w:t>
      </w:r>
    </w:p>
    <w:p w14:paraId="38884A5F">
      <w:pPr>
        <w:pStyle w:val="18"/>
        <w:spacing w:line="360" w:lineRule="auto"/>
        <w:rPr>
          <w:rFonts w:ascii="Times New Roman" w:hAnsi="Times New Roman" w:cs="Times New Roman"/>
          <w:sz w:val="20"/>
        </w:rPr>
      </w:pPr>
    </w:p>
    <w:p w14:paraId="065C07B1">
      <w:pPr>
        <w:pStyle w:val="18"/>
        <w:spacing w:line="360" w:lineRule="auto"/>
        <w:rPr>
          <w:rFonts w:ascii="Times New Roman" w:hAnsi="Times New Roman" w:cs="Times New Roman"/>
          <w:sz w:val="20"/>
        </w:rPr>
      </w:pPr>
    </w:p>
    <w:p w14:paraId="150A02D7">
      <w:pPr>
        <w:pStyle w:val="18"/>
        <w:spacing w:line="360" w:lineRule="auto"/>
        <w:rPr>
          <w:rFonts w:ascii="Times New Roman" w:hAnsi="Times New Roman" w:cs="Times New Roman"/>
          <w:sz w:val="20"/>
        </w:rPr>
      </w:pPr>
    </w:p>
    <w:p w14:paraId="6896C666">
      <w:pPr>
        <w:pStyle w:val="18"/>
        <w:spacing w:before="2" w:line="360" w:lineRule="auto"/>
        <w:rPr>
          <w:rFonts w:ascii="Times New Roman" w:hAnsi="Times New Roman" w:cs="Times New Roman"/>
          <w:sz w:val="24"/>
        </w:rPr>
      </w:pPr>
    </w:p>
    <w:p w14:paraId="3379F950">
      <w:pPr>
        <w:spacing w:line="360" w:lineRule="auto"/>
        <w:ind w:left="312"/>
        <w:rPr>
          <w:rFonts w:ascii="Times New Roman" w:hAnsi="Times New Roman" w:cs="Times New Roman"/>
          <w:b/>
          <w:sz w:val="24"/>
        </w:rPr>
      </w:pPr>
      <w:r>
        <w:rPr>
          <w:rFonts w:ascii="Times New Roman" w:hAnsi="Times New Roman" w:cs="Times New Roman"/>
          <w:b/>
          <w:sz w:val="24"/>
        </w:rPr>
        <w:t>投标人（公章）：</w:t>
      </w:r>
    </w:p>
    <w:p w14:paraId="2D962004">
      <w:pPr>
        <w:pStyle w:val="18"/>
        <w:spacing w:line="360" w:lineRule="auto"/>
        <w:rPr>
          <w:rFonts w:ascii="Times New Roman" w:hAnsi="Times New Roman" w:cs="Times New Roman"/>
          <w:b/>
          <w:sz w:val="24"/>
        </w:rPr>
      </w:pPr>
    </w:p>
    <w:p w14:paraId="5B235779">
      <w:pPr>
        <w:pStyle w:val="18"/>
        <w:spacing w:before="11" w:line="360" w:lineRule="auto"/>
        <w:rPr>
          <w:rFonts w:ascii="Times New Roman" w:hAnsi="Times New Roman" w:cs="Times New Roman"/>
          <w:b/>
          <w:sz w:val="24"/>
        </w:rPr>
      </w:pPr>
    </w:p>
    <w:p w14:paraId="49E691BD">
      <w:pPr>
        <w:spacing w:line="360" w:lineRule="auto"/>
        <w:ind w:left="312"/>
        <w:rPr>
          <w:rFonts w:ascii="Times New Roman" w:hAnsi="Times New Roman" w:cs="Times New Roman"/>
          <w:b/>
          <w:sz w:val="24"/>
        </w:rPr>
      </w:pPr>
      <w:r>
        <w:rPr>
          <w:rFonts w:ascii="Times New Roman" w:hAnsi="Times New Roman" w:cs="Times New Roman"/>
          <w:b/>
          <w:sz w:val="24"/>
        </w:rPr>
        <w:t>法定代表人或授权代表（签字或盖章）：</w:t>
      </w:r>
    </w:p>
    <w:p w14:paraId="3AA7A259">
      <w:pPr>
        <w:pStyle w:val="18"/>
        <w:spacing w:line="360" w:lineRule="auto"/>
        <w:rPr>
          <w:rFonts w:ascii="Times New Roman" w:hAnsi="Times New Roman" w:cs="Times New Roman"/>
          <w:b/>
          <w:sz w:val="24"/>
        </w:rPr>
      </w:pPr>
    </w:p>
    <w:p w14:paraId="35A2FE1E">
      <w:pPr>
        <w:pStyle w:val="18"/>
        <w:spacing w:line="360" w:lineRule="auto"/>
        <w:rPr>
          <w:rFonts w:ascii="Times New Roman" w:hAnsi="Times New Roman" w:cs="Times New Roman"/>
          <w:b/>
          <w:sz w:val="24"/>
        </w:rPr>
      </w:pPr>
    </w:p>
    <w:p w14:paraId="4B5BFD17">
      <w:pPr>
        <w:pStyle w:val="18"/>
        <w:spacing w:before="5" w:line="360" w:lineRule="auto"/>
        <w:rPr>
          <w:rFonts w:ascii="Times New Roman" w:hAnsi="Times New Roman" w:cs="Times New Roman"/>
          <w:b/>
          <w:sz w:val="19"/>
        </w:rPr>
      </w:pPr>
    </w:p>
    <w:p w14:paraId="5B5527BA">
      <w:pPr>
        <w:tabs>
          <w:tab w:val="left" w:pos="1640"/>
          <w:tab w:val="left" w:pos="2120"/>
          <w:tab w:val="left" w:pos="2602"/>
        </w:tabs>
        <w:spacing w:before="1" w:line="360" w:lineRule="auto"/>
        <w:ind w:left="312"/>
        <w:rPr>
          <w:rFonts w:ascii="Times New Roman" w:hAnsi="Times New Roman" w:cs="Times New Roman"/>
          <w:b/>
          <w:sz w:val="24"/>
        </w:rPr>
      </w:pPr>
      <w:r>
        <w:rPr>
          <w:rFonts w:ascii="Times New Roman" w:hAnsi="Times New Roman" w:cs="Times New Roman"/>
          <w:b/>
          <w:sz w:val="24"/>
        </w:rPr>
        <w:t>日期：</w:t>
      </w:r>
      <w:r>
        <w:rPr>
          <w:rFonts w:ascii="Times New Roman" w:hAnsi="Times New Roman" w:cs="Times New Roman"/>
          <w:b/>
          <w:sz w:val="24"/>
        </w:rPr>
        <w:tab/>
      </w:r>
      <w:r>
        <w:rPr>
          <w:rFonts w:ascii="Times New Roman" w:hAnsi="Times New Roman" w:cs="Times New Roman"/>
          <w:b/>
          <w:sz w:val="24"/>
        </w:rPr>
        <w:t>年</w:t>
      </w:r>
      <w:r>
        <w:rPr>
          <w:rFonts w:ascii="Times New Roman" w:hAnsi="Times New Roman" w:cs="Times New Roman"/>
          <w:b/>
          <w:sz w:val="24"/>
        </w:rPr>
        <w:tab/>
      </w:r>
      <w:r>
        <w:rPr>
          <w:rFonts w:ascii="Times New Roman" w:hAnsi="Times New Roman" w:cs="Times New Roman"/>
          <w:b/>
          <w:sz w:val="24"/>
        </w:rPr>
        <w:t>月</w:t>
      </w:r>
      <w:r>
        <w:rPr>
          <w:rFonts w:ascii="Times New Roman" w:hAnsi="Times New Roman" w:cs="Times New Roman"/>
          <w:b/>
          <w:sz w:val="24"/>
        </w:rPr>
        <w:tab/>
      </w:r>
      <w:r>
        <w:rPr>
          <w:rFonts w:ascii="Times New Roman" w:hAnsi="Times New Roman" w:cs="Times New Roman"/>
          <w:b/>
          <w:sz w:val="24"/>
        </w:rPr>
        <w:t>日</w:t>
      </w:r>
    </w:p>
    <w:p w14:paraId="7916C79C">
      <w:pPr>
        <w:pStyle w:val="3"/>
        <w:spacing w:before="78" w:line="360" w:lineRule="auto"/>
        <w:rPr>
          <w:rFonts w:ascii="Times New Roman" w:hAnsi="Times New Roman" w:eastAsia="仿宋" w:cs="Times New Roman"/>
          <w:spacing w:val="-21"/>
        </w:rPr>
      </w:pPr>
    </w:p>
    <w:p w14:paraId="09500827">
      <w:pPr>
        <w:pStyle w:val="3"/>
        <w:spacing w:before="78" w:line="360" w:lineRule="auto"/>
        <w:rPr>
          <w:rFonts w:ascii="Times New Roman" w:hAnsi="Times New Roman" w:eastAsia="仿宋" w:cs="Times New Roman"/>
          <w:spacing w:val="-21"/>
        </w:rPr>
      </w:pPr>
    </w:p>
    <w:p w14:paraId="01D87F3D">
      <w:pPr>
        <w:pStyle w:val="3"/>
        <w:spacing w:before="78" w:line="360" w:lineRule="auto"/>
        <w:rPr>
          <w:rFonts w:ascii="Times New Roman" w:hAnsi="Times New Roman" w:eastAsia="仿宋" w:cs="Times New Roman"/>
          <w:spacing w:val="-21"/>
        </w:rPr>
      </w:pPr>
    </w:p>
    <w:p w14:paraId="6DA7E763">
      <w:pPr>
        <w:rPr>
          <w:rFonts w:ascii="Times New Roman" w:hAnsi="Times New Roman" w:cs="Times New Roman"/>
        </w:rPr>
      </w:pPr>
    </w:p>
    <w:p w14:paraId="6822E213">
      <w:pPr>
        <w:rPr>
          <w:rFonts w:ascii="Times New Roman" w:hAnsi="Times New Roman" w:cs="Times New Roman"/>
        </w:rPr>
      </w:pPr>
    </w:p>
    <w:p w14:paraId="1854A702">
      <w:pPr>
        <w:pStyle w:val="3"/>
        <w:spacing w:before="78" w:line="360" w:lineRule="auto"/>
        <w:rPr>
          <w:rFonts w:ascii="Times New Roman" w:hAnsi="Times New Roman" w:eastAsia="仿宋" w:cs="Times New Roman"/>
        </w:rPr>
      </w:pPr>
      <w:bookmarkStart w:id="94" w:name="_Toc108100463"/>
      <w:r>
        <w:rPr>
          <w:rFonts w:ascii="Times New Roman" w:hAnsi="Times New Roman" w:eastAsia="仿宋" w:cs="Times New Roman"/>
          <w:spacing w:val="-21"/>
        </w:rPr>
        <w:t xml:space="preserve">附件 </w:t>
      </w:r>
      <w:r>
        <w:rPr>
          <w:rFonts w:ascii="Times New Roman" w:hAnsi="Times New Roman" w:eastAsia="仿宋" w:cs="Times New Roman"/>
        </w:rPr>
        <w:t>1</w:t>
      </w:r>
      <w:r>
        <w:rPr>
          <w:rFonts w:hint="eastAsia" w:ascii="Times New Roman" w:hAnsi="Times New Roman" w:eastAsia="仿宋" w:cs="Times New Roman"/>
        </w:rPr>
        <w:t>3</w:t>
      </w:r>
      <w:r>
        <w:rPr>
          <w:rFonts w:ascii="Times New Roman" w:hAnsi="Times New Roman" w:eastAsia="仿宋" w:cs="Times New Roman"/>
          <w:spacing w:val="-1"/>
        </w:rPr>
        <w:t>： 报价明细表</w:t>
      </w:r>
      <w:bookmarkEnd w:id="94"/>
    </w:p>
    <w:p w14:paraId="2684D49B">
      <w:pPr>
        <w:spacing w:line="360" w:lineRule="auto"/>
        <w:ind w:left="312"/>
        <w:jc w:val="center"/>
        <w:rPr>
          <w:rFonts w:ascii="Times New Roman" w:hAnsi="Times New Roman" w:eastAsia="楷体" w:cs="Times New Roman"/>
          <w:b/>
          <w:sz w:val="36"/>
        </w:rPr>
      </w:pPr>
      <w:r>
        <w:rPr>
          <w:rFonts w:hint="eastAsia" w:ascii="Times New Roman" w:hAnsi="Times New Roman" w:eastAsia="楷体" w:cs="Times New Roman"/>
          <w:b/>
          <w:sz w:val="36"/>
          <w:lang w:val="en-US"/>
        </w:rPr>
        <w:t>一、</w:t>
      </w:r>
      <w:r>
        <w:rPr>
          <w:rFonts w:hint="eastAsia" w:ascii="Times New Roman" w:hAnsi="Times New Roman" w:eastAsia="楷体" w:cs="Times New Roman"/>
          <w:b/>
          <w:sz w:val="36"/>
        </w:rPr>
        <w:t>泛半导体产业园二期园区安装充电桩采购</w:t>
      </w:r>
    </w:p>
    <w:p w14:paraId="75193F96">
      <w:pPr>
        <w:spacing w:line="360" w:lineRule="auto"/>
        <w:ind w:left="312"/>
        <w:jc w:val="center"/>
        <w:rPr>
          <w:rFonts w:ascii="Times New Roman" w:hAnsi="Times New Roman" w:eastAsia="楷体" w:cs="Times New Roman"/>
          <w:b/>
          <w:sz w:val="36"/>
        </w:rPr>
      </w:pPr>
      <w:r>
        <w:rPr>
          <w:rFonts w:hint="eastAsia" w:ascii="Times New Roman" w:hAnsi="Times New Roman" w:eastAsia="楷体" w:cs="Times New Roman"/>
          <w:b/>
          <w:sz w:val="36"/>
        </w:rPr>
        <w:t>（</w:t>
      </w:r>
      <w:r>
        <w:rPr>
          <w:rFonts w:hint="eastAsia" w:ascii="Times New Roman" w:hAnsi="Times New Roman" w:eastAsia="楷体" w:cs="Times New Roman"/>
          <w:b/>
          <w:sz w:val="36"/>
          <w:lang w:val="en-US"/>
        </w:rPr>
        <w:t>一</w:t>
      </w:r>
      <w:r>
        <w:rPr>
          <w:rFonts w:hint="eastAsia" w:ascii="Times New Roman" w:hAnsi="Times New Roman" w:eastAsia="楷体" w:cs="Times New Roman"/>
          <w:b/>
          <w:sz w:val="36"/>
        </w:rPr>
        <w:t>）</w:t>
      </w:r>
      <w:r>
        <w:rPr>
          <w:rFonts w:ascii="Times New Roman" w:hAnsi="Times New Roman" w:eastAsia="楷体" w:cs="Times New Roman"/>
          <w:b/>
          <w:sz w:val="36"/>
        </w:rPr>
        <w:t>报价明细表</w:t>
      </w:r>
    </w:p>
    <w:p w14:paraId="0810478E">
      <w:pPr>
        <w:spacing w:line="360" w:lineRule="auto"/>
        <w:ind w:left="312"/>
        <w:jc w:val="center"/>
        <w:rPr>
          <w:rFonts w:ascii="Times New Roman" w:hAnsi="Times New Roman" w:eastAsia="楷体" w:cs="Times New Roman"/>
          <w:b/>
          <w:sz w:val="36"/>
        </w:rPr>
      </w:pPr>
    </w:p>
    <w:p w14:paraId="5B71E764">
      <w:pPr>
        <w:spacing w:line="360" w:lineRule="auto"/>
        <w:ind w:left="312"/>
        <w:jc w:val="center"/>
        <w:rPr>
          <w:rFonts w:ascii="Times New Roman" w:hAnsi="Times New Roman" w:eastAsia="楷体" w:cs="Times New Roman"/>
          <w:b/>
          <w:sz w:val="36"/>
        </w:rPr>
      </w:pPr>
    </w:p>
    <w:p w14:paraId="22C85002">
      <w:pPr>
        <w:spacing w:line="360" w:lineRule="auto"/>
        <w:ind w:left="312"/>
        <w:jc w:val="center"/>
        <w:rPr>
          <w:rFonts w:ascii="Times New Roman" w:hAnsi="Times New Roman" w:eastAsia="楷体" w:cs="Times New Roman"/>
          <w:b/>
          <w:sz w:val="36"/>
        </w:rPr>
      </w:pPr>
    </w:p>
    <w:p w14:paraId="1B87921C">
      <w:pPr>
        <w:spacing w:line="360" w:lineRule="auto"/>
        <w:ind w:left="312"/>
        <w:jc w:val="center"/>
        <w:rPr>
          <w:rFonts w:ascii="Times New Roman" w:hAnsi="Times New Roman" w:eastAsia="楷体" w:cs="Times New Roman"/>
          <w:b/>
          <w:sz w:val="36"/>
        </w:rPr>
      </w:pPr>
    </w:p>
    <w:p w14:paraId="0B652ED4">
      <w:pPr>
        <w:spacing w:line="360" w:lineRule="auto"/>
        <w:ind w:left="312"/>
        <w:jc w:val="center"/>
        <w:rPr>
          <w:rFonts w:ascii="Times New Roman" w:hAnsi="Times New Roman" w:eastAsia="楷体" w:cs="Times New Roman"/>
          <w:b/>
          <w:sz w:val="36"/>
        </w:rPr>
      </w:pPr>
    </w:p>
    <w:p w14:paraId="0E6430D1">
      <w:pPr>
        <w:spacing w:line="360" w:lineRule="auto"/>
        <w:ind w:left="312"/>
        <w:jc w:val="center"/>
        <w:rPr>
          <w:rFonts w:ascii="Times New Roman" w:hAnsi="Times New Roman" w:eastAsia="楷体" w:cs="Times New Roman"/>
          <w:b/>
          <w:sz w:val="36"/>
        </w:rPr>
      </w:pPr>
    </w:p>
    <w:p w14:paraId="3F7F8EE6">
      <w:pPr>
        <w:pStyle w:val="18"/>
        <w:spacing w:line="360" w:lineRule="auto"/>
        <w:rPr>
          <w:rFonts w:ascii="Times New Roman" w:hAnsi="Times New Roman" w:eastAsia="楷体" w:cs="Times New Roman"/>
          <w:b/>
          <w:sz w:val="36"/>
        </w:rPr>
      </w:pPr>
    </w:p>
    <w:p w14:paraId="570172CF">
      <w:pPr>
        <w:pStyle w:val="18"/>
        <w:spacing w:line="360" w:lineRule="auto"/>
        <w:rPr>
          <w:rFonts w:ascii="Times New Roman" w:hAnsi="Times New Roman" w:eastAsia="楷体" w:cs="Times New Roman"/>
          <w:b/>
          <w:sz w:val="36"/>
        </w:rPr>
      </w:pPr>
    </w:p>
    <w:p w14:paraId="3A7834D2">
      <w:pPr>
        <w:pStyle w:val="18"/>
        <w:spacing w:line="360" w:lineRule="auto"/>
        <w:rPr>
          <w:rFonts w:ascii="Times New Roman" w:hAnsi="Times New Roman" w:eastAsia="楷体" w:cs="Times New Roman"/>
          <w:b/>
          <w:sz w:val="36"/>
        </w:rPr>
      </w:pPr>
    </w:p>
    <w:p w14:paraId="66EBB9D5">
      <w:pPr>
        <w:pStyle w:val="18"/>
        <w:spacing w:line="360" w:lineRule="auto"/>
        <w:rPr>
          <w:rFonts w:ascii="Times New Roman" w:hAnsi="Times New Roman" w:eastAsia="楷体" w:cs="Times New Roman"/>
          <w:b/>
          <w:sz w:val="36"/>
        </w:rPr>
      </w:pPr>
    </w:p>
    <w:p w14:paraId="40004DF2">
      <w:pPr>
        <w:pStyle w:val="18"/>
        <w:spacing w:line="360" w:lineRule="auto"/>
        <w:rPr>
          <w:rFonts w:ascii="Times New Roman" w:hAnsi="Times New Roman" w:eastAsia="楷体" w:cs="Times New Roman"/>
          <w:b/>
          <w:sz w:val="36"/>
        </w:rPr>
      </w:pPr>
    </w:p>
    <w:p w14:paraId="7B0E27CF">
      <w:pPr>
        <w:pStyle w:val="18"/>
        <w:spacing w:line="360" w:lineRule="auto"/>
        <w:rPr>
          <w:rFonts w:ascii="Times New Roman" w:hAnsi="Times New Roman" w:eastAsia="楷体" w:cs="Times New Roman"/>
          <w:b/>
          <w:sz w:val="36"/>
        </w:rPr>
      </w:pPr>
    </w:p>
    <w:p w14:paraId="64478197">
      <w:pPr>
        <w:pStyle w:val="18"/>
        <w:spacing w:line="360" w:lineRule="auto"/>
        <w:rPr>
          <w:rFonts w:ascii="Times New Roman" w:hAnsi="Times New Roman" w:eastAsia="楷体" w:cs="Times New Roman"/>
          <w:b/>
          <w:sz w:val="36"/>
        </w:rPr>
      </w:pPr>
    </w:p>
    <w:p w14:paraId="0A91D3CC">
      <w:pPr>
        <w:pStyle w:val="18"/>
        <w:spacing w:line="360" w:lineRule="auto"/>
        <w:rPr>
          <w:rFonts w:ascii="Times New Roman" w:hAnsi="Times New Roman" w:eastAsia="楷体" w:cs="Times New Roman"/>
          <w:b/>
          <w:sz w:val="36"/>
        </w:rPr>
      </w:pPr>
    </w:p>
    <w:p w14:paraId="35EFAB13">
      <w:pPr>
        <w:pStyle w:val="18"/>
        <w:spacing w:line="360" w:lineRule="auto"/>
        <w:rPr>
          <w:rFonts w:ascii="Times New Roman" w:hAnsi="Times New Roman" w:eastAsia="楷体" w:cs="Times New Roman"/>
          <w:b/>
          <w:sz w:val="36"/>
        </w:rPr>
      </w:pPr>
    </w:p>
    <w:p w14:paraId="7818A67A">
      <w:pPr>
        <w:spacing w:line="480" w:lineRule="auto"/>
        <w:ind w:left="312"/>
        <w:jc w:val="both"/>
        <w:rPr>
          <w:rFonts w:ascii="Times New Roman" w:hAnsi="Times New Roman" w:cs="Times New Roman"/>
          <w:b/>
          <w:sz w:val="24"/>
        </w:rPr>
      </w:pPr>
      <w:r>
        <w:rPr>
          <w:rFonts w:ascii="Times New Roman" w:hAnsi="Times New Roman" w:cs="Times New Roman"/>
          <w:b/>
          <w:sz w:val="24"/>
        </w:rPr>
        <w:t>投标人（公章）：</w:t>
      </w:r>
    </w:p>
    <w:p w14:paraId="3FD1E931">
      <w:pPr>
        <w:spacing w:line="480" w:lineRule="auto"/>
        <w:ind w:left="312"/>
        <w:jc w:val="both"/>
        <w:rPr>
          <w:rFonts w:ascii="Times New Roman" w:hAnsi="Times New Roman" w:cs="Times New Roman"/>
          <w:b/>
          <w:sz w:val="24"/>
        </w:rPr>
      </w:pPr>
      <w:r>
        <w:rPr>
          <w:rFonts w:ascii="Times New Roman" w:hAnsi="Times New Roman" w:cs="Times New Roman"/>
          <w:b/>
          <w:sz w:val="24"/>
        </w:rPr>
        <w:t>法定代表人或授权代表（签字或盖章）：</w:t>
      </w:r>
    </w:p>
    <w:p w14:paraId="7E33FF7F">
      <w:pPr>
        <w:spacing w:line="480" w:lineRule="auto"/>
        <w:ind w:left="312"/>
        <w:jc w:val="both"/>
        <w:rPr>
          <w:rFonts w:ascii="Times New Roman" w:hAnsi="Times New Roman" w:cs="Times New Roman"/>
          <w:b/>
          <w:sz w:val="24"/>
        </w:rPr>
      </w:pPr>
      <w:r>
        <w:rPr>
          <w:rFonts w:ascii="Times New Roman" w:hAnsi="Times New Roman" w:cs="Times New Roman"/>
          <w:b/>
          <w:sz w:val="24"/>
        </w:rPr>
        <w:t xml:space="preserve"> 日期：</w:t>
      </w:r>
      <w:r>
        <w:rPr>
          <w:rFonts w:ascii="Times New Roman" w:hAnsi="Times New Roman" w:cs="Times New Roman"/>
          <w:b/>
          <w:sz w:val="24"/>
        </w:rPr>
        <w:tab/>
      </w:r>
      <w:r>
        <w:rPr>
          <w:rFonts w:ascii="Times New Roman" w:hAnsi="Times New Roman" w:cs="Times New Roman"/>
          <w:b/>
          <w:sz w:val="24"/>
        </w:rPr>
        <w:t>年</w:t>
      </w:r>
      <w:r>
        <w:rPr>
          <w:rFonts w:ascii="Times New Roman" w:hAnsi="Times New Roman" w:cs="Times New Roman"/>
          <w:b/>
          <w:sz w:val="24"/>
        </w:rPr>
        <w:tab/>
      </w:r>
      <w:r>
        <w:rPr>
          <w:rFonts w:ascii="Times New Roman" w:hAnsi="Times New Roman" w:cs="Times New Roman"/>
          <w:b/>
          <w:sz w:val="24"/>
        </w:rPr>
        <w:t>月</w:t>
      </w:r>
      <w:r>
        <w:rPr>
          <w:rFonts w:ascii="Times New Roman" w:hAnsi="Times New Roman" w:cs="Times New Roman"/>
          <w:b/>
          <w:sz w:val="24"/>
        </w:rPr>
        <w:tab/>
      </w:r>
      <w:r>
        <w:rPr>
          <w:rFonts w:ascii="Times New Roman" w:hAnsi="Times New Roman" w:cs="Times New Roman"/>
          <w:b/>
          <w:sz w:val="24"/>
        </w:rPr>
        <w:t>日</w:t>
      </w:r>
    </w:p>
    <w:p w14:paraId="7C474814">
      <w:pPr>
        <w:tabs>
          <w:tab w:val="left" w:pos="1640"/>
          <w:tab w:val="left" w:pos="2242"/>
          <w:tab w:val="left" w:pos="2845"/>
        </w:tabs>
        <w:spacing w:before="158" w:line="360" w:lineRule="auto"/>
        <w:ind w:left="312" w:right="5716"/>
        <w:rPr>
          <w:rFonts w:ascii="Times New Roman" w:hAnsi="Times New Roman" w:cs="Times New Roman"/>
          <w:b/>
          <w:sz w:val="24"/>
        </w:rPr>
      </w:pPr>
    </w:p>
    <w:p w14:paraId="632C9681">
      <w:pPr>
        <w:tabs>
          <w:tab w:val="left" w:pos="1640"/>
          <w:tab w:val="left" w:pos="2242"/>
          <w:tab w:val="left" w:pos="2845"/>
        </w:tabs>
        <w:spacing w:before="158" w:line="360" w:lineRule="auto"/>
        <w:ind w:left="312" w:right="5716"/>
        <w:rPr>
          <w:rFonts w:ascii="Times New Roman" w:hAnsi="Times New Roman" w:cs="Times New Roman"/>
          <w:b/>
          <w:sz w:val="24"/>
        </w:rPr>
      </w:pPr>
    </w:p>
    <w:sectPr>
      <w:footerReference r:id="rId4" w:type="default"/>
      <w:type w:val="continuous"/>
      <w:pgSz w:w="11910" w:h="16840"/>
      <w:pgMar w:top="1400" w:right="1470" w:bottom="1100" w:left="1080" w:header="720" w:footer="720" w:gutter="60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EU-F1">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E-F1">
    <w:altName w:val="Times New Roman"/>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19F2">
    <w:pPr>
      <w:pStyle w:val="30"/>
      <w:jc w:val="center"/>
    </w:pPr>
    <w:r>
      <w:fldChar w:fldCharType="begin"/>
    </w:r>
    <w:r>
      <w:instrText xml:space="preserve"> PAGE   \* MERGEFORMAT </w:instrText>
    </w:r>
    <w:r>
      <w:fldChar w:fldCharType="separate"/>
    </w:r>
    <w:r>
      <w:t>42</w:t>
    </w:r>
    <w:r>
      <w:fldChar w:fldCharType="end"/>
    </w:r>
  </w:p>
  <w:p w14:paraId="063E4FD5">
    <w:pPr>
      <w:pStyle w:val="1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4D42">
    <w:pPr>
      <w:pStyle w:val="31"/>
    </w:pPr>
    <w:r>
      <w:rPr>
        <w:rFonts w:hint="eastAsia"/>
      </w:rPr>
      <w:t>浙江信益工程管理有限公司                                   项目编号:</w:t>
    </w:r>
    <w:r>
      <w:rPr>
        <w:rFonts w:hint="eastAsia" w:cs="Times New Roman"/>
        <w:sz w:val="21"/>
        <w:szCs w:val="21"/>
      </w:rPr>
      <w:t>XYCG2025009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8B38C"/>
    <w:multiLevelType w:val="singleLevel"/>
    <w:tmpl w:val="BA18B38C"/>
    <w:lvl w:ilvl="0" w:tentative="0">
      <w:start w:val="2"/>
      <w:numFmt w:val="chineseCounting"/>
      <w:lvlText w:val="第%1章"/>
      <w:lvlJc w:val="left"/>
      <w:rPr>
        <w:rFonts w:hint="eastAsia"/>
      </w:rPr>
    </w:lvl>
  </w:abstractNum>
  <w:abstractNum w:abstractNumId="1">
    <w:nsid w:val="C5A8406B"/>
    <w:multiLevelType w:val="singleLevel"/>
    <w:tmpl w:val="C5A8406B"/>
    <w:lvl w:ilvl="0" w:tentative="0">
      <w:start w:val="5"/>
      <w:numFmt w:val="chineseCounting"/>
      <w:lvlText w:val="第%1章"/>
      <w:lvlJc w:val="left"/>
      <w:rPr>
        <w:rFonts w:hint="eastAsia"/>
      </w:rPr>
    </w:lvl>
  </w:abstractNum>
  <w:abstractNum w:abstractNumId="2">
    <w:nsid w:val="0A0C2485"/>
    <w:multiLevelType w:val="multilevel"/>
    <w:tmpl w:val="0A0C2485"/>
    <w:lvl w:ilvl="0" w:tentative="0">
      <w:start w:val="1"/>
      <w:numFmt w:val="decimal"/>
      <w:pStyle w:val="89"/>
      <w:lvlText w:val="%1、"/>
      <w:lvlJc w:val="left"/>
      <w:pPr>
        <w:tabs>
          <w:tab w:val="left" w:pos="375"/>
        </w:tabs>
        <w:ind w:left="375" w:hanging="37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6335F9"/>
    <w:multiLevelType w:val="singleLevel"/>
    <w:tmpl w:val="1C6335F9"/>
    <w:lvl w:ilvl="0" w:tentative="0">
      <w:start w:val="2"/>
      <w:numFmt w:val="chineseCounting"/>
      <w:suff w:val="nothing"/>
      <w:lvlText w:val="%1、"/>
      <w:lvlJc w:val="left"/>
      <w:rPr>
        <w:rFonts w:hint="eastAsia"/>
      </w:rPr>
    </w:lvl>
  </w:abstractNum>
  <w:abstractNum w:abstractNumId="4">
    <w:nsid w:val="1E832F41"/>
    <w:multiLevelType w:val="multilevel"/>
    <w:tmpl w:val="1E832F41"/>
    <w:lvl w:ilvl="0" w:tentative="0">
      <w:start w:val="1"/>
      <w:numFmt w:val="decimal"/>
      <w:pStyle w:val="78"/>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240D3E5A"/>
    <w:multiLevelType w:val="singleLevel"/>
    <w:tmpl w:val="240D3E5A"/>
    <w:lvl w:ilvl="0" w:tentative="0">
      <w:start w:val="1"/>
      <w:numFmt w:val="decimal"/>
      <w:pStyle w:val="69"/>
      <w:lvlText w:val="%1、"/>
      <w:lvlJc w:val="left"/>
      <w:pPr>
        <w:tabs>
          <w:tab w:val="left" w:pos="480"/>
        </w:tabs>
        <w:ind w:left="480" w:hanging="480"/>
      </w:pPr>
      <w:rPr>
        <w:rFonts w:hint="eastAsia"/>
      </w:rPr>
    </w:lvl>
  </w:abstractNum>
  <w:abstractNum w:abstractNumId="6">
    <w:nsid w:val="25D21D3F"/>
    <w:multiLevelType w:val="multilevel"/>
    <w:tmpl w:val="25D21D3F"/>
    <w:lvl w:ilvl="0" w:tentative="0">
      <w:start w:val="1"/>
      <w:numFmt w:val="lowerLetter"/>
      <w:pStyle w:val="118"/>
      <w:lvlText w:val="%1)"/>
      <w:lvlJc w:val="left"/>
      <w:pPr>
        <w:tabs>
          <w:tab w:val="left" w:pos="0"/>
        </w:tabs>
        <w:ind w:left="397" w:firstLine="2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2A1EE0"/>
    <w:multiLevelType w:val="multilevel"/>
    <w:tmpl w:val="272A1EE0"/>
    <w:lvl w:ilvl="0" w:tentative="0">
      <w:start w:val="1"/>
      <w:numFmt w:val="lowerLetter"/>
      <w:pStyle w:val="107"/>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8">
    <w:nsid w:val="420C153B"/>
    <w:multiLevelType w:val="multilevel"/>
    <w:tmpl w:val="420C153B"/>
    <w:lvl w:ilvl="0" w:tentative="0">
      <w:start w:val="1"/>
      <w:numFmt w:val="decimal"/>
      <w:pStyle w:val="10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color w:val="auto"/>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40A7B14"/>
    <w:multiLevelType w:val="multilevel"/>
    <w:tmpl w:val="440A7B1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7584AD8"/>
    <w:multiLevelType w:val="multilevel"/>
    <w:tmpl w:val="47584AD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B9D13A2"/>
    <w:multiLevelType w:val="multilevel"/>
    <w:tmpl w:val="4B9D13A2"/>
    <w:lvl w:ilvl="0" w:tentative="0">
      <w:start w:val="1"/>
      <w:numFmt w:val="bullet"/>
      <w:pStyle w:val="10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646260FA"/>
    <w:multiLevelType w:val="multilevel"/>
    <w:tmpl w:val="646260FA"/>
    <w:lvl w:ilvl="0" w:tentative="0">
      <w:start w:val="1"/>
      <w:numFmt w:val="decimal"/>
      <w:pStyle w:val="112"/>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4DD45BE"/>
    <w:multiLevelType w:val="multilevel"/>
    <w:tmpl w:val="64DD45BE"/>
    <w:lvl w:ilvl="0" w:tentative="0">
      <w:start w:val="1"/>
      <w:numFmt w:val="chineseCountingThousand"/>
      <w:pStyle w:val="109"/>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22684F0"/>
    <w:multiLevelType w:val="singleLevel"/>
    <w:tmpl w:val="722684F0"/>
    <w:lvl w:ilvl="0" w:tentative="0">
      <w:start w:val="1"/>
      <w:numFmt w:val="chineseCounting"/>
      <w:suff w:val="nothing"/>
      <w:lvlText w:val="（%1）"/>
      <w:lvlJc w:val="left"/>
      <w:rPr>
        <w:rFonts w:hint="eastAsia"/>
      </w:rPr>
    </w:lvl>
  </w:abstractNum>
  <w:abstractNum w:abstractNumId="15">
    <w:nsid w:val="759A2F9E"/>
    <w:multiLevelType w:val="singleLevel"/>
    <w:tmpl w:val="759A2F9E"/>
    <w:lvl w:ilvl="0" w:tentative="0">
      <w:start w:val="1"/>
      <w:numFmt w:val="decimal"/>
      <w:pStyle w:val="103"/>
      <w:suff w:val="nothing"/>
      <w:lvlText w:val="（%1）"/>
      <w:lvlJc w:val="left"/>
    </w:lvl>
  </w:abstractNum>
  <w:abstractNum w:abstractNumId="16">
    <w:nsid w:val="76375F36"/>
    <w:multiLevelType w:val="multilevel"/>
    <w:tmpl w:val="76375F36"/>
    <w:lvl w:ilvl="0" w:tentative="0">
      <w:start w:val="1"/>
      <w:numFmt w:val="decimal"/>
      <w:pStyle w:val="97"/>
      <w:lvlText w:val="%1."/>
      <w:lvlJc w:val="left"/>
      <w:pPr>
        <w:ind w:left="425" w:hanging="425"/>
      </w:pPr>
    </w:lvl>
    <w:lvl w:ilvl="1" w:tentative="0">
      <w:start w:val="1"/>
      <w:numFmt w:val="decimal"/>
      <w:pStyle w:val="82"/>
      <w:lvlText w:val="%1.%2."/>
      <w:lvlJc w:val="left"/>
      <w:pPr>
        <w:ind w:left="567" w:hanging="567"/>
      </w:pPr>
    </w:lvl>
    <w:lvl w:ilvl="2" w:tentative="0">
      <w:start w:val="1"/>
      <w:numFmt w:val="decimal"/>
      <w:pStyle w:val="72"/>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77001089"/>
    <w:multiLevelType w:val="multilevel"/>
    <w:tmpl w:val="77001089"/>
    <w:lvl w:ilvl="0" w:tentative="0">
      <w:start w:val="1"/>
      <w:numFmt w:val="lowerLetter"/>
      <w:lvlText w:val="%1)"/>
      <w:lvlJc w:val="left"/>
      <w:pPr>
        <w:tabs>
          <w:tab w:val="left" w:pos="315"/>
        </w:tabs>
        <w:ind w:left="712" w:firstLine="23"/>
      </w:pPr>
      <w:rPr>
        <w:rFonts w:hint="default"/>
      </w:rPr>
    </w:lvl>
    <w:lvl w:ilvl="1" w:tentative="0">
      <w:start w:val="1"/>
      <w:numFmt w:val="lowerLetter"/>
      <w:pStyle w:val="106"/>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num w:numId="1">
    <w:abstractNumId w:val="5"/>
  </w:num>
  <w:num w:numId="2">
    <w:abstractNumId w:val="16"/>
  </w:num>
  <w:num w:numId="3">
    <w:abstractNumId w:val="4"/>
  </w:num>
  <w:num w:numId="4">
    <w:abstractNumId w:val="2"/>
  </w:num>
  <w:num w:numId="5">
    <w:abstractNumId w:val="15"/>
  </w:num>
  <w:num w:numId="6">
    <w:abstractNumId w:val="8"/>
  </w:num>
  <w:num w:numId="7">
    <w:abstractNumId w:val="17"/>
  </w:num>
  <w:num w:numId="8">
    <w:abstractNumId w:val="7"/>
  </w:num>
  <w:num w:numId="9">
    <w:abstractNumId w:val="11"/>
  </w:num>
  <w:num w:numId="10">
    <w:abstractNumId w:val="13"/>
  </w:num>
  <w:num w:numId="11">
    <w:abstractNumId w:val="12"/>
  </w:num>
  <w:num w:numId="12">
    <w:abstractNumId w:val="6"/>
  </w:num>
  <w:num w:numId="13">
    <w:abstractNumId w:val="0"/>
  </w:num>
  <w:num w:numId="14">
    <w:abstractNumId w:val="3"/>
  </w:num>
  <w:num w:numId="15">
    <w:abstractNumId w:val="14"/>
  </w:num>
  <w:num w:numId="16">
    <w:abstractNumId w:val="1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compat>
    <w:spaceForUL/>
    <w:doNotLeaveBackslashAlone/>
    <w:ulTrailSpac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1YTdmY2MwM2VkMGE4ZDFhYTAxOWY5YmQ1OWE2OWQifQ=="/>
  </w:docVars>
  <w:rsids>
    <w:rsidRoot w:val="00B92EBA"/>
    <w:rsid w:val="00001CD7"/>
    <w:rsid w:val="00020FB4"/>
    <w:rsid w:val="000260B8"/>
    <w:rsid w:val="00031ED2"/>
    <w:rsid w:val="0003434D"/>
    <w:rsid w:val="000377EF"/>
    <w:rsid w:val="000447BA"/>
    <w:rsid w:val="00047ACB"/>
    <w:rsid w:val="00050BE9"/>
    <w:rsid w:val="0005138C"/>
    <w:rsid w:val="0005193A"/>
    <w:rsid w:val="000548DA"/>
    <w:rsid w:val="00055439"/>
    <w:rsid w:val="0006609F"/>
    <w:rsid w:val="00072DBD"/>
    <w:rsid w:val="00073E58"/>
    <w:rsid w:val="00076A1F"/>
    <w:rsid w:val="00077E38"/>
    <w:rsid w:val="00080555"/>
    <w:rsid w:val="00080B77"/>
    <w:rsid w:val="000831C7"/>
    <w:rsid w:val="00092BEC"/>
    <w:rsid w:val="00097330"/>
    <w:rsid w:val="000A3554"/>
    <w:rsid w:val="000A38C2"/>
    <w:rsid w:val="000A4256"/>
    <w:rsid w:val="000A6AB3"/>
    <w:rsid w:val="000B334A"/>
    <w:rsid w:val="000B4B78"/>
    <w:rsid w:val="000C0C99"/>
    <w:rsid w:val="000C0D05"/>
    <w:rsid w:val="000C24CD"/>
    <w:rsid w:val="000C364A"/>
    <w:rsid w:val="000D6309"/>
    <w:rsid w:val="000E2A90"/>
    <w:rsid w:val="000E34D3"/>
    <w:rsid w:val="000F5D7B"/>
    <w:rsid w:val="00101465"/>
    <w:rsid w:val="00101E56"/>
    <w:rsid w:val="00115CED"/>
    <w:rsid w:val="00121195"/>
    <w:rsid w:val="00123034"/>
    <w:rsid w:val="00131D58"/>
    <w:rsid w:val="001603BD"/>
    <w:rsid w:val="00161753"/>
    <w:rsid w:val="001636D5"/>
    <w:rsid w:val="00165130"/>
    <w:rsid w:val="001723D3"/>
    <w:rsid w:val="00192622"/>
    <w:rsid w:val="001945FA"/>
    <w:rsid w:val="001B174D"/>
    <w:rsid w:val="001B6FAB"/>
    <w:rsid w:val="001C26B6"/>
    <w:rsid w:val="001E5B88"/>
    <w:rsid w:val="001F0A3E"/>
    <w:rsid w:val="001F58F4"/>
    <w:rsid w:val="0020690B"/>
    <w:rsid w:val="002234D1"/>
    <w:rsid w:val="00242AAF"/>
    <w:rsid w:val="0026059C"/>
    <w:rsid w:val="00260A3E"/>
    <w:rsid w:val="002647F8"/>
    <w:rsid w:val="00265F10"/>
    <w:rsid w:val="00272E63"/>
    <w:rsid w:val="002823A5"/>
    <w:rsid w:val="00285025"/>
    <w:rsid w:val="00291EF4"/>
    <w:rsid w:val="00295FC4"/>
    <w:rsid w:val="002A3D7E"/>
    <w:rsid w:val="002A51EA"/>
    <w:rsid w:val="002B16E1"/>
    <w:rsid w:val="002C1683"/>
    <w:rsid w:val="002C4F54"/>
    <w:rsid w:val="002D20A6"/>
    <w:rsid w:val="002D6DF3"/>
    <w:rsid w:val="002F0C7C"/>
    <w:rsid w:val="00301A8E"/>
    <w:rsid w:val="003047A7"/>
    <w:rsid w:val="00313A8B"/>
    <w:rsid w:val="00313C40"/>
    <w:rsid w:val="00320BDB"/>
    <w:rsid w:val="003216EB"/>
    <w:rsid w:val="00327C77"/>
    <w:rsid w:val="00330E9A"/>
    <w:rsid w:val="003342E5"/>
    <w:rsid w:val="0036568A"/>
    <w:rsid w:val="003671B3"/>
    <w:rsid w:val="003840C5"/>
    <w:rsid w:val="003917D8"/>
    <w:rsid w:val="003A1ABC"/>
    <w:rsid w:val="003A3259"/>
    <w:rsid w:val="003B2BBA"/>
    <w:rsid w:val="003B5CF8"/>
    <w:rsid w:val="003B6D0F"/>
    <w:rsid w:val="003C1BEE"/>
    <w:rsid w:val="003C3459"/>
    <w:rsid w:val="003C3AEC"/>
    <w:rsid w:val="003D12A3"/>
    <w:rsid w:val="003D685A"/>
    <w:rsid w:val="003D79F9"/>
    <w:rsid w:val="003D7CD5"/>
    <w:rsid w:val="003E6D3D"/>
    <w:rsid w:val="003F6622"/>
    <w:rsid w:val="004028F0"/>
    <w:rsid w:val="00417D31"/>
    <w:rsid w:val="00422C72"/>
    <w:rsid w:val="00432058"/>
    <w:rsid w:val="004415DD"/>
    <w:rsid w:val="00442734"/>
    <w:rsid w:val="00462510"/>
    <w:rsid w:val="00470E13"/>
    <w:rsid w:val="00480EE4"/>
    <w:rsid w:val="00495E8A"/>
    <w:rsid w:val="004977E8"/>
    <w:rsid w:val="004A1590"/>
    <w:rsid w:val="004A1EF3"/>
    <w:rsid w:val="004A73CD"/>
    <w:rsid w:val="004C192E"/>
    <w:rsid w:val="004D5E71"/>
    <w:rsid w:val="004E042C"/>
    <w:rsid w:val="004E57C6"/>
    <w:rsid w:val="004F543F"/>
    <w:rsid w:val="00502A96"/>
    <w:rsid w:val="00517005"/>
    <w:rsid w:val="00523963"/>
    <w:rsid w:val="00533167"/>
    <w:rsid w:val="00533D78"/>
    <w:rsid w:val="00535319"/>
    <w:rsid w:val="00536C47"/>
    <w:rsid w:val="005370B7"/>
    <w:rsid w:val="00545A34"/>
    <w:rsid w:val="005618F3"/>
    <w:rsid w:val="005754AE"/>
    <w:rsid w:val="0057775C"/>
    <w:rsid w:val="00582DB2"/>
    <w:rsid w:val="0058661F"/>
    <w:rsid w:val="005922EC"/>
    <w:rsid w:val="005947EA"/>
    <w:rsid w:val="00595BCF"/>
    <w:rsid w:val="00597F7D"/>
    <w:rsid w:val="005B002E"/>
    <w:rsid w:val="005B4FFF"/>
    <w:rsid w:val="005C3740"/>
    <w:rsid w:val="005C4C2D"/>
    <w:rsid w:val="005D2655"/>
    <w:rsid w:val="005E6391"/>
    <w:rsid w:val="0060629A"/>
    <w:rsid w:val="00614756"/>
    <w:rsid w:val="006171CC"/>
    <w:rsid w:val="006210A3"/>
    <w:rsid w:val="0062138B"/>
    <w:rsid w:val="006231F6"/>
    <w:rsid w:val="006258CB"/>
    <w:rsid w:val="00643DE0"/>
    <w:rsid w:val="00660ACA"/>
    <w:rsid w:val="00661F05"/>
    <w:rsid w:val="0067078D"/>
    <w:rsid w:val="00673C3E"/>
    <w:rsid w:val="0067747A"/>
    <w:rsid w:val="00696798"/>
    <w:rsid w:val="006B4542"/>
    <w:rsid w:val="006E59B0"/>
    <w:rsid w:val="006E6B84"/>
    <w:rsid w:val="00700890"/>
    <w:rsid w:val="007061C7"/>
    <w:rsid w:val="007109C1"/>
    <w:rsid w:val="00715C72"/>
    <w:rsid w:val="0072697E"/>
    <w:rsid w:val="00735CDB"/>
    <w:rsid w:val="00745E9A"/>
    <w:rsid w:val="00747382"/>
    <w:rsid w:val="00751270"/>
    <w:rsid w:val="00752CDF"/>
    <w:rsid w:val="00753B8B"/>
    <w:rsid w:val="00760E37"/>
    <w:rsid w:val="00761012"/>
    <w:rsid w:val="0076276F"/>
    <w:rsid w:val="007659DF"/>
    <w:rsid w:val="00777FDB"/>
    <w:rsid w:val="00781A6E"/>
    <w:rsid w:val="007A300A"/>
    <w:rsid w:val="007D4F9B"/>
    <w:rsid w:val="007D784F"/>
    <w:rsid w:val="007F0F97"/>
    <w:rsid w:val="00811336"/>
    <w:rsid w:val="00831468"/>
    <w:rsid w:val="008370C7"/>
    <w:rsid w:val="0084652B"/>
    <w:rsid w:val="008516DF"/>
    <w:rsid w:val="00854D4A"/>
    <w:rsid w:val="0086234C"/>
    <w:rsid w:val="0086457D"/>
    <w:rsid w:val="00865A14"/>
    <w:rsid w:val="00873584"/>
    <w:rsid w:val="00897D2A"/>
    <w:rsid w:val="008B4A4F"/>
    <w:rsid w:val="008C2E24"/>
    <w:rsid w:val="008C43EB"/>
    <w:rsid w:val="008D05F5"/>
    <w:rsid w:val="008E052F"/>
    <w:rsid w:val="008E0EB5"/>
    <w:rsid w:val="008E0EFB"/>
    <w:rsid w:val="008F27D8"/>
    <w:rsid w:val="00906E97"/>
    <w:rsid w:val="00913DE7"/>
    <w:rsid w:val="00914066"/>
    <w:rsid w:val="0092090A"/>
    <w:rsid w:val="00934CD2"/>
    <w:rsid w:val="0093743A"/>
    <w:rsid w:val="00943686"/>
    <w:rsid w:val="00950C6C"/>
    <w:rsid w:val="00955F80"/>
    <w:rsid w:val="00963F9A"/>
    <w:rsid w:val="009655A4"/>
    <w:rsid w:val="00967166"/>
    <w:rsid w:val="00967A77"/>
    <w:rsid w:val="009724D3"/>
    <w:rsid w:val="00972C69"/>
    <w:rsid w:val="0098659C"/>
    <w:rsid w:val="009931A5"/>
    <w:rsid w:val="00996102"/>
    <w:rsid w:val="009A02CE"/>
    <w:rsid w:val="009A6026"/>
    <w:rsid w:val="009B6618"/>
    <w:rsid w:val="009C0C30"/>
    <w:rsid w:val="009C138F"/>
    <w:rsid w:val="009E63E3"/>
    <w:rsid w:val="009F3CBB"/>
    <w:rsid w:val="009F5D7F"/>
    <w:rsid w:val="009F755D"/>
    <w:rsid w:val="00A0054C"/>
    <w:rsid w:val="00A06226"/>
    <w:rsid w:val="00A158B8"/>
    <w:rsid w:val="00A34E1A"/>
    <w:rsid w:val="00A37A0C"/>
    <w:rsid w:val="00A37ABF"/>
    <w:rsid w:val="00A404AC"/>
    <w:rsid w:val="00A439A1"/>
    <w:rsid w:val="00A45442"/>
    <w:rsid w:val="00A54090"/>
    <w:rsid w:val="00A54FBC"/>
    <w:rsid w:val="00A55ECC"/>
    <w:rsid w:val="00A620E6"/>
    <w:rsid w:val="00A63B9C"/>
    <w:rsid w:val="00A6483E"/>
    <w:rsid w:val="00A67DA8"/>
    <w:rsid w:val="00A953F8"/>
    <w:rsid w:val="00AA798A"/>
    <w:rsid w:val="00AB3238"/>
    <w:rsid w:val="00AC45E5"/>
    <w:rsid w:val="00AC50ED"/>
    <w:rsid w:val="00AC7777"/>
    <w:rsid w:val="00AD3FBA"/>
    <w:rsid w:val="00AD5688"/>
    <w:rsid w:val="00AE5159"/>
    <w:rsid w:val="00AF2B60"/>
    <w:rsid w:val="00AF3E25"/>
    <w:rsid w:val="00B10B15"/>
    <w:rsid w:val="00B122DC"/>
    <w:rsid w:val="00B13C6F"/>
    <w:rsid w:val="00B61C0C"/>
    <w:rsid w:val="00B61D0C"/>
    <w:rsid w:val="00B651A1"/>
    <w:rsid w:val="00B66572"/>
    <w:rsid w:val="00B70AD6"/>
    <w:rsid w:val="00B73808"/>
    <w:rsid w:val="00B76541"/>
    <w:rsid w:val="00B86E79"/>
    <w:rsid w:val="00B913D6"/>
    <w:rsid w:val="00B92EBA"/>
    <w:rsid w:val="00BA53A7"/>
    <w:rsid w:val="00BA6790"/>
    <w:rsid w:val="00BB3D16"/>
    <w:rsid w:val="00BC0DDD"/>
    <w:rsid w:val="00BD17A0"/>
    <w:rsid w:val="00BE1143"/>
    <w:rsid w:val="00C0505E"/>
    <w:rsid w:val="00C106A3"/>
    <w:rsid w:val="00C16898"/>
    <w:rsid w:val="00C23142"/>
    <w:rsid w:val="00C31C60"/>
    <w:rsid w:val="00C336A7"/>
    <w:rsid w:val="00C422EB"/>
    <w:rsid w:val="00C63932"/>
    <w:rsid w:val="00C65A8C"/>
    <w:rsid w:val="00C71520"/>
    <w:rsid w:val="00C75395"/>
    <w:rsid w:val="00C85B13"/>
    <w:rsid w:val="00C87547"/>
    <w:rsid w:val="00C95BF9"/>
    <w:rsid w:val="00C973FB"/>
    <w:rsid w:val="00C97920"/>
    <w:rsid w:val="00CD2D00"/>
    <w:rsid w:val="00CD4F56"/>
    <w:rsid w:val="00CF08BF"/>
    <w:rsid w:val="00D0018B"/>
    <w:rsid w:val="00D0246E"/>
    <w:rsid w:val="00D2199D"/>
    <w:rsid w:val="00D26B15"/>
    <w:rsid w:val="00D30422"/>
    <w:rsid w:val="00D34EB3"/>
    <w:rsid w:val="00D37DE6"/>
    <w:rsid w:val="00D405E8"/>
    <w:rsid w:val="00D463F5"/>
    <w:rsid w:val="00D52196"/>
    <w:rsid w:val="00D536A8"/>
    <w:rsid w:val="00D563AA"/>
    <w:rsid w:val="00D74AA1"/>
    <w:rsid w:val="00D8389E"/>
    <w:rsid w:val="00D8407C"/>
    <w:rsid w:val="00D90AB9"/>
    <w:rsid w:val="00D949C4"/>
    <w:rsid w:val="00D94F8E"/>
    <w:rsid w:val="00DA12B7"/>
    <w:rsid w:val="00DC5E65"/>
    <w:rsid w:val="00DD5331"/>
    <w:rsid w:val="00DE1C0F"/>
    <w:rsid w:val="00E12E14"/>
    <w:rsid w:val="00E154F6"/>
    <w:rsid w:val="00E16245"/>
    <w:rsid w:val="00E22C53"/>
    <w:rsid w:val="00E2589C"/>
    <w:rsid w:val="00E2691B"/>
    <w:rsid w:val="00E307F8"/>
    <w:rsid w:val="00E33293"/>
    <w:rsid w:val="00E37508"/>
    <w:rsid w:val="00E450C0"/>
    <w:rsid w:val="00E575CE"/>
    <w:rsid w:val="00E61100"/>
    <w:rsid w:val="00E6160F"/>
    <w:rsid w:val="00E7566D"/>
    <w:rsid w:val="00E82634"/>
    <w:rsid w:val="00E91192"/>
    <w:rsid w:val="00EB41D8"/>
    <w:rsid w:val="00EB5BFD"/>
    <w:rsid w:val="00EB7395"/>
    <w:rsid w:val="00EC101E"/>
    <w:rsid w:val="00ED72DD"/>
    <w:rsid w:val="00EE2DB3"/>
    <w:rsid w:val="00EE6B7F"/>
    <w:rsid w:val="00EE70F1"/>
    <w:rsid w:val="00EF1644"/>
    <w:rsid w:val="00EF534D"/>
    <w:rsid w:val="00F02B33"/>
    <w:rsid w:val="00F07F88"/>
    <w:rsid w:val="00F25FD5"/>
    <w:rsid w:val="00F33053"/>
    <w:rsid w:val="00F37C2D"/>
    <w:rsid w:val="00F55B67"/>
    <w:rsid w:val="00F648C8"/>
    <w:rsid w:val="00F71FF2"/>
    <w:rsid w:val="00F73FBF"/>
    <w:rsid w:val="00F81B61"/>
    <w:rsid w:val="00F85E31"/>
    <w:rsid w:val="00F9161B"/>
    <w:rsid w:val="00F9777D"/>
    <w:rsid w:val="00FA35EA"/>
    <w:rsid w:val="00FA4919"/>
    <w:rsid w:val="00FD6C10"/>
    <w:rsid w:val="00FF0CC6"/>
    <w:rsid w:val="02155410"/>
    <w:rsid w:val="060F4478"/>
    <w:rsid w:val="06657D8C"/>
    <w:rsid w:val="0C670CE7"/>
    <w:rsid w:val="0CA11DC5"/>
    <w:rsid w:val="0DE35735"/>
    <w:rsid w:val="0E5B5FFF"/>
    <w:rsid w:val="0FD9274A"/>
    <w:rsid w:val="108F6B38"/>
    <w:rsid w:val="11DF2FE2"/>
    <w:rsid w:val="13781A7E"/>
    <w:rsid w:val="13C4667A"/>
    <w:rsid w:val="170035C9"/>
    <w:rsid w:val="17717705"/>
    <w:rsid w:val="17732C32"/>
    <w:rsid w:val="17F809F7"/>
    <w:rsid w:val="18AE487C"/>
    <w:rsid w:val="1B685A87"/>
    <w:rsid w:val="1C9568D5"/>
    <w:rsid w:val="1F604352"/>
    <w:rsid w:val="20AF1AA5"/>
    <w:rsid w:val="22233C11"/>
    <w:rsid w:val="24A5262B"/>
    <w:rsid w:val="24F101E6"/>
    <w:rsid w:val="270B4D92"/>
    <w:rsid w:val="29D55D5C"/>
    <w:rsid w:val="2A1B7225"/>
    <w:rsid w:val="2BF76972"/>
    <w:rsid w:val="2DA07763"/>
    <w:rsid w:val="2E014BEB"/>
    <w:rsid w:val="2E4261CE"/>
    <w:rsid w:val="30B537A5"/>
    <w:rsid w:val="33411E61"/>
    <w:rsid w:val="369A0548"/>
    <w:rsid w:val="386771E9"/>
    <w:rsid w:val="3A936E05"/>
    <w:rsid w:val="3CDC01E8"/>
    <w:rsid w:val="3E2717D1"/>
    <w:rsid w:val="40A67324"/>
    <w:rsid w:val="45F138DF"/>
    <w:rsid w:val="46957BD9"/>
    <w:rsid w:val="473232DB"/>
    <w:rsid w:val="47E44403"/>
    <w:rsid w:val="4C0360C1"/>
    <w:rsid w:val="4C9C0CA6"/>
    <w:rsid w:val="4EA33192"/>
    <w:rsid w:val="4F7207E9"/>
    <w:rsid w:val="50502E09"/>
    <w:rsid w:val="50B71EEB"/>
    <w:rsid w:val="5194141C"/>
    <w:rsid w:val="51AF46D8"/>
    <w:rsid w:val="51E81223"/>
    <w:rsid w:val="556B610A"/>
    <w:rsid w:val="5B756258"/>
    <w:rsid w:val="5DC34017"/>
    <w:rsid w:val="5F59DD4E"/>
    <w:rsid w:val="5F976163"/>
    <w:rsid w:val="604E460D"/>
    <w:rsid w:val="60507B10"/>
    <w:rsid w:val="61BC0067"/>
    <w:rsid w:val="61C04BD5"/>
    <w:rsid w:val="66403D88"/>
    <w:rsid w:val="67DD3A75"/>
    <w:rsid w:val="67FC0AA6"/>
    <w:rsid w:val="69637C6A"/>
    <w:rsid w:val="6B414021"/>
    <w:rsid w:val="6E526F0C"/>
    <w:rsid w:val="6FD942C1"/>
    <w:rsid w:val="711F25AE"/>
    <w:rsid w:val="73814F04"/>
    <w:rsid w:val="73BC69EE"/>
    <w:rsid w:val="74F841CC"/>
    <w:rsid w:val="754702C4"/>
    <w:rsid w:val="78C0202A"/>
    <w:rsid w:val="7BFE4BB1"/>
    <w:rsid w:val="7C6C5F2D"/>
    <w:rsid w:val="7CFB2319"/>
    <w:rsid w:val="7E327526"/>
    <w:rsid w:val="EBF4BA3B"/>
    <w:rsid w:val="FFDBA4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ocked="1"/>
    <w:lsdException w:qFormat="1" w:uiPriority="9" w:semiHidden="0" w:name="heading 6" w:locked="1"/>
    <w:lsdException w:qFormat="1" w:uiPriority="9" w:semiHidden="0" w:name="heading 7" w:locked="1"/>
    <w:lsdException w:qFormat="1" w:uiPriority="9" w:semiHidden="0" w:name="heading 8" w:locked="1"/>
    <w:lsdException w:qFormat="1" w:uiPriority="9" w:semiHidden="0" w:name="heading 9" w:locked="1"/>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ocked="1"/>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ocked="1"/>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link w:val="119"/>
    <w:qFormat/>
    <w:uiPriority w:val="9"/>
    <w:pPr>
      <w:spacing w:before="54"/>
      <w:jc w:val="center"/>
      <w:outlineLvl w:val="0"/>
    </w:pPr>
    <w:rPr>
      <w:rFonts w:ascii="楷体" w:hAnsi="楷体" w:eastAsia="楷体" w:cs="楷体"/>
      <w:b/>
      <w:bCs/>
      <w:sz w:val="32"/>
      <w:szCs w:val="32"/>
    </w:rPr>
  </w:style>
  <w:style w:type="paragraph" w:styleId="3">
    <w:name w:val="heading 2"/>
    <w:basedOn w:val="1"/>
    <w:next w:val="1"/>
    <w:link w:val="120"/>
    <w:qFormat/>
    <w:uiPriority w:val="9"/>
    <w:pPr>
      <w:ind w:left="312"/>
      <w:outlineLvl w:val="1"/>
    </w:pPr>
    <w:rPr>
      <w:b/>
      <w:bCs/>
      <w:sz w:val="24"/>
      <w:szCs w:val="24"/>
    </w:rPr>
  </w:style>
  <w:style w:type="paragraph" w:styleId="4">
    <w:name w:val="heading 3"/>
    <w:basedOn w:val="1"/>
    <w:next w:val="1"/>
    <w:link w:val="121"/>
    <w:qFormat/>
    <w:uiPriority w:val="9"/>
    <w:pPr>
      <w:ind w:left="312"/>
      <w:outlineLvl w:val="2"/>
    </w:pPr>
    <w:rPr>
      <w:sz w:val="24"/>
      <w:szCs w:val="24"/>
    </w:rPr>
  </w:style>
  <w:style w:type="paragraph" w:styleId="5">
    <w:name w:val="heading 4"/>
    <w:basedOn w:val="1"/>
    <w:next w:val="1"/>
    <w:link w:val="122"/>
    <w:qFormat/>
    <w:uiPriority w:val="9"/>
    <w:pPr>
      <w:ind w:left="735"/>
      <w:outlineLvl w:val="3"/>
    </w:pPr>
    <w:rPr>
      <w:b/>
      <w:bCs/>
      <w:sz w:val="21"/>
      <w:szCs w:val="21"/>
    </w:rPr>
  </w:style>
  <w:style w:type="paragraph" w:styleId="6">
    <w:name w:val="heading 5"/>
    <w:basedOn w:val="1"/>
    <w:next w:val="1"/>
    <w:link w:val="137"/>
    <w:unhideWhenUsed/>
    <w:qFormat/>
    <w:locked/>
    <w:uiPriority w:val="9"/>
    <w:pPr>
      <w:keepNext/>
      <w:keepLines/>
      <w:spacing w:line="360" w:lineRule="auto"/>
      <w:jc w:val="both"/>
      <w:outlineLvl w:val="4"/>
    </w:pPr>
    <w:rPr>
      <w:rFonts w:ascii="等线" w:hAnsi="等线" w:eastAsia="等线" w:cs="Times New Roman"/>
      <w:b/>
      <w:bCs/>
      <w:kern w:val="2"/>
      <w:sz w:val="28"/>
      <w:szCs w:val="28"/>
      <w:lang w:val="en-US"/>
    </w:rPr>
  </w:style>
  <w:style w:type="paragraph" w:styleId="7">
    <w:name w:val="heading 6"/>
    <w:basedOn w:val="1"/>
    <w:next w:val="1"/>
    <w:link w:val="150"/>
    <w:unhideWhenUsed/>
    <w:qFormat/>
    <w:locked/>
    <w:uiPriority w:val="9"/>
    <w:pPr>
      <w:keepNext/>
      <w:keepLines/>
      <w:spacing w:before="240" w:after="64" w:line="320" w:lineRule="auto"/>
      <w:outlineLvl w:val="5"/>
    </w:pPr>
    <w:rPr>
      <w:rFonts w:hAnsi="等线 Light" w:cs="Times New Roman"/>
      <w:b/>
      <w:bCs/>
      <w:kern w:val="2"/>
      <w:sz w:val="28"/>
      <w:szCs w:val="24"/>
      <w:lang w:val="en-US"/>
    </w:rPr>
  </w:style>
  <w:style w:type="paragraph" w:styleId="8">
    <w:name w:val="heading 7"/>
    <w:basedOn w:val="1"/>
    <w:next w:val="1"/>
    <w:link w:val="138"/>
    <w:unhideWhenUsed/>
    <w:qFormat/>
    <w:locked/>
    <w:uiPriority w:val="9"/>
    <w:pPr>
      <w:keepNext/>
      <w:keepLines/>
      <w:spacing w:line="360" w:lineRule="auto"/>
      <w:jc w:val="both"/>
      <w:outlineLvl w:val="6"/>
    </w:pPr>
    <w:rPr>
      <w:rFonts w:ascii="等线" w:hAnsi="等线" w:eastAsia="等线" w:cs="Times New Roman"/>
      <w:b/>
      <w:bCs/>
      <w:kern w:val="2"/>
      <w:sz w:val="28"/>
      <w:szCs w:val="24"/>
      <w:lang w:val="en-US"/>
    </w:rPr>
  </w:style>
  <w:style w:type="paragraph" w:styleId="9">
    <w:name w:val="heading 8"/>
    <w:basedOn w:val="1"/>
    <w:next w:val="1"/>
    <w:link w:val="151"/>
    <w:unhideWhenUsed/>
    <w:qFormat/>
    <w:locked/>
    <w:uiPriority w:val="9"/>
    <w:pPr>
      <w:keepNext/>
      <w:keepLines/>
      <w:spacing w:before="240" w:after="64" w:line="320" w:lineRule="auto"/>
      <w:outlineLvl w:val="7"/>
    </w:pPr>
    <w:rPr>
      <w:rFonts w:hAnsi="等线 Light" w:cs="Times New Roman"/>
      <w:b/>
      <w:kern w:val="2"/>
      <w:sz w:val="28"/>
      <w:szCs w:val="24"/>
      <w:lang w:val="en-US"/>
    </w:rPr>
  </w:style>
  <w:style w:type="paragraph" w:styleId="10">
    <w:name w:val="heading 9"/>
    <w:basedOn w:val="1"/>
    <w:next w:val="1"/>
    <w:link w:val="152"/>
    <w:unhideWhenUsed/>
    <w:qFormat/>
    <w:locked/>
    <w:uiPriority w:val="9"/>
    <w:pPr>
      <w:keepNext/>
      <w:keepLines/>
      <w:spacing w:before="240" w:after="64" w:line="320" w:lineRule="auto"/>
      <w:outlineLvl w:val="8"/>
    </w:pPr>
    <w:rPr>
      <w:rFonts w:hAnsi="等线 Light" w:cs="Times New Roman"/>
      <w:b/>
      <w:kern w:val="2"/>
      <w:sz w:val="28"/>
      <w:szCs w:val="21"/>
      <w:lang w:val="en-US"/>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locked/>
    <w:uiPriority w:val="39"/>
    <w:pPr>
      <w:ind w:left="1260"/>
    </w:pPr>
    <w:rPr>
      <w:rFonts w:ascii="等线" w:hAnsi="等线" w:eastAsia="等线" w:cs="Times New Roman"/>
      <w:kern w:val="2"/>
      <w:sz w:val="21"/>
      <w:szCs w:val="21"/>
      <w:lang w:val="en-US"/>
    </w:rPr>
  </w:style>
  <w:style w:type="paragraph" w:styleId="12">
    <w:name w:val="index 8"/>
    <w:basedOn w:val="1"/>
    <w:next w:val="1"/>
    <w:semiHidden/>
    <w:qFormat/>
    <w:uiPriority w:val="0"/>
    <w:pPr>
      <w:ind w:left="1400" w:leftChars="1400"/>
      <w:jc w:val="both"/>
    </w:pPr>
    <w:rPr>
      <w:rFonts w:ascii="等线" w:hAnsi="等线" w:eastAsia="等线" w:cs="Times New Roman"/>
      <w:kern w:val="2"/>
      <w:sz w:val="21"/>
      <w:lang w:val="en-US"/>
    </w:rPr>
  </w:style>
  <w:style w:type="paragraph" w:styleId="13">
    <w:name w:val="Normal Indent"/>
    <w:basedOn w:val="1"/>
    <w:link w:val="185"/>
    <w:qFormat/>
    <w:uiPriority w:val="0"/>
    <w:pPr>
      <w:ind w:firstLine="420"/>
      <w:jc w:val="both"/>
    </w:pPr>
    <w:rPr>
      <w:rFonts w:ascii="Times New Roman" w:hAnsi="Times New Roman" w:eastAsia="仿宋" w:cs="Times New Roman"/>
      <w:caps/>
      <w:sz w:val="32"/>
      <w:szCs w:val="32"/>
    </w:rPr>
  </w:style>
  <w:style w:type="paragraph" w:styleId="14">
    <w:name w:val="index 5"/>
    <w:basedOn w:val="1"/>
    <w:next w:val="1"/>
    <w:semiHidden/>
    <w:qFormat/>
    <w:uiPriority w:val="0"/>
    <w:pPr>
      <w:ind w:left="800" w:leftChars="800"/>
      <w:jc w:val="both"/>
    </w:pPr>
    <w:rPr>
      <w:rFonts w:ascii="等线" w:hAnsi="等线" w:eastAsia="等线" w:cs="Times New Roman"/>
      <w:kern w:val="2"/>
      <w:sz w:val="21"/>
      <w:lang w:val="en-US"/>
    </w:rPr>
  </w:style>
  <w:style w:type="paragraph" w:styleId="15">
    <w:name w:val="Document Map"/>
    <w:basedOn w:val="1"/>
    <w:link w:val="139"/>
    <w:semiHidden/>
    <w:qFormat/>
    <w:uiPriority w:val="99"/>
    <w:pPr>
      <w:shd w:val="clear" w:color="auto" w:fill="000080"/>
      <w:jc w:val="both"/>
    </w:pPr>
    <w:rPr>
      <w:rFonts w:ascii="Times New Roman" w:hAnsi="Times New Roman" w:eastAsia="仿宋" w:cs="Times New Roman"/>
      <w:caps/>
      <w:sz w:val="32"/>
      <w:szCs w:val="32"/>
      <w:lang w:val="en-US"/>
    </w:rPr>
  </w:style>
  <w:style w:type="paragraph" w:styleId="16">
    <w:name w:val="annotation text"/>
    <w:basedOn w:val="1"/>
    <w:link w:val="140"/>
    <w:qFormat/>
    <w:uiPriority w:val="0"/>
    <w:pPr>
      <w:adjustRightInd w:val="0"/>
      <w:spacing w:line="360" w:lineRule="atLeast"/>
      <w:ind w:firstLine="480" w:firstLineChars="200"/>
      <w:textAlignment w:val="baseline"/>
    </w:pPr>
    <w:rPr>
      <w:rFonts w:ascii="等线" w:eastAsia="仿宋"/>
      <w:caps/>
      <w:sz w:val="21"/>
      <w:szCs w:val="24"/>
      <w:lang w:val="en-US"/>
    </w:rPr>
  </w:style>
  <w:style w:type="paragraph" w:styleId="17">
    <w:name w:val="index 6"/>
    <w:basedOn w:val="1"/>
    <w:next w:val="1"/>
    <w:semiHidden/>
    <w:qFormat/>
    <w:uiPriority w:val="0"/>
    <w:pPr>
      <w:ind w:left="1000" w:leftChars="1000"/>
      <w:jc w:val="both"/>
    </w:pPr>
    <w:rPr>
      <w:rFonts w:ascii="等线" w:hAnsi="等线" w:eastAsia="等线" w:cs="Times New Roman"/>
      <w:kern w:val="2"/>
      <w:sz w:val="21"/>
      <w:lang w:val="en-US"/>
    </w:rPr>
  </w:style>
  <w:style w:type="paragraph" w:styleId="18">
    <w:name w:val="Body Text"/>
    <w:basedOn w:val="1"/>
    <w:link w:val="123"/>
    <w:qFormat/>
    <w:uiPriority w:val="0"/>
    <w:rPr>
      <w:sz w:val="21"/>
      <w:szCs w:val="21"/>
    </w:rPr>
  </w:style>
  <w:style w:type="paragraph" w:styleId="19">
    <w:name w:val="Body Text Indent"/>
    <w:basedOn w:val="1"/>
    <w:link w:val="141"/>
    <w:qFormat/>
    <w:uiPriority w:val="99"/>
    <w:pPr>
      <w:adjustRightInd w:val="0"/>
      <w:spacing w:line="312" w:lineRule="atLeast"/>
      <w:ind w:firstLine="574"/>
      <w:jc w:val="both"/>
      <w:textAlignment w:val="baseline"/>
    </w:pPr>
    <w:rPr>
      <w:rFonts w:ascii="等线" w:hAnsi="Times New Roman" w:eastAsia="等线" w:cs="Times New Roman"/>
      <w:caps/>
      <w:sz w:val="28"/>
      <w:szCs w:val="32"/>
      <w:lang w:val="en-US"/>
    </w:rPr>
  </w:style>
  <w:style w:type="paragraph" w:styleId="20">
    <w:name w:val="Block Text"/>
    <w:basedOn w:val="1"/>
    <w:qFormat/>
    <w:uiPriority w:val="0"/>
    <w:pPr>
      <w:tabs>
        <w:tab w:val="left" w:pos="822"/>
        <w:tab w:val="left" w:pos="2205"/>
        <w:tab w:val="left" w:pos="9000"/>
      </w:tabs>
      <w:adjustRightInd w:val="0"/>
      <w:snapToGrid w:val="0"/>
      <w:spacing w:before="89"/>
      <w:ind w:left="1890" w:leftChars="229" w:right="11" w:hanging="1409" w:hangingChars="587"/>
      <w:jc w:val="both"/>
    </w:pPr>
    <w:rPr>
      <w:rFonts w:ascii="等线" w:hAnsi="等线" w:eastAsia="等线" w:cs="Times New Roman"/>
      <w:kern w:val="2"/>
      <w:sz w:val="21"/>
      <w:lang w:val="en-US"/>
    </w:rPr>
  </w:style>
  <w:style w:type="paragraph" w:styleId="21">
    <w:name w:val="index 4"/>
    <w:basedOn w:val="1"/>
    <w:next w:val="1"/>
    <w:semiHidden/>
    <w:qFormat/>
    <w:uiPriority w:val="0"/>
    <w:pPr>
      <w:ind w:left="600" w:leftChars="600"/>
      <w:jc w:val="both"/>
    </w:pPr>
    <w:rPr>
      <w:rFonts w:ascii="等线" w:hAnsi="等线" w:eastAsia="等线" w:cs="Times New Roman"/>
      <w:kern w:val="2"/>
      <w:sz w:val="21"/>
      <w:lang w:val="en-US"/>
    </w:rPr>
  </w:style>
  <w:style w:type="paragraph" w:styleId="22">
    <w:name w:val="toc 5"/>
    <w:basedOn w:val="1"/>
    <w:next w:val="1"/>
    <w:qFormat/>
    <w:locked/>
    <w:uiPriority w:val="39"/>
    <w:pPr>
      <w:ind w:left="840"/>
    </w:pPr>
    <w:rPr>
      <w:rFonts w:ascii="等线" w:hAnsi="等线" w:eastAsia="等线" w:cs="Times New Roman"/>
      <w:kern w:val="2"/>
      <w:sz w:val="21"/>
      <w:szCs w:val="21"/>
      <w:lang w:val="en-US"/>
    </w:rPr>
  </w:style>
  <w:style w:type="paragraph" w:styleId="23">
    <w:name w:val="toc 3"/>
    <w:basedOn w:val="1"/>
    <w:next w:val="1"/>
    <w:qFormat/>
    <w:locked/>
    <w:uiPriority w:val="39"/>
    <w:pPr>
      <w:ind w:left="420"/>
    </w:pPr>
    <w:rPr>
      <w:rFonts w:ascii="等线" w:hAnsi="等线" w:eastAsia="等线" w:cs="Times New Roman"/>
      <w:i/>
      <w:iCs/>
      <w:kern w:val="2"/>
      <w:sz w:val="21"/>
      <w:szCs w:val="24"/>
      <w:lang w:val="en-US"/>
    </w:rPr>
  </w:style>
  <w:style w:type="paragraph" w:styleId="24">
    <w:name w:val="Plain Text"/>
    <w:basedOn w:val="1"/>
    <w:link w:val="142"/>
    <w:qFormat/>
    <w:uiPriority w:val="99"/>
    <w:pPr>
      <w:jc w:val="both"/>
    </w:pPr>
    <w:rPr>
      <w:rFonts w:ascii="等线" w:hAnsi="Courier New" w:eastAsia="等线" w:cs="Times New Roman"/>
      <w:kern w:val="2"/>
      <w:sz w:val="21"/>
      <w:szCs w:val="20"/>
      <w:lang w:val="en-US"/>
    </w:rPr>
  </w:style>
  <w:style w:type="paragraph" w:styleId="25">
    <w:name w:val="toc 8"/>
    <w:basedOn w:val="1"/>
    <w:next w:val="1"/>
    <w:qFormat/>
    <w:locked/>
    <w:uiPriority w:val="39"/>
    <w:pPr>
      <w:ind w:left="1470"/>
    </w:pPr>
    <w:rPr>
      <w:rFonts w:ascii="等线" w:hAnsi="等线" w:eastAsia="等线" w:cs="Times New Roman"/>
      <w:kern w:val="2"/>
      <w:sz w:val="21"/>
      <w:szCs w:val="21"/>
      <w:lang w:val="en-US"/>
    </w:rPr>
  </w:style>
  <w:style w:type="paragraph" w:styleId="26">
    <w:name w:val="index 3"/>
    <w:basedOn w:val="1"/>
    <w:next w:val="1"/>
    <w:semiHidden/>
    <w:qFormat/>
    <w:uiPriority w:val="0"/>
    <w:pPr>
      <w:ind w:left="400" w:leftChars="400"/>
      <w:jc w:val="both"/>
    </w:pPr>
    <w:rPr>
      <w:rFonts w:ascii="等线" w:hAnsi="等线" w:eastAsia="等线" w:cs="Times New Roman"/>
      <w:kern w:val="2"/>
      <w:sz w:val="21"/>
      <w:lang w:val="en-US"/>
    </w:rPr>
  </w:style>
  <w:style w:type="paragraph" w:styleId="27">
    <w:name w:val="Date"/>
    <w:basedOn w:val="1"/>
    <w:next w:val="1"/>
    <w:link w:val="127"/>
    <w:unhideWhenUsed/>
    <w:qFormat/>
    <w:uiPriority w:val="0"/>
    <w:pPr>
      <w:ind w:left="100" w:leftChars="2500"/>
    </w:pPr>
  </w:style>
  <w:style w:type="paragraph" w:styleId="28">
    <w:name w:val="Body Text Indent 2"/>
    <w:basedOn w:val="1"/>
    <w:link w:val="143"/>
    <w:qFormat/>
    <w:uiPriority w:val="0"/>
    <w:pPr>
      <w:tabs>
        <w:tab w:val="left" w:pos="1785"/>
        <w:tab w:val="left" w:pos="1887"/>
        <w:tab w:val="left" w:pos="2112"/>
        <w:tab w:val="left" w:pos="9000"/>
      </w:tabs>
      <w:adjustRightInd w:val="0"/>
      <w:snapToGrid w:val="0"/>
      <w:ind w:left="1890" w:leftChars="229" w:hanging="1409" w:hangingChars="587"/>
      <w:jc w:val="both"/>
    </w:pPr>
    <w:rPr>
      <w:rFonts w:ascii="等线" w:hAnsi="等线" w:eastAsia="等线" w:cs="Times New Roman"/>
      <w:kern w:val="2"/>
      <w:sz w:val="21"/>
      <w:lang w:val="en-US"/>
    </w:rPr>
  </w:style>
  <w:style w:type="paragraph" w:styleId="29">
    <w:name w:val="Balloon Text"/>
    <w:basedOn w:val="1"/>
    <w:link w:val="124"/>
    <w:qFormat/>
    <w:uiPriority w:val="0"/>
    <w:rPr>
      <w:sz w:val="18"/>
      <w:szCs w:val="18"/>
    </w:rPr>
  </w:style>
  <w:style w:type="paragraph" w:styleId="30">
    <w:name w:val="footer"/>
    <w:basedOn w:val="1"/>
    <w:link w:val="125"/>
    <w:qFormat/>
    <w:uiPriority w:val="99"/>
    <w:pPr>
      <w:tabs>
        <w:tab w:val="center" w:pos="4153"/>
        <w:tab w:val="right" w:pos="8306"/>
      </w:tabs>
      <w:snapToGrid w:val="0"/>
    </w:pPr>
    <w:rPr>
      <w:sz w:val="18"/>
      <w:szCs w:val="18"/>
    </w:rPr>
  </w:style>
  <w:style w:type="paragraph" w:styleId="31">
    <w:name w:val="header"/>
    <w:basedOn w:val="1"/>
    <w:link w:val="126"/>
    <w:qFormat/>
    <w:uiPriority w:val="99"/>
    <w:pPr>
      <w:pBdr>
        <w:bottom w:val="single" w:color="auto" w:sz="6" w:space="1"/>
      </w:pBdr>
      <w:tabs>
        <w:tab w:val="center" w:pos="4153"/>
        <w:tab w:val="right" w:pos="8306"/>
      </w:tabs>
      <w:snapToGrid w:val="0"/>
      <w:jc w:val="center"/>
    </w:pPr>
    <w:rPr>
      <w:sz w:val="18"/>
      <w:szCs w:val="18"/>
    </w:rPr>
  </w:style>
  <w:style w:type="paragraph" w:styleId="32">
    <w:name w:val="Signature"/>
    <w:basedOn w:val="1"/>
    <w:link w:val="144"/>
    <w:qFormat/>
    <w:uiPriority w:val="0"/>
    <w:pPr>
      <w:adjustRightInd w:val="0"/>
      <w:spacing w:after="600" w:line="312" w:lineRule="atLeast"/>
      <w:jc w:val="center"/>
      <w:textAlignment w:val="baseline"/>
    </w:pPr>
    <w:rPr>
      <w:rFonts w:ascii="Times New Roman" w:hAnsi="Times New Roman" w:eastAsia="仿宋_GB2312" w:cs="Times New Roman"/>
      <w:caps/>
      <w:sz w:val="21"/>
      <w:szCs w:val="32"/>
      <w:lang w:val="en-US"/>
    </w:rPr>
  </w:style>
  <w:style w:type="paragraph" w:styleId="33">
    <w:name w:val="toc 1"/>
    <w:basedOn w:val="1"/>
    <w:next w:val="1"/>
    <w:qFormat/>
    <w:uiPriority w:val="39"/>
    <w:pPr>
      <w:spacing w:before="382"/>
      <w:ind w:left="312"/>
    </w:pPr>
    <w:rPr>
      <w:rFonts w:ascii="楷体" w:hAnsi="楷体" w:eastAsia="楷体" w:cs="楷体"/>
      <w:b/>
      <w:bCs/>
      <w:sz w:val="20"/>
      <w:szCs w:val="20"/>
    </w:rPr>
  </w:style>
  <w:style w:type="paragraph" w:styleId="34">
    <w:name w:val="toc 4"/>
    <w:basedOn w:val="1"/>
    <w:next w:val="1"/>
    <w:qFormat/>
    <w:locked/>
    <w:uiPriority w:val="39"/>
    <w:pPr>
      <w:ind w:left="630"/>
    </w:pPr>
    <w:rPr>
      <w:rFonts w:ascii="等线" w:hAnsi="等线" w:eastAsia="等线" w:cs="Times New Roman"/>
      <w:kern w:val="2"/>
      <w:sz w:val="21"/>
      <w:szCs w:val="21"/>
      <w:lang w:val="en-US"/>
    </w:rPr>
  </w:style>
  <w:style w:type="paragraph" w:styleId="35">
    <w:name w:val="index heading"/>
    <w:basedOn w:val="1"/>
    <w:next w:val="36"/>
    <w:semiHidden/>
    <w:qFormat/>
    <w:uiPriority w:val="0"/>
    <w:pPr>
      <w:jc w:val="both"/>
    </w:pPr>
    <w:rPr>
      <w:rFonts w:ascii="等线" w:hAnsi="等线" w:eastAsia="等线" w:cs="Times New Roman"/>
      <w:kern w:val="2"/>
      <w:sz w:val="21"/>
      <w:lang w:val="en-US"/>
    </w:rPr>
  </w:style>
  <w:style w:type="paragraph" w:styleId="36">
    <w:name w:val="index 1"/>
    <w:basedOn w:val="1"/>
    <w:next w:val="1"/>
    <w:unhideWhenUsed/>
    <w:qFormat/>
    <w:uiPriority w:val="0"/>
  </w:style>
  <w:style w:type="paragraph" w:styleId="37">
    <w:name w:val="Subtitle"/>
    <w:basedOn w:val="1"/>
    <w:next w:val="1"/>
    <w:link w:val="145"/>
    <w:qFormat/>
    <w:locked/>
    <w:uiPriority w:val="11"/>
    <w:pPr>
      <w:spacing w:before="240" w:after="60" w:line="312" w:lineRule="auto"/>
      <w:jc w:val="center"/>
      <w:outlineLvl w:val="1"/>
    </w:pPr>
    <w:rPr>
      <w:rFonts w:ascii="Cambria" w:hAnsi="Cambria" w:eastAsia="等线" w:cs="Times New Roman"/>
      <w:b/>
      <w:bCs/>
      <w:caps/>
      <w:kern w:val="28"/>
      <w:sz w:val="32"/>
      <w:szCs w:val="32"/>
      <w:lang w:val="en-US"/>
    </w:rPr>
  </w:style>
  <w:style w:type="paragraph" w:styleId="38">
    <w:name w:val="footnote text"/>
    <w:basedOn w:val="1"/>
    <w:link w:val="146"/>
    <w:qFormat/>
    <w:uiPriority w:val="0"/>
    <w:pPr>
      <w:snapToGrid w:val="0"/>
    </w:pPr>
    <w:rPr>
      <w:rFonts w:ascii="Times New Roman" w:hAnsi="Times New Roman" w:eastAsia="仿宋" w:cs="Times New Roman"/>
      <w:caps/>
      <w:sz w:val="18"/>
      <w:szCs w:val="32"/>
      <w:lang w:val="en-US"/>
    </w:rPr>
  </w:style>
  <w:style w:type="paragraph" w:styleId="39">
    <w:name w:val="toc 6"/>
    <w:basedOn w:val="1"/>
    <w:next w:val="1"/>
    <w:qFormat/>
    <w:locked/>
    <w:uiPriority w:val="39"/>
    <w:pPr>
      <w:ind w:left="1050"/>
    </w:pPr>
    <w:rPr>
      <w:rFonts w:ascii="等线" w:hAnsi="等线" w:eastAsia="等线" w:cs="Times New Roman"/>
      <w:kern w:val="2"/>
      <w:sz w:val="21"/>
      <w:szCs w:val="21"/>
      <w:lang w:val="en-US"/>
    </w:rPr>
  </w:style>
  <w:style w:type="paragraph" w:styleId="40">
    <w:name w:val="Body Text Indent 3"/>
    <w:basedOn w:val="1"/>
    <w:link w:val="147"/>
    <w:qFormat/>
    <w:uiPriority w:val="0"/>
    <w:pPr>
      <w:ind w:firstLine="555"/>
      <w:jc w:val="both"/>
    </w:pPr>
    <w:rPr>
      <w:rFonts w:ascii="等线" w:hAnsi="等线" w:eastAsia="等线" w:cs="Times New Roman"/>
      <w:b/>
      <w:bCs/>
      <w:kern w:val="2"/>
      <w:sz w:val="28"/>
      <w:u w:val="single"/>
      <w:lang w:val="en-US"/>
    </w:rPr>
  </w:style>
  <w:style w:type="paragraph" w:styleId="41">
    <w:name w:val="index 7"/>
    <w:basedOn w:val="1"/>
    <w:next w:val="1"/>
    <w:semiHidden/>
    <w:qFormat/>
    <w:uiPriority w:val="0"/>
    <w:pPr>
      <w:ind w:left="1200" w:leftChars="1200"/>
      <w:jc w:val="both"/>
    </w:pPr>
    <w:rPr>
      <w:rFonts w:ascii="等线" w:hAnsi="等线" w:eastAsia="等线" w:cs="Times New Roman"/>
      <w:kern w:val="2"/>
      <w:sz w:val="21"/>
      <w:lang w:val="en-US"/>
    </w:rPr>
  </w:style>
  <w:style w:type="paragraph" w:styleId="42">
    <w:name w:val="index 9"/>
    <w:basedOn w:val="1"/>
    <w:next w:val="1"/>
    <w:semiHidden/>
    <w:qFormat/>
    <w:uiPriority w:val="0"/>
    <w:pPr>
      <w:ind w:left="1600" w:leftChars="1600"/>
      <w:jc w:val="both"/>
    </w:pPr>
    <w:rPr>
      <w:rFonts w:ascii="等线" w:hAnsi="等线" w:eastAsia="等线" w:cs="Times New Roman"/>
      <w:kern w:val="2"/>
      <w:sz w:val="21"/>
      <w:lang w:val="en-US"/>
    </w:rPr>
  </w:style>
  <w:style w:type="paragraph" w:styleId="43">
    <w:name w:val="table of figures"/>
    <w:basedOn w:val="1"/>
    <w:next w:val="1"/>
    <w:semiHidden/>
    <w:qFormat/>
    <w:uiPriority w:val="0"/>
    <w:pPr>
      <w:ind w:left="840" w:leftChars="200" w:hanging="420" w:hangingChars="200"/>
      <w:jc w:val="both"/>
    </w:pPr>
    <w:rPr>
      <w:rFonts w:ascii="等线" w:hAnsi="等线" w:eastAsia="等线" w:cs="Times New Roman"/>
      <w:kern w:val="2"/>
      <w:sz w:val="21"/>
      <w:lang w:val="en-US"/>
    </w:rPr>
  </w:style>
  <w:style w:type="paragraph" w:styleId="44">
    <w:name w:val="toc 2"/>
    <w:basedOn w:val="1"/>
    <w:next w:val="1"/>
    <w:qFormat/>
    <w:uiPriority w:val="39"/>
    <w:pPr>
      <w:spacing w:before="3"/>
      <w:ind w:left="524"/>
    </w:pPr>
    <w:rPr>
      <w:rFonts w:ascii="仿宋" w:hAnsi="仿宋" w:eastAsia="仿宋" w:cs="仿宋"/>
      <w:sz w:val="20"/>
      <w:szCs w:val="20"/>
    </w:rPr>
  </w:style>
  <w:style w:type="paragraph" w:styleId="45">
    <w:name w:val="toc 9"/>
    <w:basedOn w:val="1"/>
    <w:next w:val="1"/>
    <w:qFormat/>
    <w:locked/>
    <w:uiPriority w:val="39"/>
    <w:pPr>
      <w:ind w:left="1680"/>
    </w:pPr>
    <w:rPr>
      <w:rFonts w:ascii="等线" w:hAnsi="等线" w:eastAsia="等线" w:cs="Times New Roman"/>
      <w:kern w:val="2"/>
      <w:sz w:val="21"/>
      <w:szCs w:val="21"/>
      <w:lang w:val="en-US"/>
    </w:rPr>
  </w:style>
  <w:style w:type="paragraph" w:styleId="46">
    <w:name w:val="Normal (Web)"/>
    <w:basedOn w:val="1"/>
    <w:unhideWhenUsed/>
    <w:qFormat/>
    <w:uiPriority w:val="99"/>
    <w:pPr>
      <w:jc w:val="both"/>
    </w:pPr>
    <w:rPr>
      <w:rFonts w:ascii="Times New Roman" w:hAnsi="Times New Roman" w:eastAsia="等线" w:cs="Times New Roman"/>
      <w:kern w:val="2"/>
      <w:sz w:val="21"/>
      <w:lang w:val="en-US"/>
    </w:rPr>
  </w:style>
  <w:style w:type="paragraph" w:styleId="47">
    <w:name w:val="index 2"/>
    <w:basedOn w:val="1"/>
    <w:next w:val="1"/>
    <w:semiHidden/>
    <w:qFormat/>
    <w:uiPriority w:val="0"/>
    <w:pPr>
      <w:ind w:left="200" w:leftChars="200"/>
      <w:jc w:val="both"/>
    </w:pPr>
    <w:rPr>
      <w:rFonts w:ascii="等线" w:hAnsi="等线" w:eastAsia="等线" w:cs="Times New Roman"/>
      <w:kern w:val="2"/>
      <w:sz w:val="21"/>
      <w:lang w:val="en-US"/>
    </w:rPr>
  </w:style>
  <w:style w:type="paragraph" w:styleId="48">
    <w:name w:val="Title"/>
    <w:basedOn w:val="1"/>
    <w:next w:val="1"/>
    <w:link w:val="148"/>
    <w:qFormat/>
    <w:locked/>
    <w:uiPriority w:val="99"/>
    <w:pPr>
      <w:spacing w:before="240" w:after="60"/>
      <w:jc w:val="center"/>
      <w:outlineLvl w:val="0"/>
    </w:pPr>
    <w:rPr>
      <w:rFonts w:ascii="Cambria" w:hAnsi="Cambria" w:eastAsia="等线" w:cs="Times New Roman"/>
      <w:b/>
      <w:bCs/>
      <w:caps/>
      <w:sz w:val="32"/>
      <w:szCs w:val="32"/>
      <w:lang w:val="en-US"/>
    </w:rPr>
  </w:style>
  <w:style w:type="paragraph" w:styleId="49">
    <w:name w:val="annotation subject"/>
    <w:basedOn w:val="16"/>
    <w:next w:val="16"/>
    <w:link w:val="149"/>
    <w:qFormat/>
    <w:uiPriority w:val="0"/>
    <w:pPr>
      <w:adjustRightInd/>
      <w:spacing w:line="240" w:lineRule="auto"/>
      <w:ind w:firstLine="0" w:firstLineChars="0"/>
      <w:textAlignment w:val="auto"/>
    </w:pPr>
    <w:rPr>
      <w:b/>
      <w:bCs/>
      <w:sz w:val="32"/>
    </w:rPr>
  </w:style>
  <w:style w:type="table" w:styleId="51">
    <w:name w:val="Table Grid"/>
    <w:basedOn w:val="50"/>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locked/>
    <w:uiPriority w:val="22"/>
    <w:rPr>
      <w:rFonts w:ascii="Tahoma" w:hAnsi="Tahoma" w:eastAsia="宋体"/>
      <w:b/>
      <w:bCs/>
      <w:spacing w:val="10"/>
      <w:sz w:val="24"/>
      <w:lang w:val="en-US" w:eastAsia="zh-CN" w:bidi="ar-SA"/>
    </w:rPr>
  </w:style>
  <w:style w:type="character" w:styleId="54">
    <w:name w:val="page number"/>
    <w:basedOn w:val="52"/>
    <w:qFormat/>
    <w:uiPriority w:val="0"/>
  </w:style>
  <w:style w:type="character" w:styleId="55">
    <w:name w:val="FollowedHyperlink"/>
    <w:unhideWhenUsed/>
    <w:qFormat/>
    <w:uiPriority w:val="99"/>
    <w:rPr>
      <w:color w:val="771CAA"/>
      <w:u w:val="none"/>
    </w:rPr>
  </w:style>
  <w:style w:type="character" w:styleId="56">
    <w:name w:val="Emphasis"/>
    <w:qFormat/>
    <w:locked/>
    <w:uiPriority w:val="20"/>
    <w:rPr>
      <w:color w:val="F73131"/>
    </w:rPr>
  </w:style>
  <w:style w:type="character" w:styleId="57">
    <w:name w:val="line number"/>
    <w:basedOn w:val="52"/>
    <w:unhideWhenUsed/>
    <w:qFormat/>
    <w:uiPriority w:val="99"/>
  </w:style>
  <w:style w:type="character" w:styleId="58">
    <w:name w:val="Hyperlink"/>
    <w:unhideWhenUsed/>
    <w:qFormat/>
    <w:uiPriority w:val="99"/>
    <w:rPr>
      <w:color w:val="2440B3"/>
      <w:u w:val="none"/>
    </w:rPr>
  </w:style>
  <w:style w:type="character" w:styleId="59">
    <w:name w:val="annotation reference"/>
    <w:qFormat/>
    <w:uiPriority w:val="0"/>
    <w:rPr>
      <w:sz w:val="21"/>
      <w:szCs w:val="21"/>
    </w:rPr>
  </w:style>
  <w:style w:type="character" w:styleId="60">
    <w:name w:val="HTML Cite"/>
    <w:unhideWhenUsed/>
    <w:qFormat/>
    <w:uiPriority w:val="0"/>
    <w:rPr>
      <w:color w:val="008000"/>
    </w:rPr>
  </w:style>
  <w:style w:type="paragraph" w:customStyle="1" w:styleId="61">
    <w:name w:val="列出段落1"/>
    <w:basedOn w:val="1"/>
    <w:qFormat/>
    <w:uiPriority w:val="99"/>
    <w:pPr>
      <w:spacing w:before="139"/>
      <w:ind w:left="312" w:hanging="370"/>
    </w:pPr>
  </w:style>
  <w:style w:type="paragraph" w:customStyle="1" w:styleId="62">
    <w:name w:val="Table Paragraph"/>
    <w:basedOn w:val="1"/>
    <w:qFormat/>
    <w:uiPriority w:val="1"/>
  </w:style>
  <w:style w:type="paragraph" w:customStyle="1" w:styleId="63">
    <w:name w:val="列出段落111"/>
    <w:basedOn w:val="1"/>
    <w:link w:val="192"/>
    <w:qFormat/>
    <w:uiPriority w:val="34"/>
    <w:pPr>
      <w:spacing w:before="139"/>
      <w:ind w:left="312" w:hanging="370"/>
    </w:pPr>
    <w:rPr>
      <w:rFonts w:cs="Times New Roman"/>
    </w:rPr>
  </w:style>
  <w:style w:type="paragraph" w:customStyle="1" w:styleId="64">
    <w:name w:val="标题 61"/>
    <w:basedOn w:val="1"/>
    <w:next w:val="1"/>
    <w:unhideWhenUsed/>
    <w:qFormat/>
    <w:uiPriority w:val="9"/>
    <w:pPr>
      <w:keepNext/>
      <w:keepLines/>
      <w:spacing w:line="360" w:lineRule="auto"/>
      <w:ind w:left="5343" w:hanging="401"/>
      <w:jc w:val="both"/>
      <w:outlineLvl w:val="5"/>
    </w:pPr>
    <w:rPr>
      <w:rFonts w:ascii="等线" w:hAnsi="等线 Light" w:eastAsia="等线" w:cs="Times New Roman"/>
      <w:b/>
      <w:bCs/>
      <w:kern w:val="2"/>
      <w:sz w:val="28"/>
      <w:szCs w:val="24"/>
      <w:lang w:val="en-US"/>
    </w:rPr>
  </w:style>
  <w:style w:type="paragraph" w:customStyle="1" w:styleId="65">
    <w:name w:val="标题 81"/>
    <w:basedOn w:val="1"/>
    <w:next w:val="1"/>
    <w:unhideWhenUsed/>
    <w:qFormat/>
    <w:uiPriority w:val="9"/>
    <w:pPr>
      <w:keepNext/>
      <w:keepLines/>
      <w:spacing w:line="360" w:lineRule="auto"/>
      <w:ind w:left="7352" w:hanging="401"/>
      <w:jc w:val="both"/>
      <w:outlineLvl w:val="7"/>
    </w:pPr>
    <w:rPr>
      <w:rFonts w:ascii="等线" w:hAnsi="等线 Light" w:eastAsia="等线" w:cs="Times New Roman"/>
      <w:b/>
      <w:kern w:val="2"/>
      <w:sz w:val="28"/>
      <w:szCs w:val="24"/>
      <w:lang w:val="en-US"/>
    </w:rPr>
  </w:style>
  <w:style w:type="paragraph" w:customStyle="1" w:styleId="66">
    <w:name w:val="标题 91"/>
    <w:basedOn w:val="1"/>
    <w:next w:val="1"/>
    <w:unhideWhenUsed/>
    <w:qFormat/>
    <w:uiPriority w:val="9"/>
    <w:pPr>
      <w:keepNext/>
      <w:keepLines/>
      <w:spacing w:line="360" w:lineRule="auto"/>
      <w:ind w:left="8357" w:hanging="401"/>
      <w:jc w:val="both"/>
      <w:outlineLvl w:val="8"/>
    </w:pPr>
    <w:rPr>
      <w:rFonts w:ascii="等线" w:hAnsi="等线 Light" w:eastAsia="等线" w:cs="Times New Roman"/>
      <w:b/>
      <w:kern w:val="2"/>
      <w:sz w:val="28"/>
      <w:szCs w:val="21"/>
      <w:lang w:val="en-US"/>
    </w:rPr>
  </w:style>
  <w:style w:type="paragraph" w:customStyle="1" w:styleId="67">
    <w:name w:val="列出段落2"/>
    <w:basedOn w:val="1"/>
    <w:link w:val="167"/>
    <w:qFormat/>
    <w:uiPriority w:val="34"/>
    <w:pPr>
      <w:ind w:firstLine="420" w:firstLineChars="200"/>
      <w:jc w:val="both"/>
    </w:pPr>
    <w:rPr>
      <w:rFonts w:ascii="等线" w:hAnsi="等线" w:eastAsia="等线" w:cs="Times New Roman"/>
      <w:kern w:val="2"/>
      <w:sz w:val="21"/>
    </w:rPr>
  </w:style>
  <w:style w:type="paragraph" w:customStyle="1" w:styleId="68">
    <w:name w:val="内文"/>
    <w:link w:val="155"/>
    <w:qFormat/>
    <w:uiPriority w:val="0"/>
    <w:pPr>
      <w:adjustRightInd w:val="0"/>
      <w:snapToGrid w:val="0"/>
      <w:spacing w:line="400" w:lineRule="exact"/>
      <w:ind w:firstLine="200" w:firstLineChars="200"/>
      <w:jc w:val="both"/>
    </w:pPr>
    <w:rPr>
      <w:rFonts w:ascii="Arial" w:hAnsi="Arial" w:eastAsia="宋体" w:cs="Arial"/>
      <w:lang w:val="en-US" w:eastAsia="zh-CN" w:bidi="ar-SA"/>
    </w:rPr>
  </w:style>
  <w:style w:type="paragraph" w:customStyle="1" w:styleId="69">
    <w:name w:val="Char"/>
    <w:basedOn w:val="1"/>
    <w:qFormat/>
    <w:uiPriority w:val="0"/>
    <w:pPr>
      <w:numPr>
        <w:ilvl w:val="0"/>
        <w:numId w:val="1"/>
      </w:numPr>
      <w:ind w:left="1262" w:hanging="529"/>
      <w:jc w:val="both"/>
    </w:pPr>
    <w:rPr>
      <w:rFonts w:ascii="Times New Roman" w:hAnsi="Times New Roman" w:eastAsia="等线" w:cs="Times New Roman"/>
      <w:kern w:val="2"/>
      <w:sz w:val="21"/>
      <w:szCs w:val="24"/>
      <w:lang w:val="en-US"/>
    </w:rPr>
  </w:style>
  <w:style w:type="paragraph" w:customStyle="1" w:styleId="70">
    <w:name w:val="_Style 39"/>
    <w:basedOn w:val="1"/>
    <w:next w:val="1"/>
    <w:qFormat/>
    <w:uiPriority w:val="39"/>
    <w:pPr>
      <w:tabs>
        <w:tab w:val="right" w:leader="dot" w:pos="9450"/>
      </w:tabs>
      <w:spacing w:line="400" w:lineRule="exact"/>
      <w:ind w:left="250" w:leftChars="250"/>
    </w:pPr>
    <w:rPr>
      <w:rFonts w:ascii="Times New Roman" w:hAnsi="Times New Roman" w:eastAsia="等线" w:cs="Times New Roman"/>
      <w:bCs/>
      <w:smallCaps/>
      <w:kern w:val="2"/>
      <w:sz w:val="21"/>
      <w:szCs w:val="24"/>
      <w:lang w:val="en-US"/>
    </w:rPr>
  </w:style>
  <w:style w:type="paragraph" w:customStyle="1" w:styleId="71">
    <w:name w:val="纯文本1"/>
    <w:basedOn w:val="1"/>
    <w:qFormat/>
    <w:uiPriority w:val="0"/>
    <w:pPr>
      <w:jc w:val="both"/>
    </w:pPr>
    <w:rPr>
      <w:rFonts w:ascii="等线" w:hAnsi="Courier New" w:eastAsia="等线"/>
      <w:kern w:val="2"/>
      <w:sz w:val="21"/>
      <w:szCs w:val="21"/>
      <w:lang w:val="en-US"/>
    </w:rPr>
  </w:style>
  <w:style w:type="paragraph" w:customStyle="1" w:styleId="72">
    <w:name w:val="投标5"/>
    <w:basedOn w:val="1"/>
    <w:link w:val="161"/>
    <w:qFormat/>
    <w:uiPriority w:val="0"/>
    <w:pPr>
      <w:widowControl/>
      <w:numPr>
        <w:ilvl w:val="2"/>
        <w:numId w:val="2"/>
      </w:numPr>
      <w:spacing w:line="360" w:lineRule="auto"/>
      <w:jc w:val="both"/>
      <w:outlineLvl w:val="4"/>
    </w:pPr>
    <w:rPr>
      <w:rFonts w:ascii="Arial" w:hAnsi="Arial" w:cs="Times New Roman"/>
      <w:b/>
      <w:sz w:val="24"/>
      <w:szCs w:val="24"/>
    </w:rPr>
  </w:style>
  <w:style w:type="paragraph" w:customStyle="1" w:styleId="73">
    <w:name w:val="浅色列表 - 强调文字颜色 51"/>
    <w:basedOn w:val="1"/>
    <w:link w:val="164"/>
    <w:qFormat/>
    <w:uiPriority w:val="0"/>
    <w:pPr>
      <w:spacing w:line="360" w:lineRule="auto"/>
      <w:ind w:firstLine="420" w:firstLineChars="200"/>
      <w:jc w:val="both"/>
    </w:pPr>
    <w:rPr>
      <w:rFonts w:ascii="Calibri" w:hAnsi="Calibri" w:cs="Times New Roman"/>
      <w:sz w:val="24"/>
      <w:szCs w:val="20"/>
    </w:rPr>
  </w:style>
  <w:style w:type="paragraph" w:customStyle="1" w:styleId="74">
    <w:name w:val="中等深浅列表 2 - 着色 41"/>
    <w:basedOn w:val="1"/>
    <w:link w:val="168"/>
    <w:qFormat/>
    <w:uiPriority w:val="0"/>
    <w:pPr>
      <w:spacing w:line="360" w:lineRule="auto"/>
      <w:ind w:firstLine="420" w:firstLineChars="200"/>
      <w:jc w:val="both"/>
    </w:pPr>
    <w:rPr>
      <w:rFonts w:ascii="Calibri" w:hAnsi="Calibri" w:cs="Times New Roman"/>
      <w:sz w:val="24"/>
      <w:szCs w:val="20"/>
    </w:rPr>
  </w:style>
  <w:style w:type="paragraph" w:customStyle="1" w:styleId="75">
    <w:name w:val="无间隔1"/>
    <w:link w:val="172"/>
    <w:qFormat/>
    <w:uiPriority w:val="0"/>
    <w:rPr>
      <w:rFonts w:ascii="Calibri" w:hAnsi="Calibri" w:eastAsia="宋体" w:cs="Times New Roman"/>
      <w:sz w:val="22"/>
      <w:lang w:val="en-US" w:eastAsia="zh-CN" w:bidi="ar-SA"/>
    </w:rPr>
  </w:style>
  <w:style w:type="paragraph" w:customStyle="1" w:styleId="76">
    <w:name w:val="数字EU"/>
    <w:basedOn w:val="1"/>
    <w:link w:val="174"/>
    <w:qFormat/>
    <w:uiPriority w:val="0"/>
    <w:pPr>
      <w:wordWrap w:val="0"/>
      <w:overflowPunct w:val="0"/>
      <w:topLinePunct/>
      <w:spacing w:line="360" w:lineRule="auto"/>
      <w:jc w:val="both"/>
    </w:pPr>
    <w:rPr>
      <w:rFonts w:ascii="EU-F1" w:hAnsi="Times New Roman" w:cs="Times New Roman"/>
      <w:kern w:val="21"/>
      <w:sz w:val="20"/>
      <w:szCs w:val="21"/>
    </w:rPr>
  </w:style>
  <w:style w:type="paragraph" w:customStyle="1" w:styleId="77">
    <w:name w:val="正文C"/>
    <w:basedOn w:val="1"/>
    <w:link w:val="176"/>
    <w:qFormat/>
    <w:uiPriority w:val="0"/>
    <w:pPr>
      <w:spacing w:line="360" w:lineRule="auto"/>
      <w:ind w:firstLine="420" w:firstLineChars="200"/>
      <w:jc w:val="both"/>
    </w:pPr>
    <w:rPr>
      <w:rFonts w:ascii="等线" w:hAnsi="等线" w:eastAsia="等线" w:cs="Times New Roman"/>
      <w:sz w:val="24"/>
      <w:szCs w:val="20"/>
    </w:rPr>
  </w:style>
  <w:style w:type="paragraph" w:customStyle="1" w:styleId="78">
    <w:name w:val="四级标题"/>
    <w:basedOn w:val="1"/>
    <w:link w:val="179"/>
    <w:qFormat/>
    <w:uiPriority w:val="99"/>
    <w:pPr>
      <w:numPr>
        <w:ilvl w:val="0"/>
        <w:numId w:val="3"/>
      </w:numPr>
      <w:tabs>
        <w:tab w:val="left" w:pos="851"/>
      </w:tabs>
      <w:spacing w:line="360" w:lineRule="auto"/>
      <w:jc w:val="both"/>
    </w:pPr>
    <w:rPr>
      <w:rFonts w:cs="Times New Roman"/>
      <w:color w:val="000000"/>
      <w:sz w:val="24"/>
      <w:szCs w:val="20"/>
    </w:rPr>
  </w:style>
  <w:style w:type="paragraph" w:customStyle="1" w:styleId="79">
    <w:name w:val="王兴华的论文正文"/>
    <w:basedOn w:val="13"/>
    <w:link w:val="182"/>
    <w:qFormat/>
    <w:uiPriority w:val="0"/>
    <w:pPr>
      <w:spacing w:beforeLines="50" w:line="360" w:lineRule="auto"/>
      <w:ind w:firstLine="200" w:firstLineChars="200"/>
    </w:pPr>
    <w:rPr>
      <w:rFonts w:eastAsia="宋体"/>
      <w:caps w:val="0"/>
      <w:sz w:val="20"/>
      <w:szCs w:val="24"/>
    </w:rPr>
  </w:style>
  <w:style w:type="paragraph" w:customStyle="1" w:styleId="80">
    <w:name w:val="投标正文"/>
    <w:basedOn w:val="67"/>
    <w:link w:val="186"/>
    <w:qFormat/>
    <w:uiPriority w:val="0"/>
    <w:pPr>
      <w:ind w:firstLine="480"/>
    </w:pPr>
    <w:rPr>
      <w:rFonts w:ascii="Arial" w:hAnsi="Arial" w:eastAsia="宋体"/>
      <w:kern w:val="0"/>
      <w:sz w:val="24"/>
      <w:szCs w:val="24"/>
    </w:rPr>
  </w:style>
  <w:style w:type="paragraph" w:customStyle="1" w:styleId="81">
    <w:name w:val="列出段落21"/>
    <w:basedOn w:val="1"/>
    <w:link w:val="187"/>
    <w:qFormat/>
    <w:uiPriority w:val="99"/>
    <w:pPr>
      <w:ind w:firstLine="420" w:firstLineChars="200"/>
    </w:pPr>
    <w:rPr>
      <w:rFonts w:ascii="Times New Roman" w:hAnsi="Times New Roman" w:cs="Times New Roman"/>
      <w:sz w:val="24"/>
      <w:szCs w:val="20"/>
    </w:rPr>
  </w:style>
  <w:style w:type="paragraph" w:customStyle="1" w:styleId="82">
    <w:name w:val="投标4"/>
    <w:basedOn w:val="1"/>
    <w:link w:val="191"/>
    <w:qFormat/>
    <w:uiPriority w:val="0"/>
    <w:pPr>
      <w:widowControl/>
      <w:numPr>
        <w:ilvl w:val="1"/>
        <w:numId w:val="2"/>
      </w:numPr>
      <w:spacing w:line="360" w:lineRule="auto"/>
      <w:jc w:val="both"/>
      <w:outlineLvl w:val="3"/>
    </w:pPr>
    <w:rPr>
      <w:rFonts w:ascii="Arial" w:hAnsi="Arial" w:cs="Times New Roman"/>
      <w:b/>
      <w:sz w:val="24"/>
      <w:szCs w:val="24"/>
    </w:rPr>
  </w:style>
  <w:style w:type="paragraph" w:customStyle="1" w:styleId="83">
    <w:name w:val="段"/>
    <w:link w:val="193"/>
    <w:qFormat/>
    <w:uiPriority w:val="0"/>
    <w:pPr>
      <w:ind w:firstLine="200" w:firstLineChars="200"/>
      <w:jc w:val="both"/>
    </w:pPr>
    <w:rPr>
      <w:rFonts w:ascii="Times New Roman" w:hAnsi="Times New Roman" w:eastAsia="仿宋" w:cs="Times New Roman"/>
      <w:caps/>
      <w:sz w:val="32"/>
      <w:szCs w:val="32"/>
      <w:lang w:val="en-US" w:eastAsia="zh-CN" w:bidi="ar-SA"/>
    </w:rPr>
  </w:style>
  <w:style w:type="paragraph" w:customStyle="1" w:styleId="84">
    <w:name w:val="正文序号 2"/>
    <w:basedOn w:val="1"/>
    <w:qFormat/>
    <w:uiPriority w:val="0"/>
    <w:pPr>
      <w:tabs>
        <w:tab w:val="left" w:pos="1049"/>
      </w:tabs>
      <w:spacing w:before="60"/>
      <w:ind w:left="1049" w:hanging="420"/>
      <w:jc w:val="both"/>
    </w:pPr>
    <w:rPr>
      <w:rFonts w:ascii="等线" w:hAnsi="等线" w:eastAsia="等线" w:cs="Times New Roman"/>
      <w:kern w:val="2"/>
      <w:sz w:val="21"/>
      <w:szCs w:val="24"/>
      <w:lang w:val="en-US"/>
    </w:rPr>
  </w:style>
  <w:style w:type="paragraph" w:customStyle="1" w:styleId="85">
    <w:name w:val="Default Paragraph Font Para Char"/>
    <w:basedOn w:val="1"/>
    <w:qFormat/>
    <w:uiPriority w:val="0"/>
    <w:pPr>
      <w:widowControl/>
      <w:spacing w:after="160" w:line="240" w:lineRule="exact"/>
    </w:pPr>
    <w:rPr>
      <w:rFonts w:ascii="等线" w:hAnsi="等线" w:eastAsia="等线" w:cs="Times New Roman"/>
      <w:kern w:val="2"/>
      <w:sz w:val="21"/>
      <w:lang w:val="en-US"/>
    </w:rPr>
  </w:style>
  <w:style w:type="paragraph" w:customStyle="1" w:styleId="86">
    <w:name w:val="样式 首行缩进:  2 字符"/>
    <w:basedOn w:val="1"/>
    <w:qFormat/>
    <w:uiPriority w:val="0"/>
    <w:pPr>
      <w:spacing w:line="360" w:lineRule="auto"/>
      <w:ind w:firstLine="480" w:firstLineChars="200"/>
      <w:jc w:val="both"/>
    </w:pPr>
    <w:rPr>
      <w:rFonts w:ascii="等线" w:eastAsia="等线"/>
      <w:color w:val="000000"/>
      <w:kern w:val="2"/>
      <w:sz w:val="21"/>
      <w:lang w:val="en-US"/>
    </w:rPr>
  </w:style>
  <w:style w:type="paragraph" w:customStyle="1" w:styleId="87">
    <w:name w:val="中等深浅网格 1 - 强调文字颜色 3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8">
    <w:name w:val="Char Char Char Char"/>
    <w:basedOn w:val="15"/>
    <w:qFormat/>
    <w:uiPriority w:val="0"/>
    <w:pPr>
      <w:adjustRightInd w:val="0"/>
      <w:snapToGrid w:val="0"/>
      <w:spacing w:line="360" w:lineRule="auto"/>
    </w:pPr>
    <w:rPr>
      <w:rFonts w:ascii="Tahoma" w:hAnsi="Tahoma"/>
      <w:szCs w:val="24"/>
    </w:rPr>
  </w:style>
  <w:style w:type="paragraph" w:customStyle="1" w:styleId="89">
    <w:name w:val="Char Char Char"/>
    <w:basedOn w:val="1"/>
    <w:qFormat/>
    <w:uiPriority w:val="0"/>
    <w:pPr>
      <w:numPr>
        <w:ilvl w:val="0"/>
        <w:numId w:val="4"/>
      </w:numPr>
      <w:tabs>
        <w:tab w:val="left" w:pos="720"/>
        <w:tab w:val="left" w:pos="1545"/>
        <w:tab w:val="clear" w:pos="375"/>
      </w:tabs>
      <w:ind w:left="720" w:hanging="720"/>
      <w:jc w:val="both"/>
    </w:pPr>
    <w:rPr>
      <w:rFonts w:ascii="等线" w:hAnsi="等线" w:eastAsia="等线" w:cs="Times New Roman"/>
      <w:kern w:val="2"/>
      <w:sz w:val="21"/>
      <w:lang w:val="en-US"/>
    </w:rPr>
  </w:style>
  <w:style w:type="paragraph" w:customStyle="1" w:styleId="90">
    <w:name w:val="彩色底纹 - 强调文字颜色 31"/>
    <w:basedOn w:val="1"/>
    <w:qFormat/>
    <w:uiPriority w:val="34"/>
    <w:pPr>
      <w:ind w:firstLine="420" w:firstLineChars="200"/>
      <w:jc w:val="both"/>
    </w:pPr>
    <w:rPr>
      <w:rFonts w:ascii="等线" w:hAnsi="等线" w:eastAsia="等线" w:cs="Times New Roman"/>
      <w:kern w:val="2"/>
      <w:sz w:val="21"/>
      <w:lang w:val="en-US"/>
    </w:rPr>
  </w:style>
  <w:style w:type="paragraph" w:customStyle="1" w:styleId="91">
    <w:name w:val="Char1"/>
    <w:basedOn w:val="1"/>
    <w:qFormat/>
    <w:uiPriority w:val="0"/>
    <w:pPr>
      <w:tabs>
        <w:tab w:val="left" w:pos="480"/>
      </w:tabs>
      <w:ind w:left="480" w:hanging="480"/>
      <w:jc w:val="both"/>
    </w:pPr>
    <w:rPr>
      <w:rFonts w:ascii="等线" w:hAnsi="等线" w:eastAsia="等线" w:cs="Times New Roman"/>
      <w:kern w:val="2"/>
      <w:sz w:val="21"/>
      <w:szCs w:val="24"/>
      <w:lang w:val="en-US"/>
    </w:rPr>
  </w:style>
  <w:style w:type="paragraph" w:customStyle="1" w:styleId="92">
    <w:name w:val="正文序号 1"/>
    <w:basedOn w:val="1"/>
    <w:qFormat/>
    <w:uiPriority w:val="0"/>
    <w:pPr>
      <w:tabs>
        <w:tab w:val="left" w:pos="839"/>
      </w:tabs>
      <w:spacing w:before="60"/>
      <w:ind w:left="839" w:hanging="419"/>
      <w:jc w:val="both"/>
    </w:pPr>
    <w:rPr>
      <w:rFonts w:ascii="等线" w:hAnsi="等线" w:eastAsia="等线" w:cs="Times New Roman"/>
      <w:kern w:val="2"/>
      <w:sz w:val="21"/>
      <w:szCs w:val="24"/>
      <w:lang w:val="en-US"/>
    </w:rPr>
  </w:style>
  <w:style w:type="paragraph" w:customStyle="1" w:styleId="93">
    <w:name w:val="浅色网格 - 着色 31"/>
    <w:basedOn w:val="1"/>
    <w:qFormat/>
    <w:uiPriority w:val="34"/>
    <w:pPr>
      <w:ind w:firstLine="420" w:firstLineChars="200"/>
      <w:jc w:val="both"/>
    </w:pPr>
    <w:rPr>
      <w:rFonts w:ascii="等线" w:hAnsi="等线" w:eastAsia="等线" w:cs="Times New Roman"/>
      <w:kern w:val="2"/>
      <w:sz w:val="21"/>
      <w:lang w:val="en-US"/>
    </w:rPr>
  </w:style>
  <w:style w:type="paragraph" w:customStyle="1" w:styleId="94">
    <w:name w:val="浅色列表 - 着色 31"/>
    <w:semiHidden/>
    <w:qFormat/>
    <w:uiPriority w:val="99"/>
    <w:rPr>
      <w:rFonts w:ascii="Times New Roman" w:hAnsi="Times New Roman" w:eastAsia="宋体" w:cs="Times New Roman"/>
      <w:kern w:val="2"/>
      <w:sz w:val="21"/>
      <w:lang w:val="en-US" w:eastAsia="zh-CN" w:bidi="ar-SA"/>
    </w:rPr>
  </w:style>
  <w:style w:type="paragraph" w:customStyle="1" w:styleId="95">
    <w:name w:val="Plain Text1"/>
    <w:basedOn w:val="1"/>
    <w:qFormat/>
    <w:uiPriority w:val="0"/>
    <w:pPr>
      <w:adjustRightInd w:val="0"/>
      <w:jc w:val="both"/>
      <w:textAlignment w:val="baseline"/>
    </w:pPr>
    <w:rPr>
      <w:rFonts w:ascii="等线" w:hAnsi="Courier New" w:eastAsia="楷体_GB2312" w:cs="Times New Roman"/>
      <w:kern w:val="2"/>
      <w:sz w:val="28"/>
      <w:lang w:val="en-US"/>
    </w:rPr>
  </w:style>
  <w:style w:type="paragraph" w:customStyle="1" w:styleId="96">
    <w:name w:val="Char Char1 Char Char Char Char Char Char Char"/>
    <w:basedOn w:val="1"/>
    <w:qFormat/>
    <w:uiPriority w:val="0"/>
    <w:pPr>
      <w:jc w:val="both"/>
    </w:pPr>
    <w:rPr>
      <w:rFonts w:ascii="Tahoma" w:hAnsi="Tahoma" w:eastAsia="等线" w:cs="Times New Roman"/>
      <w:kern w:val="2"/>
      <w:sz w:val="21"/>
      <w:lang w:val="en-US"/>
    </w:rPr>
  </w:style>
  <w:style w:type="paragraph" w:customStyle="1" w:styleId="97">
    <w:name w:val="投标3"/>
    <w:basedOn w:val="1"/>
    <w:qFormat/>
    <w:uiPriority w:val="0"/>
    <w:pPr>
      <w:numPr>
        <w:ilvl w:val="0"/>
        <w:numId w:val="2"/>
      </w:numPr>
      <w:spacing w:beforeLines="100" w:line="360" w:lineRule="auto"/>
      <w:ind w:left="1262" w:hanging="529"/>
      <w:jc w:val="both"/>
      <w:outlineLvl w:val="2"/>
    </w:pPr>
    <w:rPr>
      <w:rFonts w:ascii="Arial" w:hAnsi="Arial" w:eastAsia="等线" w:cs="Arial"/>
      <w:b/>
      <w:kern w:val="2"/>
      <w:sz w:val="21"/>
      <w:szCs w:val="24"/>
      <w:lang w:val="en-US"/>
    </w:rPr>
  </w:style>
  <w:style w:type="paragraph" w:customStyle="1" w:styleId="98">
    <w:name w:val="列出段落11"/>
    <w:basedOn w:val="1"/>
    <w:qFormat/>
    <w:uiPriority w:val="99"/>
    <w:pPr>
      <w:widowControl/>
      <w:spacing w:line="360" w:lineRule="auto"/>
      <w:ind w:firstLine="420" w:firstLineChars="200"/>
    </w:pPr>
    <w:rPr>
      <w:rFonts w:ascii="等线" w:eastAsia="等线"/>
      <w:sz w:val="21"/>
      <w:szCs w:val="24"/>
      <w:lang w:val="en-US" w:eastAsia="en-US"/>
    </w:rPr>
  </w:style>
  <w:style w:type="paragraph" w:customStyle="1" w:styleId="99">
    <w:name w:val="表格内字体字号"/>
    <w:basedOn w:val="1"/>
    <w:qFormat/>
    <w:uiPriority w:val="0"/>
    <w:pPr>
      <w:topLinePunct/>
      <w:snapToGrid w:val="0"/>
      <w:spacing w:beforeLines="20" w:afterLines="20" w:line="360" w:lineRule="auto"/>
      <w:ind w:left="30" w:leftChars="30" w:right="30" w:rightChars="30"/>
      <w:jc w:val="center"/>
    </w:pPr>
    <w:rPr>
      <w:rFonts w:ascii="等线" w:eastAsia="等线"/>
      <w:kern w:val="2"/>
      <w:sz w:val="18"/>
      <w:szCs w:val="18"/>
      <w:lang w:val="en-US"/>
    </w:rPr>
  </w:style>
  <w:style w:type="paragraph" w:customStyle="1" w:styleId="100">
    <w:name w:val="表格形式1"/>
    <w:basedOn w:val="1"/>
    <w:qFormat/>
    <w:uiPriority w:val="0"/>
    <w:pPr>
      <w:adjustRightInd w:val="0"/>
      <w:snapToGrid w:val="0"/>
      <w:spacing w:line="360" w:lineRule="atLeast"/>
    </w:pPr>
    <w:rPr>
      <w:rFonts w:ascii="等线" w:hAnsi="等线" w:eastAsia="仿宋_GB2312" w:cs="Times New Roman"/>
      <w:kern w:val="2"/>
      <w:sz w:val="21"/>
      <w:szCs w:val="24"/>
      <w:lang w:val="en-US"/>
    </w:rPr>
  </w:style>
  <w:style w:type="paragraph" w:customStyle="1" w:styleId="101">
    <w:name w:val="样式 正文5 + 两端对齐 首行缩进:  2 字符"/>
    <w:basedOn w:val="1"/>
    <w:qFormat/>
    <w:uiPriority w:val="0"/>
    <w:pPr>
      <w:adjustRightInd w:val="0"/>
      <w:spacing w:line="500" w:lineRule="exact"/>
      <w:ind w:firstLine="200"/>
      <w:jc w:val="both"/>
      <w:textAlignment w:val="baseline"/>
    </w:pPr>
    <w:rPr>
      <w:rFonts w:ascii="仿宋_GB2312" w:eastAsia="仿宋_GB2312"/>
      <w:sz w:val="21"/>
      <w:lang w:val="en-US"/>
    </w:rPr>
  </w:style>
  <w:style w:type="paragraph" w:customStyle="1" w:styleId="102">
    <w:name w:val="正文序号 3"/>
    <w:basedOn w:val="1"/>
    <w:qFormat/>
    <w:uiPriority w:val="0"/>
    <w:pPr>
      <w:tabs>
        <w:tab w:val="left" w:pos="1259"/>
      </w:tabs>
      <w:spacing w:before="60"/>
      <w:ind w:left="1259" w:hanging="420"/>
      <w:jc w:val="both"/>
    </w:pPr>
    <w:rPr>
      <w:rFonts w:ascii="等线" w:hAnsi="等线" w:eastAsia="等线" w:cs="Times New Roman"/>
      <w:kern w:val="2"/>
      <w:sz w:val="21"/>
      <w:szCs w:val="24"/>
      <w:lang w:val="en-US"/>
    </w:rPr>
  </w:style>
  <w:style w:type="paragraph" w:customStyle="1" w:styleId="103">
    <w:name w:val="网格表 4 - 着色 51"/>
    <w:basedOn w:val="2"/>
    <w:next w:val="1"/>
    <w:qFormat/>
    <w:uiPriority w:val="39"/>
    <w:pPr>
      <w:keepNext/>
      <w:keepLines/>
      <w:widowControl/>
      <w:numPr>
        <w:ilvl w:val="0"/>
        <w:numId w:val="5"/>
      </w:numPr>
      <w:tabs>
        <w:tab w:val="left" w:pos="720"/>
      </w:tabs>
      <w:spacing w:before="480" w:after="120" w:line="276" w:lineRule="auto"/>
      <w:ind w:left="720" w:hanging="720"/>
      <w:jc w:val="left"/>
      <w:outlineLvl w:val="9"/>
    </w:pPr>
    <w:rPr>
      <w:rFonts w:ascii="Cambria" w:hAnsi="Cambria" w:eastAsia="黑体" w:cs="Times New Roman"/>
      <w:bCs w:val="0"/>
      <w:color w:val="365F91"/>
      <w:sz w:val="28"/>
      <w:szCs w:val="28"/>
      <w:lang w:val="en-US"/>
    </w:rPr>
  </w:style>
  <w:style w:type="paragraph" w:customStyle="1" w:styleId="104">
    <w:name w:val="样式1"/>
    <w:basedOn w:val="1"/>
    <w:qFormat/>
    <w:uiPriority w:val="0"/>
    <w:pPr>
      <w:numPr>
        <w:ilvl w:val="0"/>
        <w:numId w:val="6"/>
      </w:numPr>
      <w:adjustRightInd w:val="0"/>
      <w:ind w:left="312" w:hanging="317"/>
      <w:jc w:val="both"/>
      <w:textAlignment w:val="baseline"/>
    </w:pPr>
    <w:rPr>
      <w:rFonts w:ascii="等线" w:eastAsia="等线" w:cs="Times New Roman"/>
      <w:sz w:val="21"/>
      <w:szCs w:val="21"/>
      <w:lang w:val="en-US"/>
    </w:rPr>
  </w:style>
  <w:style w:type="paragraph" w:customStyle="1" w:styleId="105">
    <w:name w:val="Char1 Char Char Char"/>
    <w:basedOn w:val="1"/>
    <w:qFormat/>
    <w:uiPriority w:val="0"/>
    <w:pPr>
      <w:jc w:val="both"/>
    </w:pPr>
    <w:rPr>
      <w:rFonts w:ascii="Tahoma" w:hAnsi="Tahoma" w:eastAsia="等线" w:cs="Times New Roman"/>
      <w:kern w:val="2"/>
      <w:sz w:val="21"/>
      <w:lang w:val="en-US"/>
    </w:rPr>
  </w:style>
  <w:style w:type="paragraph" w:customStyle="1" w:styleId="106">
    <w:name w:val="一级无"/>
    <w:basedOn w:val="1"/>
    <w:qFormat/>
    <w:uiPriority w:val="0"/>
    <w:pPr>
      <w:widowControl/>
      <w:numPr>
        <w:ilvl w:val="1"/>
        <w:numId w:val="7"/>
      </w:numPr>
      <w:tabs>
        <w:tab w:val="left" w:pos="315"/>
        <w:tab w:val="clear" w:pos="1575"/>
      </w:tabs>
      <w:spacing w:line="360" w:lineRule="auto"/>
      <w:ind w:left="1990" w:hanging="317"/>
      <w:outlineLvl w:val="2"/>
    </w:pPr>
    <w:rPr>
      <w:rFonts w:ascii="等线" w:eastAsia="等线"/>
      <w:sz w:val="21"/>
      <w:szCs w:val="21"/>
      <w:lang w:val="en-US"/>
    </w:rPr>
  </w:style>
  <w:style w:type="paragraph" w:customStyle="1" w:styleId="107">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108">
    <w:name w:val="列表内容"/>
    <w:basedOn w:val="1"/>
    <w:next w:val="1"/>
    <w:qFormat/>
    <w:uiPriority w:val="0"/>
    <w:pPr>
      <w:widowControl/>
      <w:numPr>
        <w:ilvl w:val="0"/>
        <w:numId w:val="9"/>
      </w:numPr>
      <w:ind w:left="947" w:hanging="213"/>
    </w:pPr>
    <w:rPr>
      <w:rFonts w:ascii="等线" w:hAnsi="等线" w:eastAsia="等线" w:cs="Times New Roman"/>
      <w:sz w:val="18"/>
      <w:szCs w:val="24"/>
      <w:lang w:val="en-US"/>
    </w:rPr>
  </w:style>
  <w:style w:type="paragraph" w:customStyle="1" w:styleId="109">
    <w:name w:val="投标2"/>
    <w:basedOn w:val="1"/>
    <w:qFormat/>
    <w:uiPriority w:val="0"/>
    <w:pPr>
      <w:numPr>
        <w:ilvl w:val="0"/>
        <w:numId w:val="10"/>
      </w:numPr>
      <w:spacing w:beforeLines="100" w:afterLines="100" w:line="360" w:lineRule="auto"/>
      <w:ind w:left="0" w:firstLine="0"/>
      <w:jc w:val="both"/>
      <w:outlineLvl w:val="1"/>
    </w:pPr>
    <w:rPr>
      <w:rFonts w:ascii="Arial" w:hAnsi="Arial" w:eastAsia="等线" w:cs="Arial"/>
      <w:b/>
      <w:kern w:val="2"/>
      <w:sz w:val="28"/>
      <w:szCs w:val="28"/>
      <w:lang w:val="en-US"/>
    </w:rPr>
  </w:style>
  <w:style w:type="paragraph" w:customStyle="1" w:styleId="110">
    <w:name w:val="表文"/>
    <w:basedOn w:val="1"/>
    <w:qFormat/>
    <w:uiPriority w:val="0"/>
    <w:pPr>
      <w:topLinePunct/>
      <w:spacing w:before="40" w:after="40"/>
      <w:jc w:val="both"/>
    </w:pPr>
    <w:rPr>
      <w:rFonts w:ascii="仿宋_GB2312" w:hAnsi="仿宋_GB2312" w:eastAsia="仿宋_GB2312" w:cs="Times New Roman"/>
      <w:kern w:val="2"/>
      <w:sz w:val="18"/>
      <w:lang w:val="en-US"/>
    </w:rPr>
  </w:style>
  <w:style w:type="paragraph" w:customStyle="1" w:styleId="111">
    <w:name w:val="彩色列表 - 着色 2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12">
    <w:name w:val="正文表标题"/>
    <w:next w:val="83"/>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113">
    <w:name w:val="B"/>
    <w:basedOn w:val="1"/>
    <w:qFormat/>
    <w:uiPriority w:val="0"/>
    <w:pPr>
      <w:tabs>
        <w:tab w:val="center" w:pos="4706"/>
        <w:tab w:val="right" w:pos="9044"/>
      </w:tabs>
      <w:topLinePunct/>
      <w:spacing w:before="160" w:after="60" w:line="312" w:lineRule="exact"/>
      <w:jc w:val="center"/>
    </w:pPr>
    <w:rPr>
      <w:rFonts w:ascii="E-F1" w:eastAsia="黑体"/>
      <w:kern w:val="2"/>
      <w:sz w:val="21"/>
      <w:szCs w:val="21"/>
      <w:lang w:val="en-US"/>
    </w:rPr>
  </w:style>
  <w:style w:type="paragraph" w:customStyle="1" w:styleId="114">
    <w:name w:val="深色列表 - 强调文字颜色 31"/>
    <w:semiHidden/>
    <w:qFormat/>
    <w:uiPriority w:val="99"/>
    <w:rPr>
      <w:rFonts w:ascii="Times New Roman" w:hAnsi="Times New Roman" w:eastAsia="宋体" w:cs="Times New Roman"/>
      <w:kern w:val="2"/>
      <w:sz w:val="21"/>
      <w:lang w:val="en-US" w:eastAsia="zh-CN" w:bidi="ar-SA"/>
    </w:rPr>
  </w:style>
  <w:style w:type="paragraph" w:customStyle="1" w:styleId="115">
    <w:name w:val="脚注文本1"/>
    <w:basedOn w:val="1"/>
    <w:next w:val="38"/>
    <w:qFormat/>
    <w:uiPriority w:val="0"/>
    <w:pPr>
      <w:adjustRightInd w:val="0"/>
      <w:spacing w:line="312" w:lineRule="atLeast"/>
      <w:textAlignment w:val="baseline"/>
    </w:pPr>
    <w:rPr>
      <w:rFonts w:ascii="等线" w:eastAsia="等线" w:cs="Times New Roman"/>
      <w:kern w:val="2"/>
      <w:sz w:val="18"/>
      <w:szCs w:val="24"/>
      <w:lang w:val="en-US"/>
    </w:rPr>
  </w:style>
  <w:style w:type="paragraph" w:customStyle="1" w:styleId="116">
    <w:name w:val="TOC 标题1"/>
    <w:basedOn w:val="2"/>
    <w:next w:val="1"/>
    <w:unhideWhenUsed/>
    <w:qFormat/>
    <w:uiPriority w:val="39"/>
    <w:pPr>
      <w:keepNext/>
      <w:keepLines/>
      <w:widowControl/>
      <w:spacing w:before="240" w:line="259" w:lineRule="auto"/>
      <w:jc w:val="left"/>
      <w:outlineLvl w:val="9"/>
    </w:pPr>
    <w:rPr>
      <w:rFonts w:ascii="等线 Light" w:hAnsi="等线 Light" w:eastAsia="等线 Light" w:cs="Times New Roman"/>
      <w:b w:val="0"/>
      <w:bCs w:val="0"/>
      <w:color w:val="2F5496"/>
      <w:lang w:val="en-US"/>
    </w:rPr>
  </w:style>
  <w:style w:type="paragraph" w:customStyle="1" w:styleId="117">
    <w:name w:val="Body text|1"/>
    <w:basedOn w:val="1"/>
    <w:qFormat/>
    <w:uiPriority w:val="0"/>
    <w:pPr>
      <w:spacing w:line="403" w:lineRule="auto"/>
      <w:jc w:val="both"/>
    </w:pPr>
    <w:rPr>
      <w:rFonts w:ascii="等线" w:eastAsia="等线"/>
      <w:kern w:val="2"/>
      <w:sz w:val="20"/>
      <w:szCs w:val="20"/>
      <w:lang w:val="zh-TW" w:eastAsia="zh-TW" w:bidi="zh-TW"/>
    </w:rPr>
  </w:style>
  <w:style w:type="paragraph" w:customStyle="1" w:styleId="118">
    <w:name w:val="列项——"/>
    <w:qFormat/>
    <w:uiPriority w:val="0"/>
    <w:pPr>
      <w:widowControl w:val="0"/>
      <w:numPr>
        <w:ilvl w:val="0"/>
        <w:numId w:val="12"/>
      </w:numPr>
      <w:tabs>
        <w:tab w:val="left" w:pos="854"/>
        <w:tab w:val="clear" w:pos="0"/>
      </w:tabs>
      <w:ind w:left="200" w:leftChars="200" w:hanging="200" w:hangingChars="200"/>
      <w:jc w:val="both"/>
    </w:pPr>
    <w:rPr>
      <w:rFonts w:ascii="宋体" w:hAnsi="Times New Roman" w:eastAsia="宋体" w:cs="Times New Roman"/>
      <w:sz w:val="21"/>
      <w:lang w:val="en-US" w:eastAsia="zh-CN" w:bidi="ar-SA"/>
    </w:rPr>
  </w:style>
  <w:style w:type="character" w:customStyle="1" w:styleId="119">
    <w:name w:val="标题 1 字符"/>
    <w:link w:val="2"/>
    <w:qFormat/>
    <w:locked/>
    <w:uiPriority w:val="9"/>
    <w:rPr>
      <w:rFonts w:ascii="宋体" w:eastAsia="宋体" w:cs="宋体"/>
      <w:b/>
      <w:bCs/>
      <w:kern w:val="44"/>
      <w:sz w:val="44"/>
      <w:szCs w:val="44"/>
      <w:lang w:val="zh-CN"/>
    </w:rPr>
  </w:style>
  <w:style w:type="character" w:customStyle="1" w:styleId="120">
    <w:name w:val="标题 2 字符"/>
    <w:link w:val="3"/>
    <w:qFormat/>
    <w:locked/>
    <w:uiPriority w:val="9"/>
    <w:rPr>
      <w:rFonts w:ascii="Cambria" w:hAnsi="Cambria" w:eastAsia="宋体" w:cs="Times New Roman"/>
      <w:b/>
      <w:bCs/>
      <w:kern w:val="0"/>
      <w:sz w:val="32"/>
      <w:szCs w:val="32"/>
      <w:lang w:val="zh-CN"/>
    </w:rPr>
  </w:style>
  <w:style w:type="character" w:customStyle="1" w:styleId="121">
    <w:name w:val="标题 3 字符"/>
    <w:link w:val="4"/>
    <w:qFormat/>
    <w:locked/>
    <w:uiPriority w:val="9"/>
    <w:rPr>
      <w:rFonts w:ascii="宋体" w:eastAsia="宋体" w:cs="宋体"/>
      <w:b/>
      <w:bCs/>
      <w:kern w:val="0"/>
      <w:sz w:val="32"/>
      <w:szCs w:val="32"/>
      <w:lang w:val="zh-CN"/>
    </w:rPr>
  </w:style>
  <w:style w:type="character" w:customStyle="1" w:styleId="122">
    <w:name w:val="标题 4 字符"/>
    <w:link w:val="5"/>
    <w:qFormat/>
    <w:locked/>
    <w:uiPriority w:val="9"/>
    <w:rPr>
      <w:rFonts w:ascii="Cambria" w:hAnsi="Cambria" w:eastAsia="宋体" w:cs="Times New Roman"/>
      <w:b/>
      <w:bCs/>
      <w:kern w:val="0"/>
      <w:sz w:val="28"/>
      <w:szCs w:val="28"/>
      <w:lang w:val="zh-CN"/>
    </w:rPr>
  </w:style>
  <w:style w:type="character" w:customStyle="1" w:styleId="123">
    <w:name w:val="正文文本 字符"/>
    <w:link w:val="18"/>
    <w:qFormat/>
    <w:locked/>
    <w:uiPriority w:val="0"/>
    <w:rPr>
      <w:rFonts w:ascii="宋体" w:eastAsia="宋体" w:cs="宋体"/>
      <w:kern w:val="0"/>
      <w:sz w:val="22"/>
      <w:lang w:val="zh-CN"/>
    </w:rPr>
  </w:style>
  <w:style w:type="character" w:customStyle="1" w:styleId="124">
    <w:name w:val="批注框文本 字符1"/>
    <w:link w:val="29"/>
    <w:qFormat/>
    <w:locked/>
    <w:uiPriority w:val="0"/>
    <w:rPr>
      <w:rFonts w:ascii="宋体" w:hAnsi="宋体" w:eastAsia="宋体" w:cs="宋体"/>
      <w:sz w:val="18"/>
      <w:szCs w:val="18"/>
      <w:lang w:val="zh-CN"/>
    </w:rPr>
  </w:style>
  <w:style w:type="character" w:customStyle="1" w:styleId="125">
    <w:name w:val="页脚 字符"/>
    <w:link w:val="30"/>
    <w:qFormat/>
    <w:locked/>
    <w:uiPriority w:val="99"/>
    <w:rPr>
      <w:rFonts w:ascii="宋体" w:hAnsi="宋体" w:eastAsia="宋体" w:cs="宋体"/>
      <w:sz w:val="18"/>
      <w:szCs w:val="18"/>
      <w:lang w:val="zh-CN"/>
    </w:rPr>
  </w:style>
  <w:style w:type="character" w:customStyle="1" w:styleId="126">
    <w:name w:val="页眉 字符"/>
    <w:link w:val="31"/>
    <w:qFormat/>
    <w:locked/>
    <w:uiPriority w:val="99"/>
    <w:rPr>
      <w:rFonts w:ascii="宋体" w:hAnsi="宋体" w:eastAsia="宋体" w:cs="宋体"/>
      <w:sz w:val="18"/>
      <w:szCs w:val="18"/>
      <w:lang w:val="zh-CN"/>
    </w:rPr>
  </w:style>
  <w:style w:type="character" w:customStyle="1" w:styleId="127">
    <w:name w:val="日期 字符1"/>
    <w:link w:val="27"/>
    <w:qFormat/>
    <w:uiPriority w:val="0"/>
    <w:rPr>
      <w:rFonts w:ascii="宋体" w:hAnsi="宋体" w:cs="宋体"/>
      <w:sz w:val="22"/>
      <w:szCs w:val="22"/>
      <w:lang w:val="zh-CN"/>
    </w:rPr>
  </w:style>
  <w:style w:type="character" w:customStyle="1" w:styleId="128">
    <w:name w:val="c-icon28"/>
    <w:basedOn w:val="52"/>
    <w:qFormat/>
    <w:uiPriority w:val="0"/>
  </w:style>
  <w:style w:type="character" w:customStyle="1" w:styleId="129">
    <w:name w:val="hover25"/>
    <w:basedOn w:val="52"/>
    <w:qFormat/>
    <w:uiPriority w:val="0"/>
  </w:style>
  <w:style w:type="character" w:customStyle="1" w:styleId="130">
    <w:name w:val="hover26"/>
    <w:qFormat/>
    <w:uiPriority w:val="0"/>
    <w:rPr>
      <w:color w:val="315EFB"/>
    </w:rPr>
  </w:style>
  <w:style w:type="character" w:customStyle="1" w:styleId="131">
    <w:name w:val="hover27"/>
    <w:qFormat/>
    <w:uiPriority w:val="0"/>
    <w:rPr>
      <w:color w:val="315EFB"/>
    </w:rPr>
  </w:style>
  <w:style w:type="character" w:customStyle="1" w:styleId="132">
    <w:name w:val="text"/>
    <w:basedOn w:val="52"/>
    <w:qFormat/>
    <w:uiPriority w:val="0"/>
  </w:style>
  <w:style w:type="character" w:customStyle="1" w:styleId="133">
    <w:name w:val="icon19"/>
    <w:basedOn w:val="52"/>
    <w:qFormat/>
    <w:uiPriority w:val="0"/>
  </w:style>
  <w:style w:type="character" w:customStyle="1" w:styleId="134">
    <w:name w:val="active"/>
    <w:qFormat/>
    <w:uiPriority w:val="0"/>
    <w:rPr>
      <w:shd w:val="clear" w:color="auto" w:fill="FFFFFF"/>
    </w:rPr>
  </w:style>
  <w:style w:type="character" w:customStyle="1" w:styleId="135">
    <w:name w:val="active1"/>
    <w:qFormat/>
    <w:uiPriority w:val="0"/>
    <w:rPr>
      <w:shd w:val="clear" w:color="auto" w:fill="FFFFFF"/>
    </w:rPr>
  </w:style>
  <w:style w:type="character" w:customStyle="1" w:styleId="136">
    <w:name w:val="c-icon"/>
    <w:basedOn w:val="52"/>
    <w:qFormat/>
    <w:uiPriority w:val="0"/>
  </w:style>
  <w:style w:type="character" w:customStyle="1" w:styleId="137">
    <w:name w:val="标题 5 字符"/>
    <w:link w:val="6"/>
    <w:qFormat/>
    <w:uiPriority w:val="9"/>
    <w:rPr>
      <w:rFonts w:ascii="等线" w:hAnsi="等线" w:eastAsia="等线"/>
      <w:b/>
      <w:bCs/>
      <w:kern w:val="2"/>
      <w:sz w:val="28"/>
      <w:szCs w:val="28"/>
    </w:rPr>
  </w:style>
  <w:style w:type="character" w:customStyle="1" w:styleId="138">
    <w:name w:val="标题 7 字符"/>
    <w:link w:val="8"/>
    <w:qFormat/>
    <w:uiPriority w:val="9"/>
    <w:rPr>
      <w:rFonts w:ascii="等线" w:hAnsi="等线" w:eastAsia="等线"/>
      <w:b/>
      <w:bCs/>
      <w:kern w:val="2"/>
      <w:sz w:val="28"/>
      <w:szCs w:val="24"/>
    </w:rPr>
  </w:style>
  <w:style w:type="character" w:customStyle="1" w:styleId="139">
    <w:name w:val="文档结构图 字符"/>
    <w:link w:val="15"/>
    <w:semiHidden/>
    <w:qFormat/>
    <w:uiPriority w:val="99"/>
    <w:rPr>
      <w:rFonts w:eastAsia="仿宋"/>
      <w:caps/>
      <w:sz w:val="32"/>
      <w:szCs w:val="32"/>
      <w:shd w:val="clear" w:color="auto" w:fill="000080"/>
    </w:rPr>
  </w:style>
  <w:style w:type="character" w:customStyle="1" w:styleId="140">
    <w:name w:val="批注文字 字符"/>
    <w:link w:val="16"/>
    <w:qFormat/>
    <w:uiPriority w:val="0"/>
    <w:rPr>
      <w:rFonts w:ascii="等线" w:hAnsi="宋体" w:eastAsia="仿宋" w:cs="宋体"/>
      <w:caps/>
      <w:sz w:val="21"/>
      <w:szCs w:val="24"/>
    </w:rPr>
  </w:style>
  <w:style w:type="character" w:customStyle="1" w:styleId="141">
    <w:name w:val="正文文本缩进 字符1"/>
    <w:link w:val="19"/>
    <w:qFormat/>
    <w:uiPriority w:val="99"/>
    <w:rPr>
      <w:rFonts w:ascii="等线" w:eastAsia="等线"/>
      <w:caps/>
      <w:sz w:val="28"/>
      <w:szCs w:val="32"/>
    </w:rPr>
  </w:style>
  <w:style w:type="character" w:customStyle="1" w:styleId="142">
    <w:name w:val="纯文本 字符"/>
    <w:link w:val="24"/>
    <w:qFormat/>
    <w:uiPriority w:val="99"/>
    <w:rPr>
      <w:rFonts w:ascii="等线" w:hAnsi="Courier New" w:eastAsia="等线"/>
      <w:kern w:val="2"/>
      <w:sz w:val="21"/>
    </w:rPr>
  </w:style>
  <w:style w:type="character" w:customStyle="1" w:styleId="143">
    <w:name w:val="正文文本缩进 2 字符"/>
    <w:link w:val="28"/>
    <w:qFormat/>
    <w:uiPriority w:val="0"/>
    <w:rPr>
      <w:rFonts w:ascii="等线" w:hAnsi="等线" w:eastAsia="等线"/>
      <w:kern w:val="2"/>
      <w:sz w:val="21"/>
      <w:szCs w:val="22"/>
    </w:rPr>
  </w:style>
  <w:style w:type="character" w:customStyle="1" w:styleId="144">
    <w:name w:val="签名 字符1"/>
    <w:link w:val="32"/>
    <w:qFormat/>
    <w:uiPriority w:val="0"/>
    <w:rPr>
      <w:rFonts w:eastAsia="仿宋_GB2312"/>
      <w:caps/>
      <w:sz w:val="21"/>
      <w:szCs w:val="32"/>
    </w:rPr>
  </w:style>
  <w:style w:type="character" w:customStyle="1" w:styleId="145">
    <w:name w:val="副标题 字符1"/>
    <w:link w:val="37"/>
    <w:qFormat/>
    <w:uiPriority w:val="11"/>
    <w:rPr>
      <w:rFonts w:ascii="Cambria" w:hAnsi="Cambria" w:eastAsia="等线"/>
      <w:b/>
      <w:bCs/>
      <w:caps/>
      <w:kern w:val="28"/>
      <w:sz w:val="32"/>
      <w:szCs w:val="32"/>
    </w:rPr>
  </w:style>
  <w:style w:type="character" w:customStyle="1" w:styleId="146">
    <w:name w:val="脚注文本 字符"/>
    <w:link w:val="38"/>
    <w:qFormat/>
    <w:uiPriority w:val="0"/>
    <w:rPr>
      <w:rFonts w:eastAsia="仿宋"/>
      <w:caps/>
      <w:sz w:val="18"/>
      <w:szCs w:val="32"/>
    </w:rPr>
  </w:style>
  <w:style w:type="character" w:customStyle="1" w:styleId="147">
    <w:name w:val="正文文本缩进 3 字符"/>
    <w:link w:val="40"/>
    <w:qFormat/>
    <w:uiPriority w:val="0"/>
    <w:rPr>
      <w:rFonts w:ascii="等线" w:hAnsi="等线" w:eastAsia="等线"/>
      <w:b/>
      <w:bCs/>
      <w:kern w:val="2"/>
      <w:sz w:val="28"/>
      <w:szCs w:val="22"/>
      <w:u w:val="single"/>
    </w:rPr>
  </w:style>
  <w:style w:type="character" w:customStyle="1" w:styleId="148">
    <w:name w:val="标题 字符1"/>
    <w:link w:val="48"/>
    <w:qFormat/>
    <w:uiPriority w:val="99"/>
    <w:rPr>
      <w:rFonts w:ascii="Cambria" w:hAnsi="Cambria" w:eastAsia="等线"/>
      <w:b/>
      <w:bCs/>
      <w:caps/>
      <w:sz w:val="32"/>
      <w:szCs w:val="32"/>
    </w:rPr>
  </w:style>
  <w:style w:type="character" w:customStyle="1" w:styleId="149">
    <w:name w:val="批注主题 字符"/>
    <w:link w:val="49"/>
    <w:qFormat/>
    <w:uiPriority w:val="0"/>
    <w:rPr>
      <w:rFonts w:ascii="等线" w:hAnsi="宋体" w:eastAsia="仿宋" w:cs="宋体"/>
      <w:b/>
      <w:bCs/>
      <w:caps/>
      <w:sz w:val="32"/>
      <w:szCs w:val="24"/>
    </w:rPr>
  </w:style>
  <w:style w:type="character" w:customStyle="1" w:styleId="150">
    <w:name w:val="标题 6 字符"/>
    <w:link w:val="7"/>
    <w:qFormat/>
    <w:uiPriority w:val="9"/>
    <w:rPr>
      <w:rFonts w:ascii="宋体" w:hAnsi="等线 Light" w:eastAsia="宋体" w:cs="Times New Roman"/>
      <w:b/>
      <w:bCs/>
      <w:kern w:val="2"/>
      <w:sz w:val="28"/>
      <w:szCs w:val="24"/>
    </w:rPr>
  </w:style>
  <w:style w:type="character" w:customStyle="1" w:styleId="151">
    <w:name w:val="标题 8 字符"/>
    <w:link w:val="9"/>
    <w:qFormat/>
    <w:uiPriority w:val="9"/>
    <w:rPr>
      <w:rFonts w:ascii="宋体" w:hAnsi="等线 Light" w:eastAsia="宋体" w:cs="Times New Roman"/>
      <w:b/>
      <w:kern w:val="2"/>
      <w:sz w:val="28"/>
      <w:szCs w:val="24"/>
    </w:rPr>
  </w:style>
  <w:style w:type="character" w:customStyle="1" w:styleId="152">
    <w:name w:val="标题 9 字符"/>
    <w:link w:val="10"/>
    <w:qFormat/>
    <w:uiPriority w:val="9"/>
    <w:rPr>
      <w:rFonts w:ascii="宋体" w:hAnsi="等线 Light" w:eastAsia="宋体" w:cs="Times New Roman"/>
      <w:b/>
      <w:kern w:val="2"/>
      <w:sz w:val="28"/>
      <w:szCs w:val="21"/>
    </w:rPr>
  </w:style>
  <w:style w:type="character" w:customStyle="1" w:styleId="153">
    <w:name w:val="未处理的提及1"/>
    <w:unhideWhenUsed/>
    <w:qFormat/>
    <w:uiPriority w:val="99"/>
    <w:rPr>
      <w:color w:val="808080"/>
      <w:shd w:val="clear" w:color="auto" w:fill="E6E6E6"/>
    </w:rPr>
  </w:style>
  <w:style w:type="character" w:customStyle="1" w:styleId="154">
    <w:name w:val="textcontents"/>
    <w:basedOn w:val="52"/>
    <w:qFormat/>
    <w:uiPriority w:val="0"/>
  </w:style>
  <w:style w:type="character" w:customStyle="1" w:styleId="155">
    <w:name w:val="内文 Char"/>
    <w:link w:val="68"/>
    <w:qFormat/>
    <w:locked/>
    <w:uiPriority w:val="0"/>
    <w:rPr>
      <w:rFonts w:ascii="Arial" w:hAnsi="Arial" w:cs="Arial"/>
      <w:lang w:val="en-US" w:eastAsia="zh-CN" w:bidi="ar-SA"/>
    </w:rPr>
  </w:style>
  <w:style w:type="character" w:customStyle="1" w:styleId="156">
    <w:name w:val="样式 仿宋"/>
    <w:qFormat/>
    <w:uiPriority w:val="0"/>
    <w:rPr>
      <w:rFonts w:ascii="仿宋" w:hAnsi="仿宋" w:eastAsia="仿宋"/>
      <w:kern w:val="1"/>
    </w:rPr>
  </w:style>
  <w:style w:type="character" w:customStyle="1" w:styleId="157">
    <w:name w:val="标题 6 字符1"/>
    <w:qFormat/>
    <w:uiPriority w:val="9"/>
    <w:rPr>
      <w:rFonts w:ascii="Cambria" w:hAnsi="Cambria" w:eastAsia="黑体" w:cs="Times New Roman"/>
      <w:b/>
      <w:bCs/>
      <w:kern w:val="0"/>
      <w:sz w:val="28"/>
      <w:szCs w:val="24"/>
    </w:rPr>
  </w:style>
  <w:style w:type="character" w:customStyle="1" w:styleId="158">
    <w:name w:val="标题 5 字符1"/>
    <w:qFormat/>
    <w:uiPriority w:val="9"/>
    <w:rPr>
      <w:rFonts w:ascii="Times New Roman" w:hAnsi="Times New Roman" w:eastAsia="宋体" w:cs="Times New Roman"/>
      <w:b/>
      <w:bCs/>
      <w:sz w:val="18"/>
      <w:szCs w:val="20"/>
    </w:rPr>
  </w:style>
  <w:style w:type="character" w:customStyle="1" w:styleId="159">
    <w:name w:val="标题 3 字符1"/>
    <w:qFormat/>
    <w:uiPriority w:val="9"/>
    <w:rPr>
      <w:rFonts w:ascii="宋体" w:hAnsi="宋体" w:eastAsia="宋体" w:cs="Times New Roman"/>
      <w:sz w:val="28"/>
      <w:szCs w:val="20"/>
    </w:rPr>
  </w:style>
  <w:style w:type="character" w:customStyle="1" w:styleId="160">
    <w:name w:val="标题 2 字符1"/>
    <w:qFormat/>
    <w:locked/>
    <w:uiPriority w:val="9"/>
    <w:rPr>
      <w:rFonts w:ascii="宋体" w:hAnsi="宋体" w:eastAsia="宋体" w:cs="Times New Roman"/>
      <w:b/>
      <w:bCs/>
      <w:sz w:val="28"/>
      <w:szCs w:val="28"/>
    </w:rPr>
  </w:style>
  <w:style w:type="character" w:customStyle="1" w:styleId="161">
    <w:name w:val="投标5字符"/>
    <w:link w:val="72"/>
    <w:qFormat/>
    <w:uiPriority w:val="0"/>
    <w:rPr>
      <w:rFonts w:ascii="Arial" w:hAnsi="Arial" w:cs="Arial"/>
      <w:b/>
      <w:sz w:val="24"/>
      <w:szCs w:val="24"/>
    </w:rPr>
  </w:style>
  <w:style w:type="character" w:customStyle="1" w:styleId="162">
    <w:name w:val="标题 4 字符1"/>
    <w:qFormat/>
    <w:uiPriority w:val="9"/>
    <w:rPr>
      <w:rFonts w:ascii="Times New Roman" w:hAnsi="Times New Roman" w:eastAsia="宋体" w:cs="Times New Roman"/>
      <w:b/>
      <w:bCs/>
      <w:sz w:val="18"/>
      <w:szCs w:val="20"/>
    </w:rPr>
  </w:style>
  <w:style w:type="character" w:customStyle="1" w:styleId="163">
    <w:name w:val="副标题 字符"/>
    <w:qFormat/>
    <w:uiPriority w:val="11"/>
    <w:rPr>
      <w:rFonts w:ascii="Cambria" w:hAnsi="Cambria" w:eastAsia="宋体"/>
      <w:b/>
      <w:bCs/>
      <w:kern w:val="28"/>
      <w:sz w:val="32"/>
      <w:szCs w:val="32"/>
      <w:lang w:val="en-US" w:eastAsia="zh-CN" w:bidi="ar-SA"/>
    </w:rPr>
  </w:style>
  <w:style w:type="character" w:customStyle="1" w:styleId="164">
    <w:name w:val="浅色列表 - 强调文字颜色 5 Char"/>
    <w:link w:val="73"/>
    <w:qFormat/>
    <w:uiPriority w:val="0"/>
    <w:rPr>
      <w:rFonts w:ascii="Calibri" w:hAnsi="Calibri"/>
      <w:sz w:val="24"/>
    </w:rPr>
  </w:style>
  <w:style w:type="character" w:customStyle="1" w:styleId="165">
    <w:name w:val="脚注文本 字符2"/>
    <w:qFormat/>
    <w:uiPriority w:val="0"/>
    <w:rPr>
      <w:kern w:val="2"/>
      <w:sz w:val="18"/>
      <w:szCs w:val="18"/>
    </w:rPr>
  </w:style>
  <w:style w:type="character" w:customStyle="1" w:styleId="166">
    <w:name w:val="日期 字符"/>
    <w:qFormat/>
    <w:uiPriority w:val="99"/>
    <w:rPr>
      <w:rFonts w:ascii="宋体"/>
      <w:sz w:val="28"/>
    </w:rPr>
  </w:style>
  <w:style w:type="character" w:customStyle="1" w:styleId="167">
    <w:name w:val="列表段落 字符"/>
    <w:link w:val="67"/>
    <w:qFormat/>
    <w:uiPriority w:val="34"/>
    <w:rPr>
      <w:rFonts w:ascii="等线" w:hAnsi="等线" w:eastAsia="等线"/>
      <w:kern w:val="2"/>
      <w:sz w:val="21"/>
      <w:szCs w:val="22"/>
    </w:rPr>
  </w:style>
  <w:style w:type="character" w:customStyle="1" w:styleId="168">
    <w:name w:val="中等深浅列表 2 - 着色 4 Char"/>
    <w:link w:val="74"/>
    <w:qFormat/>
    <w:uiPriority w:val="0"/>
    <w:rPr>
      <w:rFonts w:ascii="Calibri" w:hAnsi="Calibri"/>
      <w:sz w:val="24"/>
    </w:rPr>
  </w:style>
  <w:style w:type="character" w:customStyle="1" w:styleId="169">
    <w:name w:val="纯文本 Char3"/>
    <w:qFormat/>
    <w:uiPriority w:val="99"/>
    <w:rPr>
      <w:rFonts w:ascii="宋体" w:hAnsi="Courier New"/>
      <w:sz w:val="24"/>
      <w:szCs w:val="24"/>
    </w:rPr>
  </w:style>
  <w:style w:type="character" w:customStyle="1" w:styleId="170">
    <w:name w:val="页眉 字符1"/>
    <w:qFormat/>
    <w:uiPriority w:val="99"/>
    <w:rPr>
      <w:rFonts w:eastAsia="宋体"/>
      <w:sz w:val="18"/>
    </w:rPr>
  </w:style>
  <w:style w:type="character" w:customStyle="1" w:styleId="171">
    <w:name w:val="脚注文本字符1"/>
    <w:semiHidden/>
    <w:qFormat/>
    <w:uiPriority w:val="99"/>
    <w:rPr>
      <w:rFonts w:ascii="Times New Roman" w:hAnsi="Times New Roman" w:cs="Times New Roman"/>
      <w:sz w:val="18"/>
      <w:szCs w:val="18"/>
    </w:rPr>
  </w:style>
  <w:style w:type="character" w:customStyle="1" w:styleId="172">
    <w:name w:val="无间隔 Char"/>
    <w:link w:val="75"/>
    <w:qFormat/>
    <w:uiPriority w:val="0"/>
    <w:rPr>
      <w:rFonts w:ascii="Calibri" w:hAnsi="Calibri"/>
      <w:sz w:val="22"/>
      <w:lang w:val="en-US" w:eastAsia="zh-CN" w:bidi="ar-SA"/>
    </w:rPr>
  </w:style>
  <w:style w:type="character" w:customStyle="1" w:styleId="173">
    <w:name w:val="正文缩进 Char"/>
    <w:qFormat/>
    <w:uiPriority w:val="0"/>
    <w:rPr>
      <w:sz w:val="21"/>
    </w:rPr>
  </w:style>
  <w:style w:type="character" w:customStyle="1" w:styleId="174">
    <w:name w:val="数字EU Char"/>
    <w:link w:val="76"/>
    <w:qFormat/>
    <w:uiPriority w:val="0"/>
    <w:rPr>
      <w:rFonts w:ascii="EU-F1"/>
      <w:kern w:val="21"/>
      <w:szCs w:val="21"/>
    </w:rPr>
  </w:style>
  <w:style w:type="character" w:customStyle="1" w:styleId="175">
    <w:name w:val="正文文本 字符1"/>
    <w:qFormat/>
    <w:uiPriority w:val="0"/>
    <w:rPr>
      <w:rFonts w:ascii="楷体_GB2312" w:hAnsi="Arial" w:eastAsia="楷体_GB2312"/>
      <w:sz w:val="28"/>
    </w:rPr>
  </w:style>
  <w:style w:type="character" w:customStyle="1" w:styleId="176">
    <w:name w:val="正文C Char"/>
    <w:link w:val="77"/>
    <w:qFormat/>
    <w:uiPriority w:val="0"/>
    <w:rPr>
      <w:rFonts w:ascii="等线" w:hAnsi="等线" w:eastAsia="等线"/>
      <w:sz w:val="24"/>
    </w:rPr>
  </w:style>
  <w:style w:type="character" w:customStyle="1" w:styleId="177">
    <w:name w:val="批注框文本 字符"/>
    <w:qFormat/>
    <w:uiPriority w:val="0"/>
    <w:rPr>
      <w:rFonts w:ascii="Calibri" w:hAnsi="Calibri" w:eastAsia="宋体"/>
      <w:kern w:val="2"/>
      <w:sz w:val="18"/>
      <w:szCs w:val="18"/>
      <w:lang w:val="en-US" w:eastAsia="zh-CN" w:bidi="ar-SA"/>
    </w:rPr>
  </w:style>
  <w:style w:type="character" w:customStyle="1" w:styleId="178">
    <w:name w:val="标题 字符"/>
    <w:qFormat/>
    <w:uiPriority w:val="0"/>
    <w:rPr>
      <w:rFonts w:ascii="Cambria" w:hAnsi="Cambria" w:eastAsia="宋体"/>
      <w:b/>
      <w:bCs/>
      <w:kern w:val="2"/>
      <w:sz w:val="32"/>
      <w:szCs w:val="32"/>
      <w:lang w:val="en-US" w:eastAsia="zh-CN" w:bidi="ar-SA"/>
    </w:rPr>
  </w:style>
  <w:style w:type="character" w:customStyle="1" w:styleId="179">
    <w:name w:val="四级标题 Char"/>
    <w:link w:val="78"/>
    <w:qFormat/>
    <w:locked/>
    <w:uiPriority w:val="99"/>
    <w:rPr>
      <w:rFonts w:ascii="宋体" w:hAnsi="宋体"/>
      <w:color w:val="000000"/>
      <w:sz w:val="24"/>
    </w:rPr>
  </w:style>
  <w:style w:type="character" w:customStyle="1" w:styleId="180">
    <w:name w:val="apple-converted-space"/>
    <w:qFormat/>
    <w:uiPriority w:val="0"/>
  </w:style>
  <w:style w:type="character" w:customStyle="1" w:styleId="181">
    <w:name w:val="签名 字符"/>
    <w:qFormat/>
    <w:locked/>
    <w:uiPriority w:val="0"/>
    <w:rPr>
      <w:rFonts w:eastAsia="仿宋_GB2312"/>
      <w:sz w:val="24"/>
    </w:rPr>
  </w:style>
  <w:style w:type="character" w:customStyle="1" w:styleId="182">
    <w:name w:val="王兴华的论文正文 Char"/>
    <w:link w:val="79"/>
    <w:qFormat/>
    <w:uiPriority w:val="0"/>
    <w:rPr>
      <w:szCs w:val="24"/>
    </w:rPr>
  </w:style>
  <w:style w:type="character" w:customStyle="1" w:styleId="183">
    <w:name w:val="标题 1 字符1"/>
    <w:qFormat/>
    <w:uiPriority w:val="9"/>
    <w:rPr>
      <w:rFonts w:ascii="宋体" w:hAnsi="宋体" w:eastAsia="宋体" w:cs="Times New Roman"/>
      <w:b/>
      <w:sz w:val="36"/>
      <w:szCs w:val="20"/>
    </w:rPr>
  </w:style>
  <w:style w:type="character" w:customStyle="1" w:styleId="184">
    <w:name w:val="Body Text Char"/>
    <w:qFormat/>
    <w:uiPriority w:val="0"/>
    <w:rPr>
      <w:rFonts w:ascii="楷体_GB2312" w:hAnsi="Arial" w:eastAsia="楷体_GB2312" w:cs="Times New Roman"/>
      <w:kern w:val="2"/>
      <w:sz w:val="28"/>
      <w:szCs w:val="20"/>
    </w:rPr>
  </w:style>
  <w:style w:type="character" w:customStyle="1" w:styleId="185">
    <w:name w:val="正文缩进 字符"/>
    <w:link w:val="13"/>
    <w:qFormat/>
    <w:uiPriority w:val="0"/>
    <w:rPr>
      <w:rFonts w:eastAsia="仿宋"/>
      <w:caps/>
      <w:sz w:val="32"/>
      <w:szCs w:val="32"/>
    </w:rPr>
  </w:style>
  <w:style w:type="character" w:customStyle="1" w:styleId="186">
    <w:name w:val="投标正文字符"/>
    <w:link w:val="80"/>
    <w:qFormat/>
    <w:uiPriority w:val="0"/>
    <w:rPr>
      <w:rFonts w:ascii="Arial" w:hAnsi="Arial" w:cs="Arial"/>
      <w:sz w:val="24"/>
      <w:szCs w:val="24"/>
    </w:rPr>
  </w:style>
  <w:style w:type="character" w:customStyle="1" w:styleId="187">
    <w:name w:val="List Paragraph Char"/>
    <w:link w:val="81"/>
    <w:qFormat/>
    <w:uiPriority w:val="99"/>
    <w:rPr>
      <w:sz w:val="24"/>
    </w:rPr>
  </w:style>
  <w:style w:type="character" w:customStyle="1" w:styleId="188">
    <w:name w:val="脚注文本 字符1"/>
    <w:semiHidden/>
    <w:qFormat/>
    <w:uiPriority w:val="99"/>
    <w:rPr>
      <w:rFonts w:cs="宋体"/>
      <w:sz w:val="18"/>
      <w:szCs w:val="18"/>
    </w:rPr>
  </w:style>
  <w:style w:type="character" w:customStyle="1" w:styleId="189">
    <w:name w:val="页脚 字符1"/>
    <w:qFormat/>
    <w:uiPriority w:val="99"/>
    <w:rPr>
      <w:rFonts w:eastAsia="宋体"/>
      <w:sz w:val="18"/>
    </w:rPr>
  </w:style>
  <w:style w:type="character" w:customStyle="1" w:styleId="190">
    <w:name w:val="占位符文本1"/>
    <w:semiHidden/>
    <w:qFormat/>
    <w:uiPriority w:val="99"/>
    <w:rPr>
      <w:color w:val="808080"/>
    </w:rPr>
  </w:style>
  <w:style w:type="character" w:customStyle="1" w:styleId="191">
    <w:name w:val="投标4字符"/>
    <w:link w:val="82"/>
    <w:qFormat/>
    <w:uiPriority w:val="0"/>
    <w:rPr>
      <w:rFonts w:ascii="Arial" w:hAnsi="Arial" w:cs="Arial"/>
      <w:b/>
      <w:sz w:val="24"/>
      <w:szCs w:val="24"/>
    </w:rPr>
  </w:style>
  <w:style w:type="character" w:customStyle="1" w:styleId="192">
    <w:name w:val="列出段落 Char"/>
    <w:link w:val="63"/>
    <w:qFormat/>
    <w:uiPriority w:val="34"/>
    <w:rPr>
      <w:rFonts w:ascii="宋体" w:hAnsi="宋体" w:cs="宋体"/>
      <w:sz w:val="22"/>
      <w:szCs w:val="22"/>
      <w:lang w:val="zh-CN"/>
    </w:rPr>
  </w:style>
  <w:style w:type="character" w:customStyle="1" w:styleId="193">
    <w:name w:val="段 Char"/>
    <w:link w:val="83"/>
    <w:qFormat/>
    <w:uiPriority w:val="0"/>
    <w:rPr>
      <w:rFonts w:eastAsia="仿宋"/>
      <w:caps/>
      <w:sz w:val="32"/>
      <w:szCs w:val="32"/>
      <w:lang w:val="en-US" w:eastAsia="zh-CN" w:bidi="ar-SA"/>
    </w:rPr>
  </w:style>
  <w:style w:type="character" w:customStyle="1" w:styleId="194">
    <w:name w:val="正文文本缩进 字符"/>
    <w:qFormat/>
    <w:uiPriority w:val="99"/>
    <w:rPr>
      <w:rFonts w:ascii="宋体" w:eastAsia="宋体"/>
      <w:sz w:val="28"/>
      <w:lang w:val="en-US" w:eastAsia="zh-CN" w:bidi="ar-SA"/>
    </w:rPr>
  </w:style>
  <w:style w:type="character" w:customStyle="1" w:styleId="195">
    <w:name w:val="纯文本 字符1"/>
    <w:qFormat/>
    <w:locked/>
    <w:uiPriority w:val="0"/>
    <w:rPr>
      <w:rFonts w:ascii="宋体" w:hAnsi="Courier New" w:eastAsia="宋体"/>
    </w:rPr>
  </w:style>
  <w:style w:type="character" w:customStyle="1" w:styleId="196">
    <w:name w:val="纯文本 字符2"/>
    <w:semiHidden/>
    <w:qFormat/>
    <w:uiPriority w:val="99"/>
    <w:rPr>
      <w:rFonts w:ascii="等线" w:hAnsi="Courier New" w:cs="Courier New"/>
      <w:szCs w:val="20"/>
    </w:rPr>
  </w:style>
  <w:style w:type="character" w:customStyle="1" w:styleId="197">
    <w:name w:val="文档结构图 字符1"/>
    <w:semiHidden/>
    <w:qFormat/>
    <w:uiPriority w:val="99"/>
    <w:rPr>
      <w:rFonts w:ascii="Microsoft YaHei UI" w:hAnsi="等线" w:eastAsia="Microsoft YaHei UI" w:cs="Times New Roman"/>
      <w:kern w:val="2"/>
      <w:sz w:val="18"/>
      <w:szCs w:val="18"/>
    </w:rPr>
  </w:style>
  <w:style w:type="character" w:customStyle="1" w:styleId="198">
    <w:name w:val="批注文字 字符1"/>
    <w:semiHidden/>
    <w:qFormat/>
    <w:uiPriority w:val="99"/>
    <w:rPr>
      <w:rFonts w:ascii="宋体" w:hAnsi="等线" w:eastAsia="宋体" w:cs="Times New Roman"/>
      <w:kern w:val="2"/>
      <w:sz w:val="24"/>
      <w:szCs w:val="22"/>
    </w:rPr>
  </w:style>
  <w:style w:type="character" w:customStyle="1" w:styleId="199">
    <w:name w:val="正文文本 字符2"/>
    <w:semiHidden/>
    <w:qFormat/>
    <w:uiPriority w:val="99"/>
    <w:rPr>
      <w:rFonts w:ascii="Times New Roman" w:hAnsi="Times New Roman" w:eastAsia="宋体" w:cs="Times New Roman"/>
      <w:szCs w:val="20"/>
    </w:rPr>
  </w:style>
  <w:style w:type="character" w:customStyle="1" w:styleId="200">
    <w:name w:val="正文文本缩进 字符2"/>
    <w:semiHidden/>
    <w:qFormat/>
    <w:uiPriority w:val="99"/>
    <w:rPr>
      <w:rFonts w:ascii="宋体" w:hAnsi="等线" w:eastAsia="宋体" w:cs="Times New Roman"/>
      <w:kern w:val="2"/>
      <w:sz w:val="24"/>
      <w:szCs w:val="22"/>
    </w:rPr>
  </w:style>
  <w:style w:type="character" w:customStyle="1" w:styleId="201">
    <w:name w:val="页脚 字符2"/>
    <w:semiHidden/>
    <w:qFormat/>
    <w:uiPriority w:val="99"/>
    <w:rPr>
      <w:rFonts w:ascii="Times New Roman" w:hAnsi="Times New Roman" w:eastAsia="宋体" w:cs="Times New Roman"/>
      <w:sz w:val="18"/>
      <w:szCs w:val="18"/>
    </w:rPr>
  </w:style>
  <w:style w:type="character" w:customStyle="1" w:styleId="202">
    <w:name w:val="副标题 字符2"/>
    <w:qFormat/>
    <w:uiPriority w:val="11"/>
    <w:rPr>
      <w:rFonts w:ascii="等线" w:hAnsi="等线" w:eastAsia="等线" w:cs="Times New Roman"/>
      <w:b/>
      <w:bCs/>
      <w:kern w:val="28"/>
    </w:rPr>
  </w:style>
  <w:style w:type="character" w:customStyle="1" w:styleId="203">
    <w:name w:val="日期 字符2"/>
    <w:semiHidden/>
    <w:qFormat/>
    <w:uiPriority w:val="99"/>
    <w:rPr>
      <w:rFonts w:ascii="宋体" w:hAnsi="等线" w:eastAsia="宋体" w:cs="Times New Roman"/>
      <w:kern w:val="2"/>
      <w:sz w:val="24"/>
      <w:szCs w:val="22"/>
    </w:rPr>
  </w:style>
  <w:style w:type="character" w:customStyle="1" w:styleId="204">
    <w:name w:val="页眉 字符2"/>
    <w:semiHidden/>
    <w:qFormat/>
    <w:uiPriority w:val="99"/>
    <w:rPr>
      <w:rFonts w:ascii="Times New Roman" w:hAnsi="Times New Roman" w:eastAsia="宋体" w:cs="Times New Roman"/>
      <w:sz w:val="18"/>
      <w:szCs w:val="18"/>
    </w:rPr>
  </w:style>
  <w:style w:type="character" w:customStyle="1" w:styleId="205">
    <w:name w:val="批注框文本 字符2"/>
    <w:semiHidden/>
    <w:qFormat/>
    <w:uiPriority w:val="99"/>
    <w:rPr>
      <w:rFonts w:ascii="宋体" w:hAnsi="等线" w:eastAsia="宋体" w:cs="Times New Roman"/>
      <w:kern w:val="2"/>
      <w:sz w:val="18"/>
      <w:szCs w:val="18"/>
    </w:rPr>
  </w:style>
  <w:style w:type="character" w:customStyle="1" w:styleId="206">
    <w:name w:val="签名 字符2"/>
    <w:semiHidden/>
    <w:qFormat/>
    <w:uiPriority w:val="99"/>
    <w:rPr>
      <w:rFonts w:ascii="宋体" w:hAnsi="等线" w:eastAsia="宋体" w:cs="Times New Roman"/>
      <w:kern w:val="2"/>
      <w:sz w:val="24"/>
      <w:szCs w:val="22"/>
    </w:rPr>
  </w:style>
  <w:style w:type="character" w:customStyle="1" w:styleId="207">
    <w:name w:val="脚注文本 字符3"/>
    <w:semiHidden/>
    <w:qFormat/>
    <w:uiPriority w:val="99"/>
    <w:rPr>
      <w:rFonts w:ascii="宋体" w:hAnsi="等线" w:eastAsia="宋体" w:cs="Times New Roman"/>
      <w:kern w:val="2"/>
      <w:sz w:val="18"/>
      <w:szCs w:val="18"/>
    </w:rPr>
  </w:style>
  <w:style w:type="character" w:customStyle="1" w:styleId="208">
    <w:name w:val="批注主题 字符1"/>
    <w:semiHidden/>
    <w:qFormat/>
    <w:uiPriority w:val="99"/>
    <w:rPr>
      <w:rFonts w:ascii="宋体" w:hAnsi="等线" w:eastAsia="宋体" w:cs="Times New Roman"/>
      <w:b/>
      <w:bCs/>
      <w:kern w:val="2"/>
      <w:sz w:val="24"/>
      <w:szCs w:val="22"/>
    </w:rPr>
  </w:style>
  <w:style w:type="character" w:customStyle="1" w:styleId="209">
    <w:name w:val="标题 字符2"/>
    <w:qFormat/>
    <w:uiPriority w:val="10"/>
    <w:rPr>
      <w:rFonts w:ascii="等线 Light" w:hAnsi="等线 Light" w:eastAsia="等线 Light" w:cs="Times New Roman"/>
      <w:b/>
      <w:bCs/>
      <w:kern w:val="2"/>
    </w:rPr>
  </w:style>
  <w:style w:type="character" w:customStyle="1" w:styleId="210">
    <w:name w:val="标题 6 Char1"/>
    <w:semiHidden/>
    <w:qFormat/>
    <w:uiPriority w:val="0"/>
    <w:rPr>
      <w:rFonts w:ascii="Cambria" w:hAnsi="Cambria" w:eastAsia="宋体" w:cs="Times New Roman"/>
      <w:b/>
      <w:bCs/>
      <w:sz w:val="24"/>
      <w:szCs w:val="24"/>
      <w:lang w:val="zh-CN"/>
    </w:rPr>
  </w:style>
  <w:style w:type="character" w:customStyle="1" w:styleId="211">
    <w:name w:val="标题 8 Char1"/>
    <w:semiHidden/>
    <w:qFormat/>
    <w:uiPriority w:val="0"/>
    <w:rPr>
      <w:rFonts w:ascii="Cambria" w:hAnsi="Cambria" w:eastAsia="宋体" w:cs="Times New Roman"/>
      <w:sz w:val="24"/>
      <w:szCs w:val="24"/>
      <w:lang w:val="zh-CN"/>
    </w:rPr>
  </w:style>
  <w:style w:type="character" w:customStyle="1" w:styleId="212">
    <w:name w:val="标题 9 Char1"/>
    <w:semiHidden/>
    <w:qFormat/>
    <w:uiPriority w:val="0"/>
    <w:rPr>
      <w:rFonts w:ascii="Cambria" w:hAnsi="Cambria" w:eastAsia="宋体" w:cs="Times New Roman"/>
      <w:sz w:val="21"/>
      <w:szCs w:val="21"/>
      <w:lang w:val="zh-CN"/>
    </w:rPr>
  </w:style>
  <w:style w:type="character" w:customStyle="1" w:styleId="213">
    <w:name w:val="font11"/>
    <w:basedOn w:val="52"/>
    <w:qFormat/>
    <w:uiPriority w:val="0"/>
    <w:rPr>
      <w:rFonts w:hint="eastAsia" w:ascii="宋体" w:hAnsi="宋体" w:eastAsia="宋体" w:cs="宋体"/>
      <w:b/>
      <w:bCs/>
      <w:color w:val="000000"/>
      <w:sz w:val="20"/>
      <w:szCs w:val="20"/>
      <w:u w:val="none"/>
    </w:rPr>
  </w:style>
  <w:style w:type="character" w:customStyle="1" w:styleId="214">
    <w:name w:val="font21"/>
    <w:basedOn w:val="52"/>
    <w:qFormat/>
    <w:uiPriority w:val="0"/>
    <w:rPr>
      <w:rFonts w:hint="eastAsia" w:ascii="宋体" w:hAnsi="宋体" w:eastAsia="宋体" w:cs="宋体"/>
      <w:color w:val="000000"/>
      <w:sz w:val="20"/>
      <w:szCs w:val="20"/>
      <w:u w:val="none"/>
    </w:rPr>
  </w:style>
  <w:style w:type="table" w:customStyle="1" w:styleId="215">
    <w:name w:val="Table Normal1"/>
    <w:semiHidden/>
    <w:qFormat/>
    <w:uiPriority w:val="99"/>
    <w:tblPr>
      <w:tblCellMar>
        <w:top w:w="0" w:type="dxa"/>
        <w:left w:w="0" w:type="dxa"/>
        <w:bottom w:w="0" w:type="dxa"/>
        <w:right w:w="0" w:type="dxa"/>
      </w:tblCellMar>
    </w:tblPr>
  </w:style>
  <w:style w:type="table" w:customStyle="1" w:styleId="216">
    <w:name w:val="网格型1"/>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2"/>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11"/>
    <w:basedOn w:val="50"/>
    <w:qFormat/>
    <w:uiPriority w:val="39"/>
    <w:rPr>
      <w:rFonts w:ascii="宋体" w:hAnsi="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3"/>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0">
    <w:name w:val="正文段"/>
    <w:basedOn w:val="1"/>
    <w:qFormat/>
    <w:uiPriority w:val="0"/>
    <w:pPr>
      <w:widowControl/>
      <w:snapToGrid w:val="0"/>
      <w:spacing w:after="50" w:afterLines="50"/>
      <w:ind w:firstLine="200" w:firstLineChars="20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65</Pages>
  <Words>15057</Words>
  <Characters>17108</Characters>
  <Lines>428</Lines>
  <Paragraphs>120</Paragraphs>
  <TotalTime>3863</TotalTime>
  <ScaleCrop>false</ScaleCrop>
  <LinksUpToDate>false</LinksUpToDate>
  <CharactersWithSpaces>17324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2021-06-09T12:51:00Z</dcterms:created>
  <dc:creator>Microsoft</dc:creator>
  <cp:lastModifiedBy>Administrator</cp:lastModifiedBy>
  <cp:lastPrinted>2022-08-01T09:21:00Z</cp:lastPrinted>
  <dcterms:modified xsi:type="dcterms:W3CDTF">2025-06-23T01:45:56Z</dcterms:modified>
  <dc:title>附件1：海宁市政府采购普通项目招标文件范本（试行）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KSOProductBuildVer">
    <vt:lpwstr>2052-12.1.0.21541</vt:lpwstr>
  </property>
  <property fmtid="{D5CDD505-2E9C-101B-9397-08002B2CF9AE}" pid="4" name="ICV">
    <vt:lpwstr>F5E312CB39224E6B9B4EC2049AE5D00D</vt:lpwstr>
  </property>
  <property fmtid="{D5CDD505-2E9C-101B-9397-08002B2CF9AE}" pid="5" name="KSOTemplateDocerSaveRecord">
    <vt:lpwstr>eyJoZGlkIjoiNzhmZTA5NWE3ZGMwODllZmMxMGVjZDM4ODk1ODJiNWYiLCJ1c2VySWQiOiIxNDc3ODUzNTg4In0=</vt:lpwstr>
  </property>
</Properties>
</file>