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C8EC7">
      <w:pPr>
        <w:pStyle w:val="4"/>
        <w:rPr>
          <w:rFonts w:hint="eastAsia" w:ascii="仿宋" w:hAnsi="仿宋" w:eastAsia="仿宋" w:cs="仿宋"/>
          <w:color w:val="000000" w:themeColor="text1"/>
          <w:sz w:val="36"/>
          <w:szCs w:val="36"/>
          <w:highlight w:val="none"/>
          <w14:textFill>
            <w14:solidFill>
              <w14:schemeClr w14:val="tx1"/>
            </w14:solidFill>
          </w14:textFill>
        </w:rPr>
      </w:pPr>
    </w:p>
    <w:p w14:paraId="7F241E7C">
      <w:pPr>
        <w:pStyle w:val="16"/>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lang w:eastAsia="zh-CN"/>
          <w14:textFill>
            <w14:solidFill>
              <w14:schemeClr w14:val="tx1"/>
            </w14:solidFill>
          </w14:textFill>
        </w:rPr>
        <w:t>“214吴兴至建德公路临安高坎至界桥段改建工程”沥青混合料生产配合比设计及试验段生产的石灰岩（高标整型）、机制砂等原材料专项采购</w:t>
      </w:r>
    </w:p>
    <w:p w14:paraId="712F6F73">
      <w:pPr>
        <w:adjustRightInd w:val="0"/>
        <w:snapToGrid w:val="0"/>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p>
    <w:p w14:paraId="437E5537">
      <w:pPr>
        <w:adjustRightInd w:val="0"/>
        <w:snapToGrid w:val="0"/>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询价采购文件</w:t>
      </w:r>
    </w:p>
    <w:p w14:paraId="07F59CB3">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131AFA46">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w:t>
      </w:r>
      <w:r>
        <w:rPr>
          <w:rFonts w:hint="eastAsia" w:ascii="仿宋" w:hAnsi="仿宋" w:eastAsia="仿宋" w:cs="仿宋"/>
          <w:b/>
          <w:color w:val="000000" w:themeColor="text1"/>
          <w:sz w:val="44"/>
          <w:szCs w:val="44"/>
          <w:highlight w:val="none"/>
          <w:lang w:eastAsia="zh-CN"/>
          <w14:textFill>
            <w14:solidFill>
              <w14:schemeClr w14:val="tx1"/>
            </w14:solidFill>
          </w14:textFill>
        </w:rPr>
        <w:t>非政府采购、</w:t>
      </w:r>
      <w:r>
        <w:rPr>
          <w:rFonts w:hint="eastAsia" w:ascii="仿宋" w:hAnsi="仿宋" w:eastAsia="仿宋" w:cs="仿宋"/>
          <w:b/>
          <w:color w:val="000000" w:themeColor="text1"/>
          <w:sz w:val="44"/>
          <w:szCs w:val="44"/>
          <w:highlight w:val="none"/>
          <w14:textFill>
            <w14:solidFill>
              <w14:schemeClr w14:val="tx1"/>
            </w14:solidFill>
          </w14:textFill>
        </w:rPr>
        <w:t>电子交易）</w:t>
      </w:r>
    </w:p>
    <w:p w14:paraId="3932C85E">
      <w:pPr>
        <w:pStyle w:val="26"/>
        <w:ind w:firstLine="420"/>
        <w:rPr>
          <w:rFonts w:hint="eastAsia" w:ascii="仿宋" w:hAnsi="仿宋" w:eastAsia="仿宋" w:cs="仿宋"/>
          <w:color w:val="000000" w:themeColor="text1"/>
          <w:highlight w:val="none"/>
          <w14:textFill>
            <w14:solidFill>
              <w14:schemeClr w14:val="tx1"/>
            </w14:solidFill>
          </w14:textFill>
        </w:rPr>
      </w:pPr>
    </w:p>
    <w:p w14:paraId="685D4121">
      <w:pPr>
        <w:adjustRightInd w:val="0"/>
        <w:snapToGrid w:val="0"/>
        <w:spacing w:line="360" w:lineRule="auto"/>
        <w:jc w:val="center"/>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项目</w:t>
      </w:r>
      <w:r>
        <w:rPr>
          <w:rFonts w:hint="eastAsia" w:ascii="仿宋" w:hAnsi="仿宋" w:eastAsia="仿宋" w:cs="仿宋"/>
          <w:color w:val="000000" w:themeColor="text1"/>
          <w:sz w:val="30"/>
          <w:szCs w:val="30"/>
          <w:highlight w:val="none"/>
          <w14:textFill>
            <w14:solidFill>
              <w14:schemeClr w14:val="tx1"/>
            </w14:solidFill>
          </w14:textFill>
        </w:rPr>
        <w:t>编号：ZJHX【2025】-LA063</w:t>
      </w:r>
    </w:p>
    <w:p w14:paraId="31417D22">
      <w:pPr>
        <w:spacing w:line="360" w:lineRule="auto"/>
        <w:jc w:val="center"/>
        <w:rPr>
          <w:rFonts w:hint="eastAsia" w:ascii="仿宋" w:hAnsi="仿宋" w:eastAsia="仿宋" w:cs="仿宋"/>
          <w:b/>
          <w:bCs/>
          <w:color w:val="000000" w:themeColor="text1"/>
          <w:sz w:val="72"/>
          <w:szCs w:val="72"/>
          <w:highlight w:val="none"/>
          <w14:textFill>
            <w14:solidFill>
              <w14:schemeClr w14:val="tx1"/>
            </w14:solidFill>
          </w14:textFill>
        </w:rPr>
      </w:pPr>
    </w:p>
    <w:p w14:paraId="452A2668">
      <w:pPr>
        <w:pStyle w:val="14"/>
        <w:rPr>
          <w:rFonts w:hint="eastAsia" w:ascii="仿宋" w:hAnsi="仿宋" w:eastAsia="仿宋" w:cs="仿宋"/>
          <w:color w:val="000000" w:themeColor="text1"/>
          <w:highlight w:val="none"/>
          <w14:textFill>
            <w14:solidFill>
              <w14:schemeClr w14:val="tx1"/>
            </w14:solidFill>
          </w14:textFill>
        </w:rPr>
      </w:pPr>
    </w:p>
    <w:p w14:paraId="56AD23DE">
      <w:pPr>
        <w:spacing w:line="360" w:lineRule="auto"/>
        <w:jc w:val="center"/>
        <w:rPr>
          <w:rFonts w:hint="eastAsia" w:ascii="仿宋" w:hAnsi="仿宋" w:eastAsia="仿宋" w:cs="仿宋"/>
          <w:b/>
          <w:bCs/>
          <w:color w:val="000000" w:themeColor="text1"/>
          <w:sz w:val="72"/>
          <w:szCs w:val="72"/>
          <w:highlight w:val="none"/>
          <w14:textFill>
            <w14:solidFill>
              <w14:schemeClr w14:val="tx1"/>
            </w14:solidFill>
          </w14:textFill>
        </w:rPr>
      </w:pPr>
    </w:p>
    <w:p w14:paraId="18746D6E">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4AF6591">
      <w:pPr>
        <w:pStyle w:val="16"/>
        <w:rPr>
          <w:rFonts w:hint="eastAsia" w:ascii="仿宋" w:hAnsi="仿宋" w:eastAsia="仿宋" w:cs="仿宋"/>
          <w:color w:val="000000" w:themeColor="text1"/>
          <w:sz w:val="24"/>
          <w:szCs w:val="24"/>
          <w:highlight w:val="none"/>
          <w14:textFill>
            <w14:solidFill>
              <w14:schemeClr w14:val="tx1"/>
            </w14:solidFill>
          </w14:textFill>
        </w:rPr>
      </w:pPr>
    </w:p>
    <w:p w14:paraId="2E4D1A36">
      <w:pPr>
        <w:pStyle w:val="16"/>
        <w:jc w:val="center"/>
        <w:rPr>
          <w:rFonts w:hint="eastAsia" w:ascii="仿宋" w:hAnsi="仿宋" w:eastAsia="仿宋" w:cs="仿宋"/>
          <w:color w:val="000000" w:themeColor="text1"/>
          <w:sz w:val="24"/>
          <w:szCs w:val="24"/>
          <w:highlight w:val="none"/>
          <w14:textFill>
            <w14:solidFill>
              <w14:schemeClr w14:val="tx1"/>
            </w14:solidFill>
          </w14:textFill>
        </w:rPr>
      </w:pPr>
    </w:p>
    <w:p w14:paraId="04053F51">
      <w:pPr>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采购人：</w:t>
      </w:r>
      <w:r>
        <w:rPr>
          <w:rFonts w:hint="eastAsia" w:ascii="仿宋" w:hAnsi="仿宋" w:eastAsia="仿宋" w:cs="仿宋"/>
          <w:color w:val="000000" w:themeColor="text1"/>
          <w:sz w:val="32"/>
          <w:szCs w:val="32"/>
          <w:highlight w:val="none"/>
          <w:lang w:eastAsia="zh-CN"/>
          <w14:textFill>
            <w14:solidFill>
              <w14:schemeClr w14:val="tx1"/>
            </w14:solidFill>
          </w14:textFill>
        </w:rPr>
        <w:t>杭州临安恒元建材有限公司</w:t>
      </w:r>
    </w:p>
    <w:p w14:paraId="40DEE31B">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采购代理机构：</w:t>
      </w:r>
      <w:r>
        <w:rPr>
          <w:rFonts w:hint="eastAsia" w:ascii="仿宋" w:hAnsi="仿宋" w:eastAsia="仿宋" w:cs="仿宋"/>
          <w:bCs/>
          <w:color w:val="000000" w:themeColor="text1"/>
          <w:sz w:val="32"/>
          <w:szCs w:val="32"/>
          <w:highlight w:val="none"/>
          <w:lang w:eastAsia="zh-CN"/>
          <w14:textFill>
            <w14:solidFill>
              <w14:schemeClr w14:val="tx1"/>
            </w14:solidFill>
          </w14:textFill>
        </w:rPr>
        <w:t>浙江华夏工程管理有限公司</w:t>
      </w:r>
    </w:p>
    <w:p w14:paraId="084413E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发出日期：</w:t>
      </w:r>
      <w:r>
        <w:rPr>
          <w:rFonts w:hint="eastAsia" w:ascii="仿宋" w:hAnsi="仿宋" w:eastAsia="仿宋" w:cs="仿宋"/>
          <w:color w:val="000000" w:themeColor="text1"/>
          <w:sz w:val="32"/>
          <w:szCs w:val="32"/>
          <w:highlight w:val="none"/>
          <w14:textFill>
            <w14:solidFill>
              <w14:schemeClr w14:val="tx1"/>
            </w14:solidFill>
          </w14:textFill>
        </w:rPr>
        <w:t>二〇二</w:t>
      </w:r>
      <w:r>
        <w:rPr>
          <w:rFonts w:hint="eastAsia" w:ascii="仿宋" w:hAnsi="仿宋" w:eastAsia="仿宋" w:cs="仿宋"/>
          <w:color w:val="000000" w:themeColor="text1"/>
          <w:sz w:val="32"/>
          <w:szCs w:val="32"/>
          <w:highlight w:val="none"/>
          <w:lang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七</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val="en-US" w:eastAsia="zh-CN"/>
          <w14:textFill>
            <w14:solidFill>
              <w14:schemeClr w14:val="tx1"/>
            </w14:solidFill>
          </w14:textFill>
        </w:rPr>
        <w:t>十一</w:t>
      </w:r>
      <w:r>
        <w:rPr>
          <w:rFonts w:hint="eastAsia" w:ascii="仿宋" w:hAnsi="仿宋" w:eastAsia="仿宋" w:cs="仿宋"/>
          <w:color w:val="000000" w:themeColor="text1"/>
          <w:sz w:val="32"/>
          <w:szCs w:val="32"/>
          <w:highlight w:val="none"/>
          <w14:textFill>
            <w14:solidFill>
              <w14:schemeClr w14:val="tx1"/>
            </w14:solidFill>
          </w14:textFill>
        </w:rPr>
        <w:t>日</w:t>
      </w:r>
    </w:p>
    <w:p w14:paraId="683F325B">
      <w:pPr>
        <w:spacing w:line="360" w:lineRule="auto"/>
        <w:ind w:firstLine="602" w:firstLineChars="200"/>
        <w:jc w:val="center"/>
        <w:rPr>
          <w:rFonts w:hint="eastAsia" w:ascii="仿宋" w:hAnsi="仿宋" w:eastAsia="仿宋" w:cs="仿宋"/>
          <w:b/>
          <w:color w:val="000000" w:themeColor="text1"/>
          <w:sz w:val="30"/>
          <w:szCs w:val="30"/>
          <w:highlight w:val="none"/>
          <w14:textFill>
            <w14:solidFill>
              <w14:schemeClr w14:val="tx1"/>
            </w14:solidFill>
          </w14:textFill>
        </w:rPr>
      </w:pPr>
    </w:p>
    <w:p w14:paraId="57E3C91B">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sectPr>
          <w:headerReference r:id="rId5" w:type="first"/>
          <w:headerReference r:id="rId3" w:type="default"/>
          <w:headerReference r:id="rId4" w:type="even"/>
          <w:footerReference r:id="rId6" w:type="even"/>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25176930">
      <w:pPr>
        <w:spacing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目  录</w:t>
      </w:r>
    </w:p>
    <w:p w14:paraId="6610F254">
      <w:pPr>
        <w:spacing w:line="360" w:lineRule="auto"/>
        <w:ind w:firstLine="602" w:firstLineChars="200"/>
        <w:jc w:val="center"/>
        <w:rPr>
          <w:rFonts w:hint="eastAsia" w:ascii="仿宋" w:hAnsi="仿宋" w:eastAsia="仿宋" w:cs="仿宋"/>
          <w:b/>
          <w:color w:val="000000" w:themeColor="text1"/>
          <w:sz w:val="30"/>
          <w:szCs w:val="30"/>
          <w:highlight w:val="none"/>
          <w14:textFill>
            <w14:solidFill>
              <w14:schemeClr w14:val="tx1"/>
            </w14:solidFill>
          </w14:textFill>
        </w:rPr>
      </w:pPr>
    </w:p>
    <w:p w14:paraId="46B22E4B">
      <w:pPr>
        <w:spacing w:line="360" w:lineRule="auto"/>
        <w:ind w:firstLine="602" w:firstLineChars="200"/>
        <w:jc w:val="center"/>
        <w:rPr>
          <w:rFonts w:hint="eastAsia" w:ascii="仿宋" w:hAnsi="仿宋" w:eastAsia="仿宋" w:cs="仿宋"/>
          <w:b/>
          <w:color w:val="000000" w:themeColor="text1"/>
          <w:sz w:val="30"/>
          <w:szCs w:val="30"/>
          <w:highlight w:val="none"/>
          <w14:textFill>
            <w14:solidFill>
              <w14:schemeClr w14:val="tx1"/>
            </w14:solidFill>
          </w14:textFill>
        </w:rPr>
      </w:pPr>
    </w:p>
    <w:p w14:paraId="1C9DAA37">
      <w:pPr>
        <w:spacing w:line="360" w:lineRule="auto"/>
        <w:ind w:left="1680" w:leftChars="8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第一部分      </w:t>
      </w:r>
      <w:r>
        <w:rPr>
          <w:rFonts w:hint="eastAsia" w:ascii="仿宋" w:hAnsi="仿宋" w:eastAsia="仿宋" w:cs="仿宋"/>
          <w:color w:val="000000" w:themeColor="text1"/>
          <w:sz w:val="30"/>
          <w:szCs w:val="30"/>
          <w:highlight w:val="none"/>
          <w:lang w:val="en-US" w:eastAsia="zh-CN"/>
          <w14:textFill>
            <w14:solidFill>
              <w14:schemeClr w14:val="tx1"/>
            </w14:solidFill>
          </w14:textFill>
        </w:rPr>
        <w:t>询价</w:t>
      </w:r>
      <w:r>
        <w:rPr>
          <w:rFonts w:hint="eastAsia" w:ascii="仿宋" w:hAnsi="仿宋" w:eastAsia="仿宋" w:cs="仿宋"/>
          <w:color w:val="000000" w:themeColor="text1"/>
          <w:sz w:val="30"/>
          <w:szCs w:val="30"/>
          <w:highlight w:val="none"/>
          <w14:textFill>
            <w14:solidFill>
              <w14:schemeClr w14:val="tx1"/>
            </w14:solidFill>
          </w14:textFill>
        </w:rPr>
        <w:t>公告</w:t>
      </w:r>
    </w:p>
    <w:p w14:paraId="569C79D9">
      <w:pPr>
        <w:spacing w:line="360" w:lineRule="auto"/>
        <w:ind w:left="1680" w:leftChars="8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第二部分      供应商须知</w:t>
      </w:r>
    </w:p>
    <w:p w14:paraId="7758EA4B">
      <w:pPr>
        <w:spacing w:line="360" w:lineRule="auto"/>
        <w:ind w:left="1680" w:leftChars="800"/>
        <w:jc w:val="left"/>
        <w:rPr>
          <w:rFonts w:hint="eastAsia" w:ascii="仿宋" w:hAnsi="仿宋" w:eastAsia="仿宋" w:cs="仿宋"/>
          <w:color w:val="000000" w:themeColor="text1"/>
          <w:sz w:val="30"/>
          <w:szCs w:val="30"/>
          <w:highlight w:val="none"/>
          <w14:textFill>
            <w14:solidFill>
              <w14:schemeClr w14:val="tx1"/>
            </w14:solidFill>
          </w14:textFill>
        </w:rPr>
      </w:pPr>
      <w:bookmarkStart w:id="0" w:name="_Hlk109655165"/>
      <w:r>
        <w:rPr>
          <w:rFonts w:hint="eastAsia" w:ascii="仿宋" w:hAnsi="仿宋" w:eastAsia="仿宋" w:cs="仿宋"/>
          <w:color w:val="000000" w:themeColor="text1"/>
          <w:sz w:val="30"/>
          <w:szCs w:val="30"/>
          <w:highlight w:val="none"/>
          <w14:textFill>
            <w14:solidFill>
              <w14:schemeClr w14:val="tx1"/>
            </w14:solidFill>
          </w14:textFill>
        </w:rPr>
        <w:t>第三部分      采购需求</w:t>
      </w:r>
    </w:p>
    <w:bookmarkEnd w:id="0"/>
    <w:p w14:paraId="11571A77">
      <w:pPr>
        <w:spacing w:line="360" w:lineRule="auto"/>
        <w:ind w:left="1680" w:leftChars="8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第四部分      评审方法</w:t>
      </w:r>
    </w:p>
    <w:p w14:paraId="767DDD91">
      <w:pPr>
        <w:spacing w:line="360" w:lineRule="auto"/>
        <w:ind w:left="1680" w:leftChars="800"/>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第五部分      拟签订的合同文本</w:t>
      </w:r>
    </w:p>
    <w:p w14:paraId="10EA490B">
      <w:pPr>
        <w:spacing w:line="360" w:lineRule="auto"/>
        <w:ind w:left="1680" w:leftChars="800"/>
        <w:jc w:val="left"/>
        <w:rPr>
          <w:rFonts w:hint="eastAsia" w:ascii="仿宋" w:hAnsi="仿宋" w:eastAsia="仿宋" w:cs="仿宋"/>
          <w:color w:val="000000" w:themeColor="text1"/>
          <w:sz w:val="30"/>
          <w:szCs w:val="30"/>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 w:hAnsi="仿宋" w:eastAsia="仿宋" w:cs="仿宋"/>
          <w:color w:val="000000" w:themeColor="text1"/>
          <w:sz w:val="30"/>
          <w:szCs w:val="30"/>
          <w:highlight w:val="none"/>
          <w14:textFill>
            <w14:solidFill>
              <w14:schemeClr w14:val="tx1"/>
            </w14:solidFill>
          </w14:textFill>
        </w:rPr>
        <w:t>第六部分      应提交的有关格式范例</w:t>
      </w:r>
    </w:p>
    <w:p w14:paraId="3F8E6DEA">
      <w:pPr>
        <w:spacing w:line="360" w:lineRule="auto"/>
        <w:ind w:firstLine="723" w:firstLineChars="20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第一部分 </w:t>
      </w:r>
      <w:r>
        <w:rPr>
          <w:rFonts w:hint="eastAsia" w:ascii="仿宋" w:hAnsi="仿宋" w:eastAsia="仿宋" w:cs="仿宋"/>
          <w:b/>
          <w:color w:val="000000" w:themeColor="text1"/>
          <w:sz w:val="36"/>
          <w:szCs w:val="36"/>
          <w:highlight w:val="none"/>
          <w:lang w:eastAsia="zh-CN"/>
          <w14:textFill>
            <w14:solidFill>
              <w14:schemeClr w14:val="tx1"/>
            </w14:solidFill>
          </w14:textFill>
        </w:rPr>
        <w:t>询价</w:t>
      </w:r>
      <w:r>
        <w:rPr>
          <w:rFonts w:hint="eastAsia" w:ascii="仿宋" w:hAnsi="仿宋" w:eastAsia="仿宋" w:cs="仿宋"/>
          <w:b/>
          <w:color w:val="000000" w:themeColor="text1"/>
          <w:sz w:val="36"/>
          <w:szCs w:val="36"/>
          <w:highlight w:val="none"/>
          <w14:textFill>
            <w14:solidFill>
              <w14:schemeClr w14:val="tx1"/>
            </w14:solidFill>
          </w14:textFill>
        </w:rPr>
        <w:t>公告</w:t>
      </w:r>
    </w:p>
    <w:p w14:paraId="0090B8AD">
      <w:pPr>
        <w:pBdr>
          <w:top w:val="single" w:color="auto" w:sz="4" w:space="1"/>
          <w:left w:val="single" w:color="auto" w:sz="4" w:space="4"/>
          <w:bottom w:val="single" w:color="auto" w:sz="4" w:space="1"/>
          <w:right w:val="single" w:color="auto" w:sz="4" w:space="4"/>
        </w:pBdr>
        <w:spacing w:line="46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项目概况</w:t>
      </w:r>
    </w:p>
    <w:p w14:paraId="06D25F45">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（“214吴兴至建德公路临安高坎至界桥段改建工程”沥青混合料生产配合比设计及试验段生产的石灰岩（高标整型）、机制砂等原材料专项采购）</w:t>
      </w:r>
      <w:r>
        <w:rPr>
          <w:rFonts w:hint="eastAsia" w:ascii="仿宋" w:hAnsi="仿宋" w:eastAsia="仿宋" w:cs="仿宋"/>
          <w:color w:val="000000" w:themeColor="text1"/>
          <w:sz w:val="24"/>
          <w:highlight w:val="none"/>
          <w14:textFill>
            <w14:solidFill>
              <w14:schemeClr w14:val="tx1"/>
            </w14:solidFill>
          </w14:textFill>
        </w:rPr>
        <w:t>的潜在供应商应在</w:t>
      </w:r>
      <w:r>
        <w:rPr>
          <w:rFonts w:hint="eastAsia" w:ascii="仿宋" w:hAnsi="仿宋" w:eastAsia="仿宋" w:cs="仿宋"/>
          <w:color w:val="000000" w:themeColor="text1"/>
          <w:sz w:val="24"/>
          <w:highlight w:val="none"/>
          <w:u w:val="single"/>
          <w:lang w:val="en-US" w:eastAsia="zh-CN"/>
          <w14:textFill>
            <w14:solidFill>
              <w14:schemeClr w14:val="tx1"/>
            </w14:solidFill>
          </w14:textFill>
        </w:rPr>
        <w:t>乐采</w:t>
      </w:r>
      <w:r>
        <w:rPr>
          <w:rFonts w:hint="eastAsia" w:ascii="仿宋" w:hAnsi="仿宋" w:eastAsia="仿宋" w:cs="仿宋"/>
          <w:color w:val="000000" w:themeColor="text1"/>
          <w:sz w:val="24"/>
          <w:highlight w:val="none"/>
          <w:u w:val="single"/>
          <w14:textFill>
            <w14:solidFill>
              <w14:schemeClr w14:val="tx1"/>
            </w14:solidFill>
          </w14:textFill>
        </w:rPr>
        <w:t>云平台（https://www.zcygov.cn）</w:t>
      </w:r>
      <w:r>
        <w:rPr>
          <w:rFonts w:hint="eastAsia" w:ascii="仿宋" w:hAnsi="仿宋" w:eastAsia="仿宋" w:cs="仿宋"/>
          <w:color w:val="000000" w:themeColor="text1"/>
          <w:sz w:val="24"/>
          <w:highlight w:val="none"/>
          <w14:textFill>
            <w14:solidFill>
              <w14:schemeClr w14:val="tx1"/>
            </w14:solidFill>
          </w14:textFill>
        </w:rPr>
        <w:t>获取（下载）采购文件，并于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18</w:t>
      </w:r>
      <w:r>
        <w:rPr>
          <w:rFonts w:hint="eastAsia" w:ascii="仿宋" w:hAnsi="仿宋" w:eastAsia="仿宋" w:cs="仿宋"/>
          <w:bCs/>
          <w:color w:val="000000" w:themeColor="text1"/>
          <w:sz w:val="24"/>
          <w:highlight w:val="none"/>
          <w:u w:val="single"/>
          <w14:textFill>
            <w14:solidFill>
              <w14:schemeClr w14:val="tx1"/>
            </w14:solidFill>
          </w14:textFill>
        </w:rPr>
        <w:t>日</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bCs/>
          <w:color w:val="000000" w:themeColor="text1"/>
          <w:sz w:val="24"/>
          <w:highlight w:val="none"/>
          <w:u w:val="single"/>
          <w14:textFill>
            <w14:solidFill>
              <w14:schemeClr w14:val="tx1"/>
            </w14:solidFill>
          </w14:textFill>
        </w:rPr>
        <w:t>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4"/>
          <w:highlight w:val="none"/>
          <w:u w:val="single"/>
          <w14:textFill>
            <w14:solidFill>
              <w14:schemeClr w14:val="tx1"/>
            </w14:solidFill>
          </w14:textFill>
        </w:rPr>
        <w:t>秒</w:t>
      </w:r>
      <w:r>
        <w:rPr>
          <w:rFonts w:hint="eastAsia" w:ascii="仿宋" w:hAnsi="仿宋" w:eastAsia="仿宋" w:cs="仿宋"/>
          <w:bCs/>
          <w:color w:val="000000" w:themeColor="text1"/>
          <w:sz w:val="24"/>
          <w:highlight w:val="none"/>
          <w14:textFill>
            <w14:solidFill>
              <w14:schemeClr w14:val="tx1"/>
            </w14:solidFill>
          </w14:textFill>
        </w:rPr>
        <w:t>（北京时间）前提交（上传）响应文件</w:t>
      </w:r>
      <w:r>
        <w:rPr>
          <w:rFonts w:hint="eastAsia" w:ascii="仿宋" w:hAnsi="仿宋" w:eastAsia="仿宋" w:cs="仿宋"/>
          <w:color w:val="000000" w:themeColor="text1"/>
          <w:sz w:val="24"/>
          <w:highlight w:val="none"/>
          <w14:textFill>
            <w14:solidFill>
              <w14:schemeClr w14:val="tx1"/>
            </w14:solidFill>
          </w14:textFill>
        </w:rPr>
        <w:t>。</w:t>
      </w:r>
    </w:p>
    <w:p w14:paraId="3C99DCC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3CF801AE">
      <w:pPr>
        <w:spacing w:line="360" w:lineRule="auto"/>
        <w:ind w:firstLine="482"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snapToGrid w:val="0"/>
          <w:color w:val="000000" w:themeColor="text1"/>
          <w:kern w:val="28"/>
          <w:sz w:val="24"/>
          <w:szCs w:val="20"/>
          <w:highlight w:val="none"/>
          <w:lang w:val="en-US" w:eastAsia="zh-CN" w:bidi="ar-SA"/>
          <w14:textFill>
            <w14:solidFill>
              <w14:schemeClr w14:val="tx1"/>
            </w14:solidFill>
          </w14:textFill>
        </w:rPr>
        <w:t>ZJHX【2025】-LA063</w:t>
      </w:r>
    </w:p>
    <w:p w14:paraId="3AD205AB">
      <w:pPr>
        <w:pStyle w:val="11"/>
        <w:spacing w:line="312"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“214吴兴至建德公路临安高坎至界桥段改建工程”沥青混合料生产配合比设计及试验段生产的石灰岩（高标整型）、机制砂等原材料专项采购</w:t>
      </w:r>
    </w:p>
    <w:p w14:paraId="4E802813">
      <w:pPr>
        <w:pStyle w:val="11"/>
        <w:spacing w:line="312" w:lineRule="auto"/>
        <w:ind w:firstLine="482" w:firstLineChars="200"/>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预算金额：1196261</w:t>
      </w:r>
      <w:r>
        <w:rPr>
          <w:rFonts w:hint="eastAsia" w:ascii="仿宋" w:hAnsi="仿宋" w:eastAsia="仿宋" w:cs="仿宋"/>
          <w:b/>
          <w:color w:val="000000" w:themeColor="text1"/>
          <w:sz w:val="24"/>
          <w:highlight w:val="none"/>
          <w:lang w:val="en-US" w:eastAsia="zh-CN"/>
          <w14:textFill>
            <w14:solidFill>
              <w14:schemeClr w14:val="tx1"/>
            </w14:solidFill>
          </w14:textFill>
        </w:rPr>
        <w:t>元</w:t>
      </w:r>
    </w:p>
    <w:p w14:paraId="0A5A02D3">
      <w:pPr>
        <w:pStyle w:val="11"/>
        <w:spacing w:line="312" w:lineRule="auto"/>
        <w:ind w:firstLine="482" w:firstLineChars="200"/>
        <w:rPr>
          <w:rFonts w:hint="default" w:ascii="仿宋" w:hAnsi="仿宋" w:eastAsia="仿宋" w:cs="仿宋"/>
          <w:b/>
          <w:color w:val="000000" w:themeColor="text1"/>
          <w:sz w:val="24"/>
          <w:highlight w:val="none"/>
          <w:lang w:val="en-US"/>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最高限价：1196261元</w:t>
      </w:r>
    </w:p>
    <w:p w14:paraId="54984FE0">
      <w:pPr>
        <w:pStyle w:val="11"/>
        <w:spacing w:line="312" w:lineRule="auto"/>
        <w:ind w:firstLine="482" w:firstLineChars="200"/>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采购清单</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其中最高单价含运费、含13%增值税</w:t>
      </w:r>
    </w:p>
    <w:tbl>
      <w:tblPr>
        <w:tblStyle w:val="27"/>
        <w:tblW w:w="9363"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2438"/>
        <w:gridCol w:w="2387"/>
        <w:gridCol w:w="1363"/>
        <w:gridCol w:w="1212"/>
        <w:gridCol w:w="1263"/>
      </w:tblGrid>
      <w:tr w14:paraId="6FCE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BA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22D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材料名称</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0CF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582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最高单价（元/吨）</w:t>
            </w:r>
          </w:p>
        </w:tc>
        <w:tc>
          <w:tcPr>
            <w:tcW w:w="1212" w:type="dxa"/>
            <w:tcBorders>
              <w:top w:val="single" w:color="000000" w:sz="4" w:space="0"/>
              <w:left w:val="single" w:color="000000" w:sz="4" w:space="0"/>
              <w:right w:val="single" w:color="000000" w:sz="4" w:space="0"/>
            </w:tcBorders>
            <w:shd w:val="clear" w:color="auto" w:fill="auto"/>
            <w:noWrap/>
            <w:vAlign w:val="center"/>
          </w:tcPr>
          <w:p w14:paraId="644DDC3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暂估数量（吨）</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7ABB">
            <w:pPr>
              <w:keepNext w:val="0"/>
              <w:keepLines w:val="0"/>
              <w:widowControl/>
              <w:suppressLineNumbers w:val="0"/>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小计（元）</w:t>
            </w:r>
          </w:p>
        </w:tc>
      </w:tr>
      <w:tr w14:paraId="58EA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589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B21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75E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3～5（2.36～4.75）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B48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9CA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402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91848 </w:t>
            </w:r>
          </w:p>
        </w:tc>
      </w:tr>
      <w:tr w14:paraId="6F0B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EF4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BF5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D08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5～10（4.75～9.5）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39D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7A4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1408</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575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208384 </w:t>
            </w:r>
          </w:p>
        </w:tc>
      </w:tr>
      <w:tr w14:paraId="4153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56A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808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BAA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10～15（9.5～16）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A23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A92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E90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230028 </w:t>
            </w:r>
          </w:p>
        </w:tc>
      </w:tr>
      <w:tr w14:paraId="13B3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9BD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65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0F8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10～20（9.5～20）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E90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D4E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4CF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164428 </w:t>
            </w:r>
          </w:p>
        </w:tc>
      </w:tr>
      <w:tr w14:paraId="6CF0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B3F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D81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12C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15～30（16～26.5）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830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57C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907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212640 </w:t>
            </w:r>
          </w:p>
        </w:tc>
      </w:tr>
      <w:tr w14:paraId="3E20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64A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049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机制砂</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926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FEA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4EA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CD8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288933 </w:t>
            </w:r>
          </w:p>
        </w:tc>
      </w:tr>
      <w:tr w14:paraId="2BF9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62B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C3D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7991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54D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1196261 </w:t>
            </w:r>
          </w:p>
        </w:tc>
      </w:tr>
    </w:tbl>
    <w:p w14:paraId="4AF008FF">
      <w:pPr>
        <w:spacing w:line="360" w:lineRule="auto"/>
        <w:rPr>
          <w:rFonts w:hint="default" w:ascii="仿宋" w:hAnsi="仿宋" w:cs="仿宋" w:eastAsiaTheme="minorEastAsia"/>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合同履行期限：</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合同签订之日起20日历天内完成供货，最终供货数量以采购人要求为准，按实结算。</w:t>
      </w:r>
    </w:p>
    <w:p w14:paraId="2CB1669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737475F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1.具有独立承担民事责任的能力；</w:t>
      </w:r>
    </w:p>
    <w:p w14:paraId="28C9968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2.具有良好的商业信誉和健全的财务会计制度；</w:t>
      </w:r>
    </w:p>
    <w:p w14:paraId="6D7D03A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3.具有履行合同所必需的设备和专业技术能力；</w:t>
      </w:r>
    </w:p>
    <w:p w14:paraId="302737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4.有依法缴纳税收和社会保障资金的良好记录；</w:t>
      </w:r>
    </w:p>
    <w:p w14:paraId="708E17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5.参加采购、招投标活动前三年内，在经营活动中没有重大违法记录、严重失信行为和行贿记录。</w:t>
      </w:r>
    </w:p>
    <w:p w14:paraId="44C912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6.其他：1）单位负责人为同一人或者存在直接控股、管理关系的不同供应商，不得参加同一合同项下的采购活动。2）本项目不允许联合体投标。 </w:t>
      </w:r>
    </w:p>
    <w:p w14:paraId="12CB115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三、获取</w:t>
      </w:r>
      <w:r>
        <w:rPr>
          <w:rFonts w:hint="eastAsia" w:ascii="仿宋" w:hAnsi="仿宋" w:eastAsia="仿宋" w:cs="仿宋"/>
          <w:b/>
          <w:color w:val="000000" w:themeColor="text1"/>
          <w:sz w:val="24"/>
          <w:highlight w:val="none"/>
          <w:lang w:val="en-US" w:eastAsia="zh-CN"/>
          <w14:textFill>
            <w14:solidFill>
              <w14:schemeClr w14:val="tx1"/>
            </w14:solidFill>
          </w14:textFill>
        </w:rPr>
        <w:t>询价</w:t>
      </w:r>
      <w:r>
        <w:rPr>
          <w:rFonts w:hint="eastAsia" w:ascii="仿宋" w:hAnsi="仿宋" w:eastAsia="仿宋" w:cs="仿宋"/>
          <w:b/>
          <w:color w:val="000000" w:themeColor="text1"/>
          <w:sz w:val="24"/>
          <w:highlight w:val="none"/>
          <w14:textFill>
            <w14:solidFill>
              <w14:schemeClr w14:val="tx1"/>
            </w14:solidFill>
          </w14:textFill>
        </w:rPr>
        <w:t xml:space="preserve">文件 </w:t>
      </w:r>
    </w:p>
    <w:p w14:paraId="10E4A42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公告发布之日至</w:t>
      </w:r>
      <w:r>
        <w:rPr>
          <w:rFonts w:hint="eastAsia" w:ascii="仿宋" w:hAnsi="仿宋" w:eastAsia="仿宋" w:cs="仿宋"/>
          <w:color w:val="000000" w:themeColor="text1"/>
          <w:sz w:val="24"/>
          <w:highlight w:val="none"/>
          <w:u w:val="none"/>
          <w14:textFill>
            <w14:solidFill>
              <w14:schemeClr w14:val="tx1"/>
            </w14:solidFill>
          </w14:textFill>
        </w:rPr>
        <w:t>提交</w:t>
      </w:r>
      <w:r>
        <w:rPr>
          <w:rFonts w:hint="eastAsia" w:ascii="仿宋" w:hAnsi="仿宋" w:eastAsia="仿宋" w:cs="仿宋"/>
          <w:color w:val="000000" w:themeColor="text1"/>
          <w:sz w:val="24"/>
          <w:highlight w:val="none"/>
          <w:u w:val="none"/>
          <w:lang w:val="en-US" w:eastAsia="zh-CN"/>
          <w14:textFill>
            <w14:solidFill>
              <w14:schemeClr w14:val="tx1"/>
            </w14:solidFill>
          </w14:textFill>
        </w:rPr>
        <w:t>询价</w:t>
      </w:r>
      <w:r>
        <w:rPr>
          <w:rFonts w:hint="eastAsia" w:ascii="仿宋" w:hAnsi="仿宋" w:eastAsia="仿宋" w:cs="仿宋"/>
          <w:color w:val="000000" w:themeColor="text1"/>
          <w:sz w:val="24"/>
          <w:highlight w:val="none"/>
          <w:u w:val="none"/>
          <w14:textFill>
            <w14:solidFill>
              <w14:schemeClr w14:val="tx1"/>
            </w14:solidFill>
          </w14:textFill>
        </w:rPr>
        <w:t>文件截止时间</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FB1EB8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乐采云平台（https://www.lecaiyun.com/） </w:t>
      </w:r>
    </w:p>
    <w:p w14:paraId="07E7F1C4">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在线申请获取</w:t>
      </w:r>
      <w:r>
        <w:rPr>
          <w:rFonts w:hint="eastAsia" w:ascii="仿宋" w:hAnsi="仿宋" w:eastAsia="仿宋" w:cs="仿宋"/>
          <w:color w:val="000000" w:themeColor="text1"/>
          <w:sz w:val="24"/>
          <w:highlight w:val="none"/>
          <w:lang w:val="en-US" w:eastAsia="zh-CN"/>
          <w14:textFill>
            <w14:solidFill>
              <w14:schemeClr w14:val="tx1"/>
            </w14:solidFill>
          </w14:textFill>
        </w:rPr>
        <w:t>询价</w:t>
      </w:r>
      <w:r>
        <w:rPr>
          <w:rFonts w:hint="eastAsia" w:ascii="仿宋" w:hAnsi="仿宋" w:eastAsia="仿宋" w:cs="仿宋"/>
          <w:color w:val="000000" w:themeColor="text1"/>
          <w:sz w:val="24"/>
          <w:highlight w:val="none"/>
          <w14:textFill>
            <w14:solidFill>
              <w14:schemeClr w14:val="tx1"/>
            </w14:solidFill>
          </w14:textFill>
        </w:rPr>
        <w:t>文件。供应商注册为正式供应商或临时供应商后，使用账号登录或者使用CA登录“乐采云”平台进入“项目采购”应用，在获取采购文件菜单中选择项目，申请获取采购文件。</w:t>
      </w:r>
    </w:p>
    <w:p w14:paraId="14DFDC80">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eastAsia="zh-CN"/>
          <w14:textFill>
            <w14:solidFill>
              <w14:schemeClr w14:val="tx1"/>
            </w14:solidFill>
          </w14:textFill>
        </w:rPr>
        <w:t>。</w:t>
      </w:r>
    </w:p>
    <w:p w14:paraId="768F7EA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val="en-US" w:eastAsia="zh-CN"/>
          <w14:textFill>
            <w14:solidFill>
              <w14:schemeClr w14:val="tx1"/>
            </w14:solidFill>
          </w14:textFill>
        </w:rPr>
        <w:t>询价响应</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652EFBD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w:t>
      </w:r>
      <w:r>
        <w:rPr>
          <w:rFonts w:hint="eastAsia" w:ascii="仿宋" w:hAnsi="仿宋" w:eastAsia="仿宋" w:cs="仿宋"/>
          <w:b/>
          <w:color w:val="000000" w:themeColor="text1"/>
          <w:sz w:val="24"/>
          <w:highlight w:val="none"/>
          <w:lang w:val="en-US" w:eastAsia="zh-CN"/>
          <w14:textFill>
            <w14:solidFill>
              <w14:schemeClr w14:val="tx1"/>
            </w14:solidFill>
          </w14:textFill>
        </w:rPr>
        <w:t>询价响应</w:t>
      </w:r>
      <w:r>
        <w:rPr>
          <w:rFonts w:hint="eastAsia" w:ascii="仿宋" w:hAnsi="仿宋" w:eastAsia="仿宋" w:cs="仿宋"/>
          <w:b/>
          <w:color w:val="000000" w:themeColor="text1"/>
          <w:sz w:val="24"/>
          <w:highlight w:val="none"/>
          <w14:textFill>
            <w14:solidFill>
              <w14:schemeClr w14:val="tx1"/>
            </w14:solidFill>
          </w14:textFill>
        </w:rPr>
        <w:t>文件截止时间：</w:t>
      </w: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分</w:t>
      </w:r>
    </w:p>
    <w:p w14:paraId="1AA6B39C">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请登录乐采云投标客户端投标，客户端下载地址https://sitecdn.zcycdn.com/zcy-client/bidding-client-new/official/lcy/LeCaiYunSetup.latest.exe  </w:t>
      </w:r>
    </w:p>
    <w:p w14:paraId="02EB0B60">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分</w:t>
      </w:r>
    </w:p>
    <w:p w14:paraId="07D7AF22">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杭州市临安区锦南街道南樾府17幢</w:t>
      </w:r>
      <w:r>
        <w:rPr>
          <w:rFonts w:hint="eastAsia" w:ascii="仿宋" w:hAnsi="仿宋" w:eastAsia="仿宋" w:cs="仿宋"/>
          <w:color w:val="000000" w:themeColor="text1"/>
          <w:sz w:val="24"/>
          <w:highlight w:val="none"/>
          <w:lang w:val="en-US" w:eastAsia="zh-CN"/>
          <w14:textFill>
            <w14:solidFill>
              <w14:schemeClr w14:val="tx1"/>
            </w14:solidFill>
          </w14:textFill>
        </w:rPr>
        <w:t>1单元</w:t>
      </w:r>
      <w:r>
        <w:rPr>
          <w:rFonts w:hint="eastAsia" w:ascii="仿宋" w:hAnsi="仿宋" w:eastAsia="仿宋" w:cs="仿宋"/>
          <w:color w:val="000000" w:themeColor="text1"/>
          <w:sz w:val="24"/>
          <w:highlight w:val="none"/>
          <w14:textFill>
            <w14:solidFill>
              <w14:schemeClr w14:val="tx1"/>
            </w14:solidFill>
          </w14:textFill>
        </w:rPr>
        <w:t>1202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通过</w:t>
      </w:r>
      <w:r>
        <w:rPr>
          <w:rFonts w:hint="eastAsia" w:ascii="仿宋" w:hAnsi="仿宋" w:eastAsia="仿宋" w:cs="仿宋"/>
          <w:color w:val="000000" w:themeColor="text1"/>
          <w:sz w:val="24"/>
          <w:highlight w:val="none"/>
          <w:lang w:eastAsia="zh-CN"/>
          <w14:textFill>
            <w14:solidFill>
              <w14:schemeClr w14:val="tx1"/>
            </w14:solidFill>
          </w14:textFill>
        </w:rPr>
        <w:t>乐</w:t>
      </w:r>
      <w:r>
        <w:rPr>
          <w:rFonts w:hint="eastAsia" w:ascii="仿宋" w:hAnsi="仿宋" w:eastAsia="仿宋" w:cs="仿宋"/>
          <w:color w:val="000000" w:themeColor="text1"/>
          <w:sz w:val="24"/>
          <w:highlight w:val="none"/>
          <w14:textFill>
            <w14:solidFill>
              <w14:schemeClr w14:val="tx1"/>
            </w14:solidFill>
          </w14:textFill>
        </w:rPr>
        <w:t>采云平台（</w:t>
      </w: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HYPERLINK "https://www.lecaiyun.com/"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https://www.lecaiyun.com/</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在线开标</w:t>
      </w:r>
    </w:p>
    <w:p w14:paraId="6289F44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2EDD617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w:t>
      </w:r>
    </w:p>
    <w:p w14:paraId="4220A091">
      <w:pPr>
        <w:spacing w:line="324"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65F6C0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1、电子招投标：本项目以数据电文形式，依托“乐采云”平台（www.lecaiyun.com）”进行招投标活动，各投标人应按照本项目采购文件和“乐采云”平台的要求编制、加密并递交投标文件，不接受纸质投标文件。</w:t>
      </w:r>
    </w:p>
    <w:p w14:paraId="1B3AB19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准备：供应商注册为正式供应商或临时供应商后，使用账号登录或者使用CA登录“乐采云”平台进入“项目采购”应用，在获取采购文件菜单中选择项目，申请获取采购文件。（注册账号--点击“商家入驻”，进行供应商资料填写；申领CA数字证书--申领流程详见https://service.zcygov.cn/#/knowledges/cm2eqWwBFdiHxlNd_otq/lwV6GXABiyELHE-oVMj3</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14:paraId="646BC3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、投标文件的制作：在“电子投标客户端”中完成“填写基本信息”、“导入投标文件”、“标书关联”、“标书检查”、“电子签名”、“生成电子标书”等操作。</w:t>
      </w:r>
    </w:p>
    <w:p w14:paraId="03E1EB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、投标文件的解密：投标人按照平台提示和采购文件的规定在开标时间起30分钟内完成在线解密。</w:t>
      </w:r>
    </w:p>
    <w:p w14:paraId="5D874E9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、供应商在使用系统进行投标的过程中遇到涉及平台使用的任何问题，可致电乐采云平台技术支持热线咨询，联系方式：400-881-7190。CA问题联系电话（人工）：汇信CA 400-888-4636；天谷CA 400-087-8198。</w:t>
      </w:r>
    </w:p>
    <w:p w14:paraId="7961346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其他事项：（1）采购人依托乐采云平台完成本项目的电子交易活动，平台不接受未按上述方式获取采购文件的供应商进行投标活动；（2）对未按上述方式获取采购文件的供应商对该文件提出的质疑，采购人将不予处理；（3）采购人对已发出的采购文件等进行必要的澄清或者修改的，采购人将无法通过</w:t>
      </w:r>
      <w:r>
        <w:rPr>
          <w:rFonts w:hint="eastAsia" w:ascii="仿宋" w:hAnsi="仿宋" w:eastAsia="仿宋" w:cs="仿宋"/>
          <w:color w:val="000000" w:themeColor="text1"/>
          <w:sz w:val="24"/>
          <w:highlight w:val="none"/>
          <w:lang w:eastAsia="zh-CN"/>
          <w14:textFill>
            <w14:solidFill>
              <w14:schemeClr w14:val="tx1"/>
            </w14:solidFill>
          </w14:textFill>
        </w:rPr>
        <w:t>乐</w:t>
      </w:r>
      <w:r>
        <w:rPr>
          <w:rFonts w:hint="eastAsia" w:ascii="仿宋" w:hAnsi="仿宋" w:eastAsia="仿宋" w:cs="仿宋"/>
          <w:color w:val="000000" w:themeColor="text1"/>
          <w:sz w:val="24"/>
          <w:highlight w:val="none"/>
          <w14:textFill>
            <w14:solidFill>
              <w14:schemeClr w14:val="tx1"/>
            </w14:solidFill>
          </w14:textFill>
        </w:rPr>
        <w:t>采云平台通知未按上述方式获取采购文件的供应商；（4）公告所附采购文件仅供阅览使用，供应商只有在“乐采云”平台完成获取采购文件申请并下载了采购文件后才被视为合法获取了采购文件，否则投标将被拒绝。（供应商获取采购文件时间以供应商完成获取采购文件申请后下载采购文件的时间为准）。注：请供应商按上述要求获取采购文件，如未在“乐采云”平台完成相关流程，引起的投标无效责任自负。（5）本项目不提供采购文件纸质版。</w:t>
      </w:r>
    </w:p>
    <w:p w14:paraId="109188AB">
      <w:pPr>
        <w:spacing w:line="324" w:lineRule="auto"/>
        <w:ind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八</w:t>
      </w:r>
      <w:r>
        <w:rPr>
          <w:rFonts w:hint="eastAsia" w:ascii="仿宋" w:hAnsi="仿宋" w:eastAsia="仿宋" w:cs="仿宋"/>
          <w:b/>
          <w:color w:val="000000" w:themeColor="text1"/>
          <w:sz w:val="24"/>
          <w:highlight w:val="none"/>
          <w14:textFill>
            <w14:solidFill>
              <w14:schemeClr w14:val="tx1"/>
            </w14:solidFill>
          </w14:textFill>
        </w:rPr>
        <w:t>、对本次采购提出询问、质疑、投诉，请按以下方式联系</w:t>
      </w:r>
    </w:p>
    <w:p w14:paraId="508E661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42DF82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杭州临安恒元建材有限公司</w:t>
      </w:r>
    </w:p>
    <w:p w14:paraId="16881893">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地    址：杭州市临安区锦北街道武肃街1636号</w:t>
      </w:r>
    </w:p>
    <w:p w14:paraId="73E5940E">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联系人：施楠</w:t>
      </w:r>
      <w:r>
        <w:rPr>
          <w:rFonts w:hint="eastAsia" w:ascii="仿宋" w:hAnsi="仿宋" w:eastAsia="仿宋" w:cs="仿宋"/>
          <w:color w:val="000000" w:themeColor="text1"/>
          <w:sz w:val="24"/>
          <w:highlight w:val="none"/>
          <w:lang w:val="en-US" w:eastAsia="zh-CN"/>
          <w14:textFill>
            <w14:solidFill>
              <w14:schemeClr w14:val="tx1"/>
            </w14:solidFill>
          </w14:textFill>
        </w:rPr>
        <w:tab/>
      </w:r>
    </w:p>
    <w:p w14:paraId="16BBEF5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电  话：0571-61061072</w:t>
      </w:r>
    </w:p>
    <w:p w14:paraId="5DEC277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2.采购代理机构信息            </w:t>
      </w:r>
    </w:p>
    <w:p w14:paraId="05F8D8D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称：浙江华夏工程管理有限公司</w:t>
      </w:r>
    </w:p>
    <w:p w14:paraId="2B1D53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址：杭州市临安区锦南街道南樾府17幢</w:t>
      </w:r>
      <w:r>
        <w:rPr>
          <w:rFonts w:hint="eastAsia" w:ascii="仿宋" w:hAnsi="仿宋" w:eastAsia="仿宋" w:cs="仿宋"/>
          <w:color w:val="000000" w:themeColor="text1"/>
          <w:sz w:val="24"/>
          <w:highlight w:val="none"/>
          <w:lang w:val="en-US" w:eastAsia="zh-CN"/>
          <w14:textFill>
            <w14:solidFill>
              <w14:schemeClr w14:val="tx1"/>
            </w14:solidFill>
          </w14:textFill>
        </w:rPr>
        <w:t>1单元</w:t>
      </w:r>
      <w:r>
        <w:rPr>
          <w:rFonts w:hint="eastAsia" w:ascii="仿宋" w:hAnsi="仿宋" w:eastAsia="仿宋" w:cs="仿宋"/>
          <w:color w:val="000000" w:themeColor="text1"/>
          <w:sz w:val="24"/>
          <w:highlight w:val="none"/>
          <w14:textFill>
            <w14:solidFill>
              <w14:schemeClr w14:val="tx1"/>
            </w14:solidFill>
          </w14:textFill>
        </w:rPr>
        <w:t xml:space="preserve">1202          </w:t>
      </w:r>
    </w:p>
    <w:p w14:paraId="1716629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联系人：郭丹丹</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郎园</w:t>
      </w:r>
      <w:r>
        <w:rPr>
          <w:rFonts w:hint="eastAsia" w:ascii="仿宋" w:hAnsi="仿宋" w:eastAsia="仿宋" w:cs="仿宋"/>
          <w:color w:val="000000" w:themeColor="text1"/>
          <w:sz w:val="24"/>
          <w:highlight w:val="none"/>
          <w14:textFill>
            <w14:solidFill>
              <w14:schemeClr w14:val="tx1"/>
            </w14:solidFill>
          </w14:textFill>
        </w:rPr>
        <w:t xml:space="preserve">        </w:t>
      </w:r>
    </w:p>
    <w:p w14:paraId="060C3B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联系方式：0571-63705818</w:t>
      </w:r>
    </w:p>
    <w:p w14:paraId="73FB9EB7">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姚真豪</w:t>
      </w:r>
      <w:r>
        <w:rPr>
          <w:rFonts w:hint="eastAsia" w:ascii="仿宋" w:hAnsi="仿宋" w:eastAsia="仿宋" w:cs="仿宋"/>
          <w:color w:val="000000" w:themeColor="text1"/>
          <w:sz w:val="24"/>
          <w:highlight w:val="none"/>
          <w14:textFill>
            <w14:solidFill>
              <w14:schemeClr w14:val="tx1"/>
            </w14:solidFill>
          </w14:textFill>
        </w:rPr>
        <w:t xml:space="preserve">          </w:t>
      </w:r>
    </w:p>
    <w:p w14:paraId="44ABFBC9">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3.监督部门：</w:t>
      </w:r>
      <w:r>
        <w:rPr>
          <w:rFonts w:hint="eastAsia" w:ascii="仿宋" w:hAnsi="仿宋" w:eastAsia="仿宋" w:cs="仿宋"/>
          <w:color w:val="000000" w:themeColor="text1"/>
          <w:sz w:val="24"/>
          <w:highlight w:val="none"/>
          <w14:textFill>
            <w14:solidFill>
              <w14:schemeClr w14:val="tx1"/>
            </w14:solidFill>
          </w14:textFill>
        </w:rPr>
        <w:t>杭州市临安区城市发展投资集团有限公司监督小组</w:t>
      </w:r>
    </w:p>
    <w:p w14:paraId="50FF4595">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val="en-US" w:eastAsia="zh-CN"/>
          <w14:textFill>
            <w14:solidFill>
              <w14:schemeClr w14:val="tx1"/>
            </w14:solidFill>
          </w14:textFill>
        </w:rPr>
        <w:t>0571-61060908</w:t>
      </w:r>
    </w:p>
    <w:p w14:paraId="0F5B5892">
      <w:pPr>
        <w:spacing w:line="460" w:lineRule="exact"/>
        <w:jc w:val="center"/>
        <w:rPr>
          <w:rFonts w:hint="eastAsia" w:ascii="仿宋" w:hAnsi="仿宋" w:eastAsia="仿宋" w:cs="仿宋"/>
          <w:b/>
          <w:bCs/>
          <w:color w:val="000000" w:themeColor="text1"/>
          <w:sz w:val="36"/>
          <w:szCs w:val="36"/>
          <w:highlight w:val="none"/>
          <w14:textFill>
            <w14:solidFill>
              <w14:schemeClr w14:val="tx1"/>
            </w14:solidFill>
          </w14:textFill>
        </w:rPr>
      </w:pPr>
    </w:p>
    <w:p w14:paraId="44F8EE8A">
      <w:pPr>
        <w:spacing w:line="460" w:lineRule="exact"/>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第二部分 供应商须知</w:t>
      </w:r>
    </w:p>
    <w:p w14:paraId="06C7451D">
      <w:pPr>
        <w:spacing w:line="460" w:lineRule="exact"/>
        <w:ind w:firstLine="643" w:firstLineChars="20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前附表</w:t>
      </w:r>
    </w:p>
    <w:tbl>
      <w:tblPr>
        <w:tblStyle w:val="27"/>
        <w:tblW w:w="9121"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649"/>
      </w:tblGrid>
      <w:tr w14:paraId="41484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96" w:hRule="atLeast"/>
          <w:tblHeader/>
        </w:trPr>
        <w:tc>
          <w:tcPr>
            <w:tcW w:w="629" w:type="dxa"/>
            <w:tcBorders>
              <w:tl2br w:val="nil"/>
              <w:tr2bl w:val="nil"/>
            </w:tcBorders>
            <w:noWrap w:val="0"/>
            <w:vAlign w:val="top"/>
          </w:tcPr>
          <w:p w14:paraId="2E65341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l2br w:val="nil"/>
              <w:tr2bl w:val="nil"/>
            </w:tcBorders>
            <w:noWrap w:val="0"/>
            <w:vAlign w:val="center"/>
          </w:tcPr>
          <w:p w14:paraId="43B3649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649" w:type="dxa"/>
            <w:tcBorders>
              <w:tl2br w:val="nil"/>
              <w:tr2bl w:val="nil"/>
            </w:tcBorders>
            <w:noWrap w:val="0"/>
            <w:vAlign w:val="center"/>
          </w:tcPr>
          <w:p w14:paraId="5934FFF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5DCDC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32" w:hRule="atLeast"/>
          <w:tblHeader/>
        </w:trPr>
        <w:tc>
          <w:tcPr>
            <w:tcW w:w="629" w:type="dxa"/>
            <w:tcBorders>
              <w:tl2br w:val="nil"/>
              <w:tr2bl w:val="nil"/>
            </w:tcBorders>
            <w:noWrap w:val="0"/>
            <w:vAlign w:val="top"/>
          </w:tcPr>
          <w:p w14:paraId="0E8C209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p>
          <w:p w14:paraId="05351F4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p>
          <w:p w14:paraId="51F0683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1843" w:type="dxa"/>
            <w:tcBorders>
              <w:tl2br w:val="nil"/>
              <w:tr2bl w:val="nil"/>
            </w:tcBorders>
            <w:noWrap w:val="0"/>
            <w:vAlign w:val="center"/>
          </w:tcPr>
          <w:p w14:paraId="17AEADF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项目概况</w:t>
            </w:r>
          </w:p>
        </w:tc>
        <w:tc>
          <w:tcPr>
            <w:tcW w:w="6649" w:type="dxa"/>
            <w:tcBorders>
              <w:tl2br w:val="nil"/>
              <w:tr2bl w:val="nil"/>
            </w:tcBorders>
            <w:noWrap w:val="0"/>
            <w:vAlign w:val="center"/>
          </w:tcPr>
          <w:p w14:paraId="2BCD2EA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color w:val="000000" w:themeColor="text1"/>
                <w:kern w:val="0"/>
                <w:sz w:val="24"/>
                <w:highlight w:val="none"/>
                <w14:textFill>
                  <w14:solidFill>
                    <w14:schemeClr w14:val="tx1"/>
                  </w14:solidFill>
                </w14:textFill>
              </w:rPr>
            </w:pPr>
            <w:r>
              <w:rPr>
                <w:rFonts w:hint="eastAsia" w:ascii="仿宋" w:hAnsi="仿宋" w:eastAsia="仿宋" w:cs="仿宋"/>
                <w:b w:val="0"/>
                <w:bCs/>
                <w:color w:val="000000" w:themeColor="text1"/>
                <w:kern w:val="0"/>
                <w:sz w:val="24"/>
                <w:highlight w:val="none"/>
                <w:lang w:eastAsia="zh-CN"/>
                <w14:textFill>
                  <w14:solidFill>
                    <w14:schemeClr w14:val="tx1"/>
                  </w14:solidFill>
                </w14:textFill>
              </w:rPr>
              <w:t>（</w:t>
            </w:r>
            <w:r>
              <w:rPr>
                <w:rFonts w:hint="eastAsia" w:ascii="仿宋" w:hAnsi="仿宋" w:eastAsia="仿宋" w:cs="仿宋"/>
                <w:b w:val="0"/>
                <w:bCs/>
                <w:color w:val="000000" w:themeColor="text1"/>
                <w:kern w:val="0"/>
                <w:sz w:val="24"/>
                <w:highlight w:val="none"/>
                <w:lang w:val="en-US" w:eastAsia="zh-CN"/>
                <w14:textFill>
                  <w14:solidFill>
                    <w14:schemeClr w14:val="tx1"/>
                  </w14:solidFill>
                </w14:textFill>
              </w:rPr>
              <w:t>1</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w:t>
            </w:r>
            <w:r>
              <w:rPr>
                <w:rFonts w:hint="eastAsia" w:ascii="仿宋" w:hAnsi="仿宋" w:eastAsia="仿宋" w:cs="仿宋"/>
                <w:b w:val="0"/>
                <w:bCs/>
                <w:color w:val="000000" w:themeColor="text1"/>
                <w:kern w:val="0"/>
                <w:sz w:val="24"/>
                <w:highlight w:val="none"/>
                <w14:textFill>
                  <w14:solidFill>
                    <w14:schemeClr w14:val="tx1"/>
                  </w14:solidFill>
                </w14:textFill>
              </w:rPr>
              <w:t>项目名称：</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“214吴兴至建德公路临安高坎至界桥段改建工程”沥青混合料生产配合比设计及试验段生产的石灰岩（高标整型）、机制砂等原材料专项采购</w:t>
            </w:r>
            <w:r>
              <w:rPr>
                <w:rFonts w:hint="eastAsia" w:ascii="仿宋" w:hAnsi="仿宋" w:eastAsia="仿宋" w:cs="仿宋"/>
                <w:b w:val="0"/>
                <w:bCs/>
                <w:color w:val="000000" w:themeColor="text1"/>
                <w:kern w:val="0"/>
                <w:sz w:val="24"/>
                <w:highlight w:val="none"/>
                <w14:textFill>
                  <w14:solidFill>
                    <w14:schemeClr w14:val="tx1"/>
                  </w14:solidFill>
                </w14:textFill>
              </w:rPr>
              <w:t>；</w:t>
            </w:r>
          </w:p>
          <w:p w14:paraId="5F075E9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val="0"/>
                <w:bCs/>
                <w:color w:val="000000" w:themeColor="text1"/>
                <w:kern w:val="0"/>
                <w:sz w:val="24"/>
                <w:highlight w:val="none"/>
                <w:lang w:eastAsia="zh-CN"/>
                <w14:textFill>
                  <w14:solidFill>
                    <w14:schemeClr w14:val="tx1"/>
                  </w14:solidFill>
                </w14:textFill>
              </w:rPr>
            </w:pPr>
            <w:r>
              <w:rPr>
                <w:rFonts w:hint="eastAsia" w:ascii="仿宋" w:hAnsi="仿宋" w:eastAsia="仿宋" w:cs="仿宋"/>
                <w:b w:val="0"/>
                <w:bCs/>
                <w:color w:val="000000" w:themeColor="text1"/>
                <w:kern w:val="0"/>
                <w:sz w:val="24"/>
                <w:highlight w:val="none"/>
                <w:lang w:eastAsia="zh-CN"/>
                <w14:textFill>
                  <w14:solidFill>
                    <w14:schemeClr w14:val="tx1"/>
                  </w14:solidFill>
                </w14:textFill>
              </w:rPr>
              <w:t>（</w:t>
            </w:r>
            <w:r>
              <w:rPr>
                <w:rFonts w:hint="eastAsia" w:ascii="仿宋" w:hAnsi="仿宋" w:eastAsia="仿宋" w:cs="仿宋"/>
                <w:b w:val="0"/>
                <w:bCs/>
                <w:color w:val="000000" w:themeColor="text1"/>
                <w:kern w:val="0"/>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w:t>
            </w:r>
            <w:r>
              <w:rPr>
                <w:rFonts w:hint="eastAsia" w:ascii="仿宋" w:hAnsi="仿宋" w:eastAsia="仿宋" w:cs="仿宋"/>
                <w:b w:val="0"/>
                <w:bCs/>
                <w:color w:val="000000" w:themeColor="text1"/>
                <w:kern w:val="0"/>
                <w:sz w:val="24"/>
                <w:highlight w:val="none"/>
                <w14:textFill>
                  <w14:solidFill>
                    <w14:schemeClr w14:val="tx1"/>
                  </w14:solidFill>
                </w14:textFill>
              </w:rPr>
              <w:t>主要内容</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：石灰岩（高标整型）、机制砂等原材料专项采购</w:t>
            </w:r>
            <w:r>
              <w:rPr>
                <w:rFonts w:hint="eastAsia" w:ascii="仿宋" w:hAnsi="仿宋" w:eastAsia="仿宋" w:cs="仿宋"/>
                <w:b w:val="0"/>
                <w:bCs/>
                <w:color w:val="000000" w:themeColor="text1"/>
                <w:kern w:val="0"/>
                <w:sz w:val="24"/>
                <w:highlight w:val="none"/>
                <w14:textFill>
                  <w14:solidFill>
                    <w14:schemeClr w14:val="tx1"/>
                  </w14:solidFill>
                </w14:textFill>
              </w:rPr>
              <w:t>，具体要求详见“第</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三部分采购</w:t>
            </w:r>
            <w:r>
              <w:rPr>
                <w:rFonts w:hint="eastAsia" w:ascii="仿宋" w:hAnsi="仿宋" w:eastAsia="仿宋" w:cs="仿宋"/>
                <w:b w:val="0"/>
                <w:bCs/>
                <w:color w:val="000000" w:themeColor="text1"/>
                <w:kern w:val="0"/>
                <w:sz w:val="24"/>
                <w:highlight w:val="none"/>
                <w14:textFill>
                  <w14:solidFill>
                    <w14:schemeClr w14:val="tx1"/>
                  </w14:solidFill>
                </w14:textFill>
              </w:rPr>
              <w:t>需求”</w:t>
            </w:r>
            <w:r>
              <w:rPr>
                <w:rFonts w:hint="eastAsia" w:ascii="仿宋" w:hAnsi="仿宋" w:eastAsia="仿宋" w:cs="仿宋"/>
                <w:b w:val="0"/>
                <w:bCs/>
                <w:color w:val="000000" w:themeColor="text1"/>
                <w:kern w:val="0"/>
                <w:sz w:val="24"/>
                <w:highlight w:val="none"/>
                <w:lang w:eastAsia="zh-CN"/>
                <w14:textFill>
                  <w14:solidFill>
                    <w14:schemeClr w14:val="tx1"/>
                  </w14:solidFill>
                </w14:textFill>
              </w:rPr>
              <w:t>。</w:t>
            </w:r>
          </w:p>
          <w:p w14:paraId="3B49A0F5">
            <w:pPr>
              <w:keepNext w:val="0"/>
              <w:keepLines w:val="0"/>
              <w:pageBreakBefore w:val="0"/>
              <w:widowControl w:val="0"/>
              <w:kinsoku/>
              <w:wordWrap/>
              <w:overflowPunct/>
              <w:topLinePunct w:val="0"/>
              <w:autoSpaceDE/>
              <w:autoSpaceDN/>
              <w:bidi w:val="0"/>
              <w:adjustRightInd/>
              <w:spacing w:line="400" w:lineRule="exact"/>
              <w:textAlignment w:val="auto"/>
              <w:rPr>
                <w:rFonts w:hint="default"/>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highlight w:val="none"/>
                <w:lang w:val="en-US" w:eastAsia="zh-CN"/>
                <w14:textFill>
                  <w14:solidFill>
                    <w14:schemeClr w14:val="tx1"/>
                  </w14:solidFill>
                </w14:textFill>
              </w:rPr>
              <w:t>(3)合同履行期限：</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合同签订之日起20日历天内完成供货，最终供货数量以采购人要求为准，按实结算。</w:t>
            </w:r>
          </w:p>
        </w:tc>
      </w:tr>
      <w:tr w14:paraId="39453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0" w:hRule="atLeast"/>
          <w:tblHeader/>
        </w:trPr>
        <w:tc>
          <w:tcPr>
            <w:tcW w:w="629" w:type="dxa"/>
            <w:tcBorders>
              <w:tl2br w:val="nil"/>
              <w:tr2bl w:val="nil"/>
            </w:tcBorders>
            <w:noWrap w:val="0"/>
            <w:vAlign w:val="top"/>
          </w:tcPr>
          <w:p w14:paraId="43605C2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7147FD3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72C4D9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p w14:paraId="658B5585">
            <w:pPr>
              <w:pStyle w:val="3"/>
              <w:rPr>
                <w:rFonts w:hint="eastAsia"/>
                <w:color w:val="000000" w:themeColor="text1"/>
                <w:highlight w:val="none"/>
                <w14:textFill>
                  <w14:solidFill>
                    <w14:schemeClr w14:val="tx1"/>
                  </w14:solidFill>
                </w14:textFill>
              </w:rPr>
            </w:pPr>
          </w:p>
          <w:p w14:paraId="66C9E6A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843" w:type="dxa"/>
            <w:tcBorders>
              <w:tl2br w:val="nil"/>
              <w:tr2bl w:val="nil"/>
            </w:tcBorders>
            <w:noWrap w:val="0"/>
            <w:vAlign w:val="center"/>
          </w:tcPr>
          <w:p w14:paraId="3357114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报价要求</w:t>
            </w:r>
          </w:p>
        </w:tc>
        <w:tc>
          <w:tcPr>
            <w:tcW w:w="6649" w:type="dxa"/>
            <w:tcBorders>
              <w:tl2br w:val="nil"/>
              <w:tr2bl w:val="nil"/>
            </w:tcBorders>
            <w:noWrap w:val="0"/>
            <w:vAlign w:val="center"/>
          </w:tcPr>
          <w:p w14:paraId="1DBCA1B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000000" w:themeColor="text1"/>
                <w:kern w:val="0"/>
                <w:sz w:val="24"/>
                <w:highlight w:val="none"/>
                <w:lang w:val="zh-CN"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报价为货到采购人指定地点的交货价格，包括原材料的制作加工、装车、运输、货到现场的卸货、人工、验收、保险、税金、售后服务、技术服务、安全文明、环境保护、风险、利润、税费等，属于完成本次项目所必需的但投标供应商未列入报价的费用将被视为投标供应商优惠，采购单位均不予支付。</w:t>
            </w:r>
          </w:p>
          <w:p w14:paraId="576C2B18">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kern w:val="0"/>
                <w:sz w:val="24"/>
                <w:highlight w:val="none"/>
                <w:lang w:val="zh-CN" w:eastAsia="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w:t>
            </w:r>
            <w:r>
              <w:rPr>
                <w:rFonts w:hint="eastAsia" w:ascii="仿宋" w:hAnsi="仿宋" w:eastAsia="仿宋" w:cs="仿宋"/>
                <w:color w:val="000000" w:themeColor="text1"/>
                <w:kern w:val="0"/>
                <w:sz w:val="24"/>
                <w:highlight w:val="none"/>
                <w:lang w:val="zh-CN" w:eastAsia="zh-CN"/>
                <w14:textFill>
                  <w14:solidFill>
                    <w14:schemeClr w14:val="tx1"/>
                  </w14:solidFill>
                </w14:textFill>
              </w:rPr>
              <w:t>关本项目实施所需的所有费用均计入报价。</w:t>
            </w:r>
          </w:p>
          <w:p w14:paraId="45D1DF2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000000" w:themeColor="text1"/>
                <w:kern w:val="0"/>
                <w:sz w:val="24"/>
                <w:highlight w:val="none"/>
                <w:lang w:val="zh-CN"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投标文件开标一览表（报价表）是报价的唯一载体，如投标人在乐采云平台填写的投标报价与投标文件报价文件中开标一览表（报价表）不一致的，以报价文件中开标一览表（报价表）为准。</w:t>
            </w:r>
          </w:p>
          <w:p w14:paraId="6B85AF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询价响应</w:t>
            </w:r>
            <w:r>
              <w:rPr>
                <w:rFonts w:hint="eastAsia" w:ascii="仿宋" w:hAnsi="仿宋" w:eastAsia="仿宋" w:cs="仿宋"/>
                <w:color w:val="000000" w:themeColor="text1"/>
                <w:kern w:val="0"/>
                <w:sz w:val="24"/>
                <w:highlight w:val="none"/>
                <w:lang w:val="zh-CN"/>
                <w14:textFill>
                  <w14:solidFill>
                    <w14:schemeClr w14:val="tx1"/>
                  </w14:solidFill>
                </w14:textFill>
              </w:rPr>
              <w:t>文件中价格全部采用人民币报价。</w:t>
            </w:r>
            <w:r>
              <w:rPr>
                <w:rFonts w:hint="eastAsia" w:ascii="仿宋" w:hAnsi="仿宋" w:eastAsia="仿宋" w:cs="仿宋"/>
                <w:color w:val="000000" w:themeColor="text1"/>
                <w:sz w:val="24"/>
                <w:highlight w:val="none"/>
                <w:lang w:val="en-US" w:eastAsia="zh-CN"/>
                <w14:textFill>
                  <w14:solidFill>
                    <w14:schemeClr w14:val="tx1"/>
                  </w14:solidFill>
                </w14:textFill>
              </w:rPr>
              <w:t>询价</w:t>
            </w:r>
            <w:r>
              <w:rPr>
                <w:rFonts w:hint="eastAsia" w:ascii="仿宋" w:hAnsi="仿宋" w:eastAsia="仿宋" w:cs="仿宋"/>
                <w:color w:val="000000" w:themeColor="text1"/>
                <w:kern w:val="0"/>
                <w:sz w:val="24"/>
                <w:highlight w:val="none"/>
                <w:lang w:val="zh-CN"/>
                <w14:textFill>
                  <w14:solidFill>
                    <w14:schemeClr w14:val="tx1"/>
                  </w14:solidFill>
                </w14:textFill>
              </w:rPr>
              <w:t>文件未列明，而</w:t>
            </w:r>
            <w:r>
              <w:rPr>
                <w:rFonts w:hint="eastAsia" w:ascii="仿宋" w:hAnsi="仿宋" w:eastAsia="仿宋" w:cs="仿宋"/>
                <w:color w:val="000000" w:themeColor="text1"/>
                <w:sz w:val="24"/>
                <w:highlight w:val="none"/>
                <w:lang w:val="en-US" w:eastAsia="zh-CN"/>
                <w14:textFill>
                  <w14:solidFill>
                    <w14:schemeClr w14:val="tx1"/>
                  </w14:solidFill>
                </w14:textFill>
              </w:rPr>
              <w:t>询价响应方</w:t>
            </w:r>
            <w:r>
              <w:rPr>
                <w:rFonts w:hint="eastAsia" w:ascii="仿宋" w:hAnsi="仿宋" w:eastAsia="仿宋" w:cs="仿宋"/>
                <w:color w:val="000000" w:themeColor="text1"/>
                <w:kern w:val="0"/>
                <w:sz w:val="24"/>
                <w:highlight w:val="none"/>
                <w:lang w:val="zh-CN"/>
                <w14:textFill>
                  <w14:solidFill>
                    <w14:schemeClr w14:val="tx1"/>
                  </w14:solidFill>
                </w14:textFill>
              </w:rPr>
              <w:t>认为必需的费用也需列入报价。</w:t>
            </w:r>
          </w:p>
          <w:p w14:paraId="4568E87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7F78769F">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en-US" w:eastAsia="zh-CN"/>
                <w14:textFill>
                  <w14:solidFill>
                    <w14:schemeClr w14:val="tx1"/>
                  </w14:solidFill>
                </w14:textFill>
              </w:rPr>
              <w:t>询价响应</w:t>
            </w:r>
            <w:r>
              <w:rPr>
                <w:rFonts w:hint="eastAsia" w:ascii="仿宋" w:hAnsi="仿宋" w:eastAsia="仿宋" w:cs="仿宋"/>
                <w:b/>
                <w:color w:val="000000" w:themeColor="text1"/>
                <w:kern w:val="0"/>
                <w:sz w:val="24"/>
                <w:highlight w:val="none"/>
                <w:lang w:val="zh-CN"/>
                <w14:textFill>
                  <w14:solidFill>
                    <w14:schemeClr w14:val="tx1"/>
                  </w14:solidFill>
                </w14:textFill>
              </w:rPr>
              <w:t>文件出现不是唯一的、有选择性投标报价的；</w:t>
            </w:r>
          </w:p>
          <w:p w14:paraId="41E6D64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报价超过</w:t>
            </w:r>
            <w:r>
              <w:rPr>
                <w:rFonts w:hint="eastAsia" w:ascii="仿宋" w:hAnsi="仿宋" w:eastAsia="仿宋" w:cs="仿宋"/>
                <w:b/>
                <w:color w:val="000000" w:themeColor="text1"/>
                <w:kern w:val="0"/>
                <w:sz w:val="24"/>
                <w:highlight w:val="none"/>
                <w:lang w:val="zh-CN" w:eastAsia="zh-CN"/>
                <w14:textFill>
                  <w14:solidFill>
                    <w14:schemeClr w14:val="tx1"/>
                  </w14:solidFill>
                </w14:textFill>
              </w:rPr>
              <w:t>询价</w:t>
            </w:r>
            <w:r>
              <w:rPr>
                <w:rFonts w:hint="eastAsia" w:ascii="仿宋" w:hAnsi="仿宋" w:eastAsia="仿宋" w:cs="仿宋"/>
                <w:b/>
                <w:color w:val="000000" w:themeColor="text1"/>
                <w:kern w:val="0"/>
                <w:sz w:val="24"/>
                <w:highlight w:val="none"/>
                <w:lang w:val="zh-CN"/>
                <w14:textFill>
                  <w14:solidFill>
                    <w14:schemeClr w14:val="tx1"/>
                  </w14:solidFill>
                </w14:textFill>
              </w:rPr>
              <w:t>文件中规定的</w:t>
            </w:r>
            <w:r>
              <w:rPr>
                <w:rFonts w:hint="eastAsia" w:ascii="仿宋" w:hAnsi="仿宋" w:eastAsia="仿宋" w:cs="仿宋"/>
                <w:b/>
                <w:color w:val="000000" w:themeColor="text1"/>
                <w:kern w:val="0"/>
                <w:sz w:val="24"/>
                <w:highlight w:val="none"/>
                <w14:textFill>
                  <w14:solidFill>
                    <w14:schemeClr w14:val="tx1"/>
                  </w14:solidFill>
                </w14:textFill>
              </w:rPr>
              <w:t>最高限价</w:t>
            </w:r>
            <w:r>
              <w:rPr>
                <w:rFonts w:hint="eastAsia" w:ascii="仿宋" w:hAnsi="仿宋" w:eastAsia="仿宋" w:cs="仿宋"/>
                <w:b/>
                <w:color w:val="000000" w:themeColor="text1"/>
                <w:kern w:val="0"/>
                <w:sz w:val="24"/>
                <w:highlight w:val="none"/>
                <w:lang w:val="en-US" w:eastAsia="zh-CN"/>
                <w14:textFill>
                  <w14:solidFill>
                    <w14:schemeClr w14:val="tx1"/>
                  </w14:solidFill>
                </w14:textFill>
              </w:rPr>
              <w:t>或任一</w:t>
            </w:r>
            <w:r>
              <w:rPr>
                <w:rFonts w:hint="eastAsia" w:ascii="仿宋" w:hAnsi="仿宋" w:eastAsia="仿宋" w:cs="仿宋"/>
                <w:b/>
                <w:color w:val="000000" w:themeColor="text1"/>
                <w:kern w:val="0"/>
                <w:sz w:val="24"/>
                <w:highlight w:val="none"/>
                <w:lang w:val="zh-CN"/>
                <w14:textFill>
                  <w14:solidFill>
                    <w14:schemeClr w14:val="tx1"/>
                  </w14:solidFill>
                </w14:textFill>
              </w:rPr>
              <w:t>最高</w:t>
            </w:r>
            <w:r>
              <w:rPr>
                <w:rFonts w:hint="eastAsia" w:ascii="仿宋" w:hAnsi="仿宋" w:eastAsia="仿宋" w:cs="仿宋"/>
                <w:b/>
                <w:color w:val="000000" w:themeColor="text1"/>
                <w:kern w:val="0"/>
                <w:sz w:val="24"/>
                <w:highlight w:val="none"/>
                <w:lang w:val="en-US" w:eastAsia="zh-CN"/>
                <w14:textFill>
                  <w14:solidFill>
                    <w14:schemeClr w14:val="tx1"/>
                  </w14:solidFill>
                </w14:textFill>
              </w:rPr>
              <w:t>单价</w:t>
            </w:r>
            <w:r>
              <w:rPr>
                <w:rFonts w:hint="eastAsia" w:ascii="仿宋" w:hAnsi="仿宋" w:eastAsia="仿宋" w:cs="仿宋"/>
                <w:b/>
                <w:color w:val="000000" w:themeColor="text1"/>
                <w:kern w:val="0"/>
                <w:sz w:val="24"/>
                <w:highlight w:val="none"/>
                <w:lang w:val="zh-CN"/>
                <w14:textFill>
                  <w14:solidFill>
                    <w14:schemeClr w14:val="tx1"/>
                  </w14:solidFill>
                </w14:textFill>
              </w:rPr>
              <w:t>的;</w:t>
            </w:r>
          </w:p>
          <w:p w14:paraId="5750E863">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w:t>
            </w:r>
            <w:r>
              <w:rPr>
                <w:rFonts w:hint="eastAsia" w:ascii="仿宋" w:hAnsi="仿宋" w:eastAsia="仿宋" w:cs="仿宋"/>
                <w:b/>
                <w:color w:val="000000" w:themeColor="text1"/>
                <w:kern w:val="0"/>
                <w:sz w:val="24"/>
                <w:highlight w:val="none"/>
                <w:lang w:val="en-US" w:eastAsia="zh-CN"/>
                <w14:textFill>
                  <w14:solidFill>
                    <w14:schemeClr w14:val="tx1"/>
                  </w14:solidFill>
                </w14:textFill>
              </w:rPr>
              <w:t>询价响应方</w:t>
            </w:r>
            <w:r>
              <w:rPr>
                <w:rFonts w:hint="eastAsia" w:ascii="仿宋" w:hAnsi="仿宋" w:eastAsia="仿宋" w:cs="仿宋"/>
                <w:b/>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0C1B7FF3">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询价响应方对根据修正原则修正后的报价不确认的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A869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noWrap w:val="0"/>
            <w:vAlign w:val="center"/>
          </w:tcPr>
          <w:p w14:paraId="433A3C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43" w:type="dxa"/>
            <w:tcBorders>
              <w:tl2br w:val="nil"/>
              <w:tr2bl w:val="nil"/>
            </w:tcBorders>
            <w:noWrap w:val="0"/>
            <w:vAlign w:val="center"/>
          </w:tcPr>
          <w:p w14:paraId="05D5EC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分包或转包</w:t>
            </w:r>
          </w:p>
        </w:tc>
        <w:tc>
          <w:tcPr>
            <w:tcW w:w="6649" w:type="dxa"/>
            <w:tcBorders>
              <w:tl2br w:val="nil"/>
              <w:tr2bl w:val="nil"/>
            </w:tcBorders>
            <w:noWrap w:val="0"/>
            <w:vAlign w:val="center"/>
          </w:tcPr>
          <w:p w14:paraId="5593592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（1）采购人不同意分包</w:t>
            </w:r>
          </w:p>
          <w:p w14:paraId="5AF734C9">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（2）本项目不得转包。</w:t>
            </w:r>
          </w:p>
        </w:tc>
      </w:tr>
      <w:tr w14:paraId="6B752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846" w:hRule="atLeast"/>
          <w:tblHeader/>
        </w:trPr>
        <w:tc>
          <w:tcPr>
            <w:tcW w:w="629" w:type="dxa"/>
            <w:tcBorders>
              <w:tl2br w:val="nil"/>
              <w:tr2bl w:val="nil"/>
            </w:tcBorders>
            <w:noWrap w:val="0"/>
            <w:vAlign w:val="center"/>
          </w:tcPr>
          <w:p w14:paraId="6A19FC97">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jc w:val="both"/>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43" w:type="dxa"/>
            <w:tcBorders>
              <w:tl2br w:val="nil"/>
              <w:tr2bl w:val="nil"/>
            </w:tcBorders>
            <w:noWrap w:val="0"/>
            <w:vAlign w:val="center"/>
          </w:tcPr>
          <w:p w14:paraId="427308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项目属性与核心产品</w:t>
            </w:r>
          </w:p>
        </w:tc>
        <w:tc>
          <w:tcPr>
            <w:tcW w:w="6649" w:type="dxa"/>
            <w:tcBorders>
              <w:tl2br w:val="nil"/>
              <w:tr2bl w:val="nil"/>
            </w:tcBorders>
            <w:noWrap w:val="0"/>
            <w:vAlign w:val="center"/>
          </w:tcPr>
          <w:p w14:paraId="343EB98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606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t>项目属性：</w:t>
                </w:r>
              </w:sdtContent>
            </w:sdt>
            <w:r>
              <w:rPr>
                <w:rFonts w:hint="eastAsia" w:ascii="仿宋" w:hAnsi="仿宋" w:eastAsia="仿宋" w:cs="仿宋"/>
                <w:color w:val="000000" w:themeColor="text1"/>
                <w:sz w:val="24"/>
                <w:highlight w:val="none"/>
                <w14:textFill>
                  <w14:solidFill>
                    <w14:schemeClr w14:val="tx1"/>
                  </w14:solidFill>
                </w14:textFill>
              </w:rPr>
              <w:t>货物类</w:t>
            </w:r>
            <w:r>
              <w:rPr>
                <w:rFonts w:hint="eastAsia" w:ascii="仿宋" w:hAnsi="仿宋" w:eastAsia="仿宋" w:cs="仿宋"/>
                <w:color w:val="000000" w:themeColor="text1"/>
                <w:sz w:val="24"/>
                <w:highlight w:val="none"/>
                <w:lang w:eastAsia="zh-CN"/>
                <w14:textFill>
                  <w14:solidFill>
                    <w14:schemeClr w14:val="tx1"/>
                  </w14:solidFill>
                </w14:textFill>
              </w:rPr>
              <w:t>。</w:t>
            </w:r>
          </w:p>
        </w:tc>
      </w:tr>
      <w:tr w14:paraId="66B90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18" w:hRule="atLeast"/>
          <w:tblHeader/>
        </w:trPr>
        <w:tc>
          <w:tcPr>
            <w:tcW w:w="629" w:type="dxa"/>
            <w:tcBorders>
              <w:tl2br w:val="nil"/>
              <w:tr2bl w:val="nil"/>
            </w:tcBorders>
            <w:noWrap w:val="0"/>
            <w:vAlign w:val="center"/>
          </w:tcPr>
          <w:p w14:paraId="54C85C5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1843" w:type="dxa"/>
            <w:tcBorders>
              <w:tl2br w:val="nil"/>
              <w:tr2bl w:val="nil"/>
            </w:tcBorders>
            <w:noWrap w:val="0"/>
            <w:vAlign w:val="center"/>
          </w:tcPr>
          <w:p w14:paraId="031E26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投标文件的份数</w:t>
            </w:r>
          </w:p>
        </w:tc>
        <w:tc>
          <w:tcPr>
            <w:tcW w:w="6649" w:type="dxa"/>
            <w:tcBorders>
              <w:tl2br w:val="nil"/>
              <w:tr2bl w:val="nil"/>
            </w:tcBorders>
            <w:noWrap w:val="0"/>
            <w:vAlign w:val="center"/>
          </w:tcPr>
          <w:p w14:paraId="206CA05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本项目实行电子投标。供应商应准备电子投标文件参与投标：电子投标文件，按</w:t>
            </w:r>
            <w:r>
              <w:rPr>
                <w:rFonts w:hint="eastAsia" w:ascii="仿宋" w:hAnsi="仿宋" w:eastAsia="仿宋" w:cs="仿宋"/>
                <w:color w:val="000000" w:themeColor="text1"/>
                <w:sz w:val="24"/>
                <w:highlight w:val="none"/>
                <w:lang w:eastAsia="zh-CN"/>
                <w14:textFill>
                  <w14:solidFill>
                    <w14:schemeClr w14:val="tx1"/>
                  </w14:solidFill>
                </w14:textFill>
              </w:rPr>
              <w:t>乐采云</w:t>
            </w:r>
            <w:r>
              <w:rPr>
                <w:rFonts w:hint="eastAsia" w:ascii="仿宋" w:hAnsi="仿宋" w:eastAsia="仿宋" w:cs="仿宋"/>
                <w:color w:val="000000" w:themeColor="text1"/>
                <w:sz w:val="24"/>
                <w:highlight w:val="none"/>
                <w14:textFill>
                  <w14:solidFill>
                    <w14:schemeClr w14:val="tx1"/>
                  </w14:solidFill>
                </w14:textFill>
              </w:rPr>
              <w:t>平台及本招标文件要求递交。</w:t>
            </w:r>
          </w:p>
          <w:p w14:paraId="1A2A548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▲未传输递交电子投标文件的，投标无效。</w:t>
            </w:r>
          </w:p>
          <w:p w14:paraId="009C487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▲未在系统解密时间内完成解密的，视为投标人自行放弃投标，投标无效。</w:t>
            </w:r>
          </w:p>
        </w:tc>
      </w:tr>
      <w:tr w14:paraId="6C538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18" w:hRule="atLeast"/>
          <w:tblHeader/>
        </w:trPr>
        <w:tc>
          <w:tcPr>
            <w:tcW w:w="629" w:type="dxa"/>
            <w:tcBorders>
              <w:tl2br w:val="nil"/>
              <w:tr2bl w:val="nil"/>
            </w:tcBorders>
            <w:noWrap w:val="0"/>
            <w:vAlign w:val="center"/>
          </w:tcPr>
          <w:p w14:paraId="5B5E96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843" w:type="dxa"/>
            <w:tcBorders>
              <w:tl2br w:val="nil"/>
              <w:tr2bl w:val="nil"/>
            </w:tcBorders>
            <w:noWrap w:val="0"/>
            <w:vAlign w:val="center"/>
          </w:tcPr>
          <w:p w14:paraId="0AF1F2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开标前答疑会或现场考察</w:t>
            </w:r>
          </w:p>
        </w:tc>
        <w:tc>
          <w:tcPr>
            <w:tcW w:w="6649" w:type="dxa"/>
            <w:tcBorders>
              <w:tl2br w:val="nil"/>
              <w:tr2bl w:val="nil"/>
            </w:tcBorders>
            <w:noWrap w:val="0"/>
            <w:vAlign w:val="center"/>
          </w:tcPr>
          <w:p w14:paraId="4B080A7D">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不组织。</w:t>
            </w:r>
          </w:p>
        </w:tc>
      </w:tr>
      <w:tr w14:paraId="33DC9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noWrap w:val="0"/>
            <w:vAlign w:val="center"/>
          </w:tcPr>
          <w:p w14:paraId="71BB302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1843" w:type="dxa"/>
            <w:tcBorders>
              <w:tl2br w:val="nil"/>
              <w:tr2bl w:val="nil"/>
            </w:tcBorders>
            <w:noWrap w:val="0"/>
            <w:vAlign w:val="center"/>
          </w:tcPr>
          <w:p w14:paraId="4F482C4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样品提供</w:t>
            </w:r>
          </w:p>
        </w:tc>
        <w:tc>
          <w:tcPr>
            <w:tcW w:w="6649" w:type="dxa"/>
            <w:tcBorders>
              <w:tl2br w:val="nil"/>
              <w:tr2bl w:val="nil"/>
            </w:tcBorders>
            <w:noWrap w:val="0"/>
            <w:vAlign w:val="center"/>
          </w:tcPr>
          <w:p w14:paraId="26A227D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不要求提供。</w:t>
            </w:r>
          </w:p>
        </w:tc>
      </w:tr>
      <w:tr w14:paraId="72E12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noWrap w:val="0"/>
            <w:vAlign w:val="center"/>
          </w:tcPr>
          <w:p w14:paraId="386B784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1843" w:type="dxa"/>
            <w:tcBorders>
              <w:tl2br w:val="nil"/>
              <w:tr2bl w:val="nil"/>
            </w:tcBorders>
            <w:noWrap w:val="0"/>
            <w:vAlign w:val="center"/>
          </w:tcPr>
          <w:p w14:paraId="7952C9B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0"/>
                <w:highlight w:val="none"/>
                <w14:textFill>
                  <w14:solidFill>
                    <w14:schemeClr w14:val="tx1"/>
                  </w14:solidFill>
                </w14:textFill>
              </w:rPr>
              <w:t>响应有效期</w:t>
            </w:r>
          </w:p>
        </w:tc>
        <w:tc>
          <w:tcPr>
            <w:tcW w:w="6649" w:type="dxa"/>
            <w:tcBorders>
              <w:tl2br w:val="nil"/>
              <w:tr2bl w:val="nil"/>
            </w:tcBorders>
            <w:noWrap w:val="0"/>
            <w:vAlign w:val="center"/>
          </w:tcPr>
          <w:p w14:paraId="534FBED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从提交响应文件的截止之日起90天。</w:t>
            </w:r>
          </w:p>
        </w:tc>
      </w:tr>
      <w:tr w14:paraId="2605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noWrap w:val="0"/>
            <w:vAlign w:val="center"/>
          </w:tcPr>
          <w:p w14:paraId="508DBF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1843" w:type="dxa"/>
            <w:tcBorders>
              <w:tl2br w:val="nil"/>
              <w:tr2bl w:val="nil"/>
            </w:tcBorders>
            <w:noWrap w:val="0"/>
            <w:vAlign w:val="center"/>
          </w:tcPr>
          <w:p w14:paraId="0260D12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履约保证金</w:t>
            </w:r>
          </w:p>
        </w:tc>
        <w:tc>
          <w:tcPr>
            <w:tcW w:w="6649" w:type="dxa"/>
            <w:tcBorders>
              <w:tl2br w:val="nil"/>
              <w:tr2bl w:val="nil"/>
            </w:tcBorders>
            <w:noWrap w:val="0"/>
            <w:vAlign w:val="center"/>
          </w:tcPr>
          <w:p w14:paraId="66CD20B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金额：</w:t>
            </w:r>
            <w:r>
              <w:rPr>
                <w:rFonts w:hint="eastAsia" w:ascii="仿宋" w:hAnsi="仿宋" w:eastAsia="仿宋" w:cs="仿宋"/>
                <w:color w:val="000000" w:themeColor="text1"/>
                <w:sz w:val="24"/>
                <w:highlight w:val="none"/>
                <w:lang w:eastAsia="zh-CN"/>
                <w14:textFill>
                  <w14:solidFill>
                    <w14:schemeClr w14:val="tx1"/>
                  </w14:solidFill>
                </w14:textFill>
              </w:rPr>
              <w:t>中标</w:t>
            </w:r>
            <w:r>
              <w:rPr>
                <w:rFonts w:hint="eastAsia" w:ascii="仿宋" w:hAnsi="仿宋" w:eastAsia="仿宋" w:cs="仿宋"/>
                <w:color w:val="000000" w:themeColor="text1"/>
                <w:sz w:val="24"/>
                <w:highlight w:val="none"/>
                <w:lang w:val="en-US" w:eastAsia="zh-CN"/>
                <w14:textFill>
                  <w14:solidFill>
                    <w14:schemeClr w14:val="tx1"/>
                  </w14:solidFill>
                </w14:textFill>
              </w:rPr>
              <w:t>合同</w:t>
            </w:r>
            <w:r>
              <w:rPr>
                <w:rFonts w:hint="eastAsia" w:ascii="仿宋" w:hAnsi="仿宋" w:eastAsia="仿宋" w:cs="仿宋"/>
                <w:color w:val="000000" w:themeColor="text1"/>
                <w:sz w:val="24"/>
                <w:highlight w:val="none"/>
                <w:lang w:eastAsia="zh-CN"/>
                <w14:textFill>
                  <w14:solidFill>
                    <w14:schemeClr w14:val="tx1"/>
                  </w14:solidFill>
                </w14:textFill>
              </w:rPr>
              <w:t>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在签订合同前</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lang w:eastAsia="zh-CN"/>
                <w14:textFill>
                  <w14:solidFill>
                    <w14:schemeClr w14:val="tx1"/>
                  </w14:solidFill>
                </w14:textFill>
              </w:rPr>
              <w:t>转账、</w:t>
            </w:r>
            <w:r>
              <w:rPr>
                <w:rFonts w:hint="eastAsia" w:ascii="仿宋" w:hAnsi="仿宋" w:eastAsia="仿宋" w:cs="仿宋"/>
                <w:color w:val="000000" w:themeColor="text1"/>
                <w:sz w:val="24"/>
                <w:highlight w:val="none"/>
                <w14:textFill>
                  <w14:solidFill>
                    <w14:schemeClr w14:val="tx1"/>
                  </w14:solidFill>
                </w14:textFill>
              </w:rPr>
              <w:t>支票、汇票、本票或者金融机构出具的保函等非现金形式提交。在履约期内全面且无瑕疵的履行完合同约定的所有义务</w:t>
            </w:r>
            <w:r>
              <w:rPr>
                <w:rFonts w:hint="eastAsia" w:ascii="仿宋" w:hAnsi="仿宋" w:eastAsia="仿宋" w:cs="仿宋"/>
                <w:color w:val="000000" w:themeColor="text1"/>
                <w:sz w:val="24"/>
                <w:highlight w:val="none"/>
                <w:lang w:eastAsia="zh-CN"/>
                <w14:textFill>
                  <w14:solidFill>
                    <w14:schemeClr w14:val="tx1"/>
                  </w14:solidFill>
                </w14:textFill>
              </w:rPr>
              <w:t>后</w:t>
            </w:r>
            <w:r>
              <w:rPr>
                <w:rFonts w:hint="eastAsia" w:ascii="仿宋" w:hAnsi="仿宋" w:eastAsia="仿宋" w:cs="仿宋"/>
                <w:color w:val="000000" w:themeColor="text1"/>
                <w:sz w:val="24"/>
                <w:highlight w:val="none"/>
                <w14:textFill>
                  <w14:solidFill>
                    <w14:schemeClr w14:val="tx1"/>
                  </w14:solidFill>
                </w14:textFill>
              </w:rPr>
              <w:t>无息退还。</w:t>
            </w:r>
          </w:p>
          <w:p w14:paraId="717C28E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如采用</w:t>
            </w:r>
            <w:r>
              <w:rPr>
                <w:rFonts w:hint="eastAsia" w:ascii="仿宋" w:hAnsi="仿宋" w:eastAsia="仿宋" w:cs="仿宋"/>
                <w:color w:val="000000" w:themeColor="text1"/>
                <w:sz w:val="24"/>
                <w:highlight w:val="none"/>
                <w:lang w:eastAsia="zh-CN"/>
                <w14:textFill>
                  <w14:solidFill>
                    <w14:schemeClr w14:val="tx1"/>
                  </w14:solidFill>
                </w14:textFill>
              </w:rPr>
              <w:t>金融机构</w:t>
            </w:r>
            <w:r>
              <w:rPr>
                <w:rFonts w:hint="eastAsia" w:ascii="仿宋" w:hAnsi="仿宋" w:eastAsia="仿宋" w:cs="仿宋"/>
                <w:color w:val="000000" w:themeColor="text1"/>
                <w:sz w:val="24"/>
                <w:highlight w:val="none"/>
                <w14:textFill>
                  <w14:solidFill>
                    <w14:schemeClr w14:val="tx1"/>
                  </w14:solidFill>
                </w14:textFill>
              </w:rPr>
              <w:t>保函</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应由县（区、市）级支行及以上的银行开具，并保证其有效</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保函有效时间</w:t>
            </w:r>
            <w:r>
              <w:rPr>
                <w:rFonts w:hint="eastAsia" w:ascii="仿宋" w:hAnsi="仿宋" w:eastAsia="仿宋" w:cs="仿宋"/>
                <w:color w:val="000000" w:themeColor="text1"/>
                <w:sz w:val="24"/>
                <w:highlight w:val="none"/>
                <w:lang w:eastAsia="zh-CN"/>
                <w14:textFill>
                  <w14:solidFill>
                    <w14:schemeClr w14:val="tx1"/>
                  </w14:solidFill>
                </w14:textFill>
              </w:rPr>
              <w:t>不得少于合同履约期</w:t>
            </w:r>
            <w:r>
              <w:rPr>
                <w:rFonts w:hint="eastAsia" w:ascii="仿宋" w:hAnsi="仿宋" w:eastAsia="仿宋" w:cs="仿宋"/>
                <w:color w:val="000000" w:themeColor="text1"/>
                <w:sz w:val="24"/>
                <w:highlight w:val="none"/>
                <w14:textFill>
                  <w14:solidFill>
                    <w14:schemeClr w14:val="tx1"/>
                  </w14:solidFill>
                </w14:textFill>
              </w:rPr>
              <w:t>。</w:t>
            </w:r>
          </w:p>
        </w:tc>
      </w:tr>
      <w:tr w14:paraId="76C9C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noWrap w:val="0"/>
            <w:vAlign w:val="center"/>
          </w:tcPr>
          <w:p w14:paraId="4C7D114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1843" w:type="dxa"/>
            <w:tcBorders>
              <w:tl2br w:val="nil"/>
              <w:tr2bl w:val="nil"/>
            </w:tcBorders>
            <w:noWrap w:val="0"/>
            <w:vAlign w:val="center"/>
          </w:tcPr>
          <w:p w14:paraId="239471F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投标保证金</w:t>
            </w:r>
          </w:p>
        </w:tc>
        <w:tc>
          <w:tcPr>
            <w:tcW w:w="6649" w:type="dxa"/>
            <w:tcBorders>
              <w:tl2br w:val="nil"/>
              <w:tr2bl w:val="nil"/>
            </w:tcBorders>
            <w:noWrap w:val="0"/>
            <w:vAlign w:val="center"/>
          </w:tcPr>
          <w:p w14:paraId="6A8819E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投标保证金：</w:t>
            </w:r>
            <w:r>
              <w:rPr>
                <w:rFonts w:hint="eastAsia" w:ascii="仿宋" w:hAnsi="仿宋" w:eastAsia="仿宋" w:cs="仿宋"/>
                <w:b w:val="0"/>
                <w:bCs/>
                <w:color w:val="000000" w:themeColor="text1"/>
                <w:sz w:val="24"/>
                <w:highlight w:val="none"/>
                <w14:textFill>
                  <w14:solidFill>
                    <w14:schemeClr w14:val="tx1"/>
                  </w14:solidFill>
                </w14:textFill>
              </w:rPr>
              <w:t>人民币</w:t>
            </w:r>
            <w:r>
              <w:rPr>
                <w:rFonts w:hint="eastAsia" w:ascii="仿宋" w:hAnsi="仿宋" w:eastAsia="仿宋" w:cs="仿宋"/>
                <w:b w:val="0"/>
                <w:bCs/>
                <w:color w:val="000000" w:themeColor="text1"/>
                <w:sz w:val="24"/>
                <w:highlight w:val="none"/>
                <w:lang w:val="en-US" w:eastAsia="zh-CN"/>
                <w14:textFill>
                  <w14:solidFill>
                    <w14:schemeClr w14:val="tx1"/>
                  </w14:solidFill>
                </w14:textFill>
              </w:rPr>
              <w:t>壹万伍仟元整</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15000.00</w:t>
            </w:r>
            <w:r>
              <w:rPr>
                <w:rFonts w:hint="eastAsia" w:ascii="仿宋" w:hAnsi="仿宋" w:eastAsia="仿宋" w:cs="仿宋"/>
                <w:b w:val="0"/>
                <w:bCs/>
                <w:color w:val="000000" w:themeColor="text1"/>
                <w:sz w:val="24"/>
                <w:highlight w:val="none"/>
                <w14:textFill>
                  <w14:solidFill>
                    <w14:schemeClr w14:val="tx1"/>
                  </w14:solidFill>
                </w14:textFill>
              </w:rPr>
              <w:t>）</w:t>
            </w:r>
          </w:p>
          <w:p w14:paraId="3665994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交纳方式:电汇/转账</w:t>
            </w:r>
            <w:r>
              <w:rPr>
                <w:rFonts w:hint="eastAsia" w:ascii="仿宋" w:hAnsi="仿宋" w:eastAsia="仿宋" w:cs="仿宋"/>
                <w:b w:val="0"/>
                <w:bCs/>
                <w:color w:val="000000" w:themeColor="text1"/>
                <w:sz w:val="24"/>
                <w:highlight w:val="none"/>
                <w:lang w:val="en-US" w:eastAsia="zh-CN"/>
                <w14:textFill>
                  <w14:solidFill>
                    <w14:schemeClr w14:val="tx1"/>
                  </w14:solidFill>
                </w14:textFill>
              </w:rPr>
              <w:t>/银行保函/保险保证/担保公司担保等非现金形式，投标人须在投标截止时间前缴纳至代理公司账户，以实际到账为准。</w:t>
            </w:r>
          </w:p>
          <w:p w14:paraId="53E53FE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开户银行：中信银行杭州临安支行</w:t>
            </w:r>
          </w:p>
          <w:p w14:paraId="28F0DC5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银行行号：302331053059</w:t>
            </w:r>
          </w:p>
          <w:p w14:paraId="24E71B8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开户名称：浙江华夏工程管理有限公司临安分公司</w:t>
            </w:r>
          </w:p>
          <w:p w14:paraId="1231552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账 号：8110801012203032476</w:t>
            </w:r>
          </w:p>
          <w:p w14:paraId="7F62030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 xml:space="preserve">联系电话：0571-63705818  </w:t>
            </w:r>
          </w:p>
          <w:p w14:paraId="38E8EED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备注：1）</w:t>
            </w:r>
            <w:r>
              <w:rPr>
                <w:rFonts w:hint="eastAsia" w:ascii="仿宋" w:hAnsi="仿宋" w:eastAsia="仿宋" w:cs="仿宋"/>
                <w:b w:val="0"/>
                <w:bCs/>
                <w:color w:val="000000" w:themeColor="text1"/>
                <w:sz w:val="24"/>
                <w:highlight w:val="none"/>
                <w14:textFill>
                  <w14:solidFill>
                    <w14:schemeClr w14:val="tx1"/>
                  </w14:solidFill>
                </w14:textFill>
              </w:rPr>
              <w:t>请各投标人在缴纳保证金时注明项目</w:t>
            </w:r>
            <w:r>
              <w:rPr>
                <w:rFonts w:hint="eastAsia" w:ascii="仿宋" w:hAnsi="仿宋" w:eastAsia="仿宋" w:cs="仿宋"/>
                <w:b w:val="0"/>
                <w:bCs/>
                <w:color w:val="000000" w:themeColor="text1"/>
                <w:sz w:val="24"/>
                <w:highlight w:val="none"/>
                <w:lang w:val="en-US" w:eastAsia="zh-CN"/>
                <w14:textFill>
                  <w14:solidFill>
                    <w14:schemeClr w14:val="tx1"/>
                  </w14:solidFill>
                </w14:textFill>
              </w:rPr>
              <w:t>名称</w:t>
            </w:r>
            <w:r>
              <w:rPr>
                <w:rFonts w:hint="eastAsia" w:ascii="仿宋" w:hAnsi="仿宋" w:eastAsia="仿宋" w:cs="仿宋"/>
                <w:b w:val="0"/>
                <w:bCs/>
                <w:color w:val="000000" w:themeColor="text1"/>
                <w:sz w:val="24"/>
                <w:highlight w:val="none"/>
                <w14:textFill>
                  <w14:solidFill>
                    <w14:schemeClr w14:val="tx1"/>
                  </w14:solidFill>
                </w14:textFill>
              </w:rPr>
              <w:t>，同时保存好银行转账的回单或缴款凭证，并将该回单或缴款凭证编入投标文件中。</w:t>
            </w:r>
          </w:p>
          <w:p w14:paraId="03B6024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lang w:val="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lang w:val="zh-CN"/>
                <w14:textFill>
                  <w14:solidFill>
                    <w14:schemeClr w14:val="tx1"/>
                  </w14:solidFill>
                </w14:textFill>
              </w:rPr>
              <w:t>银行保函/保证保险/担保公司担保方式：必须在有效期内，需在投标文件相应部分提供符合要求的保函等证明材料原件扫描件。</w:t>
            </w:r>
          </w:p>
          <w:p w14:paraId="02EF68B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highlight w:val="none"/>
                <w:lang w:val="zh-CN"/>
                <w14:textFill>
                  <w14:solidFill>
                    <w14:schemeClr w14:val="tx1"/>
                  </w14:solidFill>
                </w14:textFill>
              </w:rPr>
              <w:t>重新招标项目，参与投标的投标人仍需按上述规定要求重新递交投标保证金（转账方式</w:t>
            </w:r>
            <w:r>
              <w:rPr>
                <w:rFonts w:hint="eastAsia" w:ascii="仿宋" w:hAnsi="仿宋" w:eastAsia="仿宋" w:cs="仿宋"/>
                <w:b w:val="0"/>
                <w:bCs/>
                <w:color w:val="000000" w:themeColor="text1"/>
                <w:sz w:val="24"/>
                <w:highlight w:val="none"/>
                <w:lang w:val="zh-CN" w:eastAsia="zh-CN"/>
                <w14:textFill>
                  <w14:solidFill>
                    <w14:schemeClr w14:val="tx1"/>
                  </w14:solidFill>
                </w14:textFill>
              </w:rPr>
              <w:t>除外</w:t>
            </w:r>
            <w:r>
              <w:rPr>
                <w:rFonts w:hint="eastAsia" w:ascii="仿宋" w:hAnsi="仿宋" w:eastAsia="仿宋" w:cs="仿宋"/>
                <w:b w:val="0"/>
                <w:bCs/>
                <w:color w:val="000000" w:themeColor="text1"/>
                <w:sz w:val="24"/>
                <w:highlight w:val="none"/>
                <w:lang w:val="zh-CN"/>
                <w14:textFill>
                  <w14:solidFill>
                    <w14:schemeClr w14:val="tx1"/>
                  </w14:solidFill>
                </w14:textFill>
              </w:rPr>
              <w:t>）。</w:t>
            </w:r>
          </w:p>
        </w:tc>
      </w:tr>
      <w:tr w14:paraId="6B354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noWrap w:val="0"/>
            <w:vAlign w:val="center"/>
          </w:tcPr>
          <w:p w14:paraId="23B7CC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1843" w:type="dxa"/>
            <w:tcBorders>
              <w:tl2br w:val="nil"/>
              <w:tr2bl w:val="nil"/>
            </w:tcBorders>
            <w:noWrap w:val="0"/>
            <w:vAlign w:val="center"/>
          </w:tcPr>
          <w:p w14:paraId="7CA93E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代理服务费</w:t>
            </w:r>
          </w:p>
        </w:tc>
        <w:tc>
          <w:tcPr>
            <w:tcW w:w="6649" w:type="dxa"/>
            <w:tcBorders>
              <w:tl2br w:val="nil"/>
              <w:tr2bl w:val="nil"/>
            </w:tcBorders>
            <w:noWrap w:val="0"/>
            <w:vAlign w:val="center"/>
          </w:tcPr>
          <w:p w14:paraId="786228CA">
            <w:pPr>
              <w:keepNext w:val="0"/>
              <w:keepLines w:val="0"/>
              <w:pageBreakBefore w:val="0"/>
              <w:widowControl w:val="0"/>
              <w:tabs>
                <w:tab w:val="left" w:pos="440"/>
              </w:tabs>
              <w:kinsoku/>
              <w:wordWrap/>
              <w:overflowPunct/>
              <w:topLinePunct w:val="0"/>
              <w:autoSpaceDE/>
              <w:autoSpaceDN/>
              <w:bidi w:val="0"/>
              <w:adjustRightInd/>
              <w:spacing w:line="400" w:lineRule="exact"/>
              <w:textAlignment w:val="auto"/>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代理</w:t>
            </w:r>
            <w:r>
              <w:rPr>
                <w:rFonts w:hint="eastAsia" w:ascii="仿宋" w:hAnsi="仿宋" w:eastAsia="仿宋" w:cs="仿宋"/>
                <w:color w:val="000000" w:themeColor="text1"/>
                <w:sz w:val="24"/>
                <w:highlight w:val="none"/>
                <w14:textFill>
                  <w14:solidFill>
                    <w14:schemeClr w14:val="tx1"/>
                  </w14:solidFill>
                </w14:textFill>
              </w:rPr>
              <w:t>服务费</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代理</w:t>
            </w:r>
            <w:r>
              <w:rPr>
                <w:rFonts w:hint="eastAsia" w:ascii="仿宋" w:hAnsi="仿宋" w:eastAsia="仿宋" w:cs="仿宋"/>
                <w:color w:val="000000" w:themeColor="text1"/>
                <w:sz w:val="24"/>
                <w:highlight w:val="none"/>
                <w:lang w:eastAsia="zh-CN"/>
                <w14:textFill>
                  <w14:solidFill>
                    <w14:schemeClr w14:val="tx1"/>
                  </w14:solidFill>
                </w14:textFill>
              </w:rPr>
              <w:t>服务费</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按单个项目中标价*招标委托代理费费率46%计取，最高不超过20000元</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w:t>
            </w:r>
          </w:p>
          <w:p w14:paraId="40E3E0CA">
            <w:pPr>
              <w:keepNext w:val="0"/>
              <w:keepLines w:val="0"/>
              <w:pageBreakBefore w:val="0"/>
              <w:widowControl w:val="0"/>
              <w:tabs>
                <w:tab w:val="left" w:pos="440"/>
              </w:tabs>
              <w:kinsoku/>
              <w:wordWrap/>
              <w:overflowPunct/>
              <w:topLinePunct w:val="0"/>
              <w:autoSpaceDE/>
              <w:autoSpaceDN/>
              <w:bidi w:val="0"/>
              <w:adjustRightInd/>
              <w:spacing w:line="400" w:lineRule="exact"/>
              <w:textAlignment w:val="auto"/>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收费对象：成交供应商</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w:t>
            </w:r>
          </w:p>
          <w:p w14:paraId="2D5EF8F0">
            <w:pPr>
              <w:keepNext w:val="0"/>
              <w:keepLines w:val="0"/>
              <w:pageBreakBefore w:val="0"/>
              <w:widowControl w:val="0"/>
              <w:tabs>
                <w:tab w:val="left" w:pos="440"/>
              </w:tabs>
              <w:kinsoku/>
              <w:wordWrap/>
              <w:overflowPunct/>
              <w:topLinePunct w:val="0"/>
              <w:autoSpaceDE/>
              <w:autoSpaceDN/>
              <w:bidi w:val="0"/>
              <w:adjustRightInd/>
              <w:spacing w:line="400" w:lineRule="exact"/>
              <w:textAlignment w:val="auto"/>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缴纳时间：中标(成交)后5个工作日内一次性付清</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w:t>
            </w:r>
          </w:p>
        </w:tc>
      </w:tr>
      <w:tr w14:paraId="19748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noWrap w:val="0"/>
            <w:vAlign w:val="center"/>
          </w:tcPr>
          <w:p w14:paraId="6474AF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1843" w:type="dxa"/>
            <w:tcBorders>
              <w:tl2br w:val="nil"/>
              <w:tr2bl w:val="nil"/>
            </w:tcBorders>
            <w:noWrap w:val="0"/>
            <w:vAlign w:val="center"/>
          </w:tcPr>
          <w:p w14:paraId="0D0723E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中标候选人数量</w:t>
            </w:r>
          </w:p>
        </w:tc>
        <w:tc>
          <w:tcPr>
            <w:tcW w:w="6649" w:type="dxa"/>
            <w:tcBorders>
              <w:tl2br w:val="nil"/>
              <w:tr2bl w:val="nil"/>
            </w:tcBorders>
            <w:noWrap w:val="0"/>
            <w:vAlign w:val="center"/>
          </w:tcPr>
          <w:p w14:paraId="0ACDF28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本项目评审报告推荐的中标候选人数量：</w:t>
            </w:r>
            <w:r>
              <w:rPr>
                <w:rFonts w:hint="eastAsia" w:ascii="仿宋" w:hAnsi="仿宋" w:eastAsia="仿宋" w:cs="仿宋"/>
                <w:b w:val="0"/>
                <w:bCs/>
                <w:color w:val="000000" w:themeColor="text1"/>
                <w:sz w:val="24"/>
                <w:highlight w:val="none"/>
                <w:lang w:val="en-US" w:eastAsia="zh-CN"/>
                <w14:textFill>
                  <w14:solidFill>
                    <w14:schemeClr w14:val="tx1"/>
                  </w14:solidFill>
                </w14:textFill>
              </w:rPr>
              <w:t>1家</w:t>
            </w:r>
            <w:r>
              <w:rPr>
                <w:rFonts w:hint="eastAsia" w:ascii="仿宋" w:hAnsi="仿宋" w:eastAsia="仿宋" w:cs="仿宋"/>
                <w:b w:val="0"/>
                <w:bCs/>
                <w:color w:val="000000" w:themeColor="text1"/>
                <w:sz w:val="24"/>
                <w:highlight w:val="none"/>
                <w14:textFill>
                  <w14:solidFill>
                    <w14:schemeClr w14:val="tx1"/>
                  </w14:solidFill>
                </w14:textFill>
              </w:rPr>
              <w:t>。</w:t>
            </w:r>
          </w:p>
        </w:tc>
      </w:tr>
      <w:tr w14:paraId="580CC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noWrap w:val="0"/>
            <w:vAlign w:val="center"/>
          </w:tcPr>
          <w:p w14:paraId="039F112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1843" w:type="dxa"/>
            <w:tcBorders>
              <w:tl2br w:val="nil"/>
              <w:tr2bl w:val="nil"/>
            </w:tcBorders>
            <w:noWrap w:val="0"/>
            <w:vAlign w:val="center"/>
          </w:tcPr>
          <w:p w14:paraId="678981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解释</w:t>
            </w:r>
          </w:p>
        </w:tc>
        <w:tc>
          <w:tcPr>
            <w:tcW w:w="6649" w:type="dxa"/>
            <w:tcBorders>
              <w:tl2br w:val="nil"/>
              <w:tr2bl w:val="nil"/>
            </w:tcBorders>
            <w:noWrap w:val="0"/>
            <w:vAlign w:val="center"/>
          </w:tcPr>
          <w:p w14:paraId="36E0C45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本</w:t>
            </w:r>
            <w:r>
              <w:rPr>
                <w:rFonts w:hint="eastAsia" w:ascii="仿宋" w:hAnsi="仿宋" w:eastAsia="仿宋" w:cs="仿宋"/>
                <w:b w:val="0"/>
                <w:bCs/>
                <w:color w:val="000000" w:themeColor="text1"/>
                <w:sz w:val="24"/>
                <w:highlight w:val="none"/>
                <w:lang w:val="en-US" w:eastAsia="zh-CN"/>
                <w14:textFill>
                  <w14:solidFill>
                    <w14:schemeClr w14:val="tx1"/>
                  </w14:solidFill>
                </w14:textFill>
              </w:rPr>
              <w:t>招标</w:t>
            </w:r>
            <w:r>
              <w:rPr>
                <w:rFonts w:hint="eastAsia" w:ascii="仿宋" w:hAnsi="仿宋" w:eastAsia="仿宋" w:cs="仿宋"/>
                <w:b w:val="0"/>
                <w:bCs/>
                <w:color w:val="000000" w:themeColor="text1"/>
                <w:sz w:val="24"/>
                <w:highlight w:val="none"/>
                <w14:textFill>
                  <w14:solidFill>
                    <w14:schemeClr w14:val="tx1"/>
                  </w14:solidFill>
                </w14:textFill>
              </w:rPr>
              <w:t>文件的解释权属于采购</w:t>
            </w:r>
            <w:r>
              <w:rPr>
                <w:rFonts w:hint="eastAsia" w:ascii="仿宋" w:hAnsi="仿宋" w:eastAsia="仿宋" w:cs="仿宋"/>
                <w:b w:val="0"/>
                <w:bCs/>
                <w:color w:val="000000" w:themeColor="text1"/>
                <w:sz w:val="24"/>
                <w:highlight w:val="none"/>
                <w:lang w:eastAsia="zh-CN"/>
                <w14:textFill>
                  <w14:solidFill>
                    <w14:schemeClr w14:val="tx1"/>
                  </w14:solidFill>
                </w14:textFill>
              </w:rPr>
              <w:t>人</w:t>
            </w:r>
            <w:r>
              <w:rPr>
                <w:rFonts w:hint="eastAsia" w:ascii="仿宋" w:hAnsi="仿宋" w:eastAsia="仿宋" w:cs="仿宋"/>
                <w:b w:val="0"/>
                <w:bCs/>
                <w:color w:val="000000" w:themeColor="text1"/>
                <w:sz w:val="24"/>
                <w:highlight w:val="none"/>
                <w:lang w:val="en-US" w:eastAsia="zh-CN"/>
                <w14:textFill>
                  <w14:solidFill>
                    <w14:schemeClr w14:val="tx1"/>
                  </w14:solidFill>
                </w14:textFill>
              </w:rPr>
              <w:t>及采购代理机构</w:t>
            </w:r>
            <w:r>
              <w:rPr>
                <w:rFonts w:hint="eastAsia" w:ascii="仿宋" w:hAnsi="仿宋" w:eastAsia="仿宋" w:cs="仿宋"/>
                <w:b w:val="0"/>
                <w:bCs/>
                <w:color w:val="000000" w:themeColor="text1"/>
                <w:sz w:val="24"/>
                <w:highlight w:val="none"/>
                <w14:textFill>
                  <w14:solidFill>
                    <w14:schemeClr w14:val="tx1"/>
                  </w14:solidFill>
                </w14:textFill>
              </w:rPr>
              <w:t>。</w:t>
            </w:r>
          </w:p>
        </w:tc>
      </w:tr>
    </w:tbl>
    <w:p w14:paraId="00DE9B8A">
      <w:pPr>
        <w:spacing w:line="460" w:lineRule="exact"/>
        <w:ind w:firstLine="643" w:firstLineChars="200"/>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53C1B1B7">
      <w:pPr>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3397F1A0">
      <w:pPr>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395F9747">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469A348D">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本采购文件适用于该项目的邀请、响应、响应文件开启、资格审查及信用信息查询、询价、确定成交供应商、合同、验收等行为（法律、法规另有规定的，从其规定）。</w:t>
      </w:r>
    </w:p>
    <w:p w14:paraId="54F694AF">
      <w:pPr>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57F987A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“采购人”系指采购公告中载明的本项目的采购人</w:t>
      </w:r>
      <w:r>
        <w:rPr>
          <w:rFonts w:hint="eastAsia" w:ascii="仿宋" w:hAnsi="仿宋" w:eastAsia="仿宋" w:cs="仿宋"/>
          <w:color w:val="000000" w:themeColor="text1"/>
          <w:sz w:val="24"/>
          <w:highlight w:val="none"/>
          <w:lang w:eastAsia="zh-CN"/>
          <w14:textFill>
            <w14:solidFill>
              <w14:schemeClr w14:val="tx1"/>
            </w14:solidFill>
          </w14:textFill>
        </w:rPr>
        <w:t>（杭州临安恒元建材有限公司）</w:t>
      </w:r>
      <w:r>
        <w:rPr>
          <w:rFonts w:hint="eastAsia" w:ascii="仿宋" w:hAnsi="仿宋" w:eastAsia="仿宋" w:cs="仿宋"/>
          <w:color w:val="000000" w:themeColor="text1"/>
          <w:sz w:val="24"/>
          <w:highlight w:val="none"/>
          <w14:textFill>
            <w14:solidFill>
              <w14:schemeClr w14:val="tx1"/>
            </w14:solidFill>
          </w14:textFill>
        </w:rPr>
        <w:t>。</w:t>
      </w:r>
    </w:p>
    <w:p w14:paraId="60AE82E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“采购代理机构”系指采购公告中载明的本项目的采购代理机构。</w:t>
      </w:r>
    </w:p>
    <w:p w14:paraId="0B6951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“供应商”系指是指响应询价邀请、参加响应竞争的法人、其他组织或者自然人。</w:t>
      </w:r>
    </w:p>
    <w:p w14:paraId="48593F9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0F227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人身份并表明签名人认可其中内容的数据；“公章”系指单位法定名称章。因特殊原因需要使用冠以法定名称的业务专用章的，须提供《业务专用章使用说明函》（附件4）。</w:t>
      </w:r>
    </w:p>
    <w:p w14:paraId="54923F1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2.6“电子交易平台”系指本项目采购活动所依托的</w:t>
      </w:r>
      <w:r>
        <w:rPr>
          <w:rFonts w:hint="eastAsia" w:ascii="仿宋" w:hAnsi="仿宋" w:eastAsia="仿宋" w:cs="仿宋"/>
          <w:color w:val="000000" w:themeColor="text1"/>
          <w:sz w:val="24"/>
          <w:highlight w:val="none"/>
          <w:lang w:eastAsia="zh-CN"/>
          <w14:textFill>
            <w14:solidFill>
              <w14:schemeClr w14:val="tx1"/>
            </w14:solidFill>
          </w14:textFill>
        </w:rPr>
        <w:t>乐采云平台（https://www.lecaiyun.com/）</w:t>
      </w:r>
      <w:r>
        <w:rPr>
          <w:rFonts w:hint="eastAsia" w:ascii="仿宋" w:hAnsi="仿宋" w:eastAsia="仿宋" w:cs="仿宋"/>
          <w:color w:val="000000" w:themeColor="text1"/>
          <w:sz w:val="24"/>
          <w:highlight w:val="none"/>
          <w14:textFill>
            <w14:solidFill>
              <w14:schemeClr w14:val="tx1"/>
            </w14:solidFill>
          </w14:textFill>
        </w:rPr>
        <w:t>。</w:t>
      </w:r>
    </w:p>
    <w:p w14:paraId="517214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2" w:char="0052"/>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w:t>
      </w:r>
      <w:r>
        <w:rPr>
          <w:rFonts w:hint="eastAsia" w:ascii="仿宋" w:hAnsi="仿宋" w:eastAsia="仿宋" w:cs="仿宋"/>
          <w:b w:val="0"/>
          <w:bCs w:val="0"/>
          <w:color w:val="000000" w:themeColor="text1"/>
          <w:sz w:val="24"/>
          <w:highlight w:val="none"/>
          <w14:textFill>
            <w14:solidFill>
              <w14:schemeClr w14:val="tx1"/>
            </w14:solidFill>
          </w14:textFill>
        </w:rPr>
        <w:t>求</w:t>
      </w:r>
      <w:r>
        <w:rPr>
          <w:rFonts w:hint="eastAsia" w:ascii="仿宋" w:hAnsi="仿宋" w:eastAsia="仿宋" w:cs="仿宋"/>
          <w:b w:val="0"/>
          <w:bCs w:val="0"/>
          <w:color w:val="000000" w:themeColor="text1"/>
          <w:kern w:val="0"/>
          <w:sz w:val="24"/>
          <w:highlight w:val="none"/>
          <w:lang w:val="zh-CN"/>
          <w14:textFill>
            <w14:solidFill>
              <w14:schemeClr w14:val="tx1"/>
            </w14:solidFill>
          </w14:textFill>
        </w:rPr>
        <w:t>。</w:t>
      </w:r>
    </w:p>
    <w:p w14:paraId="63A54B88">
      <w:pPr>
        <w:autoSpaceDE w:val="0"/>
        <w:autoSpaceDN w:val="0"/>
        <w:spacing w:line="360" w:lineRule="auto"/>
        <w:ind w:firstLine="482" w:firstLineChars="2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3.开标委托</w:t>
      </w:r>
    </w:p>
    <w:p w14:paraId="4B1349B9">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本项目无须投标人到场参加开标会议。</w:t>
      </w:r>
    </w:p>
    <w:p w14:paraId="6F07C8BA">
      <w:pPr>
        <w:autoSpaceDE w:val="0"/>
        <w:autoSpaceDN w:val="0"/>
        <w:spacing w:line="360" w:lineRule="auto"/>
        <w:ind w:firstLine="482"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4. 询问、质疑、投诉</w:t>
      </w:r>
    </w:p>
    <w:p w14:paraId="4FCFCB0C">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4.1询问、质疑、投诉</w:t>
      </w:r>
    </w:p>
    <w:p w14:paraId="27627ACC">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54483FA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1E7A08">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6B54497E">
      <w:pPr>
        <w:pStyle w:val="1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19D06100">
      <w:pPr>
        <w:pStyle w:val="1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C83CDBA">
      <w:pPr>
        <w:pStyle w:val="11"/>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06F2BA27">
      <w:pPr>
        <w:pStyle w:val="1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4.3.2.2对采购过程提出质疑的，质疑期限为各采购程序环节结束之日起计算。对同一采购程序环节的质疑，供应商须一次性提出。</w:t>
      </w:r>
    </w:p>
    <w:p w14:paraId="41B4C720">
      <w:pPr>
        <w:pStyle w:val="1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4.3.2.3对采购结果提出质疑的，质疑期限自采购结果公告期限届满之日起计算。</w:t>
      </w:r>
    </w:p>
    <w:p w14:paraId="67C1726C">
      <w:pPr>
        <w:pStyle w:val="16"/>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790CA909">
      <w:pPr>
        <w:pStyle w:val="16"/>
        <w:spacing w:line="360" w:lineRule="auto"/>
        <w:ind w:left="0" w:leftChars="0"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7C0B8A90">
      <w:pPr>
        <w:pStyle w:val="16"/>
        <w:spacing w:line="360" w:lineRule="auto"/>
        <w:ind w:left="0" w:leftChars="0"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78DF706E">
      <w:pPr>
        <w:pStyle w:val="16"/>
        <w:spacing w:line="360" w:lineRule="auto"/>
        <w:ind w:left="0" w:leftChars="0"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7AFE07E6">
      <w:pPr>
        <w:pStyle w:val="16"/>
        <w:spacing w:line="360" w:lineRule="auto"/>
        <w:ind w:left="0" w:leftChars="0"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7D55BEA0">
      <w:pPr>
        <w:pStyle w:val="16"/>
        <w:spacing w:line="360" w:lineRule="auto"/>
        <w:ind w:left="0" w:leftChars="0"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4.2.3.5必要的法律依据；</w:t>
      </w:r>
    </w:p>
    <w:p w14:paraId="2D24C56C">
      <w:pPr>
        <w:pStyle w:val="16"/>
        <w:spacing w:line="360" w:lineRule="auto"/>
        <w:ind w:left="0" w:leftChars="0"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71D299F1">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F4CEDFD">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w:t>
      </w:r>
      <w:r>
        <w:rPr>
          <w:rFonts w:hint="eastAsia" w:ascii="仿宋" w:hAnsi="仿宋" w:eastAsia="仿宋" w:cs="仿宋"/>
          <w:color w:val="000000" w:themeColor="text1"/>
          <w:highlight w:val="none"/>
          <w:lang w:eastAsia="zh-CN"/>
          <w14:textFill>
            <w14:solidFill>
              <w14:schemeClr w14:val="tx1"/>
            </w14:solidFill>
          </w14:textFill>
        </w:rPr>
        <w:t>文件末</w:t>
      </w:r>
      <w:r>
        <w:rPr>
          <w:rFonts w:hint="eastAsia" w:ascii="仿宋" w:hAnsi="仿宋" w:eastAsia="仿宋" w:cs="仿宋"/>
          <w:color w:val="000000" w:themeColor="text1"/>
          <w:highlight w:val="none"/>
          <w14:textFill>
            <w14:solidFill>
              <w14:schemeClr w14:val="tx1"/>
            </w14:solidFill>
          </w14:textFill>
        </w:rPr>
        <w:t>附件</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w:t>
      </w:r>
    </w:p>
    <w:p w14:paraId="4E110949">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.4采购人或者采购代理机构应当在收到供应商的书面质疑后七个工作日内作出答复，并以书面形式通知质疑供应商和其他与质疑处理结果有利害关系的采购当事人，但答复的内容不得涉及商业秘密。</w:t>
      </w:r>
    </w:p>
    <w:p w14:paraId="19F6A142">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.5询问或者质疑事项可能影响采购结果的，采购人应当暂停签订合同，已经签订合同的，应当中止履行合同。</w:t>
      </w:r>
    </w:p>
    <w:p w14:paraId="27832DE2">
      <w:pPr>
        <w:pStyle w:val="43"/>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3C3EAF9E">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000000" w:themeColor="text1"/>
          <w:highlight w:val="none"/>
          <w:lang w:eastAsia="zh-CN"/>
          <w14:textFill>
            <w14:solidFill>
              <w14:schemeClr w14:val="tx1"/>
            </w14:solidFill>
          </w14:textFill>
        </w:rPr>
        <w:t>监督管理部门</w:t>
      </w:r>
      <w:r>
        <w:rPr>
          <w:rFonts w:hint="eastAsia" w:ascii="仿宋" w:hAnsi="仿宋" w:eastAsia="仿宋" w:cs="仿宋"/>
          <w:color w:val="000000" w:themeColor="text1"/>
          <w:highlight w:val="none"/>
          <w14:textFill>
            <w14:solidFill>
              <w14:schemeClr w14:val="tx1"/>
            </w14:solidFill>
          </w14:textFill>
        </w:rPr>
        <w:t>提出投诉。</w:t>
      </w:r>
    </w:p>
    <w:p w14:paraId="31E4E4DF">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257C8072">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3F396F77">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 以联合体形式参加采购活动的，其投诉应当由组成联合体的所有供应商共同提出。</w:t>
      </w:r>
    </w:p>
    <w:p w14:paraId="19A840C5">
      <w:pPr>
        <w:pStyle w:val="4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w:t>
      </w:r>
      <w:r>
        <w:rPr>
          <w:rFonts w:hint="eastAsia" w:ascii="仿宋" w:hAnsi="仿宋" w:eastAsia="仿宋" w:cs="仿宋"/>
          <w:color w:val="000000" w:themeColor="text1"/>
          <w:highlight w:val="none"/>
          <w:lang w:eastAsia="zh-CN"/>
          <w14:textFill>
            <w14:solidFill>
              <w14:schemeClr w14:val="tx1"/>
            </w14:solidFill>
          </w14:textFill>
        </w:rPr>
        <w:t>文件末</w:t>
      </w:r>
      <w:r>
        <w:rPr>
          <w:rFonts w:hint="eastAsia" w:ascii="仿宋" w:hAnsi="仿宋" w:eastAsia="仿宋" w:cs="仿宋"/>
          <w:color w:val="000000" w:themeColor="text1"/>
          <w:highlight w:val="none"/>
          <w14:textFill>
            <w14:solidFill>
              <w14:schemeClr w14:val="tx1"/>
            </w14:solidFill>
          </w14:textFill>
        </w:rPr>
        <w:t>附件</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w:t>
      </w:r>
    </w:p>
    <w:p w14:paraId="65E26CC2">
      <w:pPr>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二、采购文件的构成、澄清、修改</w:t>
      </w:r>
    </w:p>
    <w:p w14:paraId="4BF1C40D">
      <w:pPr>
        <w:pStyle w:val="1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5．采购文件的构成</w:t>
      </w:r>
    </w:p>
    <w:p w14:paraId="350E6CB8">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采购文件包括下列文件及附件：</w:t>
      </w:r>
    </w:p>
    <w:p w14:paraId="235446DF">
      <w:pPr>
        <w:pStyle w:val="1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5.1.1采购公告；</w:t>
      </w:r>
    </w:p>
    <w:p w14:paraId="73F32491">
      <w:pPr>
        <w:pStyle w:val="1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5.1.2供应商须知；</w:t>
      </w:r>
    </w:p>
    <w:p w14:paraId="2EE106EF">
      <w:pPr>
        <w:pStyle w:val="1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662C7C5B">
      <w:pPr>
        <w:pStyle w:val="1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5.1.4评审办法；</w:t>
      </w:r>
    </w:p>
    <w:p w14:paraId="360897E5">
      <w:pPr>
        <w:pStyle w:val="1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6579FB96">
      <w:pPr>
        <w:pStyle w:val="1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1CCC41C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澄清或者修改的内容为采购文件的组成部分</w:t>
      </w:r>
      <w:r>
        <w:rPr>
          <w:rFonts w:hint="eastAsia" w:ascii="仿宋" w:hAnsi="仿宋" w:eastAsia="仿宋" w:cs="仿宋"/>
          <w:color w:val="000000" w:themeColor="text1"/>
          <w:sz w:val="24"/>
          <w:highlight w:val="none"/>
          <w14:textFill>
            <w14:solidFill>
              <w14:schemeClr w14:val="tx1"/>
            </w14:solidFill>
          </w14:textFill>
        </w:rPr>
        <w:t>。</w:t>
      </w:r>
    </w:p>
    <w:p w14:paraId="7CD8A22B">
      <w:pPr>
        <w:pStyle w:val="1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采购文件的澄清、修改</w:t>
      </w:r>
    </w:p>
    <w:p w14:paraId="5D80D747">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6.1已获取采购文件的潜在供应商，若有问题需要澄清，应于响应截止时间前，以书面形式向采购代理机构提出。</w:t>
      </w:r>
    </w:p>
    <w:p w14:paraId="4D33A80F">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53BC20C4">
      <w:pPr>
        <w:pStyle w:val="14"/>
        <w:rPr>
          <w:rFonts w:hint="eastAsia" w:ascii="仿宋" w:hAnsi="仿宋" w:eastAsia="仿宋" w:cs="仿宋"/>
          <w:color w:val="000000" w:themeColor="text1"/>
          <w:sz w:val="18"/>
          <w:szCs w:val="18"/>
          <w:highlight w:val="none"/>
          <w:lang w:val="en-US"/>
          <w14:textFill>
            <w14:solidFill>
              <w14:schemeClr w14:val="tx1"/>
            </w14:solidFill>
          </w14:textFill>
        </w:rPr>
      </w:pPr>
    </w:p>
    <w:p w14:paraId="1C5250AD">
      <w:pPr>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三、响应</w:t>
      </w:r>
    </w:p>
    <w:p w14:paraId="2EC97A11">
      <w:pPr>
        <w:pStyle w:val="1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采购文件的获取</w:t>
      </w:r>
    </w:p>
    <w:p w14:paraId="55D73C2C">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详见采购公告中获取采购文件的时间期限、地点、方式及采购文件售价。</w:t>
      </w:r>
    </w:p>
    <w:p w14:paraId="42495BC0">
      <w:pPr>
        <w:pStyle w:val="1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8.响应截至前答疑会或现场考察</w:t>
      </w:r>
    </w:p>
    <w:p w14:paraId="002E5A6E">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采购人组织潜在供应商现场考察或者召开响应文件开启前答疑会的，潜在供应商按第二部分供应商须知前附表的规定参加现场考察或者响应文件开启前答疑会。</w:t>
      </w:r>
    </w:p>
    <w:p w14:paraId="29C06E16">
      <w:pPr>
        <w:pStyle w:val="16"/>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w:t>
      </w: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投标</w:t>
      </w:r>
      <w:r>
        <w:rPr>
          <w:rFonts w:hint="eastAsia" w:ascii="仿宋" w:hAnsi="仿宋" w:eastAsia="仿宋" w:cs="仿宋"/>
          <w:b/>
          <w:color w:val="000000" w:themeColor="text1"/>
          <w:kern w:val="28"/>
          <w:sz w:val="24"/>
          <w:szCs w:val="24"/>
          <w:highlight w:val="none"/>
          <w14:textFill>
            <w14:solidFill>
              <w14:schemeClr w14:val="tx1"/>
            </w14:solidFill>
          </w14:textFill>
        </w:rPr>
        <w:t>保证金</w:t>
      </w:r>
    </w:p>
    <w:p w14:paraId="37D47250">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9.1投标人须按规定提交投标保证金，否则，其投标将被拒绝。</w:t>
      </w:r>
    </w:p>
    <w:p w14:paraId="00E3151C">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9.2保证金形式：电汇/转账/银行保函/保险保证/担保公司担保等非现金形式，必须从投标人单位账户划出。</w:t>
      </w:r>
    </w:p>
    <w:p w14:paraId="2D3BD4B0">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9.3保证金不计息。</w:t>
      </w:r>
    </w:p>
    <w:p w14:paraId="62D73F1E">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9.4投标保证金的交付时间以专户实际收到交纳资金为准。</w:t>
      </w:r>
    </w:p>
    <w:p w14:paraId="3D1D00C6">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9.5 投标人在交纳投标保证金时，需在进账凭证上注明本项目的项目名称，以便查实核对。同时保存好银行转账的回单或缴款凭证，并将该回单或缴款凭证复印件编入投标文件中。</w:t>
      </w:r>
    </w:p>
    <w:p w14:paraId="6F5335E3">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9.6 投标人有下列情形之一的，投标保证金将不予退还：</w:t>
      </w:r>
    </w:p>
    <w:p w14:paraId="4331E706">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（1）投标人在投标截止时间后撤回投标文件的；</w:t>
      </w:r>
    </w:p>
    <w:p w14:paraId="59FB8081">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（2）投标人在投标过程中弄虚作假，提供虚假材料的；</w:t>
      </w:r>
    </w:p>
    <w:p w14:paraId="5B7488E5">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（3）投标人无故放弃中标资格或无正当理由拒签合同的；</w:t>
      </w:r>
    </w:p>
    <w:p w14:paraId="10DB9A0C">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（4）被确定为实施项目的单位后，将项目转让给他人或者在投标文件中未说明且未经实施单位同意，将项目分包给他人的；</w:t>
      </w:r>
    </w:p>
    <w:p w14:paraId="6167FAA2">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（5）其他严重扰乱招投标程序的。</w:t>
      </w:r>
    </w:p>
    <w:p w14:paraId="6D70E78C">
      <w:pPr>
        <w:pStyle w:val="1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9.7投标保证金的退还：未成交单位的投标保证金在成交通知书发出后5个工作日内退还。成交单位的投标保证金在合同签订后5个工作日内退还。</w:t>
      </w:r>
    </w:p>
    <w:p w14:paraId="6FE8C49D">
      <w:pPr>
        <w:pStyle w:val="1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采购文件的语言</w:t>
      </w:r>
    </w:p>
    <w:p w14:paraId="73351576">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采购文件及供应商与采购有关的来往通知、函件和文件均应使用中文。</w:t>
      </w:r>
    </w:p>
    <w:p w14:paraId="12E08DDE">
      <w:pPr>
        <w:pStyle w:val="1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响应文件的组成</w:t>
      </w:r>
    </w:p>
    <w:p w14:paraId="4287C23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21F2C60B">
      <w:pPr>
        <w:snapToGrid w:val="0"/>
        <w:spacing w:line="360" w:lineRule="auto"/>
        <w:ind w:firstLine="960" w:firstLineChars="4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11.1.1符合参加采购活动应当具备的一般条件的承诺函</w:t>
      </w:r>
      <w:r>
        <w:rPr>
          <w:rFonts w:hint="eastAsia" w:ascii="仿宋" w:hAnsi="仿宋" w:eastAsia="仿宋" w:cs="仿宋"/>
          <w:color w:val="000000" w:themeColor="text1"/>
          <w:sz w:val="24"/>
          <w:highlight w:val="none"/>
          <w:lang w:eastAsia="zh-CN"/>
          <w14:textFill>
            <w14:solidFill>
              <w14:schemeClr w14:val="tx1"/>
            </w14:solidFill>
          </w14:textFill>
        </w:rPr>
        <w:t>；</w:t>
      </w:r>
    </w:p>
    <w:p w14:paraId="22E0656E">
      <w:pPr>
        <w:snapToGrid w:val="0"/>
        <w:spacing w:line="360" w:lineRule="auto"/>
        <w:ind w:firstLine="960" w:firstLineChars="4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11.1.2 有效的营业执照副本；</w:t>
      </w:r>
    </w:p>
    <w:p w14:paraId="2BF6A06C">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11.1.3 投标保证金缴纳证明材料。</w:t>
      </w:r>
    </w:p>
    <w:p w14:paraId="66FCEB86">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14:textFill>
            <w14:solidFill>
              <w14:schemeClr w14:val="tx1"/>
            </w14:solidFill>
          </w14:textFill>
        </w:rPr>
        <w:t>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5F65FF0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11.2.1响应函；</w:t>
      </w:r>
    </w:p>
    <w:p w14:paraId="1A63915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6A2554B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符合性审查资料；</w:t>
      </w:r>
    </w:p>
    <w:p w14:paraId="7573422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响应产品清单；</w:t>
      </w:r>
    </w:p>
    <w:p w14:paraId="1A09E72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商务技术偏离表；</w:t>
      </w:r>
    </w:p>
    <w:p w14:paraId="34CE2A00">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1BDBEB58">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p>
    <w:p w14:paraId="72CF36A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11.3.1响应报价明细表；</w:t>
      </w:r>
    </w:p>
    <w:p w14:paraId="0896952C">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11.3.2报价情况说明（如果有）</w:t>
      </w:r>
      <w:r>
        <w:rPr>
          <w:rFonts w:hint="eastAsia" w:ascii="仿宋" w:hAnsi="仿宋" w:eastAsia="仿宋" w:cs="仿宋"/>
          <w:color w:val="000000" w:themeColor="text1"/>
          <w:sz w:val="24"/>
          <w:highlight w:val="none"/>
          <w:lang w:eastAsia="zh-CN"/>
          <w14:textFill>
            <w14:solidFill>
              <w14:schemeClr w14:val="tx1"/>
            </w14:solidFill>
          </w14:textFill>
        </w:rPr>
        <w:t>。注：</w:t>
      </w:r>
      <w:r>
        <w:rPr>
          <w:rFonts w:hint="eastAsia" w:ascii="仿宋" w:hAnsi="仿宋" w:eastAsia="仿宋" w:cs="仿宋"/>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b/>
          <w:color w:val="000000" w:themeColor="text1"/>
          <w:sz w:val="24"/>
          <w:highlight w:val="none"/>
          <w14:textFill>
            <w14:solidFill>
              <w14:schemeClr w14:val="tx1"/>
            </w14:solidFill>
          </w14:textFill>
        </w:rPr>
        <w:t>。</w:t>
      </w:r>
    </w:p>
    <w:p w14:paraId="1B99DC55">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响应文件含有采购人不能接受的附加条件的，响应无效；</w:t>
      </w:r>
    </w:p>
    <w:p w14:paraId="485C0E5A">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供应商提供虚假材料响应的，响应无效。</w:t>
      </w:r>
    </w:p>
    <w:p w14:paraId="14083814">
      <w:pPr>
        <w:pStyle w:val="44"/>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响应</w:t>
      </w:r>
      <w:r>
        <w:rPr>
          <w:rFonts w:hint="eastAsia" w:ascii="仿宋" w:hAnsi="仿宋" w:eastAsia="仿宋" w:cs="仿宋"/>
          <w:b/>
          <w:color w:val="000000" w:themeColor="text1"/>
          <w:szCs w:val="24"/>
          <w:highlight w:val="none"/>
          <w14:textFill>
            <w14:solidFill>
              <w14:schemeClr w14:val="tx1"/>
            </w14:solidFill>
          </w14:textFill>
        </w:rPr>
        <w:t>文件的编制</w:t>
      </w:r>
    </w:p>
    <w:p w14:paraId="2FF12EFD">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6BA94286">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12.2供应商进行电子响应应安装客户端软件—“电子交易客户端”，并按照采购文件和电子交易平台的要求编制并加密响应文件。供应商未按规定加密的响应文件，电子交易平台将拒收并提示。</w:t>
      </w:r>
    </w:p>
    <w:p w14:paraId="113F554D">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12.3使用“电子交易客户端”需要提前申领CA数字证书，申领流程请自行前往“浙江政府采购网-下载专区-电子交易客户端-CA驱动和申领流程”进行查阅。</w:t>
      </w:r>
    </w:p>
    <w:p w14:paraId="4A653E60">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13.响应文件的签署、盖章</w:t>
      </w:r>
    </w:p>
    <w:p w14:paraId="355268F3">
      <w:pPr>
        <w:pStyle w:val="44"/>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13.1响应文件按照采购文件第六部分格式要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▲供应商的响应文件未按照采购文件要求签署、盖章的，其响应无效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79FCAA22">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13.2为确保网上操作合法、有效和安全，供应商应当在响应截止时间前完成在“</w:t>
      </w:r>
      <w:r>
        <w:rPr>
          <w:rFonts w:hint="eastAsia" w:ascii="仿宋" w:hAnsi="仿宋" w:eastAsia="仿宋" w:cs="仿宋"/>
          <w:color w:val="000000" w:themeColor="text1"/>
          <w:highlight w:val="none"/>
          <w:lang w:eastAsia="zh-CN"/>
          <w14:textFill>
            <w14:solidFill>
              <w14:schemeClr w14:val="tx1"/>
            </w14:solidFill>
          </w14:textFill>
        </w:rPr>
        <w:t>乐采云平台</w:t>
      </w:r>
      <w:r>
        <w:rPr>
          <w:rFonts w:hint="eastAsia" w:ascii="仿宋" w:hAnsi="仿宋" w:eastAsia="仿宋" w:cs="仿宋"/>
          <w:color w:val="000000" w:themeColor="text1"/>
          <w:highlight w:val="none"/>
          <w14:textFill>
            <w14:solidFill>
              <w14:schemeClr w14:val="tx1"/>
            </w14:solidFill>
          </w14:textFill>
        </w:rPr>
        <w:t>”的身份认证，确保在电子响应过程中能够对相关数据电文进行加密和使用电子签名。</w:t>
      </w:r>
    </w:p>
    <w:p w14:paraId="6F7F2D76">
      <w:pPr>
        <w:pStyle w:val="44"/>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13.3采购文件对响应文件签署、盖章的要求适用于电子签名。</w:t>
      </w:r>
    </w:p>
    <w:p w14:paraId="68D2E26B">
      <w:pPr>
        <w:pStyle w:val="4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响应文件的提交、补充、修改、撤回</w:t>
      </w:r>
    </w:p>
    <w:p w14:paraId="1888B5CB">
      <w:pPr>
        <w:pStyle w:val="44"/>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7F7AE68">
      <w:pPr>
        <w:pStyle w:val="4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14.2电子交易平台收到响应文件，将妥善保存并即时向供应商发出确认回执通知。在响应截止时间前，除供应商补充、修改或者撤回响应文件外，任何单位和个人不得解密或提取响应文件。</w:t>
      </w:r>
    </w:p>
    <w:p w14:paraId="22C1BF7B">
      <w:pPr>
        <w:pStyle w:val="4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14.3采购人、采购代理机构可以视情况延长响应文件提交的截止时间。在上述情况下，采购代理机构与供应商以前在响应截止期方面的全部权利、责任和义务，将适用于延长至新的响应截止期。</w:t>
      </w:r>
    </w:p>
    <w:p w14:paraId="7FE0321E">
      <w:pPr>
        <w:pStyle w:val="4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lang w:val="en-US" w:eastAsia="zh-CN"/>
          <w14:textFill>
            <w14:solidFill>
              <w14:schemeClr w14:val="tx1"/>
            </w14:solidFill>
          </w14:textFill>
        </w:rPr>
        <w:t>14.4</w:t>
      </w:r>
      <w:r>
        <w:rPr>
          <w:rFonts w:hint="eastAsia" w:ascii="仿宋" w:hAnsi="仿宋" w:eastAsia="仿宋" w:cs="仿宋"/>
          <w:b/>
          <w:color w:val="000000" w:themeColor="text1"/>
          <w:szCs w:val="24"/>
          <w:highlight w:val="none"/>
          <w14:textFill>
            <w14:solidFill>
              <w14:schemeClr w14:val="tx1"/>
            </w14:solidFill>
          </w14:textFill>
        </w:rPr>
        <w:t>.备份投标文件</w:t>
      </w:r>
    </w:p>
    <w:p w14:paraId="46E77283">
      <w:pPr>
        <w:pStyle w:val="4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1</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1投标人在电子交易平台传输递交投标文件后，还可以在投标截止时间前直接提交或者以快递方式递交备份投标文件1份，但采购人、采购代理机构不强制或变相强制投标人提交备份投标文件。</w:t>
      </w:r>
    </w:p>
    <w:p w14:paraId="08CFE073">
      <w:pPr>
        <w:pStyle w:val="4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2备份投标文件须在“乐采云投标客户端”制作生成，并储存在U盘等存储介质中。备份投标文件应当密封包装并在包装上加盖公章并注明投标项目名称，投标人名称不符合上述制作、存储、密封规定的备份投标文件将被视为无效或者被拒绝接收。</w:t>
      </w:r>
    </w:p>
    <w:p w14:paraId="062EB542">
      <w:pPr>
        <w:pStyle w:val="4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3直接提交备份投标文件的，投标人应于投标截止时间前在招标公告中载明的开标地点将备份投标文件提交给采购代理机构，采购代理机构将拒绝接受逾期送达的备份投标文件。</w:t>
      </w:r>
    </w:p>
    <w:p w14:paraId="1643FBD3">
      <w:pPr>
        <w:pStyle w:val="4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4以快递方式递交备份投标文件的，投标人应先将备份投标文件按要求密封和标记，再进行快递包装后邮寄。备份投标文件须在投标截止时间之前送达采购代理机构（杭州市临安区锦南街道南樾府17幢1单元1202，浙江华夏工程管理有限公司临安分公司招标代理部收，联系电话：0571-63705818），送达时间以签收人签收时间为准。采购代理机构将拒绝接受逾期送达的备份投标文件。邮寄过程中，电子备份投标文件发生泄露、遗失、损坏或延期送达等情况的，由投标人自行负责。</w:t>
      </w:r>
    </w:p>
    <w:p w14:paraId="4535FE1D">
      <w:pPr>
        <w:pStyle w:val="4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5投标人仅提交备份投标文件，未在电子交易平台传输递交投标文件的，投标无效。</w:t>
      </w:r>
    </w:p>
    <w:p w14:paraId="00BC17A5">
      <w:pPr>
        <w:pStyle w:val="4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15.响应文件的无效处理</w:t>
      </w:r>
    </w:p>
    <w:p w14:paraId="54317BB4">
      <w:pPr>
        <w:pStyle w:val="15"/>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有采购文件</w:t>
      </w:r>
      <w:r>
        <w:rPr>
          <w:rFonts w:hint="eastAsia" w:ascii="仿宋" w:hAnsi="仿宋" w:eastAsia="仿宋" w:cs="仿宋"/>
          <w:color w:val="000000" w:themeColor="text1"/>
          <w:highlight w:val="none"/>
          <w14:textFill>
            <w14:solidFill>
              <w14:schemeClr w14:val="tx1"/>
            </w14:solidFill>
          </w14:textFill>
        </w:rPr>
        <w:t>规定</w:t>
      </w:r>
      <w:r>
        <w:rPr>
          <w:rFonts w:hint="eastAsia" w:ascii="仿宋" w:hAnsi="仿宋" w:eastAsia="仿宋" w:cs="仿宋"/>
          <w:color w:val="000000" w:themeColor="text1"/>
          <w:szCs w:val="21"/>
          <w:highlight w:val="none"/>
          <w14:textFill>
            <w14:solidFill>
              <w14:schemeClr w14:val="tx1"/>
            </w14:solidFill>
          </w14:textFill>
        </w:rPr>
        <w:t>的响应无效情形之一的，响应无效。</w:t>
      </w:r>
    </w:p>
    <w:p w14:paraId="687714A1">
      <w:pPr>
        <w:pStyle w:val="4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16.响应有效期</w:t>
      </w:r>
    </w:p>
    <w:p w14:paraId="4EE174DB">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16.1响应有效期为从提交响应文件的截止之日起90天。▲</w:t>
      </w:r>
      <w:r>
        <w:rPr>
          <w:rFonts w:hint="eastAsia" w:ascii="仿宋" w:hAnsi="仿宋" w:eastAsia="仿宋" w:cs="仿宋"/>
          <w:b/>
          <w:color w:val="000000" w:themeColor="text1"/>
          <w:sz w:val="24"/>
          <w:szCs w:val="20"/>
          <w:highlight w:val="none"/>
          <w14:textFill>
            <w14:solidFill>
              <w14:schemeClr w14:val="tx1"/>
            </w14:solidFill>
          </w14:textFill>
        </w:rPr>
        <w:t>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诺的响应有效期少于采购文件中载明的响应有效期的，响应无效。</w:t>
      </w:r>
    </w:p>
    <w:p w14:paraId="4AE719A1">
      <w:pPr>
        <w:pStyle w:val="4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16.2响应文件合格投递后，自响应截止日期起，在响应有效期内有效。</w:t>
      </w:r>
    </w:p>
    <w:p w14:paraId="4946BA93">
      <w:pPr>
        <w:pStyle w:val="4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16.3在原定响应有效期满之前，如果出现特殊情况，采购代理机构可以以书面形式通知供应商延长响应有效期。供应商同意延长的，不得要求或被允许修改其响应文件，供应商拒绝延长的，其响应无效。</w:t>
      </w:r>
    </w:p>
    <w:p w14:paraId="7936F289">
      <w:pPr>
        <w:pStyle w:val="44"/>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p>
    <w:p w14:paraId="3BE0C36D">
      <w:pPr>
        <w:pStyle w:val="44"/>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四、响应文件开启、资格审查与信用信息查询</w:t>
      </w:r>
    </w:p>
    <w:p w14:paraId="497A2909">
      <w:pPr>
        <w:pStyle w:val="45"/>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17.响应文件开启</w:t>
      </w:r>
    </w:p>
    <w:p w14:paraId="47A6DBD9">
      <w:pPr>
        <w:pStyle w:val="45"/>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17.1采购代理机构按照采购文件规定的时间通过电子交易平台组织响应文件的开启，所有供应商均应当准时在线参加。供应商不足3家的，不得开启响应文件。</w:t>
      </w:r>
    </w:p>
    <w:p w14:paraId="6A313AFE">
      <w:pPr>
        <w:pStyle w:val="45"/>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17.2响应文件开启时，电子交易平台按响应文件开启时间自动提取所有响应文件。采购代理机构依托电子交易平台发起开始解密指令，供应商按照平台提示和采购文件的规定在半小时内完成在线解密。</w:t>
      </w:r>
    </w:p>
    <w:p w14:paraId="18D40372">
      <w:pPr>
        <w:pStyle w:val="45"/>
        <w:spacing w:before="0" w:line="360" w:lineRule="auto"/>
        <w:ind w:left="0" w:firstLine="240" w:firstLineChars="100"/>
        <w:contextualSpacing/>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17.3开标记录开启后，请将附件3《采购活动现场确认声明书》填写完整发送至邮箱：1075458398@qq.com。</w:t>
      </w:r>
    </w:p>
    <w:p w14:paraId="7BB6DEEF">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18.资格审查</w:t>
      </w:r>
    </w:p>
    <w:p w14:paraId="64016B4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18.1采购人或采购代理机构依据</w:t>
      </w:r>
      <w:r>
        <w:rPr>
          <w:rFonts w:hint="eastAsia" w:ascii="仿宋" w:hAnsi="仿宋" w:eastAsia="仿宋" w:cs="仿宋"/>
          <w:color w:val="000000" w:themeColor="text1"/>
          <w:sz w:val="24"/>
          <w:highlight w:val="none"/>
          <w14:textFill>
            <w14:solidFill>
              <w14:schemeClr w14:val="tx1"/>
            </w14:solidFill>
          </w14:textFill>
        </w:rPr>
        <w:t>法律法规和采购文件的规定，对供应商的基本资格条件、特定资格条件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进行审查。</w:t>
      </w:r>
    </w:p>
    <w:p w14:paraId="7C7CE200">
      <w:pPr>
        <w:pStyle w:val="4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18.2供应商未按照采购文件要求提供与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供应商不具备采购文件中规定的资格要求，其响应无效。</w:t>
      </w:r>
    </w:p>
    <w:p w14:paraId="5DA6B518">
      <w:pPr>
        <w:pStyle w:val="4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18.</w:t>
      </w:r>
      <w:r>
        <w:rPr>
          <w:rFonts w:hint="eastAsia" w:ascii="仿宋" w:hAnsi="仿宋" w:eastAsia="仿宋" w:cs="仿宋"/>
          <w:color w:val="000000" w:themeColor="text1"/>
          <w:highlight w:val="none"/>
          <w14:textFill>
            <w14:solidFill>
              <w14:schemeClr w14:val="tx1"/>
            </w14:solidFill>
          </w14:textFill>
        </w:rPr>
        <w:t>3对未通过资格审查的供应商，</w:t>
      </w:r>
      <w:r>
        <w:rPr>
          <w:rFonts w:hint="eastAsia" w:ascii="仿宋" w:hAnsi="仿宋" w:eastAsia="仿宋" w:cs="仿宋"/>
          <w:color w:val="000000" w:themeColor="text1"/>
          <w:kern w:val="0"/>
          <w:szCs w:val="24"/>
          <w:highlight w:val="none"/>
          <w14:textFill>
            <w14:solidFill>
              <w14:schemeClr w14:val="tx1"/>
            </w14:solidFill>
          </w14:textFill>
        </w:rPr>
        <w:t>采购代理机构</w:t>
      </w:r>
      <w:r>
        <w:rPr>
          <w:rFonts w:hint="eastAsia" w:ascii="仿宋" w:hAnsi="仿宋" w:eastAsia="仿宋" w:cs="仿宋"/>
          <w:color w:val="000000" w:themeColor="text1"/>
          <w:highlight w:val="none"/>
          <w14:textFill>
            <w14:solidFill>
              <w14:schemeClr w14:val="tx1"/>
            </w14:solidFill>
          </w14:textFill>
        </w:rPr>
        <w:t>告知其未通过的原因。</w:t>
      </w:r>
    </w:p>
    <w:p w14:paraId="6351FA4F">
      <w:pPr>
        <w:pStyle w:val="4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18.</w:t>
      </w:r>
      <w:r>
        <w:rPr>
          <w:rFonts w:hint="eastAsia" w:ascii="仿宋" w:hAnsi="仿宋" w:eastAsia="仿宋" w:cs="仿宋"/>
          <w:color w:val="000000" w:themeColor="text1"/>
          <w:highlight w:val="none"/>
          <w14:textFill>
            <w14:solidFill>
              <w14:schemeClr w14:val="tx1"/>
            </w14:solidFill>
          </w14:textFill>
        </w:rPr>
        <w:t>4合格供应商不足3家的，不再评审。</w:t>
      </w:r>
    </w:p>
    <w:p w14:paraId="6A33FF62">
      <w:pPr>
        <w:pStyle w:val="4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19.信用信息查询</w:t>
      </w:r>
    </w:p>
    <w:p w14:paraId="0B8DBDFB">
      <w:pPr>
        <w:pStyle w:val="4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19.1信用信息查询渠道及截止时间：采购代理机构将通过“信用中国”网站(www.creditchina.gov.cn)、中国政府采购网(www.ccgp.gov.cn)渠道查询供应商响应截止时间当天的信用记录。</w:t>
      </w:r>
    </w:p>
    <w:p w14:paraId="1754A0B2">
      <w:pPr>
        <w:pStyle w:val="4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19.2信用信息查询记录和证据留存的具体方式：现场查询的供应商的信用记录、查询结果经确认后将与采购文件一起存档。</w:t>
      </w:r>
    </w:p>
    <w:p w14:paraId="2817BA8E">
      <w:pPr>
        <w:pStyle w:val="4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19.3信用信息的使用规则：经查询列入失信被执行人名单、重大税收违法案件当事人名单、政府采购严重违法失信行为记录名单的供应商将被拒绝参与采购活动。</w:t>
      </w:r>
    </w:p>
    <w:p w14:paraId="7A1B472D">
      <w:pPr>
        <w:pStyle w:val="44"/>
        <w:spacing w:before="0"/>
        <w:ind w:firstLine="480"/>
        <w:rPr>
          <w:rFonts w:hint="eastAsia"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bCs/>
          <w:color w:val="000000" w:themeColor="text1"/>
          <w:highlight w:val="none"/>
          <w:lang w:eastAsia="zh-CN"/>
          <w14:textFill>
            <w14:solidFill>
              <w14:schemeClr w14:val="tx1"/>
            </w14:solidFill>
          </w14:textFill>
        </w:rPr>
        <w:t>（本项目不涉及）</w:t>
      </w:r>
    </w:p>
    <w:p w14:paraId="42E4584E">
      <w:pPr>
        <w:pStyle w:val="44"/>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1D3808EE">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五、评审</w:t>
      </w:r>
    </w:p>
    <w:p w14:paraId="2FAB9D2F">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 w:name="_Toc91899903"/>
      <w:r>
        <w:rPr>
          <w:rFonts w:hint="eastAsia" w:ascii="仿宋" w:hAnsi="仿宋" w:eastAsia="仿宋" w:cs="仿宋"/>
          <w:b/>
          <w:color w:val="000000" w:themeColor="text1"/>
          <w:sz w:val="24"/>
          <w:highlight w:val="none"/>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详见采购文件第四部分评审办法。</w:t>
      </w:r>
    </w:p>
    <w:p w14:paraId="708EFA4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549A4B3">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六、成交</w:t>
      </w:r>
    </w:p>
    <w:p w14:paraId="761B8E27">
      <w:pPr>
        <w:pStyle w:val="1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21. 确定成交供应商</w:t>
      </w:r>
    </w:p>
    <w:p w14:paraId="34642602">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确定中标或者成交供应商。中标通知书和中标结果公告应当在规定时间内同时发出。</w:t>
      </w:r>
    </w:p>
    <w:p w14:paraId="4CF3F1D8">
      <w:pPr>
        <w:pStyle w:val="44"/>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22. 成交通知与成交结果公告</w:t>
      </w:r>
    </w:p>
    <w:p w14:paraId="5E74BFCE">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22.1自中标人确定之日起2个工作日内，采购代理机构以纸质形式进行中标通知，同时编制发布采购结果公告。</w:t>
      </w:r>
    </w:p>
    <w:p w14:paraId="41DF107E">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成交结果公告内容包括采购人及其委托的采购代理机构的名称、地址、联系方式，项目名称和项目编号，成交供应商名称、地址和成交金额，主要成交标的的名称、规格型号、数量、单价、服务要求（如有），未成交情况说明、成交公告期限以及评审专家名单。</w:t>
      </w:r>
    </w:p>
    <w:p w14:paraId="040DB2EB">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22.3公告期限为1个工作日。</w:t>
      </w:r>
    </w:p>
    <w:p w14:paraId="575786FF">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29BCF316">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078CBD94">
      <w:pPr>
        <w:pStyle w:val="1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23.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6FF2AE08">
      <w:pPr>
        <w:pStyle w:val="1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24. 合同的签订</w:t>
      </w:r>
    </w:p>
    <w:p w14:paraId="323C0A5A">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r>
        <w:rPr>
          <w:rFonts w:hint="eastAsia" w:ascii="仿宋" w:hAnsi="仿宋" w:eastAsia="仿宋" w:cs="仿宋"/>
          <w:color w:val="000000" w:themeColor="text1"/>
          <w:kern w:val="0"/>
          <w:sz w:val="24"/>
          <w:highlight w:val="none"/>
          <w14:textFill>
            <w14:solidFill>
              <w14:schemeClr w14:val="tx1"/>
            </w14:solidFill>
          </w14:textFill>
        </w:rPr>
        <w:t xml:space="preserve"> 除不可抗力等特殊情况外，原则上采购人应当在成交通知书发出之日起</w:t>
      </w:r>
      <w:r>
        <w:rPr>
          <w:rFonts w:hint="eastAsia" w:ascii="仿宋" w:hAnsi="仿宋" w:eastAsia="仿宋" w:cs="仿宋"/>
          <w:color w:val="000000" w:themeColor="text1"/>
          <w:kern w:val="0"/>
          <w:sz w:val="24"/>
          <w:highlight w:val="none"/>
          <w:lang w:eastAsia="zh-CN"/>
          <w14:textFill>
            <w14:solidFill>
              <w14:schemeClr w14:val="tx1"/>
            </w14:solidFill>
          </w14:textFill>
        </w:rPr>
        <w:t>30日内</w:t>
      </w:r>
      <w:r>
        <w:rPr>
          <w:rFonts w:hint="eastAsia" w:ascii="仿宋" w:hAnsi="仿宋" w:eastAsia="仿宋" w:cs="仿宋"/>
          <w:color w:val="000000" w:themeColor="text1"/>
          <w:kern w:val="0"/>
          <w:sz w:val="24"/>
          <w:highlight w:val="none"/>
          <w14:textFill>
            <w14:solidFill>
              <w14:schemeClr w14:val="tx1"/>
            </w14:solidFill>
          </w14:textFill>
        </w:rPr>
        <w:t>，与成交供应商按照采购文件确定的事项签订采购合同。</w:t>
      </w:r>
    </w:p>
    <w:p w14:paraId="69C8E8D8">
      <w:pPr>
        <w:pStyle w:val="44"/>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14:textFill>
            <w14:solidFill>
              <w14:schemeClr w14:val="tx1"/>
            </w14:solidFill>
          </w14:textFill>
        </w:rPr>
        <w:t>4</w:t>
      </w:r>
      <w:r>
        <w:rPr>
          <w:rFonts w:hint="eastAsia" w:ascii="仿宋" w:hAnsi="仿宋" w:eastAsia="仿宋" w:cs="仿宋"/>
          <w:color w:val="000000" w:themeColor="text1"/>
          <w:kern w:val="0"/>
          <w:highlight w:val="none"/>
          <w:lang w:val="zh-CN"/>
          <w14:textFill>
            <w14:solidFill>
              <w14:schemeClr w14:val="tx1"/>
            </w14:solidFill>
          </w14:textFill>
        </w:rPr>
        <w:t>.2成交供应商按规定的日期、时间、地点，由法定代表人或其授权代表与采购人代表签订合同。</w:t>
      </w:r>
    </w:p>
    <w:p w14:paraId="69A82E64">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24.3如签订合同并生效后，供应商无故拒绝或延期，除按照合同条款处理外，列入不良行为记录一次，并给予通报。</w:t>
      </w:r>
    </w:p>
    <w:p w14:paraId="7321FD8E">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24.4成交供应商拒绝与采购人签订合同的，采购人可以按照评审报告推荐的成交候选人名单排序，确定下一候选人为成交供应商，也可以重新开展采购活动。</w:t>
      </w:r>
    </w:p>
    <w:p w14:paraId="4632439A">
      <w:pPr>
        <w:pStyle w:val="44"/>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24.5采购合同由采购人与成交供应商根据采购文件、响应文件等内容签订。</w:t>
      </w:r>
    </w:p>
    <w:p w14:paraId="610F70A6">
      <w:pPr>
        <w:pStyle w:val="15"/>
        <w:numPr>
          <w:ilvl w:val="0"/>
          <w:numId w:val="3"/>
        </w:numPr>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履约保证金</w:t>
      </w:r>
    </w:p>
    <w:p w14:paraId="57E39D39">
      <w:pPr>
        <w:pStyle w:val="44"/>
        <w:snapToGrid w:val="0"/>
        <w:spacing w:before="0"/>
        <w:ind w:firstLine="480"/>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25.1成交单位在签订本项目合同时，须缴纳</w:t>
      </w:r>
      <w:r>
        <w:rPr>
          <w:rFonts w:hint="eastAsia" w:ascii="仿宋" w:hAnsi="仿宋" w:eastAsia="仿宋" w:cs="仿宋"/>
          <w:color w:val="000000" w:themeColor="text1"/>
          <w:sz w:val="24"/>
          <w:highlight w:val="none"/>
          <w:lang w:eastAsia="zh-CN"/>
          <w14:textFill>
            <w14:solidFill>
              <w14:schemeClr w14:val="tx1"/>
            </w14:solidFill>
          </w14:textFill>
        </w:rPr>
        <w:t>中标金额的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kern w:val="0"/>
          <w:highlight w:val="none"/>
          <w:lang w:val="en-US" w:eastAsia="zh-CN"/>
          <w14:textFill>
            <w14:solidFill>
              <w14:schemeClr w14:val="tx1"/>
            </w14:solidFill>
          </w14:textFill>
        </w:rPr>
        <w:t>作为履约保证金，履约保证金形式采用转账/支票/汇票/本票</w:t>
      </w:r>
      <w:r>
        <w:rPr>
          <w:rFonts w:hint="eastAsia" w:ascii="仿宋" w:hAnsi="仿宋" w:eastAsia="仿宋" w:cs="仿宋"/>
          <w:color w:val="000000" w:themeColor="text1"/>
          <w:sz w:val="24"/>
          <w:highlight w:val="none"/>
          <w14:textFill>
            <w14:solidFill>
              <w14:schemeClr w14:val="tx1"/>
            </w14:solidFill>
          </w14:textFill>
        </w:rPr>
        <w:t>或者金融机构出具的保函等非现金形式</w:t>
      </w:r>
      <w:r>
        <w:rPr>
          <w:rFonts w:hint="eastAsia" w:ascii="仿宋" w:hAnsi="仿宋" w:eastAsia="仿宋" w:cs="仿宋"/>
          <w:color w:val="000000" w:themeColor="text1"/>
          <w:kern w:val="0"/>
          <w:highlight w:val="none"/>
          <w:lang w:val="en-US" w:eastAsia="zh-CN"/>
          <w14:textFill>
            <w14:solidFill>
              <w14:schemeClr w14:val="tx1"/>
            </w14:solidFill>
          </w14:textFill>
        </w:rPr>
        <w:t>缴纳至杭州临安恒元建材有限公司指定帐户，具体形式以采购人要求为准。在履约期内成交单位全面且无瑕疵的履行完本合同约定的所有义务后30天内无息退还。</w:t>
      </w:r>
    </w:p>
    <w:p w14:paraId="1FCCE67A">
      <w:pPr>
        <w:pStyle w:val="44"/>
        <w:snapToGrid w:val="0"/>
        <w:spacing w:before="0"/>
        <w:ind w:firstLine="480"/>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25.2成交单位未能按规定提交履约担保的，视为放弃成交资格，其投标保证金将被没收，给采购人造成损失的，成交单位还应当对损失部分予以赔偿。</w:t>
      </w:r>
    </w:p>
    <w:p w14:paraId="2CC0394C">
      <w:pPr>
        <w:pStyle w:val="44"/>
        <w:snapToGrid w:val="0"/>
        <w:spacing w:before="0"/>
        <w:ind w:firstLine="480"/>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25.3签订合同后，如成交人不按合同约定履约的，则没收其全部履约保证金，履约保证金不足以赔偿损失的，按实际损失赔偿。</w:t>
      </w:r>
    </w:p>
    <w:p w14:paraId="24C6BE56">
      <w:pPr>
        <w:pStyle w:val="40"/>
        <w:rPr>
          <w:rFonts w:hint="eastAsia" w:ascii="仿宋" w:hAnsi="仿宋" w:eastAsia="仿宋" w:cs="仿宋"/>
          <w:color w:val="000000" w:themeColor="text1"/>
          <w:highlight w:val="none"/>
          <w14:textFill>
            <w14:solidFill>
              <w14:schemeClr w14:val="tx1"/>
            </w14:solidFill>
          </w14:textFill>
        </w:rPr>
      </w:pPr>
    </w:p>
    <w:p w14:paraId="6ACE586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37D32DD8">
      <w:pPr>
        <w:pStyle w:val="44"/>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highlight w:val="none"/>
          <w:lang w:val="en-US" w:eastAsia="zh-CN"/>
          <w14:textFill>
            <w14:solidFill>
              <w14:schemeClr w14:val="tx1"/>
            </w14:solidFill>
          </w14:textFill>
        </w:rPr>
        <w:t>6</w:t>
      </w:r>
      <w:r>
        <w:rPr>
          <w:rFonts w:hint="eastAsia" w:ascii="仿宋" w:hAnsi="仿宋" w:eastAsia="仿宋" w:cs="仿宋"/>
          <w:b/>
          <w:bCs/>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 xml:space="preserve">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F038217">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26.1电子交易平台发生故障而无法登录访问的； </w:t>
      </w:r>
    </w:p>
    <w:p w14:paraId="45FB5F3F">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26.2电子交易平台应用或数据库出现错误，不能进行正常操作的；</w:t>
      </w:r>
    </w:p>
    <w:p w14:paraId="4F803FCB">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26.3电子交易平台发现严重安全漏洞，有潜在泄密危险的；</w:t>
      </w:r>
    </w:p>
    <w:p w14:paraId="4ADE803E">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26.4病毒发作导致不能进行正常操作的； </w:t>
      </w:r>
    </w:p>
    <w:p w14:paraId="7A462AFC">
      <w:pPr>
        <w:pStyle w:val="4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26.5其他无法保证电子交易的公平、公正和安全的情况。</w:t>
      </w:r>
    </w:p>
    <w:p w14:paraId="5586B769">
      <w:pPr>
        <w:pStyle w:val="44"/>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highlight w:val="none"/>
          <w:lang w:val="en-US" w:eastAsia="zh-CN"/>
          <w14:textFill>
            <w14:solidFill>
              <w14:schemeClr w14:val="tx1"/>
            </w14:solidFill>
          </w14:textFill>
        </w:rPr>
        <w:t>7</w:t>
      </w:r>
      <w:r>
        <w:rPr>
          <w:rFonts w:hint="eastAsia" w:ascii="仿宋" w:hAnsi="仿宋" w:eastAsia="仿宋" w:cs="仿宋"/>
          <w:b/>
          <w:bCs/>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1AA7FEE">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04624F12">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25FF0D7A">
      <w:pPr>
        <w:pStyle w:val="15"/>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8</w:t>
      </w:r>
      <w:r>
        <w:rPr>
          <w:rFonts w:hint="eastAsia" w:ascii="仿宋" w:hAnsi="仿宋" w:eastAsia="仿宋" w:cs="仿宋"/>
          <w:b/>
          <w:color w:val="000000" w:themeColor="text1"/>
          <w:highlight w:val="none"/>
          <w14:textFill>
            <w14:solidFill>
              <w14:schemeClr w14:val="tx1"/>
            </w14:solidFill>
          </w14:textFill>
        </w:rPr>
        <w:t>.验收</w:t>
      </w:r>
    </w:p>
    <w:p w14:paraId="725591E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.1采购人组织对供应商履约的验收。验收方成员应当在验收书上签字，并承担相应的法律责任。如果发现与合同中要求不符，供应商须承担由此发生的一切损失和费用，并接受相应的处理。</w:t>
      </w:r>
    </w:p>
    <w:bookmarkEnd w:id="1"/>
    <w:p w14:paraId="60B4ECD6">
      <w:pPr>
        <w:spacing w:line="460" w:lineRule="exact"/>
        <w:ind w:firstLine="1680" w:firstLineChars="800"/>
        <w:rPr>
          <w:rFonts w:hint="eastAsia" w:ascii="仿宋" w:hAnsi="仿宋" w:eastAsia="仿宋" w:cs="仿宋"/>
          <w:color w:val="000000" w:themeColor="text1"/>
          <w:highlight w:val="none"/>
          <w14:textFill>
            <w14:solidFill>
              <w14:schemeClr w14:val="tx1"/>
            </w14:solidFill>
          </w14:textFill>
        </w:rPr>
      </w:pPr>
    </w:p>
    <w:p w14:paraId="2FC64658">
      <w:pPr>
        <w:pStyle w:val="20"/>
        <w:rPr>
          <w:rFonts w:hint="eastAsia" w:ascii="仿宋" w:hAnsi="仿宋" w:eastAsia="仿宋" w:cs="仿宋"/>
          <w:color w:val="000000" w:themeColor="text1"/>
          <w:highlight w:val="none"/>
          <w14:textFill>
            <w14:solidFill>
              <w14:schemeClr w14:val="tx1"/>
            </w14:solidFill>
          </w14:textFill>
        </w:rPr>
      </w:pPr>
    </w:p>
    <w:p w14:paraId="499F47B9">
      <w:pPr>
        <w:rPr>
          <w:rFonts w:hint="eastAsia" w:ascii="仿宋" w:hAnsi="仿宋" w:eastAsia="仿宋" w:cs="仿宋"/>
          <w:color w:val="000000" w:themeColor="text1"/>
          <w:highlight w:val="none"/>
          <w14:textFill>
            <w14:solidFill>
              <w14:schemeClr w14:val="tx1"/>
            </w14:solidFill>
          </w14:textFill>
        </w:rPr>
      </w:pPr>
    </w:p>
    <w:p w14:paraId="4AD0E67A">
      <w:pPr>
        <w:pStyle w:val="20"/>
        <w:rPr>
          <w:rFonts w:hint="eastAsia" w:ascii="仿宋" w:hAnsi="仿宋" w:eastAsia="仿宋" w:cs="仿宋"/>
          <w:color w:val="000000" w:themeColor="text1"/>
          <w:highlight w:val="none"/>
          <w14:textFill>
            <w14:solidFill>
              <w14:schemeClr w14:val="tx1"/>
            </w14:solidFill>
          </w14:textFill>
        </w:rPr>
      </w:pPr>
    </w:p>
    <w:p w14:paraId="1CB8C0F7">
      <w:pPr>
        <w:rPr>
          <w:rFonts w:hint="eastAsia" w:ascii="仿宋" w:hAnsi="仿宋" w:eastAsia="仿宋" w:cs="仿宋"/>
          <w:color w:val="000000" w:themeColor="text1"/>
          <w:highlight w:val="none"/>
          <w14:textFill>
            <w14:solidFill>
              <w14:schemeClr w14:val="tx1"/>
            </w14:solidFill>
          </w14:textFill>
        </w:rPr>
      </w:pPr>
    </w:p>
    <w:p w14:paraId="7F9FDA72">
      <w:pPr>
        <w:pStyle w:val="20"/>
        <w:rPr>
          <w:rFonts w:hint="eastAsia" w:ascii="仿宋" w:hAnsi="仿宋" w:eastAsia="仿宋" w:cs="仿宋"/>
          <w:color w:val="000000" w:themeColor="text1"/>
          <w:highlight w:val="none"/>
          <w14:textFill>
            <w14:solidFill>
              <w14:schemeClr w14:val="tx1"/>
            </w14:solidFill>
          </w14:textFill>
        </w:rPr>
      </w:pPr>
    </w:p>
    <w:p w14:paraId="0542CBD9">
      <w:pPr>
        <w:rPr>
          <w:rFonts w:hint="eastAsia" w:ascii="仿宋" w:hAnsi="仿宋" w:eastAsia="仿宋" w:cs="仿宋"/>
          <w:color w:val="000000" w:themeColor="text1"/>
          <w:highlight w:val="none"/>
          <w14:textFill>
            <w14:solidFill>
              <w14:schemeClr w14:val="tx1"/>
            </w14:solidFill>
          </w14:textFill>
        </w:rPr>
      </w:pPr>
    </w:p>
    <w:p w14:paraId="2DBBEC44">
      <w:pPr>
        <w:pStyle w:val="20"/>
        <w:rPr>
          <w:rFonts w:hint="eastAsia" w:ascii="仿宋" w:hAnsi="仿宋" w:eastAsia="仿宋" w:cs="仿宋"/>
          <w:color w:val="000000" w:themeColor="text1"/>
          <w:highlight w:val="none"/>
          <w14:textFill>
            <w14:solidFill>
              <w14:schemeClr w14:val="tx1"/>
            </w14:solidFill>
          </w14:textFill>
        </w:rPr>
      </w:pPr>
    </w:p>
    <w:p w14:paraId="271ACD49">
      <w:pPr>
        <w:rPr>
          <w:rFonts w:hint="eastAsia" w:ascii="仿宋" w:hAnsi="仿宋" w:eastAsia="仿宋" w:cs="仿宋"/>
          <w:color w:val="000000" w:themeColor="text1"/>
          <w:highlight w:val="none"/>
          <w14:textFill>
            <w14:solidFill>
              <w14:schemeClr w14:val="tx1"/>
            </w14:solidFill>
          </w14:textFill>
        </w:rPr>
      </w:pPr>
    </w:p>
    <w:p w14:paraId="665B040D">
      <w:pPr>
        <w:pStyle w:val="20"/>
        <w:rPr>
          <w:rFonts w:hint="eastAsia" w:ascii="仿宋" w:hAnsi="仿宋" w:eastAsia="仿宋" w:cs="仿宋"/>
          <w:color w:val="000000" w:themeColor="text1"/>
          <w:highlight w:val="none"/>
          <w14:textFill>
            <w14:solidFill>
              <w14:schemeClr w14:val="tx1"/>
            </w14:solidFill>
          </w14:textFill>
        </w:rPr>
      </w:pPr>
    </w:p>
    <w:p w14:paraId="56758E12">
      <w:pPr>
        <w:rPr>
          <w:rFonts w:hint="eastAsia" w:ascii="仿宋" w:hAnsi="仿宋" w:eastAsia="仿宋" w:cs="仿宋"/>
          <w:color w:val="000000" w:themeColor="text1"/>
          <w:highlight w:val="none"/>
          <w14:textFill>
            <w14:solidFill>
              <w14:schemeClr w14:val="tx1"/>
            </w14:solidFill>
          </w14:textFill>
        </w:rPr>
      </w:pPr>
    </w:p>
    <w:p w14:paraId="1A94D1E8">
      <w:pPr>
        <w:spacing w:line="460" w:lineRule="exact"/>
        <w:ind w:firstLine="2891" w:firstLineChars="800"/>
        <w:rPr>
          <w:rFonts w:hint="eastAsia" w:ascii="仿宋" w:hAnsi="仿宋" w:eastAsia="仿宋" w:cs="仿宋"/>
          <w:b/>
          <w:color w:val="000000" w:themeColor="text1"/>
          <w:sz w:val="36"/>
          <w:szCs w:val="36"/>
          <w:highlight w:val="none"/>
          <w14:textFill>
            <w14:solidFill>
              <w14:schemeClr w14:val="tx1"/>
            </w14:solidFill>
          </w14:textFill>
        </w:rPr>
      </w:pPr>
    </w:p>
    <w:p w14:paraId="17C776CA">
      <w:pPr>
        <w:spacing w:line="460" w:lineRule="exact"/>
        <w:ind w:firstLine="2891" w:firstLineChars="800"/>
        <w:rPr>
          <w:rFonts w:hint="eastAsia" w:ascii="仿宋" w:hAnsi="仿宋" w:eastAsia="仿宋" w:cs="仿宋"/>
          <w:b/>
          <w:color w:val="000000" w:themeColor="text1"/>
          <w:sz w:val="36"/>
          <w:szCs w:val="36"/>
          <w:highlight w:val="none"/>
          <w14:textFill>
            <w14:solidFill>
              <w14:schemeClr w14:val="tx1"/>
            </w14:solidFill>
          </w14:textFill>
        </w:rPr>
      </w:pPr>
    </w:p>
    <w:p w14:paraId="26409F5A">
      <w:pPr>
        <w:spacing w:line="460" w:lineRule="exact"/>
        <w:ind w:firstLine="2891" w:firstLineChars="800"/>
        <w:rPr>
          <w:rFonts w:hint="eastAsia" w:ascii="仿宋" w:hAnsi="仿宋" w:eastAsia="仿宋" w:cs="仿宋"/>
          <w:b/>
          <w:color w:val="000000" w:themeColor="text1"/>
          <w:sz w:val="36"/>
          <w:szCs w:val="36"/>
          <w:highlight w:val="none"/>
          <w14:textFill>
            <w14:solidFill>
              <w14:schemeClr w14:val="tx1"/>
            </w14:solidFill>
          </w14:textFill>
        </w:rPr>
        <w:sectPr>
          <w:headerReference r:id="rId13" w:type="default"/>
          <w:footerReference r:id="rId14" w:type="default"/>
          <w:pgSz w:w="11906" w:h="16838"/>
          <w:pgMar w:top="1247" w:right="1418" w:bottom="124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12BFDF0">
      <w:pPr>
        <w:spacing w:line="460" w:lineRule="exact"/>
        <w:ind w:firstLine="2891" w:firstLineChars="80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14:paraId="79B8D2FD">
      <w:pPr>
        <w:rPr>
          <w:rFonts w:hint="eastAsia" w:ascii="仿宋" w:hAnsi="仿宋" w:eastAsia="仿宋" w:cs="仿宋"/>
          <w:b/>
          <w:bCs/>
          <w:color w:val="000000" w:themeColor="text1"/>
          <w:highlight w:val="none"/>
          <w14:textFill>
            <w14:solidFill>
              <w14:schemeClr w14:val="tx1"/>
            </w14:solidFill>
          </w14:textFill>
        </w:rPr>
      </w:pPr>
    </w:p>
    <w:p w14:paraId="55C14BCB">
      <w:pPr>
        <w:numPr>
          <w:ilvl w:val="0"/>
          <w:numId w:val="0"/>
        </w:numPr>
        <w:ind w:firstLine="482" w:firstLineChars="200"/>
        <w:jc w:val="left"/>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一、采购清单</w:t>
      </w:r>
    </w:p>
    <w:tbl>
      <w:tblPr>
        <w:tblStyle w:val="27"/>
        <w:tblW w:w="9363"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2438"/>
        <w:gridCol w:w="2387"/>
        <w:gridCol w:w="1363"/>
        <w:gridCol w:w="1212"/>
        <w:gridCol w:w="1263"/>
      </w:tblGrid>
      <w:tr w14:paraId="04B2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455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187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材料名称</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67F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48C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最高单价（元/吨）</w:t>
            </w:r>
          </w:p>
        </w:tc>
        <w:tc>
          <w:tcPr>
            <w:tcW w:w="1212" w:type="dxa"/>
            <w:tcBorders>
              <w:top w:val="single" w:color="000000" w:sz="4" w:space="0"/>
              <w:left w:val="single" w:color="000000" w:sz="4" w:space="0"/>
              <w:right w:val="single" w:color="000000" w:sz="4" w:space="0"/>
            </w:tcBorders>
            <w:shd w:val="clear" w:color="auto" w:fill="auto"/>
            <w:noWrap/>
            <w:vAlign w:val="center"/>
          </w:tcPr>
          <w:p w14:paraId="5D80982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暂估数量（吨）</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9BF4">
            <w:pPr>
              <w:keepNext w:val="0"/>
              <w:keepLines w:val="0"/>
              <w:widowControl/>
              <w:suppressLineNumbers w:val="0"/>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小计（元）</w:t>
            </w:r>
          </w:p>
        </w:tc>
      </w:tr>
      <w:tr w14:paraId="46B9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385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11E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758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3～5（2.36～4.75）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573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7A8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8D3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91848 </w:t>
            </w:r>
          </w:p>
        </w:tc>
      </w:tr>
      <w:tr w14:paraId="47A3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CE9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14F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0B0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5～10（4.75～9.5）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BE6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E9E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1408</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D98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208384 </w:t>
            </w:r>
          </w:p>
        </w:tc>
      </w:tr>
      <w:tr w14:paraId="60B6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931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D07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88C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10～15（9.5～16）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9AE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4C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8380">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230028 </w:t>
            </w:r>
          </w:p>
        </w:tc>
      </w:tr>
      <w:tr w14:paraId="05CE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505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D94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9C8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10～20（9.5～20）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446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B1A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34C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164428 </w:t>
            </w:r>
          </w:p>
        </w:tc>
      </w:tr>
      <w:tr w14:paraId="7F27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C28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1C1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809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15～30（16～26.5）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1EA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92E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642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212640 </w:t>
            </w:r>
          </w:p>
        </w:tc>
      </w:tr>
      <w:tr w14:paraId="6885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79B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26D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机制砂</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28D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AFD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FD8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723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288933 </w:t>
            </w:r>
          </w:p>
        </w:tc>
      </w:tr>
      <w:tr w14:paraId="5C5F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2FD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462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7991</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CE4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1196261 </w:t>
            </w:r>
          </w:p>
        </w:tc>
      </w:tr>
    </w:tbl>
    <w:p w14:paraId="51BFFC56">
      <w:pPr>
        <w:keepNext w:val="0"/>
        <w:keepLines w:val="0"/>
        <w:widowControl/>
        <w:suppressLineNumbers w:val="0"/>
        <w:jc w:val="left"/>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注：其中最高单价含运费、含13%增值税。采购清单中数量为暂估数量，最终数量按实结算。</w:t>
      </w:r>
    </w:p>
    <w:p w14:paraId="0BBD350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snapToGrid w:val="0"/>
          <w:color w:val="000000" w:themeColor="text1"/>
          <w:kern w:val="28"/>
          <w:sz w:val="24"/>
          <w:szCs w:val="24"/>
          <w:highlight w:val="none"/>
          <w:lang w:val="en-US" w:eastAsia="zh-CN" w:bidi="ar-SA"/>
          <w14:textFill>
            <w14:solidFill>
              <w14:schemeClr w14:val="tx1"/>
            </w14:solidFill>
          </w14:textFill>
        </w:rPr>
        <w:t>二、技术及质量要求</w:t>
      </w:r>
    </w:p>
    <w:p w14:paraId="57A32927">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石灰岩</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整型</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的</w:t>
      </w:r>
      <w:r>
        <w:rPr>
          <w:rFonts w:hint="eastAsia" w:ascii="仿宋" w:hAnsi="仿宋" w:eastAsia="仿宋" w:cs="仿宋"/>
          <w:b/>
          <w:bCs/>
          <w:color w:val="000000" w:themeColor="text1"/>
          <w:sz w:val="24"/>
          <w:highlight w:val="none"/>
          <w14:textFill>
            <w14:solidFill>
              <w14:schemeClr w14:val="tx1"/>
            </w14:solidFill>
          </w14:textFill>
        </w:rPr>
        <w:t>质量标准及要求</w:t>
      </w:r>
    </w:p>
    <w:p w14:paraId="6294C913">
      <w:pPr>
        <w:keepNext w:val="0"/>
        <w:keepLines w:val="0"/>
        <w:pageBreakBefore w:val="0"/>
        <w:numPr>
          <w:ilvl w:val="-1"/>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所有原材料生产及验收标准必须完全符合相关标准及规范，包括但不限于：《公路沥青路面施工技术规范》JTG F40-2004</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《高等级公路沥青路面设计规范》DB33_T896-2024，并达到采购人要求。</w:t>
      </w:r>
    </w:p>
    <w:p w14:paraId="40B36233">
      <w:pPr>
        <w:keepNext w:val="0"/>
        <w:keepLines w:val="0"/>
        <w:pageBreakBefore w:val="0"/>
        <w:numPr>
          <w:ilvl w:val="-1"/>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.1石灰岩（整型）粗集料质量要求：石质坚硬、洁净、干燥、无风化、无杂质、近立方体、有棱角的碎石。质量</w:t>
      </w:r>
      <w:r>
        <w:rPr>
          <w:rFonts w:hint="eastAsia" w:ascii="仿宋" w:hAnsi="仿宋" w:eastAsia="仿宋" w:cs="仿宋"/>
          <w:color w:val="000000" w:themeColor="text1"/>
          <w:sz w:val="24"/>
          <w:highlight w:val="none"/>
          <w:lang w:val="en-US" w:eastAsia="zh-CN"/>
          <w14:textFill>
            <w14:solidFill>
              <w14:schemeClr w14:val="tx1"/>
            </w14:solidFill>
          </w14:textFill>
        </w:rPr>
        <w:t>技术要求</w:t>
      </w:r>
      <w:r>
        <w:rPr>
          <w:rFonts w:hint="eastAsia" w:ascii="仿宋" w:hAnsi="仿宋" w:eastAsia="仿宋" w:cs="仿宋"/>
          <w:color w:val="000000" w:themeColor="text1"/>
          <w:sz w:val="24"/>
          <w:highlight w:val="none"/>
          <w14:textFill>
            <w14:solidFill>
              <w14:schemeClr w14:val="tx1"/>
            </w14:solidFill>
          </w14:textFill>
        </w:rPr>
        <w:t>应符合下表。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438"/>
        <w:gridCol w:w="800"/>
        <w:gridCol w:w="1356"/>
        <w:gridCol w:w="1356"/>
        <w:gridCol w:w="1319"/>
      </w:tblGrid>
      <w:tr w14:paraId="2741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11F7E66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试验项目</w:t>
            </w:r>
          </w:p>
        </w:tc>
        <w:tc>
          <w:tcPr>
            <w:tcW w:w="800" w:type="dxa"/>
            <w:vAlign w:val="center"/>
          </w:tcPr>
          <w:p w14:paraId="5D5E047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单位</w:t>
            </w:r>
          </w:p>
        </w:tc>
        <w:tc>
          <w:tcPr>
            <w:tcW w:w="2712" w:type="dxa"/>
            <w:gridSpan w:val="2"/>
            <w:vAlign w:val="center"/>
          </w:tcPr>
          <w:p w14:paraId="0238BDC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技术要求</w:t>
            </w:r>
          </w:p>
        </w:tc>
        <w:tc>
          <w:tcPr>
            <w:tcW w:w="1319" w:type="dxa"/>
            <w:vAlign w:val="center"/>
          </w:tcPr>
          <w:p w14:paraId="6821565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试验方法</w:t>
            </w:r>
          </w:p>
        </w:tc>
      </w:tr>
      <w:tr w14:paraId="04ED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480F440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石料压碎值</w:t>
            </w:r>
          </w:p>
        </w:tc>
        <w:tc>
          <w:tcPr>
            <w:tcW w:w="800" w:type="dxa"/>
            <w:vAlign w:val="center"/>
          </w:tcPr>
          <w:p w14:paraId="7241EC9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1356" w:type="dxa"/>
            <w:vAlign w:val="center"/>
          </w:tcPr>
          <w:p w14:paraId="323E1D5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常温试验</w:t>
            </w:r>
          </w:p>
        </w:tc>
        <w:tc>
          <w:tcPr>
            <w:tcW w:w="1356" w:type="dxa"/>
            <w:vAlign w:val="center"/>
          </w:tcPr>
          <w:p w14:paraId="1CBEB19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c>
          <w:tcPr>
            <w:tcW w:w="1319" w:type="dxa"/>
            <w:vAlign w:val="center"/>
          </w:tcPr>
          <w:p w14:paraId="64702D5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T0316</w:t>
            </w:r>
          </w:p>
        </w:tc>
      </w:tr>
      <w:tr w14:paraId="4959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52DDEE0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洛杉矶磨耗损失 </w:t>
            </w:r>
          </w:p>
        </w:tc>
        <w:tc>
          <w:tcPr>
            <w:tcW w:w="800" w:type="dxa"/>
            <w:vAlign w:val="center"/>
          </w:tcPr>
          <w:p w14:paraId="34C0D062">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258970A6">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p>
        </w:tc>
        <w:tc>
          <w:tcPr>
            <w:tcW w:w="1319" w:type="dxa"/>
            <w:vAlign w:val="center"/>
          </w:tcPr>
          <w:p w14:paraId="6A71667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T0317</w:t>
            </w:r>
          </w:p>
        </w:tc>
      </w:tr>
      <w:tr w14:paraId="13BA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7ED254E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表观相对密度</w:t>
            </w:r>
          </w:p>
        </w:tc>
        <w:tc>
          <w:tcPr>
            <w:tcW w:w="800" w:type="dxa"/>
            <w:vAlign w:val="center"/>
          </w:tcPr>
          <w:p w14:paraId="3EC921FF">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79CF0B3A">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p>
        </w:tc>
        <w:tc>
          <w:tcPr>
            <w:tcW w:w="1319" w:type="dxa"/>
            <w:vAlign w:val="center"/>
          </w:tcPr>
          <w:p w14:paraId="5FA0933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T0304</w:t>
            </w:r>
          </w:p>
        </w:tc>
      </w:tr>
      <w:tr w14:paraId="6F6D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249D5C52">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吸水率</w:t>
            </w:r>
          </w:p>
        </w:tc>
        <w:tc>
          <w:tcPr>
            <w:tcW w:w="800" w:type="dxa"/>
            <w:vAlign w:val="center"/>
          </w:tcPr>
          <w:p w14:paraId="1C930EC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2DF19C6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19" w:type="dxa"/>
            <w:vAlign w:val="center"/>
          </w:tcPr>
          <w:p w14:paraId="1EEBC9C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T0304</w:t>
            </w:r>
          </w:p>
        </w:tc>
      </w:tr>
      <w:tr w14:paraId="053F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2D9A28F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坚固性</w:t>
            </w:r>
          </w:p>
        </w:tc>
        <w:tc>
          <w:tcPr>
            <w:tcW w:w="800" w:type="dxa"/>
            <w:vAlign w:val="center"/>
          </w:tcPr>
          <w:p w14:paraId="2F64C71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11EAEBB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p>
        </w:tc>
        <w:tc>
          <w:tcPr>
            <w:tcW w:w="1319" w:type="dxa"/>
            <w:vAlign w:val="center"/>
          </w:tcPr>
          <w:p w14:paraId="484BC1B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T0314</w:t>
            </w:r>
          </w:p>
        </w:tc>
      </w:tr>
      <w:tr w14:paraId="69D5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0C27401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对沥青的黏附性</w:t>
            </w:r>
          </w:p>
        </w:tc>
        <w:tc>
          <w:tcPr>
            <w:tcW w:w="800" w:type="dxa"/>
            <w:vAlign w:val="center"/>
          </w:tcPr>
          <w:p w14:paraId="34D4153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2CEFDFD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≥5级</w:t>
            </w:r>
          </w:p>
        </w:tc>
        <w:tc>
          <w:tcPr>
            <w:tcW w:w="1319" w:type="dxa"/>
            <w:vAlign w:val="center"/>
          </w:tcPr>
          <w:p w14:paraId="313DAC1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T0616</w:t>
            </w:r>
          </w:p>
        </w:tc>
      </w:tr>
      <w:tr w14:paraId="27CA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restart"/>
            <w:vAlign w:val="center"/>
          </w:tcPr>
          <w:p w14:paraId="3C977EC2">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针片状颗粒含量</w:t>
            </w:r>
          </w:p>
        </w:tc>
        <w:tc>
          <w:tcPr>
            <w:tcW w:w="2438" w:type="dxa"/>
            <w:vAlign w:val="center"/>
          </w:tcPr>
          <w:p w14:paraId="58951E7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4.75mm～13.2mm</w:t>
            </w:r>
          </w:p>
        </w:tc>
        <w:tc>
          <w:tcPr>
            <w:tcW w:w="800" w:type="dxa"/>
            <w:vAlign w:val="center"/>
          </w:tcPr>
          <w:p w14:paraId="5FD4816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65FEE37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1319" w:type="dxa"/>
            <w:vMerge w:val="restart"/>
            <w:vAlign w:val="center"/>
          </w:tcPr>
          <w:p w14:paraId="39B8429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T0312</w:t>
            </w:r>
          </w:p>
        </w:tc>
      </w:tr>
      <w:tr w14:paraId="26A0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continue"/>
            <w:vAlign w:val="center"/>
          </w:tcPr>
          <w:p w14:paraId="41084E4F">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c>
          <w:tcPr>
            <w:tcW w:w="2438" w:type="dxa"/>
            <w:vAlign w:val="center"/>
          </w:tcPr>
          <w:p w14:paraId="27577A02">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13.2mm以上</w:t>
            </w:r>
          </w:p>
        </w:tc>
        <w:tc>
          <w:tcPr>
            <w:tcW w:w="800" w:type="dxa"/>
            <w:vAlign w:val="center"/>
          </w:tcPr>
          <w:p w14:paraId="320BE12A">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06F6663A">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1319" w:type="dxa"/>
            <w:vMerge w:val="continue"/>
            <w:vAlign w:val="center"/>
          </w:tcPr>
          <w:p w14:paraId="26EBA68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r>
      <w:tr w14:paraId="64AD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restart"/>
            <w:vAlign w:val="center"/>
          </w:tcPr>
          <w:p w14:paraId="3098FAD6">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水洗法＜0.075mm颗粒含量</w:t>
            </w:r>
          </w:p>
        </w:tc>
        <w:tc>
          <w:tcPr>
            <w:tcW w:w="2438" w:type="dxa"/>
            <w:vAlign w:val="center"/>
          </w:tcPr>
          <w:p w14:paraId="4B84913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粒径大于4.75mm</w:t>
            </w:r>
          </w:p>
        </w:tc>
        <w:tc>
          <w:tcPr>
            <w:tcW w:w="800" w:type="dxa"/>
            <w:vAlign w:val="center"/>
          </w:tcPr>
          <w:p w14:paraId="37EA72E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5E33F64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0.8</w:t>
            </w:r>
          </w:p>
        </w:tc>
        <w:tc>
          <w:tcPr>
            <w:tcW w:w="1319" w:type="dxa"/>
            <w:vMerge w:val="restart"/>
            <w:vAlign w:val="center"/>
          </w:tcPr>
          <w:p w14:paraId="2A50E3D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T0310</w:t>
            </w:r>
          </w:p>
        </w:tc>
      </w:tr>
      <w:tr w14:paraId="70FC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continue"/>
            <w:vAlign w:val="center"/>
          </w:tcPr>
          <w:p w14:paraId="6E212624">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c>
          <w:tcPr>
            <w:tcW w:w="2438" w:type="dxa"/>
            <w:vAlign w:val="center"/>
          </w:tcPr>
          <w:p w14:paraId="14D907B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粒径2.36mm～4.75mm</w:t>
            </w:r>
          </w:p>
        </w:tc>
        <w:tc>
          <w:tcPr>
            <w:tcW w:w="800" w:type="dxa"/>
            <w:vAlign w:val="center"/>
          </w:tcPr>
          <w:p w14:paraId="7755352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68868BF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319" w:type="dxa"/>
            <w:vMerge w:val="continue"/>
            <w:vAlign w:val="center"/>
          </w:tcPr>
          <w:p w14:paraId="3416DE2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r>
      <w:tr w14:paraId="4F2F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41E2689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软石含量</w:t>
            </w:r>
          </w:p>
        </w:tc>
        <w:tc>
          <w:tcPr>
            <w:tcW w:w="800" w:type="dxa"/>
            <w:shd w:val="clear" w:color="auto" w:fill="auto"/>
            <w:vAlign w:val="center"/>
          </w:tcPr>
          <w:p w14:paraId="0B5C1EDD">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318D43D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2.5</w:t>
            </w:r>
          </w:p>
        </w:tc>
        <w:tc>
          <w:tcPr>
            <w:tcW w:w="1319" w:type="dxa"/>
            <w:vAlign w:val="center"/>
          </w:tcPr>
          <w:p w14:paraId="672D7656">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T0320</w:t>
            </w:r>
          </w:p>
        </w:tc>
      </w:tr>
      <w:tr w14:paraId="127B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70164C4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石料磨光值（PSV）</w:t>
            </w:r>
          </w:p>
        </w:tc>
        <w:tc>
          <w:tcPr>
            <w:tcW w:w="800" w:type="dxa"/>
            <w:shd w:val="clear" w:color="auto" w:fill="auto"/>
            <w:vAlign w:val="center"/>
          </w:tcPr>
          <w:p w14:paraId="50E950DA">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6153CA3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≥42</w:t>
            </w:r>
          </w:p>
        </w:tc>
        <w:tc>
          <w:tcPr>
            <w:tcW w:w="1319" w:type="dxa"/>
            <w:vAlign w:val="center"/>
          </w:tcPr>
          <w:p w14:paraId="1D9C7F9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T0321</w:t>
            </w:r>
          </w:p>
        </w:tc>
      </w:tr>
      <w:tr w14:paraId="536A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0810D81A">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方解石含量</w:t>
            </w:r>
          </w:p>
        </w:tc>
        <w:tc>
          <w:tcPr>
            <w:tcW w:w="800" w:type="dxa"/>
            <w:shd w:val="clear" w:color="auto" w:fill="auto"/>
            <w:vAlign w:val="center"/>
          </w:tcPr>
          <w:p w14:paraId="2DF6D396">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12BF131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1319" w:type="dxa"/>
            <w:vAlign w:val="center"/>
          </w:tcPr>
          <w:p w14:paraId="0CE0C29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r>
    </w:tbl>
    <w:p w14:paraId="6A91B87A">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注：坚固性试验可根据需要进行。</w:t>
      </w:r>
    </w:p>
    <w:p w14:paraId="396CB506">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1.2规格控制</w:t>
      </w:r>
    </w:p>
    <w:tbl>
      <w:tblPr>
        <w:tblStyle w:val="27"/>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065"/>
        <w:gridCol w:w="1065"/>
        <w:gridCol w:w="1065"/>
        <w:gridCol w:w="1065"/>
        <w:gridCol w:w="1065"/>
        <w:gridCol w:w="1065"/>
        <w:gridCol w:w="1066"/>
      </w:tblGrid>
      <w:tr w14:paraId="6E2A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vMerge w:val="restart"/>
            <w:noWrap w:val="0"/>
            <w:vAlign w:val="center"/>
          </w:tcPr>
          <w:p w14:paraId="0723FF9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公称粒径</w:t>
            </w:r>
          </w:p>
          <w:p w14:paraId="3588C06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（mm）</w:t>
            </w:r>
          </w:p>
        </w:tc>
        <w:tc>
          <w:tcPr>
            <w:tcW w:w="7456" w:type="dxa"/>
            <w:gridSpan w:val="7"/>
            <w:noWrap w:val="0"/>
            <w:vAlign w:val="center"/>
          </w:tcPr>
          <w:p w14:paraId="765CF7C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通过下了筛孔（mm）的质量百分率（%）</w:t>
            </w:r>
          </w:p>
        </w:tc>
      </w:tr>
      <w:tr w14:paraId="6B99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vMerge w:val="continue"/>
            <w:noWrap w:val="0"/>
            <w:vAlign w:val="center"/>
          </w:tcPr>
          <w:p w14:paraId="72B910C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noWrap w:val="0"/>
            <w:vAlign w:val="center"/>
          </w:tcPr>
          <w:p w14:paraId="1A89380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26.5</w:t>
            </w:r>
          </w:p>
        </w:tc>
        <w:tc>
          <w:tcPr>
            <w:tcW w:w="1065" w:type="dxa"/>
            <w:noWrap w:val="0"/>
            <w:vAlign w:val="center"/>
          </w:tcPr>
          <w:p w14:paraId="13D0CE0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19.0</w:t>
            </w:r>
          </w:p>
        </w:tc>
        <w:tc>
          <w:tcPr>
            <w:tcW w:w="1065" w:type="dxa"/>
            <w:noWrap w:val="0"/>
            <w:vAlign w:val="center"/>
          </w:tcPr>
          <w:p w14:paraId="63732EA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13.2</w:t>
            </w:r>
          </w:p>
        </w:tc>
        <w:tc>
          <w:tcPr>
            <w:tcW w:w="1065" w:type="dxa"/>
            <w:noWrap w:val="0"/>
            <w:vAlign w:val="center"/>
          </w:tcPr>
          <w:p w14:paraId="00D90C1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9.5</w:t>
            </w:r>
          </w:p>
        </w:tc>
        <w:tc>
          <w:tcPr>
            <w:tcW w:w="1065" w:type="dxa"/>
            <w:noWrap w:val="0"/>
            <w:vAlign w:val="center"/>
          </w:tcPr>
          <w:p w14:paraId="7A876C1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4.75</w:t>
            </w:r>
          </w:p>
        </w:tc>
        <w:tc>
          <w:tcPr>
            <w:tcW w:w="1065" w:type="dxa"/>
            <w:noWrap w:val="0"/>
            <w:vAlign w:val="center"/>
          </w:tcPr>
          <w:p w14:paraId="062D72E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2.36</w:t>
            </w:r>
          </w:p>
        </w:tc>
        <w:tc>
          <w:tcPr>
            <w:tcW w:w="1066" w:type="dxa"/>
            <w:noWrap w:val="0"/>
            <w:vAlign w:val="center"/>
          </w:tcPr>
          <w:p w14:paraId="663CCF7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p>
        </w:tc>
      </w:tr>
      <w:tr w14:paraId="071A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noWrap w:val="0"/>
            <w:vAlign w:val="center"/>
          </w:tcPr>
          <w:p w14:paraId="6729579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10～20</w:t>
            </w:r>
          </w:p>
          <w:p w14:paraId="5E01FEE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（9.5～20）</w:t>
            </w:r>
          </w:p>
        </w:tc>
        <w:tc>
          <w:tcPr>
            <w:tcW w:w="1065" w:type="dxa"/>
            <w:noWrap w:val="0"/>
            <w:vAlign w:val="center"/>
          </w:tcPr>
          <w:p w14:paraId="6CAF5BE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065" w:type="dxa"/>
            <w:noWrap w:val="0"/>
            <w:vAlign w:val="center"/>
          </w:tcPr>
          <w:p w14:paraId="235F794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90～100</w:t>
            </w:r>
          </w:p>
        </w:tc>
        <w:tc>
          <w:tcPr>
            <w:tcW w:w="1065" w:type="dxa"/>
            <w:noWrap w:val="0"/>
            <w:vAlign w:val="center"/>
          </w:tcPr>
          <w:p w14:paraId="736745E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65" w:type="dxa"/>
            <w:noWrap w:val="0"/>
            <w:vAlign w:val="center"/>
          </w:tcPr>
          <w:p w14:paraId="76B773D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0～15</w:t>
            </w:r>
          </w:p>
        </w:tc>
        <w:tc>
          <w:tcPr>
            <w:tcW w:w="1065" w:type="dxa"/>
            <w:noWrap w:val="0"/>
            <w:vAlign w:val="center"/>
          </w:tcPr>
          <w:p w14:paraId="2373DB4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1065" w:type="dxa"/>
            <w:noWrap w:val="0"/>
            <w:vAlign w:val="center"/>
          </w:tcPr>
          <w:p w14:paraId="7F8811B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6" w:type="dxa"/>
            <w:noWrap w:val="0"/>
            <w:vAlign w:val="center"/>
          </w:tcPr>
          <w:p w14:paraId="0C63B65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10798EFB">
      <w:pPr>
        <w:keepNext w:val="0"/>
        <w:keepLines w:val="0"/>
        <w:pageBreakBefore w:val="0"/>
        <w:numPr>
          <w:ilvl w:val="0"/>
          <w:numId w:val="0"/>
        </w:numPr>
        <w:kinsoku/>
        <w:wordWrap/>
        <w:overflowPunct/>
        <w:topLinePunct w:val="0"/>
        <w:autoSpaceDE/>
        <w:autoSpaceDN/>
        <w:bidi w:val="0"/>
        <w:spacing w:line="360" w:lineRule="auto"/>
        <w:ind w:firstLine="241" w:firstLineChars="100"/>
        <w:textAlignment w:val="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24"/>
          <w:highlight w:val="none"/>
          <w:lang w:eastAsia="zh-CN"/>
          <w14:textFill>
            <w14:solidFill>
              <w14:schemeClr w14:val="tx1"/>
            </w14:solidFill>
          </w14:textFill>
        </w:rPr>
        <w:t>机制砂的质量标准及要求</w:t>
      </w:r>
    </w:p>
    <w:p w14:paraId="244164FC">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所有原材料生产及验收标准必须完全符合</w:t>
      </w:r>
      <w:r>
        <w:rPr>
          <w:rFonts w:hint="eastAsia" w:ascii="仿宋" w:hAnsi="仿宋" w:eastAsia="仿宋" w:cs="仿宋"/>
          <w:color w:val="000000" w:themeColor="text1"/>
          <w:sz w:val="24"/>
          <w:highlight w:val="none"/>
          <w:lang w:val="en-US" w:eastAsia="zh-CN"/>
          <w14:textFill>
            <w14:solidFill>
              <w14:schemeClr w14:val="tx1"/>
            </w14:solidFill>
          </w14:textFill>
        </w:rPr>
        <w:t>相关</w:t>
      </w:r>
      <w:r>
        <w:rPr>
          <w:rFonts w:hint="eastAsia" w:ascii="仿宋" w:hAnsi="仿宋" w:eastAsia="仿宋" w:cs="仿宋"/>
          <w:color w:val="000000" w:themeColor="text1"/>
          <w:sz w:val="24"/>
          <w:highlight w:val="none"/>
          <w14:textFill>
            <w14:solidFill>
              <w14:schemeClr w14:val="tx1"/>
            </w14:solidFill>
          </w14:textFill>
        </w:rPr>
        <w:t>标准及规范，包括但不限于：《高等级公路沥青路面设计规范》DB33_T896-2024，并达到采购人要求。</w:t>
      </w:r>
    </w:p>
    <w:p w14:paraId="41B8C93C">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粒径小于2.36mm、坚硬、洁净、干燥、无风化、无杂质并有适当颗粒级配</w:t>
      </w:r>
      <w:r>
        <w:rPr>
          <w:rFonts w:hint="eastAsia" w:ascii="仿宋" w:hAnsi="仿宋" w:eastAsia="仿宋" w:cs="仿宋"/>
          <w:color w:val="000000" w:themeColor="text1"/>
          <w:sz w:val="24"/>
          <w:highlight w:val="none"/>
          <w:lang w:val="en-US" w:eastAsia="zh-CN"/>
          <w14:textFill>
            <w14:solidFill>
              <w14:schemeClr w14:val="tx1"/>
            </w14:solidFill>
          </w14:textFill>
        </w:rPr>
        <w:t>的机制砂</w:t>
      </w:r>
      <w:r>
        <w:rPr>
          <w:rFonts w:hint="eastAsia" w:ascii="仿宋" w:hAnsi="仿宋" w:eastAsia="仿宋" w:cs="仿宋"/>
          <w:color w:val="000000" w:themeColor="text1"/>
          <w:sz w:val="24"/>
          <w:highlight w:val="none"/>
          <w14:textFill>
            <w14:solidFill>
              <w14:schemeClr w14:val="tx1"/>
            </w14:solidFill>
          </w14:textFill>
        </w:rPr>
        <w:t>。质量</w:t>
      </w:r>
      <w:r>
        <w:rPr>
          <w:rFonts w:hint="eastAsia" w:ascii="仿宋" w:hAnsi="仿宋" w:eastAsia="仿宋" w:cs="仿宋"/>
          <w:color w:val="000000" w:themeColor="text1"/>
          <w:sz w:val="24"/>
          <w:highlight w:val="none"/>
          <w:lang w:val="en-US" w:eastAsia="zh-CN"/>
          <w14:textFill>
            <w14:solidFill>
              <w14:schemeClr w14:val="tx1"/>
            </w14:solidFill>
          </w14:textFill>
        </w:rPr>
        <w:t>技术要求</w:t>
      </w:r>
      <w:r>
        <w:rPr>
          <w:rFonts w:hint="eastAsia" w:ascii="仿宋" w:hAnsi="仿宋" w:eastAsia="仿宋" w:cs="仿宋"/>
          <w:color w:val="000000" w:themeColor="text1"/>
          <w:sz w:val="24"/>
          <w:highlight w:val="none"/>
          <w14:textFill>
            <w14:solidFill>
              <w14:schemeClr w14:val="tx1"/>
            </w14:solidFill>
          </w14:textFill>
        </w:rPr>
        <w:t>应符合下表。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3"/>
        <w:gridCol w:w="1288"/>
        <w:gridCol w:w="2234"/>
        <w:gridCol w:w="2322"/>
      </w:tblGrid>
      <w:tr w14:paraId="10F4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443" w:type="dxa"/>
            <w:vAlign w:val="center"/>
          </w:tcPr>
          <w:p w14:paraId="2FEF40D0">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试验项目</w:t>
            </w:r>
          </w:p>
        </w:tc>
        <w:tc>
          <w:tcPr>
            <w:tcW w:w="1288" w:type="dxa"/>
            <w:vAlign w:val="center"/>
          </w:tcPr>
          <w:p w14:paraId="669A07E2">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单位</w:t>
            </w:r>
          </w:p>
        </w:tc>
        <w:tc>
          <w:tcPr>
            <w:tcW w:w="2234" w:type="dxa"/>
            <w:vAlign w:val="center"/>
          </w:tcPr>
          <w:p w14:paraId="39750E99">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技术要求</w:t>
            </w:r>
          </w:p>
        </w:tc>
        <w:tc>
          <w:tcPr>
            <w:tcW w:w="2322" w:type="dxa"/>
            <w:vAlign w:val="center"/>
          </w:tcPr>
          <w:p w14:paraId="7B56E6D5">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试验方法</w:t>
            </w:r>
          </w:p>
        </w:tc>
      </w:tr>
      <w:tr w14:paraId="3B5A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443" w:type="dxa"/>
            <w:vAlign w:val="center"/>
          </w:tcPr>
          <w:p w14:paraId="496AEB0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表观相对密度</w:t>
            </w:r>
          </w:p>
        </w:tc>
        <w:tc>
          <w:tcPr>
            <w:tcW w:w="1288" w:type="dxa"/>
            <w:vAlign w:val="center"/>
          </w:tcPr>
          <w:p w14:paraId="13B9CDE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234" w:type="dxa"/>
            <w:vAlign w:val="center"/>
          </w:tcPr>
          <w:p w14:paraId="4A7668A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p>
        </w:tc>
        <w:tc>
          <w:tcPr>
            <w:tcW w:w="2322" w:type="dxa"/>
            <w:vAlign w:val="center"/>
          </w:tcPr>
          <w:p w14:paraId="3BE3F2F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T0328</w:t>
            </w:r>
          </w:p>
        </w:tc>
      </w:tr>
      <w:tr w14:paraId="179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443" w:type="dxa"/>
            <w:shd w:val="clear" w:color="auto" w:fill="auto"/>
            <w:vAlign w:val="center"/>
          </w:tcPr>
          <w:p w14:paraId="19E9070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坚固性（＞0.3mm部分）</w:t>
            </w:r>
          </w:p>
        </w:tc>
        <w:tc>
          <w:tcPr>
            <w:tcW w:w="1288" w:type="dxa"/>
            <w:shd w:val="clear" w:color="auto" w:fill="auto"/>
            <w:vAlign w:val="center"/>
          </w:tcPr>
          <w:p w14:paraId="6D03502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234" w:type="dxa"/>
            <w:shd w:val="clear" w:color="auto" w:fill="auto"/>
            <w:vAlign w:val="center"/>
          </w:tcPr>
          <w:p w14:paraId="6873F25A">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p>
        </w:tc>
        <w:tc>
          <w:tcPr>
            <w:tcW w:w="2322" w:type="dxa"/>
            <w:shd w:val="clear" w:color="auto" w:fill="auto"/>
            <w:vAlign w:val="center"/>
          </w:tcPr>
          <w:p w14:paraId="189D20E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T0340</w:t>
            </w:r>
          </w:p>
        </w:tc>
      </w:tr>
      <w:tr w14:paraId="6672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443" w:type="dxa"/>
            <w:shd w:val="clear" w:color="auto" w:fill="auto"/>
            <w:vAlign w:val="center"/>
          </w:tcPr>
          <w:p w14:paraId="0988D57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含泥量（小于0.075mm的含量）</w:t>
            </w:r>
          </w:p>
        </w:tc>
        <w:tc>
          <w:tcPr>
            <w:tcW w:w="1288" w:type="dxa"/>
            <w:shd w:val="clear" w:color="auto" w:fill="auto"/>
            <w:vAlign w:val="center"/>
          </w:tcPr>
          <w:p w14:paraId="7663E28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234" w:type="dxa"/>
            <w:shd w:val="clear" w:color="auto" w:fill="auto"/>
            <w:vAlign w:val="center"/>
          </w:tcPr>
          <w:p w14:paraId="08283EC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2322" w:type="dxa"/>
            <w:shd w:val="clear" w:color="auto" w:fill="auto"/>
            <w:vAlign w:val="center"/>
          </w:tcPr>
          <w:p w14:paraId="0F2D8BD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r>
      <w:tr w14:paraId="47E9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443" w:type="dxa"/>
            <w:vAlign w:val="center"/>
          </w:tcPr>
          <w:p w14:paraId="0E57623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砂当量</w:t>
            </w:r>
          </w:p>
        </w:tc>
        <w:tc>
          <w:tcPr>
            <w:tcW w:w="1288" w:type="dxa"/>
            <w:vAlign w:val="center"/>
          </w:tcPr>
          <w:p w14:paraId="07D4D3A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234" w:type="dxa"/>
            <w:shd w:val="clear" w:color="auto" w:fill="auto"/>
            <w:vAlign w:val="center"/>
          </w:tcPr>
          <w:p w14:paraId="2D5DC1C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≥70</w:t>
            </w:r>
          </w:p>
        </w:tc>
        <w:tc>
          <w:tcPr>
            <w:tcW w:w="2322" w:type="dxa"/>
            <w:shd w:val="clear" w:color="auto" w:fill="auto"/>
            <w:vAlign w:val="center"/>
          </w:tcPr>
          <w:p w14:paraId="199FDEF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T0334</w:t>
            </w:r>
          </w:p>
        </w:tc>
      </w:tr>
      <w:tr w14:paraId="5F8C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443" w:type="dxa"/>
            <w:vAlign w:val="center"/>
          </w:tcPr>
          <w:p w14:paraId="700CCA8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棱角性（流动时间）</w:t>
            </w:r>
          </w:p>
        </w:tc>
        <w:tc>
          <w:tcPr>
            <w:tcW w:w="1288" w:type="dxa"/>
            <w:vAlign w:val="center"/>
          </w:tcPr>
          <w:p w14:paraId="1C0B211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s</w:t>
            </w:r>
          </w:p>
        </w:tc>
        <w:tc>
          <w:tcPr>
            <w:tcW w:w="2234" w:type="dxa"/>
            <w:vAlign w:val="center"/>
          </w:tcPr>
          <w:p w14:paraId="1631CD9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≥30</w:t>
            </w:r>
          </w:p>
        </w:tc>
        <w:tc>
          <w:tcPr>
            <w:tcW w:w="2322" w:type="dxa"/>
            <w:vAlign w:val="center"/>
          </w:tcPr>
          <w:p w14:paraId="5A196BB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T0335</w:t>
            </w:r>
          </w:p>
        </w:tc>
      </w:tr>
      <w:tr w14:paraId="2DD0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443" w:type="dxa"/>
            <w:vAlign w:val="center"/>
          </w:tcPr>
          <w:p w14:paraId="1C3F105A">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亚甲蓝值</w:t>
            </w:r>
          </w:p>
        </w:tc>
        <w:tc>
          <w:tcPr>
            <w:tcW w:w="1288" w:type="dxa"/>
            <w:vAlign w:val="center"/>
          </w:tcPr>
          <w:p w14:paraId="3FC6AAA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g/kg</w:t>
            </w:r>
          </w:p>
        </w:tc>
        <w:tc>
          <w:tcPr>
            <w:tcW w:w="2234" w:type="dxa"/>
            <w:vAlign w:val="center"/>
          </w:tcPr>
          <w:p w14:paraId="6D28F542">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2322" w:type="dxa"/>
            <w:vAlign w:val="center"/>
          </w:tcPr>
          <w:p w14:paraId="3F548F5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T0349</w:t>
            </w:r>
          </w:p>
        </w:tc>
      </w:tr>
    </w:tbl>
    <w:p w14:paraId="4CA7D401">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注：坚固性试验可根据需要进行。</w:t>
      </w:r>
    </w:p>
    <w:p w14:paraId="40D536E3">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石灰岩（</w:t>
      </w:r>
      <w:r>
        <w:rPr>
          <w:rFonts w:hint="eastAsia" w:ascii="仿宋" w:hAnsi="仿宋" w:eastAsia="仿宋" w:cs="仿宋"/>
          <w:b/>
          <w:bCs/>
          <w:color w:val="000000" w:themeColor="text1"/>
          <w:sz w:val="24"/>
          <w:highlight w:val="none"/>
          <w:lang w:val="en-US" w:eastAsia="zh-CN"/>
          <w14:textFill>
            <w14:solidFill>
              <w14:schemeClr w14:val="tx1"/>
            </w14:solidFill>
          </w14:textFill>
        </w:rPr>
        <w:t>高标</w:t>
      </w:r>
      <w:r>
        <w:rPr>
          <w:rFonts w:hint="eastAsia" w:ascii="仿宋" w:hAnsi="仿宋" w:eastAsia="仿宋" w:cs="仿宋"/>
          <w:b/>
          <w:bCs/>
          <w:color w:val="000000" w:themeColor="text1"/>
          <w:sz w:val="24"/>
          <w:highlight w:val="none"/>
          <w14:textFill>
            <w14:solidFill>
              <w14:schemeClr w14:val="tx1"/>
            </w14:solidFill>
          </w14:textFill>
        </w:rPr>
        <w:t>整型）的质量标准及要求</w:t>
      </w:r>
    </w:p>
    <w:p w14:paraId="670C65AA">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所有原材料生产及验收标准必须完全符合相关标准及规范，包括但不限于：《公路沥青路面施工技术规范》JTG F40-2004</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《高等级公路沥青路面设计规范》DB33_T896-2024，并达到采购人要求。</w:t>
      </w:r>
    </w:p>
    <w:p w14:paraId="3B57D1EA">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3.1</w:t>
      </w:r>
      <w:r>
        <w:rPr>
          <w:rFonts w:hint="eastAsia" w:ascii="仿宋" w:hAnsi="仿宋" w:eastAsia="仿宋" w:cs="仿宋"/>
          <w:color w:val="000000" w:themeColor="text1"/>
          <w:sz w:val="24"/>
          <w:highlight w:val="none"/>
          <w14:textFill>
            <w14:solidFill>
              <w14:schemeClr w14:val="tx1"/>
            </w14:solidFill>
          </w14:textFill>
        </w:rPr>
        <w:t>石灰岩（</w:t>
      </w:r>
      <w:r>
        <w:rPr>
          <w:rFonts w:hint="eastAsia" w:ascii="仿宋" w:hAnsi="仿宋" w:eastAsia="仿宋" w:cs="仿宋"/>
          <w:color w:val="000000" w:themeColor="text1"/>
          <w:sz w:val="24"/>
          <w:highlight w:val="none"/>
          <w:lang w:val="en-US" w:eastAsia="zh-CN"/>
          <w14:textFill>
            <w14:solidFill>
              <w14:schemeClr w14:val="tx1"/>
            </w14:solidFill>
          </w14:textFill>
        </w:rPr>
        <w:t>高标</w:t>
      </w:r>
      <w:r>
        <w:rPr>
          <w:rFonts w:hint="eastAsia" w:ascii="仿宋" w:hAnsi="仿宋" w:eastAsia="仿宋" w:cs="仿宋"/>
          <w:color w:val="000000" w:themeColor="text1"/>
          <w:sz w:val="24"/>
          <w:highlight w:val="none"/>
          <w14:textFill>
            <w14:solidFill>
              <w14:schemeClr w14:val="tx1"/>
            </w14:solidFill>
          </w14:textFill>
        </w:rPr>
        <w:t>整型）粗集料质量要求：石质坚硬、洁净、干燥、无风化、无杂质、近立方体、有棱角的碎石。质量</w:t>
      </w:r>
      <w:r>
        <w:rPr>
          <w:rFonts w:hint="eastAsia" w:ascii="仿宋" w:hAnsi="仿宋" w:eastAsia="仿宋" w:cs="仿宋"/>
          <w:color w:val="000000" w:themeColor="text1"/>
          <w:sz w:val="24"/>
          <w:highlight w:val="none"/>
          <w:lang w:val="en-US" w:eastAsia="zh-CN"/>
          <w14:textFill>
            <w14:solidFill>
              <w14:schemeClr w14:val="tx1"/>
            </w14:solidFill>
          </w14:textFill>
        </w:rPr>
        <w:t>技术要求</w:t>
      </w:r>
      <w:r>
        <w:rPr>
          <w:rFonts w:hint="eastAsia" w:ascii="仿宋" w:hAnsi="仿宋" w:eastAsia="仿宋" w:cs="仿宋"/>
          <w:color w:val="000000" w:themeColor="text1"/>
          <w:sz w:val="24"/>
          <w:highlight w:val="none"/>
          <w14:textFill>
            <w14:solidFill>
              <w14:schemeClr w14:val="tx1"/>
            </w14:solidFill>
          </w14:textFill>
        </w:rPr>
        <w:t>应符合下表。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438"/>
        <w:gridCol w:w="800"/>
        <w:gridCol w:w="1356"/>
        <w:gridCol w:w="1356"/>
        <w:gridCol w:w="1319"/>
      </w:tblGrid>
      <w:tr w14:paraId="3CC2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7A585E5F">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试验项目</w:t>
            </w:r>
          </w:p>
        </w:tc>
        <w:tc>
          <w:tcPr>
            <w:tcW w:w="800" w:type="dxa"/>
            <w:vAlign w:val="center"/>
          </w:tcPr>
          <w:p w14:paraId="38A4CCB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单位</w:t>
            </w:r>
          </w:p>
        </w:tc>
        <w:tc>
          <w:tcPr>
            <w:tcW w:w="2712" w:type="dxa"/>
            <w:gridSpan w:val="2"/>
            <w:vAlign w:val="center"/>
          </w:tcPr>
          <w:p w14:paraId="1DD9ABD4">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技术要求</w:t>
            </w:r>
          </w:p>
        </w:tc>
        <w:tc>
          <w:tcPr>
            <w:tcW w:w="1319" w:type="dxa"/>
            <w:vAlign w:val="center"/>
          </w:tcPr>
          <w:p w14:paraId="287AFEB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试验方法</w:t>
            </w:r>
          </w:p>
        </w:tc>
      </w:tr>
      <w:tr w14:paraId="255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2838EFB6">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石料压碎值</w:t>
            </w:r>
          </w:p>
        </w:tc>
        <w:tc>
          <w:tcPr>
            <w:tcW w:w="800" w:type="dxa"/>
            <w:vAlign w:val="center"/>
          </w:tcPr>
          <w:p w14:paraId="10A8FBD4">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1356" w:type="dxa"/>
            <w:vAlign w:val="center"/>
          </w:tcPr>
          <w:p w14:paraId="0B8BBFA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常温试验</w:t>
            </w:r>
          </w:p>
        </w:tc>
        <w:tc>
          <w:tcPr>
            <w:tcW w:w="1356" w:type="dxa"/>
            <w:vAlign w:val="center"/>
          </w:tcPr>
          <w:p w14:paraId="18CC132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p>
        </w:tc>
        <w:tc>
          <w:tcPr>
            <w:tcW w:w="1319" w:type="dxa"/>
            <w:vAlign w:val="center"/>
          </w:tcPr>
          <w:p w14:paraId="16119AB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T0316</w:t>
            </w:r>
          </w:p>
        </w:tc>
      </w:tr>
      <w:tr w14:paraId="11DF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0F8C4C5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洛杉矶磨耗损失 </w:t>
            </w:r>
          </w:p>
        </w:tc>
        <w:tc>
          <w:tcPr>
            <w:tcW w:w="800" w:type="dxa"/>
            <w:vAlign w:val="center"/>
          </w:tcPr>
          <w:p w14:paraId="001DD15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4ECE37A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p>
        </w:tc>
        <w:tc>
          <w:tcPr>
            <w:tcW w:w="1319" w:type="dxa"/>
            <w:vAlign w:val="center"/>
          </w:tcPr>
          <w:p w14:paraId="641DCD84">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T0317</w:t>
            </w:r>
          </w:p>
        </w:tc>
      </w:tr>
      <w:tr w14:paraId="3DEA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3631B17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表观相对密度</w:t>
            </w:r>
          </w:p>
        </w:tc>
        <w:tc>
          <w:tcPr>
            <w:tcW w:w="800" w:type="dxa"/>
            <w:vAlign w:val="center"/>
          </w:tcPr>
          <w:p w14:paraId="74630A1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45310B5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p>
        </w:tc>
        <w:tc>
          <w:tcPr>
            <w:tcW w:w="1319" w:type="dxa"/>
            <w:vAlign w:val="center"/>
          </w:tcPr>
          <w:p w14:paraId="0B5F51B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T0304</w:t>
            </w:r>
          </w:p>
        </w:tc>
      </w:tr>
      <w:tr w14:paraId="2994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1FAB66E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吸水率</w:t>
            </w:r>
          </w:p>
        </w:tc>
        <w:tc>
          <w:tcPr>
            <w:tcW w:w="800" w:type="dxa"/>
            <w:vAlign w:val="center"/>
          </w:tcPr>
          <w:p w14:paraId="28EC20D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5E0A2662">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19" w:type="dxa"/>
            <w:vAlign w:val="center"/>
          </w:tcPr>
          <w:p w14:paraId="2630C22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T0304</w:t>
            </w:r>
          </w:p>
        </w:tc>
      </w:tr>
      <w:tr w14:paraId="222C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663ADC76">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坚固性</w:t>
            </w:r>
          </w:p>
        </w:tc>
        <w:tc>
          <w:tcPr>
            <w:tcW w:w="800" w:type="dxa"/>
            <w:vAlign w:val="center"/>
          </w:tcPr>
          <w:p w14:paraId="004EED9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47550F0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p>
        </w:tc>
        <w:tc>
          <w:tcPr>
            <w:tcW w:w="1319" w:type="dxa"/>
            <w:vAlign w:val="center"/>
          </w:tcPr>
          <w:p w14:paraId="5F7285C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T0314</w:t>
            </w:r>
          </w:p>
        </w:tc>
      </w:tr>
      <w:tr w14:paraId="3326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3A1BA4CF">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对沥青的黏附性</w:t>
            </w:r>
          </w:p>
        </w:tc>
        <w:tc>
          <w:tcPr>
            <w:tcW w:w="800" w:type="dxa"/>
            <w:vAlign w:val="center"/>
          </w:tcPr>
          <w:p w14:paraId="1A32ACC4">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172C0D2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≥5级</w:t>
            </w:r>
          </w:p>
        </w:tc>
        <w:tc>
          <w:tcPr>
            <w:tcW w:w="1319" w:type="dxa"/>
            <w:vAlign w:val="center"/>
          </w:tcPr>
          <w:p w14:paraId="188192D4">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T0616</w:t>
            </w:r>
          </w:p>
        </w:tc>
      </w:tr>
      <w:tr w14:paraId="73C5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restart"/>
            <w:vAlign w:val="center"/>
          </w:tcPr>
          <w:p w14:paraId="2A07BB0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针片状颗粒含量</w:t>
            </w:r>
          </w:p>
        </w:tc>
        <w:tc>
          <w:tcPr>
            <w:tcW w:w="2438" w:type="dxa"/>
            <w:vAlign w:val="center"/>
          </w:tcPr>
          <w:p w14:paraId="36E81A1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4.75mm～13.2mm</w:t>
            </w:r>
          </w:p>
        </w:tc>
        <w:tc>
          <w:tcPr>
            <w:tcW w:w="800" w:type="dxa"/>
            <w:vAlign w:val="center"/>
          </w:tcPr>
          <w:p w14:paraId="408DABAA">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01466C8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1319" w:type="dxa"/>
            <w:vMerge w:val="restart"/>
            <w:vAlign w:val="center"/>
          </w:tcPr>
          <w:p w14:paraId="49DD117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T0312</w:t>
            </w:r>
          </w:p>
        </w:tc>
      </w:tr>
      <w:tr w14:paraId="5FFE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continue"/>
            <w:vAlign w:val="center"/>
          </w:tcPr>
          <w:p w14:paraId="3A12F99C">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c>
          <w:tcPr>
            <w:tcW w:w="2438" w:type="dxa"/>
            <w:vAlign w:val="center"/>
          </w:tcPr>
          <w:p w14:paraId="7B85CD3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13.2mm以上</w:t>
            </w:r>
          </w:p>
        </w:tc>
        <w:tc>
          <w:tcPr>
            <w:tcW w:w="800" w:type="dxa"/>
            <w:vAlign w:val="center"/>
          </w:tcPr>
          <w:p w14:paraId="240ED94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45943583">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1319" w:type="dxa"/>
            <w:vMerge w:val="continue"/>
            <w:vAlign w:val="center"/>
          </w:tcPr>
          <w:p w14:paraId="29A5FC3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r>
      <w:tr w14:paraId="5102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restart"/>
            <w:vAlign w:val="center"/>
          </w:tcPr>
          <w:p w14:paraId="67CCF6F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水洗法＜0.075mm颗粒含量</w:t>
            </w:r>
          </w:p>
        </w:tc>
        <w:tc>
          <w:tcPr>
            <w:tcW w:w="2438" w:type="dxa"/>
            <w:vAlign w:val="center"/>
          </w:tcPr>
          <w:p w14:paraId="7892CA35">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粒径大于4.75mm</w:t>
            </w:r>
          </w:p>
        </w:tc>
        <w:tc>
          <w:tcPr>
            <w:tcW w:w="800" w:type="dxa"/>
            <w:vAlign w:val="center"/>
          </w:tcPr>
          <w:p w14:paraId="09596DE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101C2AFF">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0.7</w:t>
            </w:r>
          </w:p>
        </w:tc>
        <w:tc>
          <w:tcPr>
            <w:tcW w:w="1319" w:type="dxa"/>
            <w:vMerge w:val="restart"/>
            <w:vAlign w:val="center"/>
          </w:tcPr>
          <w:p w14:paraId="77F74E46">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T0310</w:t>
            </w:r>
          </w:p>
        </w:tc>
      </w:tr>
      <w:tr w14:paraId="0D70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vMerge w:val="continue"/>
            <w:vAlign w:val="center"/>
          </w:tcPr>
          <w:p w14:paraId="544BEDF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c>
          <w:tcPr>
            <w:tcW w:w="2438" w:type="dxa"/>
            <w:vAlign w:val="center"/>
          </w:tcPr>
          <w:p w14:paraId="1407908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粒径2.36mm～4.75mm</w:t>
            </w:r>
          </w:p>
        </w:tc>
        <w:tc>
          <w:tcPr>
            <w:tcW w:w="800" w:type="dxa"/>
            <w:vAlign w:val="center"/>
          </w:tcPr>
          <w:p w14:paraId="70235D21">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72C7908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1319" w:type="dxa"/>
            <w:vMerge w:val="continue"/>
            <w:vAlign w:val="center"/>
          </w:tcPr>
          <w:p w14:paraId="06CEAD74">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r>
      <w:tr w14:paraId="2F96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4BF47FE2">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软石含量</w:t>
            </w:r>
          </w:p>
        </w:tc>
        <w:tc>
          <w:tcPr>
            <w:tcW w:w="800" w:type="dxa"/>
            <w:shd w:val="clear" w:color="auto" w:fill="auto"/>
            <w:vAlign w:val="center"/>
          </w:tcPr>
          <w:p w14:paraId="1560A701">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4881A867">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2.5</w:t>
            </w:r>
          </w:p>
        </w:tc>
        <w:tc>
          <w:tcPr>
            <w:tcW w:w="1319" w:type="dxa"/>
            <w:vAlign w:val="center"/>
          </w:tcPr>
          <w:p w14:paraId="5F2BF02F">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T0320</w:t>
            </w:r>
          </w:p>
        </w:tc>
      </w:tr>
      <w:tr w14:paraId="7834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1181E439">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石料磨光值（PSV）</w:t>
            </w:r>
          </w:p>
        </w:tc>
        <w:tc>
          <w:tcPr>
            <w:tcW w:w="800" w:type="dxa"/>
            <w:shd w:val="clear" w:color="auto" w:fill="auto"/>
            <w:vAlign w:val="center"/>
          </w:tcPr>
          <w:p w14:paraId="692661C6">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6BCCAC0E">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≥42</w:t>
            </w:r>
          </w:p>
        </w:tc>
        <w:tc>
          <w:tcPr>
            <w:tcW w:w="1319" w:type="dxa"/>
            <w:vAlign w:val="center"/>
          </w:tcPr>
          <w:p w14:paraId="11C86390">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T0321</w:t>
            </w:r>
          </w:p>
        </w:tc>
      </w:tr>
      <w:tr w14:paraId="576A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6" w:type="dxa"/>
            <w:gridSpan w:val="2"/>
            <w:vAlign w:val="center"/>
          </w:tcPr>
          <w:p w14:paraId="61C4B758">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方解石含量</w:t>
            </w:r>
          </w:p>
        </w:tc>
        <w:tc>
          <w:tcPr>
            <w:tcW w:w="800" w:type="dxa"/>
            <w:shd w:val="clear" w:color="auto" w:fill="auto"/>
            <w:vAlign w:val="center"/>
          </w:tcPr>
          <w:p w14:paraId="61493F0F">
            <w:pPr>
              <w:keepNext w:val="0"/>
              <w:keepLines w:val="0"/>
              <w:pageBreakBefore w:val="0"/>
              <w:numPr>
                <w:ilvl w:val="-1"/>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w:t>
            </w:r>
          </w:p>
        </w:tc>
        <w:tc>
          <w:tcPr>
            <w:tcW w:w="2712" w:type="dxa"/>
            <w:gridSpan w:val="2"/>
            <w:vAlign w:val="center"/>
          </w:tcPr>
          <w:p w14:paraId="1B452CFD">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1319" w:type="dxa"/>
            <w:vAlign w:val="center"/>
          </w:tcPr>
          <w:p w14:paraId="310752BB">
            <w:pPr>
              <w:keepNext w:val="0"/>
              <w:keepLines w:val="0"/>
              <w:pageBreakBefore w:val="0"/>
              <w:numPr>
                <w:ilvl w:val="-1"/>
                <w:numId w:val="0"/>
              </w:numPr>
              <w:kinsoku/>
              <w:wordWrap/>
              <w:overflowPunct/>
              <w:topLinePunct w:val="0"/>
              <w:autoSpaceDE/>
              <w:autoSpaceDN/>
              <w:bidi w:val="0"/>
              <w:spacing w:line="360" w:lineRule="auto"/>
              <w:jc w:val="center"/>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tc>
      </w:tr>
    </w:tbl>
    <w:p w14:paraId="4753739B">
      <w:pPr>
        <w:keepNext w:val="0"/>
        <w:keepLines w:val="0"/>
        <w:pageBreakBefore w:val="0"/>
        <w:numPr>
          <w:ilvl w:val="-1"/>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p>
    <w:p w14:paraId="5C4714AF">
      <w:pPr>
        <w:keepNext w:val="0"/>
        <w:keepLines w:val="0"/>
        <w:pageBreakBefore w:val="0"/>
        <w:numPr>
          <w:ilvl w:val="-1"/>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highlight w:val="none"/>
          <w:vertAlign w:val="baseline"/>
          <w:lang w:val="en-US" w:eastAsia="zh-CN"/>
          <w14:textFill>
            <w14:solidFill>
              <w14:schemeClr w14:val="tx1"/>
            </w14:solidFill>
          </w14:textFill>
        </w:rPr>
        <w:t>3.2规格控制</w:t>
      </w:r>
    </w:p>
    <w:tbl>
      <w:tblPr>
        <w:tblStyle w:val="27"/>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065"/>
        <w:gridCol w:w="1065"/>
        <w:gridCol w:w="1065"/>
        <w:gridCol w:w="1065"/>
        <w:gridCol w:w="1065"/>
        <w:gridCol w:w="1065"/>
        <w:gridCol w:w="1066"/>
      </w:tblGrid>
      <w:tr w14:paraId="09C7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vMerge w:val="restart"/>
            <w:noWrap w:val="0"/>
            <w:vAlign w:val="center"/>
          </w:tcPr>
          <w:p w14:paraId="753A9BA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公称粒径</w:t>
            </w:r>
          </w:p>
          <w:p w14:paraId="6461DA5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（mm）</w:t>
            </w:r>
          </w:p>
        </w:tc>
        <w:tc>
          <w:tcPr>
            <w:tcW w:w="7456" w:type="dxa"/>
            <w:gridSpan w:val="7"/>
            <w:noWrap w:val="0"/>
            <w:vAlign w:val="center"/>
          </w:tcPr>
          <w:p w14:paraId="1AC66E9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通过下了筛孔（mm）的质量百分率（%）</w:t>
            </w:r>
          </w:p>
        </w:tc>
      </w:tr>
      <w:tr w14:paraId="61F4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vMerge w:val="continue"/>
            <w:noWrap w:val="0"/>
            <w:vAlign w:val="center"/>
          </w:tcPr>
          <w:p w14:paraId="4D98D13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noWrap w:val="0"/>
            <w:vAlign w:val="center"/>
          </w:tcPr>
          <w:p w14:paraId="5D9EE00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26.5</w:t>
            </w:r>
          </w:p>
        </w:tc>
        <w:tc>
          <w:tcPr>
            <w:tcW w:w="1065" w:type="dxa"/>
            <w:noWrap w:val="0"/>
            <w:vAlign w:val="center"/>
          </w:tcPr>
          <w:p w14:paraId="781C0FC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19.0</w:t>
            </w:r>
          </w:p>
        </w:tc>
        <w:tc>
          <w:tcPr>
            <w:tcW w:w="1065" w:type="dxa"/>
            <w:noWrap w:val="0"/>
            <w:vAlign w:val="center"/>
          </w:tcPr>
          <w:p w14:paraId="06623F7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13.2</w:t>
            </w:r>
          </w:p>
        </w:tc>
        <w:tc>
          <w:tcPr>
            <w:tcW w:w="1065" w:type="dxa"/>
            <w:noWrap w:val="0"/>
            <w:vAlign w:val="center"/>
          </w:tcPr>
          <w:p w14:paraId="37D6A49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9.5</w:t>
            </w:r>
          </w:p>
        </w:tc>
        <w:tc>
          <w:tcPr>
            <w:tcW w:w="1065" w:type="dxa"/>
            <w:noWrap w:val="0"/>
            <w:vAlign w:val="center"/>
          </w:tcPr>
          <w:p w14:paraId="07772F8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4.75</w:t>
            </w:r>
          </w:p>
        </w:tc>
        <w:tc>
          <w:tcPr>
            <w:tcW w:w="1065" w:type="dxa"/>
            <w:noWrap w:val="0"/>
            <w:vAlign w:val="center"/>
          </w:tcPr>
          <w:p w14:paraId="4CE391F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2.36</w:t>
            </w:r>
          </w:p>
        </w:tc>
        <w:tc>
          <w:tcPr>
            <w:tcW w:w="1066" w:type="dxa"/>
            <w:noWrap w:val="0"/>
            <w:vAlign w:val="center"/>
          </w:tcPr>
          <w:p w14:paraId="738F80E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p>
        </w:tc>
      </w:tr>
      <w:tr w14:paraId="40D5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noWrap w:val="0"/>
            <w:vAlign w:val="center"/>
          </w:tcPr>
          <w:p w14:paraId="2968B14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15～30</w:t>
            </w:r>
          </w:p>
          <w:p w14:paraId="6C6188C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（16～26.5）</w:t>
            </w:r>
          </w:p>
        </w:tc>
        <w:tc>
          <w:tcPr>
            <w:tcW w:w="1065" w:type="dxa"/>
            <w:noWrap w:val="0"/>
            <w:vAlign w:val="center"/>
          </w:tcPr>
          <w:p w14:paraId="407D696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90～100</w:t>
            </w:r>
          </w:p>
        </w:tc>
        <w:tc>
          <w:tcPr>
            <w:tcW w:w="1065" w:type="dxa"/>
            <w:noWrap w:val="0"/>
            <w:vAlign w:val="center"/>
          </w:tcPr>
          <w:p w14:paraId="6D933D3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65" w:type="dxa"/>
            <w:noWrap w:val="0"/>
            <w:vAlign w:val="center"/>
          </w:tcPr>
          <w:p w14:paraId="0CB5CBE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0～15</w:t>
            </w:r>
          </w:p>
        </w:tc>
        <w:tc>
          <w:tcPr>
            <w:tcW w:w="1065" w:type="dxa"/>
            <w:noWrap w:val="0"/>
            <w:vAlign w:val="center"/>
          </w:tcPr>
          <w:p w14:paraId="7A36FA6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065" w:type="dxa"/>
            <w:noWrap w:val="0"/>
            <w:vAlign w:val="center"/>
          </w:tcPr>
          <w:p w14:paraId="43C7E1D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1065" w:type="dxa"/>
            <w:noWrap w:val="0"/>
            <w:vAlign w:val="center"/>
          </w:tcPr>
          <w:p w14:paraId="03D5BA5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6" w:type="dxa"/>
            <w:noWrap w:val="0"/>
            <w:vAlign w:val="center"/>
          </w:tcPr>
          <w:p w14:paraId="3DC41C1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76E4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noWrap w:val="0"/>
            <w:vAlign w:val="center"/>
          </w:tcPr>
          <w:p w14:paraId="3BE28A5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10～15</w:t>
            </w:r>
          </w:p>
          <w:p w14:paraId="5F4C769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（9.5～16）</w:t>
            </w:r>
          </w:p>
        </w:tc>
        <w:tc>
          <w:tcPr>
            <w:tcW w:w="1065" w:type="dxa"/>
            <w:noWrap w:val="0"/>
            <w:vAlign w:val="center"/>
          </w:tcPr>
          <w:p w14:paraId="7DF23F1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noWrap w:val="0"/>
            <w:vAlign w:val="center"/>
          </w:tcPr>
          <w:p w14:paraId="329ABA1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065" w:type="dxa"/>
            <w:noWrap w:val="0"/>
            <w:vAlign w:val="center"/>
          </w:tcPr>
          <w:p w14:paraId="155F60F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90～100</w:t>
            </w:r>
          </w:p>
        </w:tc>
        <w:tc>
          <w:tcPr>
            <w:tcW w:w="1065" w:type="dxa"/>
            <w:shd w:val="clear" w:color="auto" w:fill="auto"/>
            <w:noWrap w:val="0"/>
            <w:vAlign w:val="center"/>
          </w:tcPr>
          <w:p w14:paraId="2A65B52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0～15</w:t>
            </w:r>
          </w:p>
        </w:tc>
        <w:tc>
          <w:tcPr>
            <w:tcW w:w="1065" w:type="dxa"/>
            <w:shd w:val="clear" w:color="auto" w:fill="auto"/>
            <w:noWrap w:val="0"/>
            <w:vAlign w:val="center"/>
          </w:tcPr>
          <w:p w14:paraId="14DCF4C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1065" w:type="dxa"/>
            <w:noWrap w:val="0"/>
            <w:vAlign w:val="center"/>
          </w:tcPr>
          <w:p w14:paraId="1C1899D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6" w:type="dxa"/>
            <w:noWrap w:val="0"/>
            <w:vAlign w:val="center"/>
          </w:tcPr>
          <w:p w14:paraId="078CE70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680D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noWrap w:val="0"/>
            <w:vAlign w:val="center"/>
          </w:tcPr>
          <w:p w14:paraId="21A4B1B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5～10</w:t>
            </w:r>
          </w:p>
          <w:p w14:paraId="09BF3F8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（4.75～9.5）</w:t>
            </w:r>
          </w:p>
        </w:tc>
        <w:tc>
          <w:tcPr>
            <w:tcW w:w="1065" w:type="dxa"/>
            <w:noWrap w:val="0"/>
            <w:vAlign w:val="center"/>
          </w:tcPr>
          <w:p w14:paraId="560BEE6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noWrap w:val="0"/>
            <w:vAlign w:val="center"/>
          </w:tcPr>
          <w:p w14:paraId="46F3499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noWrap w:val="0"/>
            <w:vAlign w:val="center"/>
          </w:tcPr>
          <w:p w14:paraId="550C490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065" w:type="dxa"/>
            <w:noWrap w:val="0"/>
            <w:vAlign w:val="center"/>
          </w:tcPr>
          <w:p w14:paraId="54FCF7D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90～100</w:t>
            </w:r>
          </w:p>
        </w:tc>
        <w:tc>
          <w:tcPr>
            <w:tcW w:w="1065" w:type="dxa"/>
            <w:shd w:val="clear" w:color="auto" w:fill="auto"/>
            <w:noWrap w:val="0"/>
            <w:vAlign w:val="center"/>
          </w:tcPr>
          <w:p w14:paraId="60E0949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0～15</w:t>
            </w:r>
          </w:p>
        </w:tc>
        <w:tc>
          <w:tcPr>
            <w:tcW w:w="1065" w:type="dxa"/>
            <w:shd w:val="clear" w:color="auto" w:fill="auto"/>
            <w:noWrap w:val="0"/>
            <w:vAlign w:val="center"/>
          </w:tcPr>
          <w:p w14:paraId="4B0E555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1066" w:type="dxa"/>
            <w:noWrap w:val="0"/>
            <w:vAlign w:val="center"/>
          </w:tcPr>
          <w:p w14:paraId="43EC4F8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5A4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37" w:type="dxa"/>
            <w:noWrap w:val="0"/>
            <w:vAlign w:val="center"/>
          </w:tcPr>
          <w:p w14:paraId="5DE5622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p>
          <w:p w14:paraId="1CC3397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（2.36～4.75）</w:t>
            </w:r>
          </w:p>
        </w:tc>
        <w:tc>
          <w:tcPr>
            <w:tcW w:w="1065" w:type="dxa"/>
            <w:noWrap w:val="0"/>
            <w:vAlign w:val="center"/>
          </w:tcPr>
          <w:p w14:paraId="010DFB7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noWrap w:val="0"/>
            <w:vAlign w:val="center"/>
          </w:tcPr>
          <w:p w14:paraId="5C4B891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noWrap w:val="0"/>
            <w:vAlign w:val="center"/>
          </w:tcPr>
          <w:p w14:paraId="25DC64D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065" w:type="dxa"/>
            <w:shd w:val="clear" w:color="auto" w:fill="auto"/>
            <w:noWrap w:val="0"/>
            <w:vAlign w:val="center"/>
          </w:tcPr>
          <w:p w14:paraId="6C86EEF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065" w:type="dxa"/>
            <w:shd w:val="clear" w:color="auto" w:fill="auto"/>
            <w:noWrap w:val="0"/>
            <w:vAlign w:val="center"/>
          </w:tcPr>
          <w:p w14:paraId="285AB1D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90～100</w:t>
            </w:r>
          </w:p>
        </w:tc>
        <w:tc>
          <w:tcPr>
            <w:tcW w:w="1065" w:type="dxa"/>
            <w:shd w:val="clear" w:color="auto" w:fill="auto"/>
            <w:noWrap w:val="0"/>
            <w:vAlign w:val="center"/>
          </w:tcPr>
          <w:p w14:paraId="21D4370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0～15</w:t>
            </w:r>
          </w:p>
        </w:tc>
        <w:tc>
          <w:tcPr>
            <w:tcW w:w="1066" w:type="dxa"/>
            <w:shd w:val="clear" w:color="auto" w:fill="auto"/>
            <w:noWrap w:val="0"/>
            <w:vAlign w:val="center"/>
          </w:tcPr>
          <w:p w14:paraId="208A14D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r>
    </w:tbl>
    <w:p w14:paraId="10981F36">
      <w:pPr>
        <w:keepNext w:val="0"/>
        <w:keepLines w:val="0"/>
        <w:pageBreakBefore w:val="0"/>
        <w:numPr>
          <w:ilvl w:val="0"/>
          <w:numId w:val="0"/>
        </w:numPr>
        <w:kinsoku/>
        <w:wordWrap/>
        <w:overflowPunct/>
        <w:topLinePunct w:val="0"/>
        <w:autoSpaceDE/>
        <w:autoSpaceDN/>
        <w:bidi w:val="0"/>
        <w:spacing w:line="360"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4、供货要求</w:t>
      </w:r>
    </w:p>
    <w:p w14:paraId="1CDF351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4.1提供石材的矿源必须100%由采购人认可，且质量满足采购人的生产要求。若到新石矿进料，须提前以书面形式告知采购人，并经采购人确认同意后方</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可进料，同步需要提供石灰岩各类规格型号对应检测报告及材料样本1份。</w:t>
      </w:r>
    </w:p>
    <w:p w14:paraId="030FCFD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4.2本项目实施过程中引起的安全责任事故均由中标供应商承担。</w:t>
      </w:r>
    </w:p>
    <w:p w14:paraId="4B3AD4C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5、验收</w:t>
      </w:r>
    </w:p>
    <w:p w14:paraId="6B1AFE4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5.1材料运达到货地点后，由采购人清点接货。如因包装或运输不当造成材料质量下降或缺损等，成交单位承担责任。</w:t>
      </w:r>
    </w:p>
    <w:p w14:paraId="0C4D860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5.2材料到达交货地点后，成交供应商应按采购人安排的时间派人到交货点进行检验。每次供货时，应向采购人提供每批石材发货清单等必要文件，采购人根据此资料进行接货、检验及结算，若资料不齐全的，采购人有权拒收。若有短少或不符合标准的材料，成交供应商应12小时内补足或更换全新同规格的材料，并承担由此产生的一切费用；如果该不合格材料已经被使用，由此引发的一切后果由成交单位承担。</w:t>
      </w:r>
    </w:p>
    <w:p w14:paraId="3A3953A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5.3在供货期间如采购人发现产品存在质量疑问时，成交供应商须和采购人一起在公开、公正的情况下按现行规范对存在疑问的产品进行取样、封存，并委托由采购人指定的检测单位进行检验。检验合格则委托检测费用由采购人承担，检测不合格则委托检测费用由乙方承担并承担由此引起的采购人一切损失，损失超过10万元（含）以上的，采购人有权解除合同。</w:t>
      </w:r>
    </w:p>
    <w:p w14:paraId="0A24101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5.4采购人对每批次石料的针片状、含泥量、软弱颗粒等进行目测外观验收。相应材料的抽验频率按有关国家标准、行业标准及采购人的要求实施。</w:t>
      </w:r>
    </w:p>
    <w:p w14:paraId="6F0C58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采购人将对石材随机抽检，抽检不合格的该批次石材无条件退回，一切费用由成交供应商承担。</w:t>
      </w:r>
    </w:p>
    <w:p w14:paraId="4B6F70A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6、每次</w:t>
      </w:r>
      <w:r>
        <w:rPr>
          <w:rFonts w:hint="eastAsia" w:ascii="仿宋" w:hAnsi="仿宋" w:eastAsia="仿宋" w:cs="仿宋"/>
          <w:bCs/>
          <w:color w:val="000000" w:themeColor="text1"/>
          <w:sz w:val="24"/>
          <w:szCs w:val="24"/>
          <w:highlight w:val="none"/>
          <w14:textFill>
            <w14:solidFill>
              <w14:schemeClr w14:val="tx1"/>
            </w14:solidFill>
          </w14:textFill>
        </w:rPr>
        <w:t>货到现场3天内，</w:t>
      </w:r>
      <w:r>
        <w:rPr>
          <w:rFonts w:hint="eastAsia" w:ascii="仿宋" w:hAnsi="仿宋" w:eastAsia="仿宋" w:cs="仿宋"/>
          <w:bCs/>
          <w:color w:val="000000" w:themeColor="text1"/>
          <w:sz w:val="24"/>
          <w:szCs w:val="24"/>
          <w:highlight w:val="none"/>
          <w:lang w:eastAsia="zh-CN"/>
          <w14:textFill>
            <w14:solidFill>
              <w14:schemeClr w14:val="tx1"/>
            </w14:solidFill>
          </w14:textFill>
        </w:rPr>
        <w:t>采购人</w:t>
      </w:r>
      <w:r>
        <w:rPr>
          <w:rFonts w:hint="eastAsia" w:ascii="仿宋" w:hAnsi="仿宋" w:eastAsia="仿宋" w:cs="仿宋"/>
          <w:bCs/>
          <w:color w:val="000000" w:themeColor="text1"/>
          <w:sz w:val="24"/>
          <w:szCs w:val="24"/>
          <w:highlight w:val="none"/>
          <w14:textFill>
            <w14:solidFill>
              <w14:schemeClr w14:val="tx1"/>
            </w14:solidFill>
          </w14:textFill>
        </w:rPr>
        <w:t>应组织人员进行签单验收。</w:t>
      </w:r>
    </w:p>
    <w:p w14:paraId="37FBE3C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三、合同履约期限及地点</w:t>
      </w:r>
    </w:p>
    <w:p w14:paraId="204BA0A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合同履约期限：</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合同签订之日起20日历天内完成供货，最终供货数量以采购人要求为准，按实结算。</w:t>
      </w:r>
    </w:p>
    <w:p w14:paraId="447B7FE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根据采购人需要，接到采购人供货通知后24小时内保证送货至指定地点（包括零星小批量送货、以采购人要求为准），并须有采购人当场验收确认。</w:t>
      </w:r>
    </w:p>
    <w:p w14:paraId="3BDCDCE3">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交货地点：采购人指定地点。</w:t>
      </w:r>
    </w:p>
    <w:p w14:paraId="0626AFDE">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四、</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结算方式</w:t>
      </w:r>
    </w:p>
    <w:p w14:paraId="74A7792F">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采购人收到货后第4个月，成交供应商按采购人出具的过磅单、双方签字确认的结算单并开具满足采购人要求等额的增值税专用发票作为索款和采购人支付的依据。经采购人核实，在收到发票后15个工作日内的支付货款的100%。费用均不计息。</w:t>
      </w:r>
    </w:p>
    <w:p w14:paraId="7FC8203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须在开具发票日期起的一个月内将票据提供给采购人。如因非采购人原因(包括但不限于成交供应商提供票据不及时等）而造成采购人无法抵扣稅费的，则该项损失由成交供应商全额承担或赔偿给采购人。</w:t>
      </w:r>
    </w:p>
    <w:p w14:paraId="3A5A4D04">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五、履约保证金：</w:t>
      </w:r>
    </w:p>
    <w:p w14:paraId="52B5BCFC">
      <w:pPr>
        <w:pStyle w:val="44"/>
        <w:snapToGrid w:val="0"/>
        <w:spacing w:before="0"/>
        <w:ind w:firstLine="48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在签订本项目合同时，须缴纳中标金额的1%作为履约保证金。</w:t>
      </w:r>
    </w:p>
    <w:p w14:paraId="5FD8BE75">
      <w:pPr>
        <w:pStyle w:val="44"/>
        <w:snapToGrid w:val="0"/>
        <w:spacing w:before="0"/>
        <w:ind w:firstLine="48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履约保证金形式采用转账/支票/汇票/本票</w:t>
      </w:r>
      <w:r>
        <w:rPr>
          <w:rFonts w:hint="eastAsia" w:ascii="仿宋" w:hAnsi="仿宋" w:eastAsia="仿宋" w:cs="仿宋"/>
          <w:color w:val="000000" w:themeColor="text1"/>
          <w:sz w:val="24"/>
          <w:highlight w:val="none"/>
          <w14:textFill>
            <w14:solidFill>
              <w14:schemeClr w14:val="tx1"/>
            </w14:solidFill>
          </w14:textFill>
        </w:rPr>
        <w:t>或者金融机构出具的保函等非现金形式</w:t>
      </w:r>
      <w:r>
        <w:rPr>
          <w:rFonts w:hint="eastAsia" w:ascii="仿宋" w:hAnsi="仿宋" w:eastAsia="仿宋" w:cs="仿宋"/>
          <w:color w:val="000000" w:themeColor="text1"/>
          <w:kern w:val="0"/>
          <w:highlight w:val="none"/>
          <w:lang w:val="en-US" w:eastAsia="zh-CN"/>
          <w14:textFill>
            <w14:solidFill>
              <w14:schemeClr w14:val="tx1"/>
            </w14:solidFill>
          </w14:textFill>
        </w:rPr>
        <w:t>缴纳至杭州临安恒元建材有限公司指定帐户，具体形式以采购人要求为准。在履约期内成交单位全面且无瑕疵的履行完本合同约定的所有义务后30天内无息退还。</w:t>
      </w:r>
    </w:p>
    <w:p w14:paraId="5B7067C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、其他要求：</w:t>
      </w:r>
    </w:p>
    <w:p w14:paraId="50BF010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人要求的供货时间内</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highlight w:val="none"/>
          <w14:textFill>
            <w14:solidFill>
              <w14:schemeClr w14:val="tx1"/>
            </w14:solidFill>
          </w14:textFill>
        </w:rPr>
        <w:t>应及时按要求在</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人规定时间内分批供应，实际需要数量由</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人按需要提前24小时通知</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highlight w:val="none"/>
          <w14:textFill>
            <w14:solidFill>
              <w14:schemeClr w14:val="tx1"/>
            </w14:solidFill>
          </w14:textFill>
        </w:rPr>
        <w:t>，在超出分批供货时间的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highlight w:val="none"/>
          <w14:textFill>
            <w14:solidFill>
              <w14:schemeClr w14:val="tx1"/>
            </w14:solidFill>
          </w14:textFill>
        </w:rPr>
        <w:t>未能按时供货，</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人有权另行采购，由此给</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人造成的损失由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highlight w:val="none"/>
          <w14:textFill>
            <w14:solidFill>
              <w14:schemeClr w14:val="tx1"/>
            </w14:solidFill>
          </w14:textFill>
        </w:rPr>
        <w:t>承担，在履约保证金中扣除；如延期供货的，延迟1天，</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highlight w:val="none"/>
          <w14:textFill>
            <w14:solidFill>
              <w14:schemeClr w14:val="tx1"/>
            </w14:solidFill>
          </w14:textFill>
        </w:rPr>
        <w:t>应向</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人支付5000元/天的违约金，累计</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天以上的，按10000元/天支付违约金，累计</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天以上的，</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人有权终止合同并要求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highlight w:val="none"/>
          <w14:textFill>
            <w14:solidFill>
              <w14:schemeClr w14:val="tx1"/>
            </w14:solidFill>
          </w14:textFill>
        </w:rPr>
        <w:t>赔偿损失，履约保证金予以没收。</w:t>
      </w:r>
    </w:p>
    <w:p w14:paraId="0E8F5C5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 w:val="0"/>
          <w:bCs/>
          <w:color w:val="000000" w:themeColor="text1"/>
          <w:sz w:val="24"/>
          <w:highlight w:val="none"/>
          <w:lang w:val="en-US" w:eastAsia="zh-CN"/>
          <w14:textFill>
            <w14:solidFill>
              <w14:schemeClr w14:val="tx1"/>
            </w14:solidFill>
          </w14:textFill>
        </w:rPr>
        <w:t>所交货物的质量、规格等不符合合同规定及招标文件、国家相关规定标准的，</w:t>
      </w:r>
      <w:r>
        <w:rPr>
          <w:rFonts w:hint="eastAsia" w:ascii="仿宋" w:hAnsi="仿宋" w:eastAsia="仿宋" w:cs="仿宋"/>
          <w:b w:val="0"/>
          <w:bCs/>
          <w:color w:val="000000" w:themeColor="text1"/>
          <w:sz w:val="24"/>
          <w:highlight w:val="none"/>
          <w14:textFill>
            <w14:solidFill>
              <w14:schemeClr w14:val="tx1"/>
            </w14:solidFill>
          </w14:textFill>
        </w:rPr>
        <w:t>则</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 w:val="0"/>
          <w:bCs/>
          <w:color w:val="000000" w:themeColor="text1"/>
          <w:sz w:val="24"/>
          <w:highlight w:val="none"/>
          <w14:textFill>
            <w14:solidFill>
              <w14:schemeClr w14:val="tx1"/>
            </w14:solidFill>
          </w14:textFill>
        </w:rPr>
        <w:t>有义务按</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b w:val="0"/>
          <w:bCs/>
          <w:color w:val="000000" w:themeColor="text1"/>
          <w:sz w:val="24"/>
          <w:highlight w:val="none"/>
          <w14:textFill>
            <w14:solidFill>
              <w14:schemeClr w14:val="tx1"/>
            </w14:solidFill>
          </w14:textFill>
        </w:rPr>
        <w:t>要求，无条件保质保量迅速的重新供货或补足差量至指定地点</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每更换1次货物</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须向</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支付</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000元的违约金，也可由</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货款中扣除，同一批次货物更换超过3次的，</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可解除合同，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因更换货物而逾期交货的，同时按</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逾期交货处理。</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拒绝更换货物或未在规定期限内换货的，</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可单方面解除合同，不予支付相应货款，并且</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szCs w:val="24"/>
          <w:highlight w:val="none"/>
          <w14:textFill>
            <w14:solidFill>
              <w14:schemeClr w14:val="tx1"/>
            </w14:solidFill>
          </w14:textFill>
        </w:rPr>
        <w:t>应向</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支付违约金</w:t>
      </w: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00000</w:t>
      </w:r>
      <w:r>
        <w:rPr>
          <w:rFonts w:hint="eastAsia" w:ascii="仿宋" w:hAnsi="仿宋" w:eastAsia="仿宋" w:cs="仿宋"/>
          <w:color w:val="000000" w:themeColor="text1"/>
          <w:sz w:val="24"/>
          <w:szCs w:val="24"/>
          <w:highlight w:val="none"/>
          <w14:textFill>
            <w14:solidFill>
              <w14:schemeClr w14:val="tx1"/>
            </w14:solidFill>
          </w14:textFill>
        </w:rPr>
        <w:t>元。</w:t>
      </w:r>
    </w:p>
    <w:p w14:paraId="1726F7B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Cs/>
          <w:color w:val="000000" w:themeColor="text1"/>
          <w:sz w:val="24"/>
          <w:highlight w:val="none"/>
          <w14:textFill>
            <w14:solidFill>
              <w14:schemeClr w14:val="tx1"/>
            </w14:solidFill>
          </w14:textFill>
        </w:rPr>
        <w:t>须在合同实施期间，车辆在运输过程中不得超载、超限，且须符合其它相关运输法规，对于运输途径的省际、城际、县、镇、村、等涉及的管理部门审批、报备事项需合同单位自行对接完成，运输过程中出现的一切责任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Cs/>
          <w:color w:val="000000" w:themeColor="text1"/>
          <w:sz w:val="24"/>
          <w:highlight w:val="none"/>
          <w14:textFill>
            <w14:solidFill>
              <w14:schemeClr w14:val="tx1"/>
            </w14:solidFill>
          </w14:textFill>
        </w:rPr>
        <w:t>自行承担，有严重违法违规情节的</w:t>
      </w:r>
      <w:r>
        <w:rPr>
          <w:rFonts w:hint="eastAsia" w:ascii="仿宋" w:hAnsi="仿宋" w:eastAsia="仿宋" w:cs="仿宋"/>
          <w:bCs/>
          <w:color w:val="000000" w:themeColor="text1"/>
          <w:sz w:val="24"/>
          <w:highlight w:val="none"/>
          <w:lang w:eastAsia="zh-CN"/>
          <w14:textFill>
            <w14:solidFill>
              <w14:schemeClr w14:val="tx1"/>
            </w14:solidFill>
          </w14:textFill>
        </w:rPr>
        <w:t>采购人</w:t>
      </w:r>
      <w:r>
        <w:rPr>
          <w:rFonts w:hint="eastAsia" w:ascii="仿宋" w:hAnsi="仿宋" w:eastAsia="仿宋" w:cs="仿宋"/>
          <w:bCs/>
          <w:color w:val="000000" w:themeColor="text1"/>
          <w:sz w:val="24"/>
          <w:highlight w:val="none"/>
          <w14:textFill>
            <w14:solidFill>
              <w14:schemeClr w14:val="tx1"/>
            </w14:solidFill>
          </w14:textFill>
        </w:rPr>
        <w:t>有权解除合同。</w:t>
      </w:r>
    </w:p>
    <w:p w14:paraId="08AA391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运输</w:t>
      </w:r>
      <w:r>
        <w:rPr>
          <w:rFonts w:hint="eastAsia" w:ascii="仿宋" w:hAnsi="仿宋" w:eastAsia="仿宋" w:cs="仿宋"/>
          <w:bCs/>
          <w:color w:val="000000" w:themeColor="text1"/>
          <w:sz w:val="24"/>
          <w:highlight w:val="none"/>
          <w:lang w:val="en-US" w:eastAsia="zh-CN"/>
          <w14:textFill>
            <w14:solidFill>
              <w14:schemeClr w14:val="tx1"/>
            </w14:solidFill>
          </w14:textFill>
        </w:rPr>
        <w:t>车辆在采购人场地内，造成采购人的设施设备、人员等损失，由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成交供应商</w:t>
      </w:r>
      <w:r>
        <w:rPr>
          <w:rFonts w:hint="eastAsia" w:ascii="仿宋" w:hAnsi="仿宋" w:eastAsia="仿宋" w:cs="仿宋"/>
          <w:bCs/>
          <w:color w:val="000000" w:themeColor="text1"/>
          <w:sz w:val="24"/>
          <w:highlight w:val="none"/>
          <w:lang w:val="en-US" w:eastAsia="zh-CN"/>
          <w14:textFill>
            <w14:solidFill>
              <w14:schemeClr w14:val="tx1"/>
            </w14:solidFill>
          </w14:textFill>
        </w:rPr>
        <w:t>承担一切责任。</w:t>
      </w:r>
    </w:p>
    <w:p w14:paraId="1849B23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bCs/>
          <w:color w:val="000000" w:themeColor="text1"/>
          <w:sz w:val="24"/>
          <w:highlight w:val="none"/>
          <w14:textFill>
            <w14:solidFill>
              <w14:schemeClr w14:val="tx1"/>
            </w14:solidFill>
          </w14:textFill>
        </w:rPr>
        <w:t>人因特殊原因或紧急情况会有出现零星小批量送货要求，</w:t>
      </w:r>
      <w:r>
        <w:rPr>
          <w:rFonts w:hint="eastAsia" w:ascii="仿宋" w:hAnsi="仿宋" w:eastAsia="仿宋" w:cs="仿宋"/>
          <w:bCs/>
          <w:color w:val="000000" w:themeColor="text1"/>
          <w:sz w:val="24"/>
          <w:highlight w:val="none"/>
          <w:lang w:val="en-US" w:eastAsia="zh-CN"/>
          <w14:textFill>
            <w14:solidFill>
              <w14:schemeClr w14:val="tx1"/>
            </w14:solidFill>
          </w14:textFill>
        </w:rPr>
        <w:t>供应商</w:t>
      </w:r>
      <w:r>
        <w:rPr>
          <w:rFonts w:hint="eastAsia" w:ascii="仿宋" w:hAnsi="仿宋" w:eastAsia="仿宋" w:cs="仿宋"/>
          <w:bCs/>
          <w:color w:val="000000" w:themeColor="text1"/>
          <w:sz w:val="24"/>
          <w:highlight w:val="none"/>
          <w14:textFill>
            <w14:solidFill>
              <w14:schemeClr w14:val="tx1"/>
            </w14:solidFill>
          </w14:textFill>
        </w:rPr>
        <w:t>报价时须考虑此风险，并在投标文件中编制针对此情况的突发情况应急措施方案。</w:t>
      </w:r>
    </w:p>
    <w:p w14:paraId="1A32B3F3">
      <w:pPr>
        <w:spacing w:line="460" w:lineRule="exact"/>
        <w:jc w:val="center"/>
        <w:rPr>
          <w:rFonts w:hint="eastAsia" w:ascii="仿宋" w:hAnsi="仿宋" w:eastAsia="仿宋" w:cs="仿宋"/>
          <w:b/>
          <w:color w:val="000000" w:themeColor="text1"/>
          <w:sz w:val="36"/>
          <w:szCs w:val="36"/>
          <w:highlight w:val="none"/>
          <w14:textFill>
            <w14:solidFill>
              <w14:schemeClr w14:val="tx1"/>
            </w14:solidFill>
          </w14:textFill>
        </w:rPr>
        <w:sectPr>
          <w:pgSz w:w="11906" w:h="16838"/>
          <w:pgMar w:top="1247" w:right="1418" w:bottom="124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F841061">
      <w:pPr>
        <w:spacing w:line="4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 w:name="_Toc184313241"/>
      <w:bookmarkEnd w:id="2"/>
      <w:bookmarkStart w:id="3" w:name="_Toc184310306"/>
      <w:bookmarkEnd w:id="3"/>
      <w:bookmarkStart w:id="4" w:name="_Toc184308080"/>
      <w:bookmarkEnd w:id="4"/>
      <w:bookmarkStart w:id="5" w:name="_Toc184308099"/>
      <w:bookmarkEnd w:id="5"/>
      <w:bookmarkStart w:id="6" w:name="_Toc184313305"/>
      <w:bookmarkEnd w:id="6"/>
      <w:bookmarkStart w:id="7" w:name="_Toc184312099"/>
      <w:bookmarkEnd w:id="7"/>
      <w:bookmarkStart w:id="8" w:name="_Toc184313280"/>
      <w:bookmarkEnd w:id="8"/>
      <w:bookmarkStart w:id="9" w:name="_Toc184308098"/>
      <w:bookmarkEnd w:id="9"/>
      <w:bookmarkStart w:id="10" w:name="_Toc184308096"/>
      <w:bookmarkEnd w:id="10"/>
      <w:bookmarkStart w:id="11" w:name="_Toc184313309"/>
      <w:bookmarkEnd w:id="11"/>
      <w:bookmarkStart w:id="12" w:name="_Toc184313285"/>
      <w:bookmarkEnd w:id="12"/>
      <w:bookmarkStart w:id="13" w:name="_Toc184314410"/>
      <w:bookmarkEnd w:id="13"/>
      <w:bookmarkStart w:id="14" w:name="_Toc184310301"/>
      <w:bookmarkEnd w:id="14"/>
      <w:bookmarkStart w:id="15" w:name="_Toc184308093"/>
      <w:bookmarkEnd w:id="15"/>
      <w:bookmarkStart w:id="16" w:name="_Toc184310339"/>
      <w:bookmarkEnd w:id="16"/>
      <w:bookmarkStart w:id="17" w:name="_Toc184313268"/>
      <w:bookmarkEnd w:id="17"/>
      <w:bookmarkStart w:id="18" w:name="_Toc184308076"/>
      <w:bookmarkEnd w:id="18"/>
      <w:bookmarkStart w:id="19" w:name="_Toc184312138"/>
      <w:bookmarkEnd w:id="19"/>
      <w:bookmarkStart w:id="20" w:name="_Toc184314443"/>
      <w:bookmarkEnd w:id="20"/>
      <w:bookmarkStart w:id="21" w:name="_Toc184312124"/>
      <w:bookmarkEnd w:id="21"/>
      <w:bookmarkStart w:id="22" w:name="_Toc184308084"/>
      <w:bookmarkEnd w:id="22"/>
      <w:bookmarkStart w:id="23" w:name="_Toc184308087"/>
      <w:bookmarkEnd w:id="23"/>
      <w:bookmarkStart w:id="24" w:name="_Toc184310292"/>
      <w:bookmarkEnd w:id="24"/>
      <w:bookmarkStart w:id="25" w:name="_Toc184313291"/>
      <w:bookmarkEnd w:id="25"/>
      <w:bookmarkStart w:id="26" w:name="_Toc184310275"/>
      <w:bookmarkEnd w:id="26"/>
      <w:bookmarkStart w:id="27" w:name="_Toc184314460"/>
      <w:bookmarkEnd w:id="27"/>
      <w:bookmarkStart w:id="28" w:name="_Toc184310302"/>
      <w:bookmarkEnd w:id="28"/>
      <w:bookmarkStart w:id="29" w:name="_Toc184314444"/>
      <w:bookmarkEnd w:id="29"/>
      <w:bookmarkStart w:id="30" w:name="_Toc184314454"/>
      <w:bookmarkEnd w:id="30"/>
      <w:bookmarkStart w:id="31" w:name="_Toc184312093"/>
      <w:bookmarkEnd w:id="31"/>
      <w:bookmarkStart w:id="32" w:name="_Toc184308040"/>
      <w:bookmarkEnd w:id="32"/>
      <w:bookmarkStart w:id="33" w:name="_Toc184310273"/>
      <w:bookmarkEnd w:id="33"/>
      <w:bookmarkStart w:id="34" w:name="_Toc184312086"/>
      <w:bookmarkEnd w:id="34"/>
      <w:bookmarkStart w:id="35" w:name="_Toc184313306"/>
      <w:bookmarkEnd w:id="35"/>
      <w:bookmarkStart w:id="36" w:name="_Toc184313265"/>
      <w:bookmarkEnd w:id="36"/>
      <w:bookmarkStart w:id="37" w:name="_Toc184312084"/>
      <w:bookmarkEnd w:id="37"/>
      <w:bookmarkStart w:id="38" w:name="_Toc184314427"/>
      <w:bookmarkEnd w:id="38"/>
      <w:bookmarkStart w:id="39" w:name="_Toc184310323"/>
      <w:bookmarkEnd w:id="39"/>
      <w:bookmarkStart w:id="40" w:name="_Toc184314441"/>
      <w:bookmarkEnd w:id="40"/>
      <w:bookmarkStart w:id="41" w:name="_Toc184314425"/>
      <w:bookmarkEnd w:id="41"/>
      <w:bookmarkStart w:id="42" w:name="_Toc184308101"/>
      <w:bookmarkEnd w:id="42"/>
      <w:bookmarkStart w:id="43" w:name="_Toc184310319"/>
      <w:bookmarkEnd w:id="43"/>
      <w:bookmarkStart w:id="44" w:name="_Toc184312137"/>
      <w:bookmarkEnd w:id="44"/>
      <w:bookmarkStart w:id="45" w:name="_Toc184312090"/>
      <w:bookmarkEnd w:id="45"/>
      <w:bookmarkStart w:id="46" w:name="_Toc184313284"/>
      <w:bookmarkEnd w:id="46"/>
      <w:bookmarkStart w:id="47" w:name="_Toc184314458"/>
      <w:bookmarkEnd w:id="47"/>
      <w:bookmarkStart w:id="48" w:name="_Toc184308094"/>
      <w:bookmarkEnd w:id="48"/>
      <w:bookmarkStart w:id="49" w:name="_Toc184308036"/>
      <w:bookmarkEnd w:id="49"/>
      <w:bookmarkStart w:id="50" w:name="_Toc184313307"/>
      <w:bookmarkEnd w:id="50"/>
      <w:bookmarkStart w:id="51" w:name="_Toc184313256"/>
      <w:bookmarkEnd w:id="51"/>
      <w:bookmarkStart w:id="52" w:name="_Toc184310321"/>
      <w:bookmarkEnd w:id="52"/>
      <w:bookmarkStart w:id="53" w:name="_Toc184314481"/>
      <w:bookmarkEnd w:id="53"/>
      <w:bookmarkStart w:id="54" w:name="_Toc184312087"/>
      <w:bookmarkEnd w:id="54"/>
      <w:bookmarkStart w:id="55" w:name="_Toc184310333"/>
      <w:bookmarkEnd w:id="55"/>
      <w:bookmarkStart w:id="56" w:name="_Toc184310298"/>
      <w:bookmarkEnd w:id="56"/>
      <w:bookmarkStart w:id="57" w:name="_Toc184313310"/>
      <w:bookmarkEnd w:id="57"/>
      <w:bookmarkStart w:id="58" w:name="_Toc184314438"/>
      <w:bookmarkEnd w:id="58"/>
      <w:bookmarkStart w:id="59" w:name="_Toc184310307"/>
      <w:bookmarkEnd w:id="59"/>
      <w:bookmarkStart w:id="60" w:name="_Toc184308079"/>
      <w:bookmarkEnd w:id="60"/>
      <w:bookmarkStart w:id="61" w:name="_Toc184313299"/>
      <w:bookmarkEnd w:id="61"/>
      <w:bookmarkStart w:id="62" w:name="_Toc184310311"/>
      <w:bookmarkEnd w:id="62"/>
      <w:bookmarkStart w:id="63" w:name="_Toc184314446"/>
      <w:bookmarkEnd w:id="63"/>
      <w:bookmarkStart w:id="64" w:name="_Toc184310312"/>
      <w:bookmarkEnd w:id="64"/>
      <w:bookmarkStart w:id="65" w:name="_Toc184312089"/>
      <w:bookmarkEnd w:id="65"/>
      <w:bookmarkStart w:id="66" w:name="_Toc184313255"/>
      <w:bookmarkEnd w:id="66"/>
      <w:bookmarkStart w:id="67" w:name="_Toc184312116"/>
      <w:bookmarkEnd w:id="67"/>
      <w:bookmarkStart w:id="68" w:name="_Toc184313292"/>
      <w:bookmarkEnd w:id="68"/>
      <w:bookmarkStart w:id="69" w:name="_Toc184314453"/>
      <w:bookmarkEnd w:id="69"/>
      <w:bookmarkStart w:id="70" w:name="_Toc184313288"/>
      <w:bookmarkEnd w:id="70"/>
      <w:bookmarkStart w:id="71" w:name="_Toc184312078"/>
      <w:bookmarkEnd w:id="71"/>
      <w:bookmarkStart w:id="72" w:name="_Toc184308069"/>
      <w:bookmarkEnd w:id="72"/>
      <w:bookmarkStart w:id="73" w:name="_Toc184308077"/>
      <w:bookmarkEnd w:id="73"/>
      <w:bookmarkStart w:id="74" w:name="_Toc184308063"/>
      <w:bookmarkEnd w:id="74"/>
      <w:bookmarkStart w:id="75" w:name="_Toc184308089"/>
      <w:bookmarkEnd w:id="75"/>
      <w:bookmarkStart w:id="76" w:name="_Toc184310291"/>
      <w:bookmarkEnd w:id="76"/>
      <w:bookmarkStart w:id="77" w:name="_Toc184313270"/>
      <w:bookmarkEnd w:id="77"/>
      <w:bookmarkStart w:id="78" w:name="_Toc184313247"/>
      <w:bookmarkEnd w:id="78"/>
      <w:bookmarkStart w:id="79" w:name="_Toc184313301"/>
      <w:bookmarkEnd w:id="79"/>
      <w:bookmarkStart w:id="80" w:name="_Toc184310337"/>
      <w:bookmarkEnd w:id="80"/>
      <w:bookmarkStart w:id="81" w:name="_Toc184308056"/>
      <w:bookmarkEnd w:id="81"/>
      <w:bookmarkStart w:id="82" w:name="_Toc184312074"/>
      <w:bookmarkEnd w:id="82"/>
      <w:bookmarkStart w:id="83" w:name="_Toc184308059"/>
      <w:bookmarkEnd w:id="83"/>
      <w:bookmarkStart w:id="84" w:name="_Toc184312129"/>
      <w:bookmarkEnd w:id="84"/>
      <w:bookmarkStart w:id="85" w:name="_Toc184314461"/>
      <w:bookmarkEnd w:id="85"/>
      <w:bookmarkStart w:id="86" w:name="_Toc184314445"/>
      <w:bookmarkEnd w:id="86"/>
      <w:bookmarkStart w:id="87" w:name="_Toc184312076"/>
      <w:bookmarkEnd w:id="87"/>
      <w:bookmarkStart w:id="88" w:name="_Toc184313257"/>
      <w:bookmarkEnd w:id="88"/>
      <w:bookmarkStart w:id="89" w:name="_Toc184313238"/>
      <w:bookmarkEnd w:id="89"/>
      <w:bookmarkStart w:id="90" w:name="_Toc184308049"/>
      <w:bookmarkEnd w:id="90"/>
      <w:bookmarkStart w:id="91" w:name="_Toc184310336"/>
      <w:bookmarkEnd w:id="91"/>
      <w:bookmarkStart w:id="92" w:name="_Toc184308058"/>
      <w:bookmarkEnd w:id="92"/>
      <w:bookmarkStart w:id="93" w:name="_Toc184310330"/>
      <w:bookmarkEnd w:id="93"/>
      <w:bookmarkStart w:id="94" w:name="_Toc184314430"/>
      <w:bookmarkEnd w:id="94"/>
      <w:bookmarkStart w:id="95" w:name="_Toc184310279"/>
      <w:bookmarkEnd w:id="95"/>
      <w:bookmarkStart w:id="96" w:name="_Toc184308047"/>
      <w:bookmarkEnd w:id="96"/>
      <w:bookmarkStart w:id="97" w:name="_Toc184314435"/>
      <w:bookmarkEnd w:id="97"/>
      <w:bookmarkStart w:id="98" w:name="_Toc184312109"/>
      <w:bookmarkEnd w:id="98"/>
      <w:bookmarkStart w:id="99" w:name="_Toc184312068"/>
      <w:bookmarkEnd w:id="99"/>
      <w:bookmarkStart w:id="100" w:name="_Toc184310329"/>
      <w:bookmarkEnd w:id="100"/>
      <w:bookmarkStart w:id="101" w:name="_Toc184312127"/>
      <w:bookmarkEnd w:id="101"/>
      <w:bookmarkStart w:id="102" w:name="_Toc184312139"/>
      <w:bookmarkEnd w:id="102"/>
      <w:bookmarkStart w:id="103" w:name="_Toc184313246"/>
      <w:bookmarkEnd w:id="103"/>
      <w:bookmarkStart w:id="104" w:name="_Toc184314459"/>
      <w:bookmarkEnd w:id="104"/>
      <w:bookmarkStart w:id="105" w:name="_Toc184308041"/>
      <w:bookmarkEnd w:id="105"/>
      <w:bookmarkStart w:id="106" w:name="_Toc184312094"/>
      <w:bookmarkEnd w:id="106"/>
      <w:bookmarkStart w:id="107" w:name="_Toc184308071"/>
      <w:bookmarkEnd w:id="107"/>
      <w:bookmarkStart w:id="108" w:name="_Toc184310294"/>
      <w:bookmarkEnd w:id="108"/>
      <w:bookmarkStart w:id="109" w:name="_Toc184308072"/>
      <w:bookmarkEnd w:id="109"/>
      <w:bookmarkStart w:id="110" w:name="_Toc184308070"/>
      <w:bookmarkEnd w:id="110"/>
      <w:bookmarkStart w:id="111" w:name="_Toc184308102"/>
      <w:bookmarkEnd w:id="111"/>
      <w:bookmarkStart w:id="112" w:name="_Toc184313266"/>
      <w:bookmarkEnd w:id="112"/>
      <w:bookmarkStart w:id="113" w:name="_Toc184310299"/>
      <w:bookmarkEnd w:id="113"/>
      <w:bookmarkStart w:id="114" w:name="_Toc184313281"/>
      <w:bookmarkEnd w:id="114"/>
      <w:bookmarkStart w:id="115" w:name="_Toc184308054"/>
      <w:bookmarkEnd w:id="115"/>
      <w:bookmarkStart w:id="116" w:name="_Toc184314412"/>
      <w:bookmarkEnd w:id="116"/>
      <w:bookmarkStart w:id="117" w:name="_Toc184313245"/>
      <w:bookmarkEnd w:id="117"/>
      <w:bookmarkStart w:id="118" w:name="_Toc184310304"/>
      <w:bookmarkEnd w:id="118"/>
      <w:bookmarkStart w:id="119" w:name="_Toc184312080"/>
      <w:bookmarkEnd w:id="119"/>
      <w:bookmarkStart w:id="120" w:name="_Toc184314428"/>
      <w:bookmarkEnd w:id="120"/>
      <w:bookmarkStart w:id="121" w:name="_Toc184313267"/>
      <w:bookmarkEnd w:id="121"/>
      <w:bookmarkStart w:id="122" w:name="_Toc184314440"/>
      <w:bookmarkEnd w:id="122"/>
      <w:bookmarkStart w:id="123" w:name="_Toc184310338"/>
      <w:bookmarkEnd w:id="123"/>
      <w:bookmarkStart w:id="124" w:name="_Toc184310325"/>
      <w:bookmarkEnd w:id="124"/>
      <w:bookmarkStart w:id="125" w:name="_Toc184314457"/>
      <w:bookmarkEnd w:id="125"/>
      <w:bookmarkStart w:id="126" w:name="_Toc184312067"/>
      <w:bookmarkEnd w:id="126"/>
      <w:bookmarkStart w:id="127" w:name="_Toc184310286"/>
      <w:bookmarkEnd w:id="127"/>
      <w:bookmarkStart w:id="128" w:name="_Toc184312126"/>
      <w:bookmarkEnd w:id="128"/>
      <w:bookmarkStart w:id="129" w:name="_Toc184312114"/>
      <w:bookmarkEnd w:id="129"/>
      <w:bookmarkStart w:id="130" w:name="_Toc184312117"/>
      <w:bookmarkEnd w:id="130"/>
      <w:bookmarkStart w:id="131" w:name="_Toc184310313"/>
      <w:bookmarkEnd w:id="131"/>
      <w:bookmarkStart w:id="132" w:name="_Toc184312135"/>
      <w:bookmarkEnd w:id="132"/>
      <w:bookmarkStart w:id="133" w:name="_Toc184314411"/>
      <w:bookmarkEnd w:id="133"/>
      <w:bookmarkStart w:id="134" w:name="_Toc184314480"/>
      <w:bookmarkEnd w:id="134"/>
      <w:bookmarkStart w:id="135" w:name="_Toc184313274"/>
      <w:bookmarkEnd w:id="135"/>
      <w:bookmarkStart w:id="136" w:name="_Toc184310326"/>
      <w:bookmarkEnd w:id="136"/>
      <w:bookmarkStart w:id="137" w:name="_Toc184308091"/>
      <w:bookmarkEnd w:id="137"/>
      <w:bookmarkStart w:id="138" w:name="_Toc184312097"/>
      <w:bookmarkEnd w:id="138"/>
      <w:bookmarkStart w:id="139" w:name="_Toc184312102"/>
      <w:bookmarkEnd w:id="139"/>
      <w:bookmarkStart w:id="140" w:name="_Toc184314468"/>
      <w:bookmarkEnd w:id="140"/>
      <w:bookmarkStart w:id="141" w:name="_Toc184314476"/>
      <w:bookmarkEnd w:id="141"/>
      <w:bookmarkStart w:id="142" w:name="_Toc184312096"/>
      <w:bookmarkEnd w:id="142"/>
      <w:bookmarkStart w:id="143" w:name="_Toc184310287"/>
      <w:bookmarkEnd w:id="143"/>
      <w:bookmarkStart w:id="144" w:name="_Toc184308043"/>
      <w:bookmarkEnd w:id="144"/>
      <w:bookmarkStart w:id="145" w:name="_Toc184310318"/>
      <w:bookmarkEnd w:id="145"/>
      <w:bookmarkStart w:id="146" w:name="_Toc184313269"/>
      <w:bookmarkEnd w:id="146"/>
      <w:bookmarkStart w:id="147" w:name="_Toc184313278"/>
      <w:bookmarkEnd w:id="147"/>
      <w:bookmarkStart w:id="148" w:name="_Toc184310277"/>
      <w:bookmarkEnd w:id="148"/>
      <w:bookmarkStart w:id="149" w:name="_Toc184310278"/>
      <w:bookmarkEnd w:id="149"/>
      <w:bookmarkStart w:id="150" w:name="_Toc184314478"/>
      <w:bookmarkEnd w:id="150"/>
      <w:bookmarkStart w:id="151" w:name="_Toc184308048"/>
      <w:bookmarkEnd w:id="151"/>
      <w:bookmarkStart w:id="152" w:name="_Toc184312085"/>
      <w:bookmarkEnd w:id="152"/>
      <w:bookmarkStart w:id="153" w:name="_Toc184310322"/>
      <w:bookmarkEnd w:id="153"/>
      <w:bookmarkStart w:id="154" w:name="_Toc184308081"/>
      <w:bookmarkEnd w:id="154"/>
      <w:bookmarkStart w:id="155" w:name="_Toc184310342"/>
      <w:bookmarkEnd w:id="155"/>
      <w:bookmarkStart w:id="156" w:name="_Toc184308073"/>
      <w:bookmarkEnd w:id="156"/>
      <w:bookmarkStart w:id="157" w:name="_Toc184314482"/>
      <w:bookmarkEnd w:id="157"/>
      <w:bookmarkStart w:id="158" w:name="_Toc184314431"/>
      <w:bookmarkEnd w:id="158"/>
      <w:bookmarkStart w:id="159" w:name="_Toc184308044"/>
      <w:bookmarkEnd w:id="159"/>
      <w:bookmarkStart w:id="160" w:name="_Toc184310288"/>
      <w:bookmarkEnd w:id="160"/>
      <w:bookmarkStart w:id="161" w:name="_Toc184313276"/>
      <w:bookmarkEnd w:id="161"/>
      <w:bookmarkStart w:id="162" w:name="_Toc184314474"/>
      <w:bookmarkEnd w:id="162"/>
      <w:bookmarkStart w:id="163" w:name="_Toc184314465"/>
      <w:bookmarkEnd w:id="163"/>
      <w:bookmarkStart w:id="164" w:name="_Toc184312091"/>
      <w:bookmarkEnd w:id="164"/>
      <w:bookmarkStart w:id="165" w:name="_Toc184310285"/>
      <w:bookmarkEnd w:id="165"/>
      <w:bookmarkStart w:id="166" w:name="_Toc184313289"/>
      <w:bookmarkEnd w:id="166"/>
      <w:bookmarkStart w:id="167" w:name="_Toc184308078"/>
      <w:bookmarkEnd w:id="167"/>
      <w:bookmarkStart w:id="168" w:name="_Toc184313242"/>
      <w:bookmarkEnd w:id="168"/>
      <w:bookmarkStart w:id="169" w:name="_Toc184314417"/>
      <w:bookmarkEnd w:id="169"/>
      <w:bookmarkStart w:id="170" w:name="_Toc184313252"/>
      <w:bookmarkEnd w:id="170"/>
      <w:bookmarkStart w:id="171" w:name="_Toc184308108"/>
      <w:bookmarkEnd w:id="171"/>
      <w:bookmarkStart w:id="172" w:name="_Toc184313282"/>
      <w:bookmarkEnd w:id="172"/>
      <w:bookmarkStart w:id="173" w:name="_Toc184310272"/>
      <w:bookmarkEnd w:id="173"/>
      <w:bookmarkStart w:id="174" w:name="_Toc184312130"/>
      <w:bookmarkEnd w:id="174"/>
      <w:bookmarkStart w:id="175" w:name="_Toc184308105"/>
      <w:bookmarkEnd w:id="175"/>
      <w:bookmarkStart w:id="176" w:name="_Toc184313303"/>
      <w:bookmarkEnd w:id="176"/>
      <w:bookmarkStart w:id="177" w:name="_Toc184310300"/>
      <w:bookmarkEnd w:id="177"/>
      <w:bookmarkStart w:id="178" w:name="_Toc184308061"/>
      <w:bookmarkEnd w:id="178"/>
      <w:bookmarkStart w:id="179" w:name="_Toc184314424"/>
      <w:bookmarkEnd w:id="179"/>
      <w:bookmarkStart w:id="180" w:name="_Toc184314423"/>
      <w:bookmarkEnd w:id="180"/>
      <w:bookmarkStart w:id="181" w:name="_Toc184310293"/>
      <w:bookmarkEnd w:id="181"/>
      <w:bookmarkStart w:id="182" w:name="_Toc184314473"/>
      <w:bookmarkEnd w:id="182"/>
      <w:bookmarkStart w:id="183" w:name="_Toc184312115"/>
      <w:bookmarkEnd w:id="183"/>
      <w:bookmarkStart w:id="184" w:name="_Toc184312106"/>
      <w:bookmarkEnd w:id="184"/>
      <w:bookmarkStart w:id="185" w:name="_Toc184313251"/>
      <w:bookmarkEnd w:id="185"/>
      <w:bookmarkStart w:id="186" w:name="_Toc184310340"/>
      <w:bookmarkEnd w:id="186"/>
      <w:bookmarkStart w:id="187" w:name="_Toc184308042"/>
      <w:bookmarkEnd w:id="187"/>
      <w:bookmarkStart w:id="188" w:name="_Toc184313290"/>
      <w:bookmarkEnd w:id="188"/>
      <w:bookmarkStart w:id="189" w:name="_Toc184308039"/>
      <w:bookmarkEnd w:id="189"/>
      <w:bookmarkStart w:id="190" w:name="_Toc184308050"/>
      <w:bookmarkEnd w:id="190"/>
      <w:bookmarkStart w:id="191" w:name="_Toc184313254"/>
      <w:bookmarkEnd w:id="191"/>
      <w:bookmarkStart w:id="192" w:name="_Toc184312082"/>
      <w:bookmarkEnd w:id="192"/>
      <w:bookmarkStart w:id="193" w:name="_Toc184313302"/>
      <w:bookmarkEnd w:id="193"/>
      <w:bookmarkStart w:id="194" w:name="_Toc184314449"/>
      <w:bookmarkEnd w:id="194"/>
      <w:bookmarkStart w:id="195" w:name="_Toc184314452"/>
      <w:bookmarkEnd w:id="195"/>
      <w:bookmarkStart w:id="196" w:name="_Toc184313298"/>
      <w:bookmarkEnd w:id="196"/>
      <w:bookmarkStart w:id="197" w:name="_Toc184312088"/>
      <w:bookmarkEnd w:id="197"/>
      <w:bookmarkStart w:id="198" w:name="_Toc184310289"/>
      <w:bookmarkEnd w:id="198"/>
      <w:bookmarkStart w:id="199" w:name="_Toc184313243"/>
      <w:bookmarkEnd w:id="199"/>
      <w:bookmarkStart w:id="200" w:name="_Toc184314447"/>
      <w:bookmarkEnd w:id="200"/>
      <w:bookmarkStart w:id="201" w:name="_Toc184312092"/>
      <w:bookmarkEnd w:id="201"/>
      <w:bookmarkStart w:id="202" w:name="_Toc184312105"/>
      <w:bookmarkEnd w:id="202"/>
      <w:bookmarkStart w:id="203" w:name="_Toc184312123"/>
      <w:bookmarkEnd w:id="203"/>
      <w:bookmarkStart w:id="204" w:name="_Toc184308100"/>
      <w:bookmarkEnd w:id="204"/>
      <w:bookmarkStart w:id="205" w:name="_Toc184312120"/>
      <w:bookmarkEnd w:id="205"/>
      <w:bookmarkStart w:id="206" w:name="_Toc184313273"/>
      <w:bookmarkEnd w:id="206"/>
      <w:bookmarkStart w:id="207" w:name="_Toc184314432"/>
      <w:bookmarkEnd w:id="207"/>
      <w:bookmarkStart w:id="208" w:name="_Toc184313279"/>
      <w:bookmarkEnd w:id="208"/>
      <w:bookmarkStart w:id="209" w:name="_Toc184313308"/>
      <w:bookmarkEnd w:id="209"/>
      <w:bookmarkStart w:id="210" w:name="_Toc184314451"/>
      <w:bookmarkEnd w:id="210"/>
      <w:bookmarkStart w:id="211" w:name="_Toc184313250"/>
      <w:bookmarkEnd w:id="211"/>
      <w:bookmarkStart w:id="212" w:name="_Toc184312134"/>
      <w:bookmarkEnd w:id="212"/>
      <w:bookmarkStart w:id="213" w:name="_Toc184308103"/>
      <w:bookmarkEnd w:id="213"/>
      <w:bookmarkStart w:id="214" w:name="_Toc184308095"/>
      <w:bookmarkEnd w:id="214"/>
      <w:bookmarkStart w:id="215" w:name="_Toc184312077"/>
      <w:bookmarkEnd w:id="215"/>
      <w:bookmarkStart w:id="216" w:name="_Toc184312104"/>
      <w:bookmarkEnd w:id="216"/>
      <w:bookmarkStart w:id="217" w:name="_Toc184308090"/>
      <w:bookmarkEnd w:id="217"/>
      <w:bookmarkStart w:id="218" w:name="_Toc184310341"/>
      <w:bookmarkEnd w:id="218"/>
      <w:bookmarkStart w:id="219" w:name="_Toc184310276"/>
      <w:bookmarkEnd w:id="219"/>
      <w:bookmarkStart w:id="220" w:name="_Toc184312098"/>
      <w:bookmarkEnd w:id="220"/>
      <w:bookmarkStart w:id="221" w:name="_Toc184314450"/>
      <w:bookmarkEnd w:id="221"/>
      <w:bookmarkStart w:id="222" w:name="_Toc184313277"/>
      <w:bookmarkEnd w:id="222"/>
      <w:bookmarkStart w:id="223" w:name="_Toc184308053"/>
      <w:bookmarkEnd w:id="223"/>
      <w:bookmarkStart w:id="224" w:name="_Toc184312136"/>
      <w:bookmarkEnd w:id="224"/>
      <w:bookmarkStart w:id="225" w:name="_Toc184308075"/>
      <w:bookmarkEnd w:id="225"/>
      <w:bookmarkStart w:id="226" w:name="_Toc184310280"/>
      <w:bookmarkEnd w:id="226"/>
      <w:bookmarkStart w:id="227" w:name="_Toc184314471"/>
      <w:bookmarkEnd w:id="227"/>
      <w:bookmarkStart w:id="228" w:name="_Toc184310297"/>
      <w:bookmarkEnd w:id="228"/>
      <w:bookmarkStart w:id="229" w:name="_Toc184312131"/>
      <w:bookmarkEnd w:id="229"/>
      <w:bookmarkStart w:id="230" w:name="_Toc184308074"/>
      <w:bookmarkEnd w:id="230"/>
      <w:bookmarkStart w:id="231" w:name="_Toc184313239"/>
      <w:bookmarkEnd w:id="231"/>
      <w:bookmarkStart w:id="232" w:name="_Toc184313296"/>
      <w:bookmarkEnd w:id="232"/>
      <w:bookmarkStart w:id="233" w:name="_Toc184308097"/>
      <w:bookmarkEnd w:id="233"/>
      <w:bookmarkStart w:id="234" w:name="_Toc184310317"/>
      <w:bookmarkEnd w:id="234"/>
      <w:bookmarkStart w:id="235" w:name="_Toc184310331"/>
      <w:bookmarkEnd w:id="235"/>
      <w:bookmarkStart w:id="236" w:name="_Toc184313294"/>
      <w:bookmarkEnd w:id="236"/>
      <w:bookmarkStart w:id="237" w:name="_Toc184312070"/>
      <w:bookmarkEnd w:id="237"/>
      <w:bookmarkStart w:id="238" w:name="_Toc184314422"/>
      <w:bookmarkEnd w:id="238"/>
      <w:bookmarkStart w:id="239" w:name="_Toc184312107"/>
      <w:bookmarkEnd w:id="239"/>
      <w:bookmarkStart w:id="240" w:name="_Toc184312122"/>
      <w:bookmarkEnd w:id="240"/>
      <w:bookmarkStart w:id="241" w:name="_Toc184312100"/>
      <w:bookmarkEnd w:id="241"/>
      <w:bookmarkStart w:id="242" w:name="_Toc184313260"/>
      <w:bookmarkEnd w:id="242"/>
      <w:bookmarkStart w:id="243" w:name="_Toc184310327"/>
      <w:bookmarkEnd w:id="243"/>
      <w:bookmarkStart w:id="244" w:name="_Toc184313253"/>
      <w:bookmarkEnd w:id="244"/>
      <w:bookmarkStart w:id="245" w:name="_Toc184314467"/>
      <w:bookmarkEnd w:id="245"/>
      <w:bookmarkStart w:id="246" w:name="_Toc184312113"/>
      <w:bookmarkEnd w:id="246"/>
      <w:bookmarkStart w:id="247" w:name="_Toc184308064"/>
      <w:bookmarkEnd w:id="247"/>
      <w:bookmarkStart w:id="248" w:name="_Toc184314419"/>
      <w:bookmarkEnd w:id="248"/>
      <w:bookmarkStart w:id="249" w:name="_Toc184314456"/>
      <w:bookmarkEnd w:id="249"/>
      <w:bookmarkStart w:id="250" w:name="_Toc184312108"/>
      <w:bookmarkEnd w:id="250"/>
      <w:bookmarkStart w:id="251" w:name="_Toc184308037"/>
      <w:bookmarkEnd w:id="251"/>
      <w:bookmarkStart w:id="252" w:name="_Toc184308062"/>
      <w:bookmarkEnd w:id="252"/>
      <w:bookmarkStart w:id="253" w:name="_Toc184314448"/>
      <w:bookmarkEnd w:id="253"/>
      <w:bookmarkStart w:id="254" w:name="_Toc184308085"/>
      <w:bookmarkEnd w:id="254"/>
      <w:bookmarkStart w:id="255" w:name="_Toc184313286"/>
      <w:bookmarkEnd w:id="255"/>
      <w:bookmarkStart w:id="256" w:name="_Toc184310308"/>
      <w:bookmarkEnd w:id="256"/>
      <w:bookmarkStart w:id="257" w:name="_Toc184314433"/>
      <w:bookmarkEnd w:id="257"/>
      <w:bookmarkStart w:id="258" w:name="_Toc184308086"/>
      <w:bookmarkEnd w:id="258"/>
      <w:bookmarkStart w:id="259" w:name="_Toc184308046"/>
      <w:bookmarkEnd w:id="259"/>
      <w:bookmarkStart w:id="260" w:name="_Toc184313264"/>
      <w:bookmarkEnd w:id="260"/>
      <w:bookmarkStart w:id="261" w:name="_Toc184314439"/>
      <w:bookmarkEnd w:id="261"/>
      <w:bookmarkStart w:id="262" w:name="_Toc184312132"/>
      <w:bookmarkEnd w:id="262"/>
      <w:bookmarkStart w:id="263" w:name="_Toc184312069"/>
      <w:bookmarkEnd w:id="263"/>
      <w:bookmarkStart w:id="264" w:name="_Toc184310334"/>
      <w:bookmarkEnd w:id="264"/>
      <w:bookmarkStart w:id="265" w:name="_Toc184308067"/>
      <w:bookmarkEnd w:id="265"/>
      <w:bookmarkStart w:id="266" w:name="_Toc184308052"/>
      <w:bookmarkEnd w:id="266"/>
      <w:bookmarkStart w:id="267" w:name="_Toc184310328"/>
      <w:bookmarkEnd w:id="267"/>
      <w:bookmarkStart w:id="268" w:name="_Toc184313263"/>
      <w:bookmarkEnd w:id="268"/>
      <w:bookmarkStart w:id="269" w:name="_Toc184314442"/>
      <w:bookmarkEnd w:id="269"/>
      <w:bookmarkStart w:id="270" w:name="_Toc184308082"/>
      <w:bookmarkEnd w:id="270"/>
      <w:bookmarkStart w:id="271" w:name="_Toc184313272"/>
      <w:bookmarkEnd w:id="271"/>
      <w:bookmarkStart w:id="272" w:name="_Toc184312095"/>
      <w:bookmarkEnd w:id="272"/>
      <w:bookmarkStart w:id="273" w:name="_Toc184313287"/>
      <w:bookmarkEnd w:id="273"/>
      <w:bookmarkStart w:id="274" w:name="_Toc184313261"/>
      <w:bookmarkEnd w:id="274"/>
      <w:bookmarkStart w:id="275" w:name="_Toc184310281"/>
      <w:bookmarkEnd w:id="275"/>
      <w:bookmarkStart w:id="276" w:name="_Toc184312112"/>
      <w:bookmarkEnd w:id="276"/>
      <w:bookmarkStart w:id="277" w:name="_Toc184313275"/>
      <w:bookmarkEnd w:id="277"/>
      <w:bookmarkStart w:id="278" w:name="_Toc184313283"/>
      <w:bookmarkEnd w:id="278"/>
      <w:bookmarkStart w:id="279" w:name="_Toc184314463"/>
      <w:bookmarkEnd w:id="279"/>
      <w:bookmarkStart w:id="280" w:name="_Toc184312128"/>
      <w:bookmarkEnd w:id="280"/>
      <w:bookmarkStart w:id="281" w:name="_Toc184313249"/>
      <w:bookmarkEnd w:id="281"/>
      <w:bookmarkStart w:id="282" w:name="_Toc184314414"/>
      <w:bookmarkEnd w:id="282"/>
      <w:bookmarkStart w:id="283" w:name="_Toc184310295"/>
      <w:bookmarkEnd w:id="283"/>
      <w:bookmarkStart w:id="284" w:name="_Toc184310344"/>
      <w:bookmarkEnd w:id="284"/>
      <w:bookmarkStart w:id="285" w:name="_Toc184313297"/>
      <w:bookmarkEnd w:id="285"/>
      <w:bookmarkStart w:id="286" w:name="_Toc184308104"/>
      <w:bookmarkEnd w:id="286"/>
      <w:bookmarkStart w:id="287" w:name="_Toc184308107"/>
      <w:bookmarkEnd w:id="287"/>
      <w:bookmarkStart w:id="288" w:name="_Toc184313262"/>
      <w:bookmarkEnd w:id="288"/>
      <w:bookmarkStart w:id="289" w:name="_Toc184308038"/>
      <w:bookmarkEnd w:id="289"/>
      <w:bookmarkStart w:id="290" w:name="_Toc184308060"/>
      <w:bookmarkEnd w:id="290"/>
      <w:bookmarkStart w:id="291" w:name="_Toc184313304"/>
      <w:bookmarkEnd w:id="291"/>
      <w:bookmarkStart w:id="292" w:name="_Toc184314466"/>
      <w:bookmarkEnd w:id="292"/>
      <w:bookmarkStart w:id="293" w:name="_Toc184308055"/>
      <w:bookmarkEnd w:id="293"/>
      <w:bookmarkStart w:id="294" w:name="_Toc184308051"/>
      <w:bookmarkEnd w:id="294"/>
      <w:bookmarkStart w:id="295" w:name="_Toc184310296"/>
      <w:bookmarkEnd w:id="295"/>
      <w:bookmarkStart w:id="296" w:name="_Toc184312079"/>
      <w:bookmarkEnd w:id="296"/>
      <w:bookmarkStart w:id="297" w:name="_Toc184308088"/>
      <w:bookmarkEnd w:id="297"/>
      <w:bookmarkStart w:id="298" w:name="_Toc184310309"/>
      <w:bookmarkEnd w:id="298"/>
      <w:bookmarkStart w:id="299" w:name="_Toc184314421"/>
      <w:bookmarkEnd w:id="299"/>
      <w:bookmarkStart w:id="300" w:name="_Toc184312103"/>
      <w:bookmarkEnd w:id="300"/>
      <w:bookmarkStart w:id="301" w:name="_Toc184312081"/>
      <w:bookmarkEnd w:id="301"/>
      <w:bookmarkStart w:id="302" w:name="_Toc184310320"/>
      <w:bookmarkEnd w:id="302"/>
      <w:bookmarkStart w:id="303" w:name="_Toc184312071"/>
      <w:bookmarkEnd w:id="303"/>
      <w:bookmarkStart w:id="304" w:name="_Toc184312073"/>
      <w:bookmarkEnd w:id="304"/>
      <w:bookmarkStart w:id="305" w:name="_Toc184312121"/>
      <w:bookmarkEnd w:id="305"/>
      <w:bookmarkStart w:id="306" w:name="_Toc184308065"/>
      <w:bookmarkEnd w:id="306"/>
      <w:bookmarkStart w:id="307" w:name="_Toc184314416"/>
      <w:bookmarkEnd w:id="307"/>
      <w:bookmarkStart w:id="308" w:name="_Toc184312075"/>
      <w:bookmarkEnd w:id="308"/>
      <w:bookmarkStart w:id="309" w:name="_Toc184312101"/>
      <w:bookmarkEnd w:id="309"/>
      <w:bookmarkStart w:id="310" w:name="_Toc184308057"/>
      <w:bookmarkEnd w:id="310"/>
      <w:bookmarkStart w:id="311" w:name="_Toc184313259"/>
      <w:bookmarkEnd w:id="311"/>
      <w:bookmarkStart w:id="312" w:name="_Toc184312083"/>
      <w:bookmarkEnd w:id="312"/>
      <w:bookmarkStart w:id="313" w:name="_Toc184310290"/>
      <w:bookmarkEnd w:id="313"/>
      <w:bookmarkStart w:id="314" w:name="_Toc184310316"/>
      <w:bookmarkEnd w:id="314"/>
      <w:bookmarkStart w:id="315" w:name="_Toc184310335"/>
      <w:bookmarkEnd w:id="315"/>
      <w:bookmarkStart w:id="316" w:name="_Toc184310305"/>
      <w:bookmarkEnd w:id="316"/>
      <w:bookmarkStart w:id="317" w:name="_Toc184314464"/>
      <w:bookmarkEnd w:id="317"/>
      <w:bookmarkStart w:id="318" w:name="_Toc184310274"/>
      <w:bookmarkEnd w:id="318"/>
      <w:bookmarkStart w:id="319" w:name="_Toc184310283"/>
      <w:bookmarkEnd w:id="319"/>
      <w:bookmarkStart w:id="320" w:name="_Toc184314434"/>
      <w:bookmarkEnd w:id="320"/>
      <w:bookmarkStart w:id="321" w:name="_Toc184312125"/>
      <w:bookmarkEnd w:id="321"/>
      <w:bookmarkStart w:id="322" w:name="_Toc184308045"/>
      <w:bookmarkEnd w:id="322"/>
      <w:bookmarkStart w:id="323" w:name="_Toc184308066"/>
      <w:bookmarkEnd w:id="323"/>
      <w:bookmarkStart w:id="324" w:name="_Toc184313248"/>
      <w:bookmarkEnd w:id="324"/>
      <w:bookmarkStart w:id="325" w:name="_Toc184314477"/>
      <w:bookmarkEnd w:id="325"/>
      <w:bookmarkStart w:id="326" w:name="_Toc184314437"/>
      <w:bookmarkEnd w:id="326"/>
      <w:bookmarkStart w:id="327" w:name="_Toc184314475"/>
      <w:bookmarkEnd w:id="327"/>
      <w:bookmarkStart w:id="328" w:name="_Toc184314418"/>
      <w:bookmarkEnd w:id="328"/>
      <w:bookmarkStart w:id="329" w:name="_Toc184310284"/>
      <w:bookmarkEnd w:id="329"/>
      <w:bookmarkStart w:id="330" w:name="_Toc184310324"/>
      <w:bookmarkEnd w:id="330"/>
      <w:bookmarkStart w:id="331" w:name="_Toc184310343"/>
      <w:bookmarkEnd w:id="331"/>
      <w:bookmarkStart w:id="332" w:name="_Toc184313271"/>
      <w:bookmarkEnd w:id="332"/>
      <w:bookmarkStart w:id="333" w:name="_Toc184310303"/>
      <w:bookmarkEnd w:id="333"/>
      <w:bookmarkStart w:id="334" w:name="_Toc184314462"/>
      <w:bookmarkEnd w:id="334"/>
      <w:bookmarkStart w:id="335" w:name="_Toc184314472"/>
      <w:bookmarkEnd w:id="335"/>
      <w:bookmarkStart w:id="336" w:name="_Toc184312072"/>
      <w:bookmarkEnd w:id="336"/>
      <w:bookmarkStart w:id="337" w:name="_Toc184314413"/>
      <w:bookmarkEnd w:id="337"/>
      <w:bookmarkStart w:id="338" w:name="_Toc184314420"/>
      <w:bookmarkEnd w:id="338"/>
      <w:bookmarkStart w:id="339" w:name="_Toc184310310"/>
      <w:bookmarkEnd w:id="339"/>
      <w:bookmarkStart w:id="340" w:name="_Toc184312119"/>
      <w:bookmarkEnd w:id="340"/>
      <w:bookmarkStart w:id="341" w:name="_Toc184308092"/>
      <w:bookmarkEnd w:id="341"/>
      <w:bookmarkStart w:id="342" w:name="_Toc184312110"/>
      <w:bookmarkEnd w:id="342"/>
      <w:bookmarkStart w:id="343" w:name="_Toc184308068"/>
      <w:bookmarkEnd w:id="343"/>
      <w:bookmarkStart w:id="344" w:name="_Toc184314469"/>
      <w:bookmarkEnd w:id="344"/>
      <w:bookmarkStart w:id="345" w:name="_Toc184310314"/>
      <w:bookmarkEnd w:id="345"/>
      <w:bookmarkStart w:id="346" w:name="_Toc184314455"/>
      <w:bookmarkEnd w:id="346"/>
      <w:bookmarkStart w:id="347" w:name="_Toc184310332"/>
      <w:bookmarkEnd w:id="347"/>
      <w:bookmarkStart w:id="348" w:name="_Toc184313300"/>
      <w:bookmarkEnd w:id="348"/>
      <w:bookmarkStart w:id="349" w:name="_Toc184310282"/>
      <w:bookmarkEnd w:id="349"/>
      <w:bookmarkStart w:id="350" w:name="_Toc184313240"/>
      <w:bookmarkEnd w:id="350"/>
      <w:bookmarkStart w:id="351" w:name="_Toc184312111"/>
      <w:bookmarkEnd w:id="351"/>
      <w:bookmarkStart w:id="352" w:name="_Toc184313244"/>
      <w:bookmarkEnd w:id="352"/>
      <w:bookmarkStart w:id="353" w:name="_Toc184312118"/>
      <w:bookmarkEnd w:id="353"/>
      <w:bookmarkStart w:id="354" w:name="_Toc184313295"/>
      <w:bookmarkEnd w:id="354"/>
      <w:bookmarkStart w:id="355" w:name="_Toc184308106"/>
      <w:bookmarkEnd w:id="355"/>
      <w:bookmarkStart w:id="356" w:name="_Toc184308083"/>
      <w:bookmarkEnd w:id="356"/>
      <w:bookmarkStart w:id="357" w:name="_Toc184313258"/>
      <w:bookmarkEnd w:id="357"/>
      <w:bookmarkStart w:id="358" w:name="_Toc184314426"/>
      <w:bookmarkEnd w:id="358"/>
      <w:bookmarkStart w:id="359" w:name="_Toc184314436"/>
      <w:bookmarkEnd w:id="359"/>
      <w:bookmarkStart w:id="360" w:name="_Toc184314429"/>
      <w:bookmarkEnd w:id="360"/>
      <w:bookmarkStart w:id="361" w:name="_Toc184310315"/>
      <w:bookmarkEnd w:id="361"/>
      <w:bookmarkStart w:id="362" w:name="_Toc184312133"/>
      <w:bookmarkEnd w:id="362"/>
      <w:bookmarkStart w:id="363" w:name="_Toc184314479"/>
      <w:bookmarkEnd w:id="363"/>
      <w:bookmarkStart w:id="364" w:name="_Toc184314470"/>
      <w:bookmarkEnd w:id="364"/>
      <w:bookmarkStart w:id="365" w:name="_Toc184313293"/>
      <w:bookmarkEnd w:id="365"/>
      <w:bookmarkStart w:id="366" w:name="_Toc184314415"/>
      <w:bookmarkEnd w:id="366"/>
      <w:r>
        <w:rPr>
          <w:rFonts w:hint="eastAsia" w:ascii="仿宋" w:hAnsi="仿宋" w:eastAsia="仿宋" w:cs="仿宋"/>
          <w:b/>
          <w:color w:val="000000" w:themeColor="text1"/>
          <w:sz w:val="36"/>
          <w:szCs w:val="36"/>
          <w:highlight w:val="none"/>
          <w14:textFill>
            <w14:solidFill>
              <w14:schemeClr w14:val="tx1"/>
            </w14:solidFill>
          </w14:textFill>
        </w:rPr>
        <w:t>评审方法</w:t>
      </w:r>
    </w:p>
    <w:p w14:paraId="7CF812DC">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54CF369">
      <w:pPr>
        <w:adjustRightInd w:val="0"/>
        <w:snapToGrid w:val="0"/>
        <w:spacing w:line="46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一、总则</w:t>
      </w:r>
    </w:p>
    <w:p w14:paraId="15D224E2">
      <w:pPr>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46DBDE24">
      <w:pPr>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询价小组成员对需要共同认定的事项存在争议的，应当按照少数服从多数的原则作出结论。持不同意见的询价小组成员应当在评审报告上签署不同意见及理由，否则视为同意评审报告。</w:t>
      </w:r>
    </w:p>
    <w:p w14:paraId="2EA33AA6">
      <w:pPr>
        <w:adjustRightInd w:val="0"/>
        <w:snapToGrid w:val="0"/>
        <w:spacing w:line="46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二、评审组织</w:t>
      </w:r>
    </w:p>
    <w:p w14:paraId="5C2FC72F">
      <w:pPr>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询价小组由3人及以上单数评审专家组成，评审专家人数不得少于询价小组成员总数的2/3。评审工作由采购单位依法组建的询价小组负责。询价小组负责审标、询标、评审等工作，并向采购人提出评审意见和评审报告。</w:t>
      </w:r>
    </w:p>
    <w:p w14:paraId="61535D2E">
      <w:pPr>
        <w:adjustRightInd w:val="0"/>
        <w:snapToGrid w:val="0"/>
        <w:spacing w:line="46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三、评审纪律</w:t>
      </w:r>
    </w:p>
    <w:p w14:paraId="4439C978">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1.评审是采购工作的重要环节，评审工作在询价小组内独立进行。询价小组将按照评审原则的要求，公正、平等地对待所有供应商。</w:t>
      </w:r>
    </w:p>
    <w:p w14:paraId="4DAC29CF">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2.所有询价小组应忠于职守、廉洁自律、秉公办事、不徇私情。</w:t>
      </w:r>
    </w:p>
    <w:p w14:paraId="5414EBB5">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3.询价小组不得接受或参加供应商或与其有关的单位、组织或个人的有碍公务的宴请、娱乐活动等，不得以任何形式弄虚作假。</w:t>
      </w:r>
    </w:p>
    <w:p w14:paraId="3EBECF20">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4.评审期间，询价小组成员不得随意出入评审地点、与外界通讯、会客等。</w:t>
      </w:r>
    </w:p>
    <w:p w14:paraId="1C477C68">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5.在询价响应文件的审查、澄清、评价和比较以及授予合同的过程中，供应商对采购人、采购代理机构人员及询价小组成员施加影响的任何行为，都将导致被取消询价响应资格。</w:t>
      </w:r>
    </w:p>
    <w:p w14:paraId="50A215EE">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6.为保证评审的公正性，在评审过程中，询价小组成员不得与供应商或与成交结果有利害关系的人进行私下接触。在评审工作结束后，凡与询价情况有接触的任何人，不得将询价情况扩散出询价小组以外。</w:t>
      </w:r>
    </w:p>
    <w:p w14:paraId="0954ABF7">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7.询价过程中，询价小组成员对供应商的优劣情况，以及认为差异较大的情况等，应以书面意见作出真实、专业、诚恳负责的表述，不得违背客观、公正的原则。</w:t>
      </w:r>
    </w:p>
    <w:p w14:paraId="0B2F7E60">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8.评审结束后，询价小组成员应将全部资料整理上交采购人，严禁将询价过程中的任何资料带出询价现场向供应商或其他单位提供。</w:t>
      </w:r>
    </w:p>
    <w:p w14:paraId="59547CAE">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9.在成交结果公布前应对询价小组成员名单予以保密。</w:t>
      </w:r>
    </w:p>
    <w:p w14:paraId="586939B2">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10.询价小组对各供应商的商业秘密予以保密。</w:t>
      </w:r>
    </w:p>
    <w:p w14:paraId="4E033D08">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11.询价小组成员应当客观、公正地履行职责，遵守职业道德，对所提出的评审意见承担个人责任。</w:t>
      </w:r>
    </w:p>
    <w:p w14:paraId="29426F81">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12.在整个询价过程中，供应商企图影响采购结果的任何活动，可能导致其询价响应失败。如有违法行为，将依法追究其法律责任。</w:t>
      </w:r>
    </w:p>
    <w:p w14:paraId="288CB39E">
      <w:pPr>
        <w:adjustRightInd w:val="0"/>
        <w:snapToGrid w:val="0"/>
        <w:spacing w:line="460" w:lineRule="exact"/>
        <w:ind w:firstLine="482"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四、询价程序</w:t>
      </w:r>
    </w:p>
    <w:p w14:paraId="2E68B622">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1.熟悉采购文件和评审办法。</w:t>
      </w:r>
    </w:p>
    <w:p w14:paraId="656A2649">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2.采购组织机构按照采购文件规定的时间、地点及程序组织评审。评审程序如下：</w:t>
      </w:r>
    </w:p>
    <w:p w14:paraId="2E76FE1A">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1）开启评审场地的录音录像采集设备，并确保其正常运行。</w:t>
      </w:r>
    </w:p>
    <w:p w14:paraId="78366B1C">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2）核验出席评审活动现场的询价小组各成员和相关监督人员身份，并要求其分别登记、签到，按规定统一收缴、保存其通讯工具，无关人员一律拒绝其进入评审现场。</w:t>
      </w:r>
    </w:p>
    <w:p w14:paraId="559E77EB">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3）介绍评审现场的人员情况，宣布评审工作纪律，告知询价小组应当回避情形；组织推选询价小组组长。</w:t>
      </w:r>
    </w:p>
    <w:p w14:paraId="7467D427">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4）通报报名参加本项目采购的供应商名单及资格预审情况（如有），宣读最终提交采购响应文件的供应商名单，组织询价小组各位成员签订《采购评审人员廉洁自律承诺书》。</w:t>
      </w:r>
    </w:p>
    <w:p w14:paraId="696B0C5A">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5）根据需要简要介绍采购文件（含补充文件）制定及质疑答复情况、按书面陈述项目基本情况及评审工作需注意事项等。</w:t>
      </w:r>
    </w:p>
    <w:p w14:paraId="5B709CBC">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6）询价小组组长组织询价小组独立评审。询价小组对拟认定为采购响应文件无效的，应组织相关供应商代表进行陈述、澄清或申辩。</w:t>
      </w:r>
    </w:p>
    <w:p w14:paraId="0E7BB0E4">
      <w:pPr>
        <w:pStyle w:val="15"/>
        <w:spacing w:line="360" w:lineRule="auto"/>
        <w:ind w:left="954" w:leftChars="226" w:hanging="479" w:firstLineChars="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有下列情形之一的，响应无效：</w:t>
      </w:r>
    </w:p>
    <w:p w14:paraId="4FA4A6C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A.供应商不具备询价文件中规定的资格要求的（供应商未提供有效的资格文件的，视为供应商不具备询价文件中规定的资格要求）；</w:t>
      </w:r>
    </w:p>
    <w:p w14:paraId="0771307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B.响应文件未按照询价文件要求签署、盖章的；</w:t>
      </w:r>
    </w:p>
    <w:p w14:paraId="57F702B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C.供应商</w:t>
      </w:r>
      <w:r>
        <w:rPr>
          <w:rFonts w:hint="eastAsia" w:ascii="仿宋" w:hAnsi="仿宋" w:eastAsia="仿宋" w:cs="仿宋"/>
          <w:color w:val="000000" w:themeColor="text1"/>
          <w:kern w:val="0"/>
          <w:sz w:val="24"/>
          <w:highlight w:val="none"/>
          <w:lang w:val="en-US" w:eastAsia="zh-CN"/>
          <w14:textFill>
            <w14:solidFill>
              <w14:schemeClr w14:val="tx1"/>
            </w14:solidFill>
          </w14:textFill>
        </w:rPr>
        <w:t>未按要求缴纳投标保证金的</w:t>
      </w:r>
      <w:r>
        <w:rPr>
          <w:rFonts w:hint="eastAsia" w:ascii="仿宋" w:hAnsi="仿宋" w:eastAsia="仿宋" w:cs="仿宋"/>
          <w:color w:val="000000" w:themeColor="text1"/>
          <w:kern w:val="0"/>
          <w:sz w:val="24"/>
          <w:highlight w:val="none"/>
          <w14:textFill>
            <w14:solidFill>
              <w14:schemeClr w14:val="tx1"/>
            </w14:solidFill>
          </w14:textFill>
        </w:rPr>
        <w:t>；</w:t>
      </w:r>
    </w:p>
    <w:p w14:paraId="08CB1E1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D.响应文件含有采购人不能接受的附加条件的；</w:t>
      </w:r>
    </w:p>
    <w:p w14:paraId="774C51D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E.响应文件中承诺的响应有效期少于询价文件中载明的投标有效期的；响应文件出现不是唯一的、有选择性响应报价的;</w:t>
      </w:r>
    </w:p>
    <w:p w14:paraId="2DC6F607">
      <w:pPr>
        <w:pStyle w:val="1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F.</w:t>
      </w:r>
      <w:r>
        <w:rPr>
          <w:rFonts w:hint="eastAsia" w:ascii="仿宋" w:hAnsi="仿宋" w:eastAsia="仿宋" w:cs="仿宋"/>
          <w:color w:val="000000" w:themeColor="text1"/>
          <w:kern w:val="2"/>
          <w:sz w:val="24"/>
          <w:szCs w:val="24"/>
          <w:highlight w:val="none"/>
          <w14:textFill>
            <w14:solidFill>
              <w14:schemeClr w14:val="tx1"/>
            </w14:solidFill>
          </w14:textFill>
        </w:rPr>
        <w:t>不同供应商的电子投标（响应）文件上传计算机的网卡MAC地址、CPU序列号和硬盘序列号等硬件信息相同的；</w:t>
      </w:r>
    </w:p>
    <w:p w14:paraId="076FD34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G.响应报价超过询价文件中规定的预算金额或者最高限价的;</w:t>
      </w:r>
    </w:p>
    <w:p w14:paraId="1B12E5C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H.报价明显低于其他通过符合性审查供应商的报价，有可能影响产品质量或者不能诚信履约的，未能按要求提供书面说明或者提交相关证明材料，不能证明其报价合理性的;</w:t>
      </w:r>
    </w:p>
    <w:p w14:paraId="4566D77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I.供应商对根据修正原则修正后的报价不确认的；</w:t>
      </w:r>
      <w:bookmarkStart w:id="368" w:name="_GoBack"/>
      <w:bookmarkEnd w:id="368"/>
    </w:p>
    <w:p w14:paraId="45696E2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J.供应商提供虚假材料成交的；</w:t>
      </w:r>
    </w:p>
    <w:p w14:paraId="0D10938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K.供应商有恶意串通、妨碍其他供应商的竞争行为、损害采购人或者其他供应商的合法权益情形的；</w:t>
      </w:r>
    </w:p>
    <w:p w14:paraId="4C0E148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L.供应商仅提交备份响应文件，未在电子交易平台传输递交响应文件的，响应无效； </w:t>
      </w:r>
    </w:p>
    <w:p w14:paraId="0277794E">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M.响应文件不满足询价文件的其它实质性要求的；</w:t>
      </w:r>
    </w:p>
    <w:p w14:paraId="49FE97B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N.</w:t>
      </w:r>
      <w:r>
        <w:rPr>
          <w:rFonts w:hint="eastAsia" w:ascii="仿宋" w:hAnsi="仿宋" w:eastAsia="仿宋" w:cs="仿宋"/>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CFFA601">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授权代表对澄清、说明或者补正内容未签字确认的，将自行承担由此可能导致的对其不利的评审结果，询价小组按少数服从多数原则对相关内容进行评判。</w:t>
      </w:r>
    </w:p>
    <w:p w14:paraId="7EC7DEB9">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7）询价小组根据询价细则，推荐成交候选人。</w:t>
      </w:r>
    </w:p>
    <w:p w14:paraId="27E6CAF3">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3.起草评审报告，所有询价小组须在评审报告上签字确认。</w:t>
      </w:r>
    </w:p>
    <w:p w14:paraId="15E6427C">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52DE450C">
      <w:pPr>
        <w:adjustRightInd w:val="0"/>
        <w:snapToGrid w:val="0"/>
        <w:spacing w:line="460" w:lineRule="exact"/>
        <w:ind w:firstLine="480" w:firstLineChars="200"/>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评审报告是根据</w:t>
      </w:r>
      <w:r>
        <w:rPr>
          <w:rFonts w:hint="eastAsia" w:ascii="仿宋" w:hAnsi="仿宋" w:eastAsia="仿宋" w:cs="仿宋"/>
          <w:color w:val="000000" w:themeColor="text1"/>
          <w:sz w:val="24"/>
          <w:highlight w:val="none"/>
          <w14:textFill>
            <w14:solidFill>
              <w14:schemeClr w14:val="tx1"/>
            </w14:solidFill>
          </w14:textFill>
        </w:rPr>
        <w:t>询价小组</w:t>
      </w:r>
      <w:r>
        <w:rPr>
          <w:rFonts w:hint="eastAsia" w:ascii="仿宋" w:hAnsi="仿宋" w:eastAsia="仿宋" w:cs="仿宋"/>
          <w:snapToGrid w:val="0"/>
          <w:color w:val="000000" w:themeColor="text1"/>
          <w:kern w:val="0"/>
          <w:sz w:val="24"/>
          <w:highlight w:val="none"/>
          <w14:textFill>
            <w14:solidFill>
              <w14:schemeClr w14:val="tx1"/>
            </w14:solidFill>
          </w14:textFill>
        </w:rPr>
        <w:t>签字的原始评审记录和评审结果编写的报告，其主要内容包括：</w:t>
      </w:r>
    </w:p>
    <w:p w14:paraId="292E09AA">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采购项目基本情况：采购组织机构，项目名称，项目编号，采购内容，预算执行确认书编号，采购预算金额，采购方式，发布公告时间；公告发布网站，采购响应截止时间，购买采购文件单位情况，采购响应单位情况等；</w:t>
      </w:r>
    </w:p>
    <w:p w14:paraId="34C92B32">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2）评审小组组成；</w:t>
      </w:r>
    </w:p>
    <w:p w14:paraId="115B4A05">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3）评审方法和标准；</w:t>
      </w:r>
    </w:p>
    <w:p w14:paraId="7FAE6E87">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4）评审情况及说明；</w:t>
      </w:r>
    </w:p>
    <w:p w14:paraId="3962EC02">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5）评审结果和成交候选人排序；</w:t>
      </w:r>
    </w:p>
    <w:p w14:paraId="5BE47DFC">
      <w:pPr>
        <w:adjustRightInd w:val="0"/>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6）询价小组的授标建议。</w:t>
      </w:r>
    </w:p>
    <w:p w14:paraId="45F59E7B">
      <w:pPr>
        <w:adjustRightInd w:val="0"/>
        <w:snapToGrid w:val="0"/>
        <w:spacing w:line="46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五、询价细则</w:t>
      </w:r>
    </w:p>
    <w:p w14:paraId="11219E51">
      <w:pPr>
        <w:widowControl/>
        <w:snapToGrid w:val="0"/>
        <w:spacing w:line="4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1.评审办法：</w:t>
      </w:r>
      <w:r>
        <w:rPr>
          <w:rFonts w:hint="eastAsia" w:ascii="仿宋" w:hAnsi="仿宋" w:eastAsia="仿宋" w:cs="仿宋"/>
          <w:color w:val="000000" w:themeColor="text1"/>
          <w:sz w:val="24"/>
          <w:highlight w:val="none"/>
          <w14:textFill>
            <w14:solidFill>
              <w14:schemeClr w14:val="tx1"/>
            </w14:solidFill>
          </w14:textFill>
        </w:rPr>
        <w:t>询价小组应当从质量和服务均能满足采购文件实质性响应要求的供应商中，按照报价由低到高的顺序提出成交候选人，并编写评审报告。</w:t>
      </w:r>
    </w:p>
    <w:p w14:paraId="333EA1E7">
      <w:pPr>
        <w:pStyle w:val="15"/>
        <w:snapToGrid w:val="0"/>
        <w:spacing w:line="360" w:lineRule="auto"/>
        <w:ind w:firstLine="470"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2.出</w:t>
      </w:r>
      <w:r>
        <w:rPr>
          <w:rFonts w:hint="eastAsia" w:ascii="仿宋" w:hAnsi="仿宋" w:eastAsia="仿宋" w:cs="仿宋"/>
          <w:color w:val="000000" w:themeColor="text1"/>
          <w:highlight w:val="none"/>
          <w14:textFill>
            <w14:solidFill>
              <w14:schemeClr w14:val="tx1"/>
            </w14:solidFill>
          </w14:textFill>
        </w:rPr>
        <w:t>现下列情形之一的，采购人或者采购代理机构应当终止询价采购活动，发布项目终止公告并说明原因，重新开展采购活动：</w:t>
      </w:r>
    </w:p>
    <w:p w14:paraId="35121D14">
      <w:pPr>
        <w:pStyle w:val="1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.1因情况变化，不再符合规定的询价采购方式适用情形的；</w:t>
      </w:r>
    </w:p>
    <w:p w14:paraId="28643055">
      <w:pPr>
        <w:pStyle w:val="1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.2出现影响采购公正的违法、违规行为的；</w:t>
      </w:r>
    </w:p>
    <w:p w14:paraId="42B99AD2">
      <w:pPr>
        <w:pStyle w:val="1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.3在采购过程中符合竞争要求的供应商或者报价未超过采购预算的供应商不足3家的。</w:t>
      </w:r>
    </w:p>
    <w:p w14:paraId="3E92A58A">
      <w:pPr>
        <w:pStyle w:val="3"/>
        <w:rPr>
          <w:rFonts w:hint="eastAsia" w:ascii="仿宋" w:hAnsi="仿宋" w:eastAsia="仿宋" w:cs="仿宋"/>
          <w:color w:val="000000" w:themeColor="text1"/>
          <w:highlight w:val="none"/>
          <w14:textFill>
            <w14:solidFill>
              <w14:schemeClr w14:val="tx1"/>
            </w14:solidFill>
          </w14:textFill>
        </w:rPr>
      </w:pPr>
    </w:p>
    <w:p w14:paraId="60C865CD">
      <w:pPr>
        <w:widowControl/>
        <w:snapToGrid w:val="0"/>
        <w:spacing w:line="4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sectPr>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2DD9AA2">
      <w:pPr>
        <w:spacing w:line="460" w:lineRule="exact"/>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1FC362ED">
      <w:pPr>
        <w:rPr>
          <w:rFonts w:hint="eastAsia" w:ascii="仿宋" w:hAnsi="仿宋" w:eastAsia="仿宋" w:cs="仿宋"/>
          <w:color w:val="000000" w:themeColor="text1"/>
          <w:sz w:val="24"/>
          <w:highlight w:val="none"/>
          <w14:textFill>
            <w14:solidFill>
              <w14:schemeClr w14:val="tx1"/>
            </w14:solidFill>
          </w14:textFill>
        </w:rPr>
      </w:pPr>
    </w:p>
    <w:p w14:paraId="0B094EBE">
      <w:pPr>
        <w:rPr>
          <w:rFonts w:hint="eastAsia" w:ascii="仿宋" w:hAnsi="仿宋" w:eastAsia="仿宋" w:cs="仿宋"/>
          <w:color w:val="000000" w:themeColor="text1"/>
          <w:sz w:val="24"/>
          <w:highlight w:val="none"/>
          <w14:textFill>
            <w14:solidFill>
              <w14:schemeClr w14:val="tx1"/>
            </w14:solidFill>
          </w14:textFill>
        </w:rPr>
      </w:pPr>
    </w:p>
    <w:p w14:paraId="09596E64">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p>
    <w:p w14:paraId="7D60CF23">
      <w:pPr>
        <w:spacing w:line="480" w:lineRule="auto"/>
        <w:rPr>
          <w:rFonts w:hint="eastAsia" w:ascii="仿宋" w:hAnsi="仿宋" w:eastAsia="仿宋" w:cs="仿宋"/>
          <w:b/>
          <w:color w:val="000000" w:themeColor="text1"/>
          <w:sz w:val="24"/>
          <w:highlight w:val="none"/>
          <w14:textFill>
            <w14:solidFill>
              <w14:schemeClr w14:val="tx1"/>
            </w14:solidFill>
          </w14:textFill>
        </w:rPr>
      </w:pPr>
    </w:p>
    <w:p w14:paraId="0739A79B">
      <w:pPr>
        <w:pStyle w:val="3"/>
        <w:rPr>
          <w:rFonts w:hint="eastAsia" w:ascii="仿宋" w:hAnsi="仿宋" w:eastAsia="仿宋" w:cs="仿宋"/>
          <w:color w:val="000000" w:themeColor="text1"/>
          <w:sz w:val="24"/>
          <w:highlight w:val="none"/>
          <w14:textFill>
            <w14:solidFill>
              <w14:schemeClr w14:val="tx1"/>
            </w14:solidFill>
          </w14:textFill>
        </w:rPr>
      </w:pPr>
    </w:p>
    <w:p w14:paraId="61F7C27A">
      <w:pPr>
        <w:rPr>
          <w:rFonts w:hint="eastAsia" w:ascii="仿宋" w:hAnsi="仿宋" w:eastAsia="仿宋" w:cs="仿宋"/>
          <w:color w:val="000000" w:themeColor="text1"/>
          <w:highlight w:val="none"/>
          <w14:textFill>
            <w14:solidFill>
              <w14:schemeClr w14:val="tx1"/>
            </w14:solidFill>
          </w14:textFill>
        </w:rPr>
      </w:pPr>
    </w:p>
    <w:p w14:paraId="6FDBAA32">
      <w:pPr>
        <w:pStyle w:val="46"/>
        <w:rPr>
          <w:rFonts w:hint="eastAsia" w:ascii="仿宋" w:hAnsi="仿宋" w:eastAsia="仿宋" w:cs="仿宋"/>
          <w:color w:val="000000" w:themeColor="text1"/>
          <w:szCs w:val="24"/>
          <w:highlight w:val="none"/>
          <w14:textFill>
            <w14:solidFill>
              <w14:schemeClr w14:val="tx1"/>
            </w14:solidFill>
          </w14:textFill>
        </w:rPr>
      </w:pPr>
    </w:p>
    <w:p w14:paraId="165D429F">
      <w:pPr>
        <w:pStyle w:val="46"/>
        <w:ind w:left="0" w:leftChars="0" w:firstLine="0" w:firstLineChars="0"/>
        <w:rPr>
          <w:rFonts w:hint="eastAsia" w:ascii="仿宋" w:hAnsi="仿宋" w:eastAsia="仿宋" w:cs="仿宋"/>
          <w:color w:val="000000" w:themeColor="text1"/>
          <w:szCs w:val="24"/>
          <w:highlight w:val="none"/>
          <w14:textFill>
            <w14:solidFill>
              <w14:schemeClr w14:val="tx1"/>
            </w14:solidFill>
          </w14:textFill>
        </w:rPr>
      </w:pPr>
    </w:p>
    <w:p w14:paraId="28149DEB">
      <w:pPr>
        <w:pStyle w:val="46"/>
        <w:rPr>
          <w:rFonts w:hint="eastAsia" w:ascii="仿宋" w:hAnsi="仿宋" w:eastAsia="仿宋" w:cs="仿宋"/>
          <w:color w:val="000000" w:themeColor="text1"/>
          <w:szCs w:val="24"/>
          <w:highlight w:val="none"/>
          <w14:textFill>
            <w14:solidFill>
              <w14:schemeClr w14:val="tx1"/>
            </w14:solidFill>
          </w14:textFill>
        </w:rPr>
      </w:pPr>
    </w:p>
    <w:p w14:paraId="4B812BDF">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07C6D09D">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48798599">
      <w:pPr>
        <w:pStyle w:val="47"/>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12EF2992">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p>
    <w:p w14:paraId="63760062">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090C2F4C">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p>
    <w:p w14:paraId="72222473">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574FA44B">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p>
    <w:p w14:paraId="73E3C35C">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6A4C28CB">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1EEE158B">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58C306A9">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w:t>
      </w:r>
    </w:p>
    <w:p w14:paraId="6040C4E5">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成交供应商</w:t>
      </w:r>
      <w:r>
        <w:rPr>
          <w:rFonts w:hint="eastAsia" w:ascii="仿宋" w:hAnsi="仿宋" w:eastAsia="仿宋" w:cs="仿宋"/>
          <w:color w:val="000000" w:themeColor="text1"/>
          <w:sz w:val="24"/>
          <w:highlight w:val="none"/>
          <w14:textFill>
            <w14:solidFill>
              <w14:schemeClr w14:val="tx1"/>
            </w14:solidFill>
          </w14:textFill>
        </w:rPr>
        <w:t>）：</w:t>
      </w:r>
    </w:p>
    <w:p w14:paraId="07FA48EB">
      <w:pPr>
        <w:pStyle w:val="16"/>
        <w:keepNext w:val="0"/>
        <w:keepLines w:val="0"/>
        <w:pageBreakBefore w:val="0"/>
        <w:widowControl w:val="0"/>
        <w:kinsoku/>
        <w:wordWrap/>
        <w:overflowPunct/>
        <w:topLinePunct w:val="0"/>
        <w:autoSpaceDE/>
        <w:autoSpaceDN/>
        <w:bidi w:val="0"/>
        <w:adjustRightInd/>
        <w:spacing w:before="0" w:beforeLines="0" w:after="0" w:afterLines="0"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szCs w:val="24"/>
          <w:highlight w:val="none"/>
          <w14:textFill>
            <w14:solidFill>
              <w14:schemeClr w14:val="tx1"/>
            </w14:solidFill>
          </w14:textFill>
        </w:rPr>
        <w:t>招标结果和招标文件的要求，并依照《中华人民共和国</w:t>
      </w:r>
      <w:r>
        <w:rPr>
          <w:rFonts w:hint="eastAsia" w:ascii="仿宋" w:hAnsi="仿宋" w:eastAsia="仿宋" w:cs="仿宋"/>
          <w:color w:val="000000" w:themeColor="text1"/>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szCs w:val="24"/>
          <w:highlight w:val="none"/>
          <w14:textFill>
            <w14:solidFill>
              <w14:schemeClr w14:val="tx1"/>
            </w14:solidFill>
          </w14:textFill>
        </w:rPr>
        <w:t>》等有关法律、行政法规的规定，同时在平等、公开、诚实和信用的原则下，经双方协商一致，订立本合同。</w:t>
      </w:r>
    </w:p>
    <w:p w14:paraId="0AE189AC">
      <w:pPr>
        <w:keepNext w:val="0"/>
        <w:keepLines w:val="0"/>
        <w:pageBreakBefore w:val="0"/>
        <w:numPr>
          <w:ilvl w:val="0"/>
          <w:numId w:val="0"/>
        </w:numPr>
        <w:kinsoku/>
        <w:wordWrap/>
        <w:overflowPunct/>
        <w:topLinePunct w:val="0"/>
        <w:autoSpaceDE/>
        <w:autoSpaceDN/>
        <w:bidi w:val="0"/>
        <w:spacing w:beforeLines="0" w:afterLines="0"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一、</w:t>
      </w:r>
      <w:r>
        <w:rPr>
          <w:rFonts w:hint="eastAsia" w:ascii="仿宋" w:hAnsi="仿宋" w:eastAsia="仿宋" w:cs="仿宋"/>
          <w:b/>
          <w:color w:val="000000" w:themeColor="text1"/>
          <w:sz w:val="24"/>
          <w:highlight w:val="none"/>
          <w14:textFill>
            <w14:solidFill>
              <w14:schemeClr w14:val="tx1"/>
            </w14:solidFill>
          </w14:textFill>
        </w:rPr>
        <w:t>货物名称、规格、数量、</w:t>
      </w:r>
      <w:r>
        <w:rPr>
          <w:rFonts w:hint="eastAsia" w:ascii="仿宋" w:hAnsi="仿宋" w:eastAsia="仿宋" w:cs="仿宋"/>
          <w:b/>
          <w:color w:val="000000" w:themeColor="text1"/>
          <w:sz w:val="24"/>
          <w:highlight w:val="none"/>
          <w:lang w:val="en-US" w:eastAsia="zh-CN"/>
          <w14:textFill>
            <w14:solidFill>
              <w14:schemeClr w14:val="tx1"/>
            </w14:solidFill>
          </w14:textFill>
        </w:rPr>
        <w:t>合同</w:t>
      </w:r>
      <w:r>
        <w:rPr>
          <w:rFonts w:hint="eastAsia" w:ascii="仿宋" w:hAnsi="仿宋" w:eastAsia="仿宋" w:cs="仿宋"/>
          <w:b/>
          <w:color w:val="000000" w:themeColor="text1"/>
          <w:sz w:val="24"/>
          <w:highlight w:val="none"/>
          <w14:textFill>
            <w14:solidFill>
              <w14:schemeClr w14:val="tx1"/>
            </w14:solidFill>
          </w14:textFill>
        </w:rPr>
        <w:t>价款：</w:t>
      </w:r>
    </w:p>
    <w:p w14:paraId="6A858B83">
      <w:pPr>
        <w:pStyle w:val="3"/>
        <w:numPr>
          <w:ilvl w:val="0"/>
          <w:numId w:val="0"/>
        </w:numPr>
        <w:spacing w:line="240" w:lineRule="auto"/>
        <w:rPr>
          <w:rFonts w:hint="eastAsia" w:ascii="仿宋" w:hAnsi="仿宋" w:eastAsia="仿宋" w:cs="仿宋"/>
          <w:b/>
          <w:bCs w:val="0"/>
          <w:color w:val="000000" w:themeColor="text1"/>
          <w:kern w:val="2"/>
          <w:sz w:val="24"/>
          <w:szCs w:val="24"/>
          <w:highlight w:val="none"/>
          <w:u w:val="singl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本合同暂估总价（含税）为：</w:t>
      </w:r>
      <w:r>
        <w:rPr>
          <w:rFonts w:hint="eastAsia" w:ascii="仿宋" w:hAnsi="仿宋" w:eastAsia="仿宋" w:cs="仿宋"/>
          <w:b/>
          <w:bCs w:val="0"/>
          <w:color w:val="000000" w:themeColor="text1"/>
          <w:kern w:val="2"/>
          <w:sz w:val="24"/>
          <w:szCs w:val="24"/>
          <w:highlight w:val="none"/>
          <w:u w:val="single"/>
          <w:lang w:val="en-US" w:eastAsia="zh-CN" w:bidi="ar-SA"/>
          <w14:textFill>
            <w14:solidFill>
              <w14:schemeClr w14:val="tx1"/>
            </w14:solidFill>
          </w14:textFill>
        </w:rPr>
        <w:t>￥           元（大写：                 元人民币）。</w:t>
      </w:r>
    </w:p>
    <w:p w14:paraId="6F6CF08E">
      <w:pPr>
        <w:spacing w:line="240" w:lineRule="auto"/>
        <w:rPr>
          <w:rFonts w:hint="default"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分项价格：</w:t>
      </w:r>
    </w:p>
    <w:tbl>
      <w:tblPr>
        <w:tblStyle w:val="27"/>
        <w:tblW w:w="9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2438"/>
        <w:gridCol w:w="2309"/>
        <w:gridCol w:w="1262"/>
        <w:gridCol w:w="1188"/>
        <w:gridCol w:w="1466"/>
      </w:tblGrid>
      <w:tr w14:paraId="36C1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0FB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E22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材料名称</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2D6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A02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结算单价</w:t>
            </w:r>
          </w:p>
          <w:p w14:paraId="0EC977D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（元/吨）</w:t>
            </w:r>
          </w:p>
        </w:tc>
        <w:tc>
          <w:tcPr>
            <w:tcW w:w="1188" w:type="dxa"/>
            <w:tcBorders>
              <w:top w:val="single" w:color="000000" w:sz="4" w:space="0"/>
              <w:left w:val="single" w:color="000000" w:sz="4" w:space="0"/>
              <w:right w:val="single" w:color="000000" w:sz="4" w:space="0"/>
            </w:tcBorders>
            <w:shd w:val="clear" w:color="auto" w:fill="auto"/>
            <w:noWrap/>
            <w:vAlign w:val="center"/>
          </w:tcPr>
          <w:p w14:paraId="55FD278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暂估数量（吨）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AE9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小计（元）</w:t>
            </w:r>
          </w:p>
        </w:tc>
      </w:tr>
      <w:tr w14:paraId="33F4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AE7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6EC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8C7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3～5（2.36～4.75）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383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69D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712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C03C">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7DD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254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1F4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6F1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5～10（4.75～9.5）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A29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42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1408</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FFB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C06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397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2A6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A70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10～15（9.5～16）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9A0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D93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1322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2C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F12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F17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342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石灰岩（整型）</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5F7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10～20（9.5～20）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109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01A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1111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591A">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DB5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E2B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0BD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A38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15～30（16～26.5）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8BE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6B3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1329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B66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355D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14B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615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机制砂</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8B8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BAD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9D9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2109</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88FD">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9DA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DB3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C7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7991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704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bl>
    <w:p w14:paraId="3A25F1F0">
      <w:pPr>
        <w:keepNext w:val="0"/>
        <w:keepLines w:val="0"/>
        <w:pageBreakBefore w:val="0"/>
        <w:kinsoku/>
        <w:wordWrap/>
        <w:overflowPunct/>
        <w:topLinePunct w:val="0"/>
        <w:autoSpaceDE/>
        <w:autoSpaceDN/>
        <w:bidi w:val="0"/>
        <w:spacing w:line="360" w:lineRule="auto"/>
        <w:jc w:val="left"/>
        <w:textAlignment w:val="auto"/>
        <w:rPr>
          <w:rFonts w:hint="default" w:ascii="仿宋" w:hAnsi="仿宋" w:eastAsia="仿宋" w:cs="仿宋"/>
          <w:b/>
          <w:bCs/>
          <w:color w:val="000000" w:themeColor="text1"/>
          <w:kern w:val="0"/>
          <w:sz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shd w:val="clear" w:color="auto" w:fill="auto"/>
          <w:lang w:val="en-US" w:eastAsia="zh-CN"/>
          <w14:textFill>
            <w14:solidFill>
              <w14:schemeClr w14:val="tx1"/>
            </w14:solidFill>
          </w14:textFill>
        </w:rPr>
        <w:t>注：（1）结算单价含运费、含13%增值税。</w:t>
      </w:r>
    </w:p>
    <w:p w14:paraId="5481DEAA">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z w:val="24"/>
          <w:highlight w:val="none"/>
          <w:u w:val="none"/>
          <w14:textFill>
            <w14:solidFill>
              <w14:schemeClr w14:val="tx1"/>
            </w14:solidFill>
          </w14:textFill>
        </w:rPr>
        <w:t>合同实施期间，实际供货数量</w:t>
      </w:r>
      <w:r>
        <w:rPr>
          <w:rFonts w:hint="eastAsia" w:ascii="仿宋" w:hAnsi="仿宋" w:eastAsia="仿宋" w:cs="仿宋"/>
          <w:b/>
          <w:bCs/>
          <w:color w:val="000000" w:themeColor="text1"/>
          <w:sz w:val="24"/>
          <w:highlight w:val="none"/>
          <w:u w:val="none"/>
          <w:lang w:val="en-US" w:eastAsia="zh-CN"/>
          <w14:textFill>
            <w14:solidFill>
              <w14:schemeClr w14:val="tx1"/>
            </w14:solidFill>
          </w14:textFill>
        </w:rPr>
        <w:t>按实结算</w:t>
      </w:r>
      <w:r>
        <w:rPr>
          <w:rFonts w:hint="eastAsia" w:ascii="仿宋" w:hAnsi="仿宋" w:eastAsia="仿宋" w:cs="仿宋"/>
          <w:b/>
          <w:bCs/>
          <w:color w:val="000000" w:themeColor="text1"/>
          <w:sz w:val="24"/>
          <w:highlight w:val="none"/>
          <w:u w:val="none"/>
          <w14:textFill>
            <w14:solidFill>
              <w14:schemeClr w14:val="tx1"/>
            </w14:solidFill>
          </w14:textFill>
        </w:rPr>
        <w:t>。</w:t>
      </w:r>
    </w:p>
    <w:p w14:paraId="2A53A06D">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二、质量要求及验收方式：</w:t>
      </w:r>
    </w:p>
    <w:p w14:paraId="4A41B92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质量要求：</w:t>
      </w:r>
      <w:r>
        <w:rPr>
          <w:rFonts w:hint="eastAsia" w:ascii="仿宋" w:hAnsi="仿宋" w:eastAsia="仿宋" w:cs="仿宋"/>
          <w:color w:val="000000" w:themeColor="text1"/>
          <w:sz w:val="24"/>
          <w:highlight w:val="none"/>
          <w:u w:val="none"/>
          <w14:textFill>
            <w14:solidFill>
              <w14:schemeClr w14:val="tx1"/>
            </w14:solidFill>
          </w14:textFill>
        </w:rPr>
        <w:t>所有原材料生产及验收标准必须完全符合相关标准及规范，包括但不限于：《公路沥青路面施工技术规范》JTG F40-2004、《高等级公路沥青路面设计规范》DB33_T896-2024，并达到</w:t>
      </w:r>
      <w:r>
        <w:rPr>
          <w:rFonts w:hint="eastAsia" w:ascii="仿宋" w:hAnsi="仿宋" w:eastAsia="仿宋" w:cs="仿宋"/>
          <w:color w:val="000000" w:themeColor="text1"/>
          <w:sz w:val="24"/>
          <w:highlight w:val="none"/>
          <w:u w:val="none"/>
          <w:lang w:val="en-US" w:eastAsia="zh-CN"/>
          <w14:textFill>
            <w14:solidFill>
              <w14:schemeClr w14:val="tx1"/>
            </w14:solidFill>
          </w14:textFill>
        </w:rPr>
        <w:t>甲方在询价文件中规定的技术</w:t>
      </w:r>
      <w:r>
        <w:rPr>
          <w:rFonts w:hint="eastAsia" w:ascii="仿宋" w:hAnsi="仿宋" w:eastAsia="仿宋" w:cs="仿宋"/>
          <w:color w:val="000000" w:themeColor="text1"/>
          <w:sz w:val="24"/>
          <w:highlight w:val="none"/>
          <w:u w:val="none"/>
          <w14:textFill>
            <w14:solidFill>
              <w14:schemeClr w14:val="tx1"/>
            </w14:solidFill>
          </w14:textFill>
        </w:rPr>
        <w:t>要求。</w:t>
      </w:r>
    </w:p>
    <w:p w14:paraId="31922C04">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、每次货到现场3天内，</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方应组织人员进行签单验收。</w:t>
      </w:r>
    </w:p>
    <w:p w14:paraId="74349157">
      <w:pPr>
        <w:keepNext w:val="0"/>
        <w:keepLines w:val="0"/>
        <w:pageBreakBefore w:val="0"/>
        <w:kinsoku/>
        <w:wordWrap/>
        <w:overflowPunct/>
        <w:topLinePunct w:val="0"/>
        <w:autoSpaceDE/>
        <w:autoSpaceDN/>
        <w:bidi w:val="0"/>
        <w:spacing w:beforeLines="0" w:afterLines="0"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三、包装要求及运输：</w:t>
      </w:r>
    </w:p>
    <w:p w14:paraId="03AFD920">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乙方应根据甲方的要求组织原材料的运输。</w:t>
      </w:r>
      <w:r>
        <w:rPr>
          <w:rFonts w:hint="eastAsia" w:ascii="仿宋" w:hAnsi="仿宋" w:eastAsia="仿宋" w:cs="仿宋"/>
          <w:snapToGrid w:val="0"/>
          <w:color w:val="000000" w:themeColor="text1"/>
          <w:kern w:val="0"/>
          <w:sz w:val="24"/>
          <w:highlight w:val="none"/>
          <w14:textFill>
            <w14:solidFill>
              <w14:schemeClr w14:val="tx1"/>
            </w14:solidFill>
          </w14:textFill>
        </w:rPr>
        <w:t>所发生的全部费用已包含在标的物总价中，</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甲</w:t>
      </w:r>
      <w:r>
        <w:rPr>
          <w:rFonts w:hint="eastAsia" w:ascii="仿宋" w:hAnsi="仿宋" w:eastAsia="仿宋" w:cs="仿宋"/>
          <w:snapToGrid w:val="0"/>
          <w:color w:val="000000" w:themeColor="text1"/>
          <w:kern w:val="0"/>
          <w:sz w:val="24"/>
          <w:highlight w:val="none"/>
          <w14:textFill>
            <w14:solidFill>
              <w14:schemeClr w14:val="tx1"/>
            </w14:solidFill>
          </w14:textFill>
        </w:rPr>
        <w:t>方不再支付此项费用。</w:t>
      </w:r>
      <w:r>
        <w:rPr>
          <w:rFonts w:hint="eastAsia" w:ascii="仿宋" w:hAnsi="仿宋" w:eastAsia="仿宋" w:cs="仿宋"/>
          <w:color w:val="000000" w:themeColor="text1"/>
          <w:sz w:val="24"/>
          <w:szCs w:val="24"/>
          <w:highlight w:val="none"/>
          <w14:textFill>
            <w14:solidFill>
              <w14:schemeClr w14:val="tx1"/>
            </w14:solidFill>
          </w14:textFill>
        </w:rPr>
        <w:t>原材料在验收之前造成的缺失等均由乙方承担责任，每批次原材料均需有质保单、出厂过磅单。</w:t>
      </w:r>
    </w:p>
    <w:p w14:paraId="6B4E712A">
      <w:pPr>
        <w:keepNext w:val="0"/>
        <w:keepLines w:val="0"/>
        <w:pageBreakBefore w:val="0"/>
        <w:kinsoku/>
        <w:wordWrap/>
        <w:overflowPunct/>
        <w:topLinePunct w:val="0"/>
        <w:autoSpaceDE/>
        <w:autoSpaceDN/>
        <w:bidi w:val="0"/>
        <w:spacing w:beforeLines="0" w:afterLines="0" w:line="360" w:lineRule="auto"/>
        <w:ind w:firstLine="420" w:firstLineChars="200"/>
        <w:textAlignment w:val="auto"/>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乙</w:t>
      </w:r>
      <w:r>
        <w:rPr>
          <w:rFonts w:hint="eastAsia" w:ascii="仿宋" w:hAnsi="仿宋" w:eastAsia="仿宋" w:cs="仿宋"/>
          <w:snapToGrid w:val="0"/>
          <w:color w:val="000000" w:themeColor="text1"/>
          <w:kern w:val="0"/>
          <w:sz w:val="24"/>
          <w:highlight w:val="none"/>
          <w14:textFill>
            <w14:solidFill>
              <w14:schemeClr w14:val="tx1"/>
            </w14:solidFill>
          </w14:textFill>
        </w:rPr>
        <w:t>方应按</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甲</w:t>
      </w:r>
      <w:r>
        <w:rPr>
          <w:rFonts w:hint="eastAsia" w:ascii="仿宋" w:hAnsi="仿宋" w:eastAsia="仿宋" w:cs="仿宋"/>
          <w:snapToGrid w:val="0"/>
          <w:color w:val="000000" w:themeColor="text1"/>
          <w:kern w:val="0"/>
          <w:sz w:val="24"/>
          <w:highlight w:val="none"/>
          <w14:textFill>
            <w14:solidFill>
              <w14:schemeClr w14:val="tx1"/>
            </w14:solidFill>
          </w14:textFill>
        </w:rPr>
        <w:t>方约定组织供应，在要求的时间前送达交货地点。</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乙</w:t>
      </w:r>
      <w:r>
        <w:rPr>
          <w:rFonts w:hint="eastAsia" w:ascii="仿宋" w:hAnsi="仿宋" w:eastAsia="仿宋" w:cs="仿宋"/>
          <w:snapToGrid w:val="0"/>
          <w:color w:val="000000" w:themeColor="text1"/>
          <w:kern w:val="0"/>
          <w:sz w:val="24"/>
          <w:highlight w:val="none"/>
          <w14:textFill>
            <w14:solidFill>
              <w14:schemeClr w14:val="tx1"/>
            </w14:solidFill>
          </w14:textFill>
        </w:rPr>
        <w:t>方不得以任何理由改变交货地点。否则由此给</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甲</w:t>
      </w:r>
      <w:r>
        <w:rPr>
          <w:rFonts w:hint="eastAsia" w:ascii="仿宋" w:hAnsi="仿宋" w:eastAsia="仿宋" w:cs="仿宋"/>
          <w:snapToGrid w:val="0"/>
          <w:color w:val="000000" w:themeColor="text1"/>
          <w:kern w:val="0"/>
          <w:sz w:val="24"/>
          <w:highlight w:val="none"/>
          <w14:textFill>
            <w14:solidFill>
              <w14:schemeClr w14:val="tx1"/>
            </w14:solidFill>
          </w14:textFill>
        </w:rPr>
        <w:t>方造成的损失由</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乙</w:t>
      </w:r>
      <w:r>
        <w:rPr>
          <w:rFonts w:hint="eastAsia" w:ascii="仿宋" w:hAnsi="仿宋" w:eastAsia="仿宋" w:cs="仿宋"/>
          <w:snapToGrid w:val="0"/>
          <w:color w:val="000000" w:themeColor="text1"/>
          <w:kern w:val="0"/>
          <w:sz w:val="24"/>
          <w:highlight w:val="none"/>
          <w14:textFill>
            <w14:solidFill>
              <w14:schemeClr w14:val="tx1"/>
            </w14:solidFill>
          </w14:textFill>
        </w:rPr>
        <w:t>方承担责任。</w:t>
      </w:r>
    </w:p>
    <w:p w14:paraId="73314678">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乙方</w:t>
      </w:r>
      <w:r>
        <w:rPr>
          <w:rFonts w:hint="eastAsia" w:ascii="仿宋" w:hAnsi="仿宋" w:eastAsia="仿宋" w:cs="仿宋"/>
          <w:snapToGrid w:val="0"/>
          <w:color w:val="000000" w:themeColor="text1"/>
          <w:kern w:val="0"/>
          <w:sz w:val="24"/>
          <w:highlight w:val="none"/>
          <w14:textFill>
            <w14:solidFill>
              <w14:schemeClr w14:val="tx1"/>
            </w14:solidFill>
          </w14:textFill>
        </w:rPr>
        <w:t>须在合同实施期间，车辆在运输过程中不得超载、超限，且须符合其它相关运输法规，对于运输途径的省际、城际、县、镇、村、等涉及的管理部门审批、报备事项需合同单位自行对接完成，运输过程中出现的一切责任由</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乙方</w:t>
      </w:r>
      <w:r>
        <w:rPr>
          <w:rFonts w:hint="eastAsia" w:ascii="仿宋" w:hAnsi="仿宋" w:eastAsia="仿宋" w:cs="仿宋"/>
          <w:snapToGrid w:val="0"/>
          <w:color w:val="000000" w:themeColor="text1"/>
          <w:kern w:val="0"/>
          <w:sz w:val="24"/>
          <w:highlight w:val="none"/>
          <w14:textFill>
            <w14:solidFill>
              <w14:schemeClr w14:val="tx1"/>
            </w14:solidFill>
          </w14:textFill>
        </w:rPr>
        <w:t>自行承担，有严重违法违规情节的</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甲方</w:t>
      </w:r>
      <w:r>
        <w:rPr>
          <w:rFonts w:hint="eastAsia" w:ascii="仿宋" w:hAnsi="仿宋" w:eastAsia="仿宋" w:cs="仿宋"/>
          <w:snapToGrid w:val="0"/>
          <w:color w:val="000000" w:themeColor="text1"/>
          <w:kern w:val="0"/>
          <w:sz w:val="24"/>
          <w:highlight w:val="none"/>
          <w14:textFill>
            <w14:solidFill>
              <w14:schemeClr w14:val="tx1"/>
            </w14:solidFill>
          </w14:textFill>
        </w:rPr>
        <w:t>有权解除合同。</w:t>
      </w:r>
    </w:p>
    <w:p w14:paraId="7C03F9CF">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运输车辆在</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甲方</w:t>
      </w:r>
      <w:r>
        <w:rPr>
          <w:rFonts w:hint="eastAsia" w:ascii="仿宋" w:hAnsi="仿宋" w:eastAsia="仿宋" w:cs="仿宋"/>
          <w:snapToGrid w:val="0"/>
          <w:color w:val="000000" w:themeColor="text1"/>
          <w:kern w:val="0"/>
          <w:sz w:val="24"/>
          <w:highlight w:val="none"/>
          <w14:textFill>
            <w14:solidFill>
              <w14:schemeClr w14:val="tx1"/>
            </w14:solidFill>
          </w14:textFill>
        </w:rPr>
        <w:t>场地内，造成</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甲方</w:t>
      </w:r>
      <w:r>
        <w:rPr>
          <w:rFonts w:hint="eastAsia" w:ascii="仿宋" w:hAnsi="仿宋" w:eastAsia="仿宋" w:cs="仿宋"/>
          <w:snapToGrid w:val="0"/>
          <w:color w:val="000000" w:themeColor="text1"/>
          <w:kern w:val="0"/>
          <w:sz w:val="24"/>
          <w:highlight w:val="none"/>
          <w14:textFill>
            <w14:solidFill>
              <w14:schemeClr w14:val="tx1"/>
            </w14:solidFill>
          </w14:textFill>
        </w:rPr>
        <w:t>的设施设备、人员等损失，由</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乙方</w:t>
      </w:r>
      <w:r>
        <w:rPr>
          <w:rFonts w:hint="eastAsia" w:ascii="仿宋" w:hAnsi="仿宋" w:eastAsia="仿宋" w:cs="仿宋"/>
          <w:snapToGrid w:val="0"/>
          <w:color w:val="000000" w:themeColor="text1"/>
          <w:kern w:val="0"/>
          <w:sz w:val="24"/>
          <w:highlight w:val="none"/>
          <w14:textFill>
            <w14:solidFill>
              <w14:schemeClr w14:val="tx1"/>
            </w14:solidFill>
          </w14:textFill>
        </w:rPr>
        <w:t>承担一切责任。</w:t>
      </w:r>
    </w:p>
    <w:p w14:paraId="63F5C9AA">
      <w:pPr>
        <w:keepNext w:val="0"/>
        <w:keepLines w:val="0"/>
        <w:pageBreakBefore w:val="0"/>
        <w:kinsoku/>
        <w:wordWrap/>
        <w:overflowPunct/>
        <w:topLinePunct w:val="0"/>
        <w:autoSpaceDE/>
        <w:autoSpaceDN/>
        <w:bidi w:val="0"/>
        <w:spacing w:beforeLines="0" w:afterLines="0" w:line="360" w:lineRule="auto"/>
        <w:ind w:firstLine="482" w:firstLineChars="200"/>
        <w:textAlignment w:val="auto"/>
        <w:rPr>
          <w:rFonts w:hint="eastAsia" w:ascii="仿宋" w:hAnsi="仿宋" w:eastAsia="仿宋" w:cs="仿宋"/>
          <w:b/>
          <w:snapToGrid w:val="0"/>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w:t>
      </w:r>
      <w:r>
        <w:rPr>
          <w:rFonts w:hint="eastAsia" w:ascii="仿宋" w:hAnsi="仿宋" w:eastAsia="仿宋" w:cs="仿宋"/>
          <w:b/>
          <w:snapToGrid w:val="0"/>
          <w:color w:val="000000" w:themeColor="text1"/>
          <w:kern w:val="0"/>
          <w:sz w:val="24"/>
          <w:highlight w:val="none"/>
          <w14:textFill>
            <w14:solidFill>
              <w14:schemeClr w14:val="tx1"/>
            </w14:solidFill>
          </w14:textFill>
        </w:rPr>
        <w:t>、</w:t>
      </w:r>
      <w:r>
        <w:rPr>
          <w:rFonts w:hint="eastAsia" w:ascii="仿宋" w:hAnsi="仿宋" w:eastAsia="仿宋" w:cs="仿宋"/>
          <w:b/>
          <w:snapToGrid w:val="0"/>
          <w:color w:val="000000" w:themeColor="text1"/>
          <w:kern w:val="0"/>
          <w:sz w:val="24"/>
          <w:highlight w:val="none"/>
          <w:lang w:val="en-US" w:eastAsia="zh-CN"/>
          <w14:textFill>
            <w14:solidFill>
              <w14:schemeClr w14:val="tx1"/>
            </w14:solidFill>
          </w14:textFill>
        </w:rPr>
        <w:t>合同履约期限</w:t>
      </w:r>
      <w:r>
        <w:rPr>
          <w:rFonts w:hint="eastAsia" w:ascii="仿宋" w:hAnsi="仿宋" w:eastAsia="仿宋" w:cs="仿宋"/>
          <w:b/>
          <w:snapToGrid w:val="0"/>
          <w:color w:val="000000" w:themeColor="text1"/>
          <w:kern w:val="0"/>
          <w:sz w:val="24"/>
          <w:highlight w:val="none"/>
          <w14:textFill>
            <w14:solidFill>
              <w14:schemeClr w14:val="tx1"/>
            </w14:solidFill>
          </w14:textFill>
        </w:rPr>
        <w:t>及地点</w:t>
      </w:r>
    </w:p>
    <w:p w14:paraId="63151F26">
      <w:pPr>
        <w:keepNext w:val="0"/>
        <w:keepLines w:val="0"/>
        <w:pageBreakBefore w:val="0"/>
        <w:kinsoku/>
        <w:wordWrap/>
        <w:overflowPunct/>
        <w:topLinePunct w:val="0"/>
        <w:autoSpaceDE/>
        <w:autoSpaceDN/>
        <w:bidi w:val="0"/>
        <w:spacing w:beforeLines="-2147483648" w:afterLines="-2147483648" w:line="360" w:lineRule="auto"/>
        <w:ind w:firstLine="0" w:firstLineChars="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w:t>
      </w:r>
      <w:r>
        <w:rPr>
          <w:rFonts w:hint="eastAsia" w:ascii="仿宋" w:hAnsi="仿宋" w:eastAsia="仿宋" w:cs="仿宋"/>
          <w:b w:val="0"/>
          <w:bCs w:val="0"/>
          <w:snapToGrid w:val="0"/>
          <w:color w:val="000000" w:themeColor="text1"/>
          <w:kern w:val="0"/>
          <w:sz w:val="24"/>
          <w:highlight w:val="none"/>
          <w:lang w:val="en-US" w:eastAsia="zh-CN"/>
          <w14:textFill>
            <w14:solidFill>
              <w14:schemeClr w14:val="tx1"/>
            </w14:solidFill>
          </w14:textFill>
        </w:rPr>
        <w:t>合同履约期限</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合同签订之日起20日历天内完成供货，最终供货数量以采购人要求为准，按实结算。</w:t>
      </w:r>
    </w:p>
    <w:p w14:paraId="0E530A84">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2、交货方法：物资到达现场，</w:t>
      </w:r>
      <w:r>
        <w:rPr>
          <w:rFonts w:hint="eastAsia" w:ascii="仿宋" w:hAnsi="仿宋" w:eastAsia="仿宋" w:cs="仿宋"/>
          <w:color w:val="000000" w:themeColor="text1"/>
          <w:sz w:val="24"/>
          <w:highlight w:val="none"/>
          <w:lang w:eastAsia="zh-CN"/>
          <w14:textFill>
            <w14:solidFill>
              <w14:schemeClr w14:val="tx1"/>
            </w14:solidFill>
          </w14:textFill>
        </w:rPr>
        <w:t>甲、乙</w:t>
      </w:r>
      <w:r>
        <w:rPr>
          <w:rFonts w:hint="eastAsia" w:ascii="仿宋" w:hAnsi="仿宋" w:eastAsia="仿宋" w:cs="仿宋"/>
          <w:color w:val="000000" w:themeColor="text1"/>
          <w:sz w:val="24"/>
          <w:highlight w:val="none"/>
          <w14:textFill>
            <w14:solidFill>
              <w14:schemeClr w14:val="tx1"/>
            </w14:solidFill>
          </w14:textFill>
        </w:rPr>
        <w:t>双方办理交货手续，双方现场负责人在交货清单上签字。当场分送</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方一份，</w:t>
      </w:r>
      <w:r>
        <w:rPr>
          <w:rFonts w:hint="eastAsia" w:ascii="仿宋" w:hAnsi="仿宋" w:eastAsia="仿宋" w:cs="仿宋"/>
          <w:color w:val="000000" w:themeColor="text1"/>
          <w:sz w:val="24"/>
          <w:highlight w:val="none"/>
          <w:lang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方二份。结算时</w:t>
      </w:r>
      <w:r>
        <w:rPr>
          <w:rFonts w:hint="eastAsia" w:ascii="仿宋" w:hAnsi="仿宋" w:eastAsia="仿宋" w:cs="仿宋"/>
          <w:color w:val="000000" w:themeColor="text1"/>
          <w:sz w:val="24"/>
          <w:highlight w:val="none"/>
          <w:lang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方转</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方一份审核，并依据审核无误的单据办理货款结算。</w:t>
      </w:r>
    </w:p>
    <w:p w14:paraId="65937A42">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3、交货地点：根据工程需要由</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方负责人指定。</w:t>
      </w:r>
    </w:p>
    <w:p w14:paraId="72B8F821">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方根据工程进度提前</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天下达采购计划，</w:t>
      </w:r>
      <w:r>
        <w:rPr>
          <w:rFonts w:hint="eastAsia" w:ascii="仿宋" w:hAnsi="仿宋" w:eastAsia="仿宋" w:cs="仿宋"/>
          <w:color w:val="000000" w:themeColor="text1"/>
          <w:sz w:val="24"/>
          <w:highlight w:val="none"/>
          <w:lang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方按</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方的要求，采取一切合法可行的方式，按时将材料送达</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方指定地点。</w:t>
      </w:r>
      <w:r>
        <w:rPr>
          <w:rFonts w:hint="eastAsia" w:ascii="仿宋" w:hAnsi="仿宋" w:eastAsia="仿宋" w:cs="仿宋"/>
          <w:color w:val="000000" w:themeColor="text1"/>
          <w:sz w:val="24"/>
          <w:highlight w:val="none"/>
          <w:lang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方承诺绝不以调价为由，延误石材供应，否则，</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方有权选择随时解除合同，并且由</w:t>
      </w:r>
      <w:r>
        <w:rPr>
          <w:rFonts w:hint="eastAsia" w:ascii="仿宋" w:hAnsi="仿宋" w:eastAsia="仿宋" w:cs="仿宋"/>
          <w:color w:val="000000" w:themeColor="text1"/>
          <w:sz w:val="24"/>
          <w:highlight w:val="none"/>
          <w:lang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方支付5万元作为违约金。</w:t>
      </w:r>
    </w:p>
    <w:p w14:paraId="3A176E6D">
      <w:pPr>
        <w:keepNext w:val="0"/>
        <w:keepLines w:val="0"/>
        <w:pageBreakBefore w:val="0"/>
        <w:kinsoku/>
        <w:wordWrap/>
        <w:overflowPunct/>
        <w:topLinePunct w:val="0"/>
        <w:autoSpaceDE/>
        <w:autoSpaceDN/>
        <w:bidi w:val="0"/>
        <w:spacing w:beforeLines="0" w:afterLines="0"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五、质量检查和验收</w:t>
      </w:r>
    </w:p>
    <w:p w14:paraId="0AA511B7">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应随同每批物资提交物资发货清单等必要文件。发货清单应载明发货数量、承运人姓名、</w:t>
      </w:r>
      <w:r>
        <w:rPr>
          <w:rFonts w:hint="eastAsia" w:ascii="仿宋" w:hAnsi="仿宋" w:eastAsia="仿宋" w:cs="仿宋"/>
          <w:b w:val="0"/>
          <w:bCs/>
          <w:color w:val="000000" w:themeColor="text1"/>
          <w:sz w:val="24"/>
          <w:highlight w:val="none"/>
          <w:lang w:val="en-US" w:eastAsia="zh-CN"/>
          <w14:textFill>
            <w14:solidFill>
              <w14:schemeClr w14:val="tx1"/>
            </w14:solidFill>
          </w14:textFill>
        </w:rPr>
        <w:t>车辆</w:t>
      </w:r>
      <w:r>
        <w:rPr>
          <w:rFonts w:hint="eastAsia" w:ascii="仿宋" w:hAnsi="仿宋" w:eastAsia="仿宋" w:cs="仿宋"/>
          <w:b w:val="0"/>
          <w:bCs/>
          <w:color w:val="000000" w:themeColor="text1"/>
          <w:sz w:val="24"/>
          <w:highlight w:val="none"/>
          <w14:textFill>
            <w14:solidFill>
              <w14:schemeClr w14:val="tx1"/>
            </w14:solidFill>
          </w14:textFill>
        </w:rPr>
        <w:t>编号</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厂名、产品名称、规格等。</w:t>
      </w:r>
    </w:p>
    <w:p w14:paraId="4BE0AF3E">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2、物资运抵交货地点后，双方（如有需求监理单位参加）应按</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提供的发货物资清单对到货数量、外观、规格型号等进行核对。</w:t>
      </w:r>
    </w:p>
    <w:p w14:paraId="645F1431">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3、物资经</w:t>
      </w:r>
      <w:r>
        <w:rPr>
          <w:rFonts w:hint="eastAsia" w:ascii="仿宋" w:hAnsi="仿宋" w:eastAsia="仿宋" w:cs="仿宋"/>
          <w:b w:val="0"/>
          <w:bCs/>
          <w:color w:val="000000" w:themeColor="text1"/>
          <w:sz w:val="24"/>
          <w:highlight w:val="none"/>
          <w:lang w:val="en-US" w:eastAsia="zh-CN"/>
          <w14:textFill>
            <w14:solidFill>
              <w14:schemeClr w14:val="tx1"/>
            </w14:solidFill>
          </w14:textFill>
        </w:rPr>
        <w:t>目测</w:t>
      </w:r>
      <w:r>
        <w:rPr>
          <w:rFonts w:hint="eastAsia" w:ascii="仿宋" w:hAnsi="仿宋" w:eastAsia="仿宋" w:cs="仿宋"/>
          <w:b w:val="0"/>
          <w:bCs/>
          <w:color w:val="000000" w:themeColor="text1"/>
          <w:sz w:val="24"/>
          <w:highlight w:val="none"/>
          <w14:textFill>
            <w14:solidFill>
              <w14:schemeClr w14:val="tx1"/>
            </w14:solidFill>
          </w14:textFill>
        </w:rPr>
        <w:t>验收合格后，</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向</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出具验收单据。此验收合格的单据不作为判定物资质量的依据。</w:t>
      </w:r>
    </w:p>
    <w:p w14:paraId="171B3060">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承诺凡经现场监理或</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检测认定为不合格的，则</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须按照</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要求无</w:t>
      </w:r>
      <w:r>
        <w:rPr>
          <w:rFonts w:hint="eastAsia" w:ascii="仿宋" w:hAnsi="仿宋" w:eastAsia="仿宋" w:cs="仿宋"/>
          <w:b w:val="0"/>
          <w:bCs/>
          <w:color w:val="000000" w:themeColor="text1"/>
          <w:sz w:val="24"/>
          <w:highlight w:val="none"/>
          <w:lang w:val="en-US" w:eastAsia="zh-CN"/>
          <w14:textFill>
            <w14:solidFill>
              <w14:schemeClr w14:val="tx1"/>
            </w14:solidFill>
          </w14:textFill>
        </w:rPr>
        <w:t>条件</w:t>
      </w:r>
      <w:r>
        <w:rPr>
          <w:rFonts w:hint="eastAsia" w:ascii="仿宋" w:hAnsi="仿宋" w:eastAsia="仿宋" w:cs="仿宋"/>
          <w:b w:val="0"/>
          <w:bCs/>
          <w:color w:val="000000" w:themeColor="text1"/>
          <w:sz w:val="24"/>
          <w:highlight w:val="none"/>
          <w14:textFill>
            <w14:solidFill>
              <w14:schemeClr w14:val="tx1"/>
            </w14:solidFill>
          </w14:textFill>
        </w:rPr>
        <w:t>组织材料退场，并迅速重新供货至指定地点。 </w:t>
      </w:r>
    </w:p>
    <w:p w14:paraId="6AA75964">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5、材料到达交货地点后，</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应按</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安排的时间派人到交货点进行检验。</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每次供货时，应向</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提供每批石材</w:t>
      </w:r>
      <w:r>
        <w:rPr>
          <w:rFonts w:hint="eastAsia" w:ascii="仿宋" w:hAnsi="仿宋" w:eastAsia="仿宋" w:cs="仿宋"/>
          <w:b w:val="0"/>
          <w:bCs/>
          <w:color w:val="000000" w:themeColor="text1"/>
          <w:sz w:val="24"/>
          <w:highlight w:val="none"/>
          <w:lang w:val="en-US" w:eastAsia="zh-CN"/>
          <w14:textFill>
            <w14:solidFill>
              <w14:schemeClr w14:val="tx1"/>
            </w14:solidFill>
          </w14:textFill>
        </w:rPr>
        <w:t>发</w:t>
      </w:r>
      <w:r>
        <w:rPr>
          <w:rFonts w:hint="eastAsia" w:ascii="仿宋" w:hAnsi="仿宋" w:eastAsia="仿宋" w:cs="仿宋"/>
          <w:b w:val="0"/>
          <w:bCs/>
          <w:color w:val="000000" w:themeColor="text1"/>
          <w:sz w:val="24"/>
          <w:highlight w:val="none"/>
          <w14:textFill>
            <w14:solidFill>
              <w14:schemeClr w14:val="tx1"/>
            </w14:solidFill>
          </w14:textFill>
        </w:rPr>
        <w:t>货清单等必要文件，</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根据此资料进行接货、检验及结算，若资料不齐全的，</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有权拒收。若出现有短少或不符合标准的石材材料，</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应12小时内补足或更换全新同规格的石材，并承担由此产生的一切费用；如果该不合格石材已经被使用，由此引发的一切后果由</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承担。</w:t>
      </w:r>
    </w:p>
    <w:p w14:paraId="035A69BE">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6、在供货期间如</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发现产品存在质量疑问时，</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须和</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一起在公开、公正的情况下按现行规范对存在疑问的产品进行取样、封存，并委托由</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指定的检测单位进行检验。检验合格则委托检测费用由</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承担，检测不合格则委托检测费用由</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承担并承担由此引起的</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一切损失，损失超过10万元（含）以上的，</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有权解除合同。</w:t>
      </w:r>
    </w:p>
    <w:p w14:paraId="4C8CE8CB">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7、</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对每批次石料的针片状、含泥量、软弱颗粒等进行目测外观验收。相应材料的抽验频率按有关国家标准、行业标准及采购人的要求实施。</w:t>
      </w:r>
    </w:p>
    <w:p w14:paraId="41DFF468">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将对石材随机抽检，抽检不合格的该批次石材无条件退回，一切费用由</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承担。</w:t>
      </w:r>
    </w:p>
    <w:p w14:paraId="185E6ECE">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000000" w:themeColor="text1"/>
          <w:sz w:val="24"/>
          <w:highlight w:val="none"/>
          <w:u w:val="none"/>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六、</w:t>
      </w:r>
      <w:r>
        <w:rPr>
          <w:rFonts w:hint="eastAsia" w:ascii="仿宋" w:hAnsi="仿宋" w:eastAsia="仿宋" w:cs="仿宋"/>
          <w:b/>
          <w:bCs w:val="0"/>
          <w:color w:val="000000" w:themeColor="text1"/>
          <w:sz w:val="24"/>
          <w:highlight w:val="none"/>
          <w:u w:val="none"/>
          <w14:textFill>
            <w14:solidFill>
              <w14:schemeClr w14:val="tx1"/>
            </w14:solidFill>
          </w14:textFill>
        </w:rPr>
        <w:t>支付方式：</w:t>
      </w:r>
    </w:p>
    <w:p w14:paraId="7087D9B4">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甲方收到货后第4个月，乙方按甲方出具的过磅单、双方签字确认的结算单并开具满足甲方要求等额的增值税专用发票作为索款和甲方支付的依据。经甲方核实，在收到发票后15个工作日内的支付货款的100%。费用均不计息。</w:t>
      </w:r>
    </w:p>
    <w:p w14:paraId="45C5709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乙方须在开具发票日期起的一个月内将票据提供给甲方。如因非甲方原因(包括但不限于乙方提供票据不及时等）而造成甲方无法抵扣稅费的，则该项损失由乙方全额承担或赔偿给甲方。</w:t>
      </w:r>
    </w:p>
    <w:p w14:paraId="4B47C7F4">
      <w:pPr>
        <w:keepNext w:val="0"/>
        <w:keepLines w:val="0"/>
        <w:pageBreakBefore w:val="0"/>
        <w:widowControl/>
        <w:kinsoku/>
        <w:wordWrap/>
        <w:overflowPunct/>
        <w:topLinePunct w:val="0"/>
        <w:autoSpaceDE/>
        <w:autoSpaceDN/>
        <w:bidi w:val="0"/>
        <w:spacing w:beforeLines="0" w:afterLines="0"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七、履约保证金及违约责任</w:t>
      </w:r>
    </w:p>
    <w:p w14:paraId="6535EA12">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在签订本合同时，须缴纳</w:t>
      </w:r>
      <w:r>
        <w:rPr>
          <w:rFonts w:hint="eastAsia" w:ascii="仿宋" w:hAnsi="仿宋" w:eastAsia="仿宋" w:cs="仿宋"/>
          <w:b w:val="0"/>
          <w:bCs/>
          <w:color w:val="000000" w:themeColor="text1"/>
          <w:sz w:val="24"/>
          <w:highlight w:val="none"/>
          <w:lang w:val="en-US" w:eastAsia="zh-CN"/>
          <w14:textFill>
            <w14:solidFill>
              <w14:schemeClr w14:val="tx1"/>
            </w14:solidFill>
          </w14:textFill>
        </w:rPr>
        <w:t>暂估</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合同金额的1%作为履约保证金，即</w:t>
      </w:r>
      <w:r>
        <w:rPr>
          <w:rFonts w:hint="eastAsia" w:ascii="仿宋" w:hAnsi="仿宋" w:eastAsia="仿宋" w:cs="仿宋"/>
          <w:b w:val="0"/>
          <w:bCs/>
          <w:color w:val="000000" w:themeColor="text1"/>
          <w:sz w:val="24"/>
          <w:highlight w:val="none"/>
          <w14:textFill>
            <w14:solidFill>
              <w14:schemeClr w14:val="tx1"/>
            </w14:solidFill>
          </w14:textFill>
        </w:rPr>
        <w:t>人民币</w:t>
      </w:r>
      <w:r>
        <w:rPr>
          <w:rFonts w:hint="eastAsia" w:ascii="仿宋" w:hAnsi="仿宋" w:eastAsia="仿宋" w:cs="仿宋"/>
          <w:b w:val="0"/>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万元</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，履约保证金形式采用转账/支票/汇票/本票或者金融机构出具的保函等非现金形式缴纳至杭州临安恒元建材有限公司指定帐户，具体形式以</w:t>
      </w:r>
      <w:r>
        <w:rPr>
          <w:rFonts w:hint="eastAsia" w:ascii="仿宋" w:hAnsi="仿宋" w:eastAsia="仿宋" w:cs="仿宋"/>
          <w:b w:val="0"/>
          <w:bCs/>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要求为准。在履约期内成交单位全面且无瑕疵的履行完本合同约定的所有义务后30天内无息退还。</w:t>
      </w:r>
    </w:p>
    <w:p w14:paraId="35FF1EE1">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2、</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保证：按</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要求按时交货。如因</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原因而逾期交货（分批交货的，分别以每批各自的交货日为准），延迟1天，</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应向</w:t>
      </w:r>
      <w:r>
        <w:rPr>
          <w:rFonts w:hint="eastAsia" w:ascii="仿宋" w:hAnsi="仿宋" w:eastAsia="仿宋" w:cs="仿宋"/>
          <w:b w:val="0"/>
          <w:bCs/>
          <w:color w:val="000000" w:themeColor="text1"/>
          <w:sz w:val="24"/>
          <w:highlight w:val="none"/>
          <w:lang w:eastAsia="zh-CN"/>
          <w14:textFill>
            <w14:solidFill>
              <w14:schemeClr w14:val="tx1"/>
            </w14:solidFill>
          </w14:textFill>
        </w:rPr>
        <w:t>采购</w:t>
      </w:r>
      <w:r>
        <w:rPr>
          <w:rFonts w:hint="eastAsia" w:ascii="仿宋" w:hAnsi="仿宋" w:eastAsia="仿宋" w:cs="仿宋"/>
          <w:b w:val="0"/>
          <w:bCs/>
          <w:color w:val="000000" w:themeColor="text1"/>
          <w:sz w:val="24"/>
          <w:highlight w:val="none"/>
          <w14:textFill>
            <w14:solidFill>
              <w14:schemeClr w14:val="tx1"/>
            </w14:solidFill>
          </w14:textFill>
        </w:rPr>
        <w:t>人支付5000元/天的违约金，累计</w:t>
      </w: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highlight w:val="none"/>
          <w14:textFill>
            <w14:solidFill>
              <w14:schemeClr w14:val="tx1"/>
            </w14:solidFill>
          </w14:textFill>
        </w:rPr>
        <w:t>天以上的，按10000元/天支付违约金，累计</w:t>
      </w: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r>
        <w:rPr>
          <w:rFonts w:hint="eastAsia" w:ascii="仿宋" w:hAnsi="仿宋" w:eastAsia="仿宋" w:cs="仿宋"/>
          <w:b w:val="0"/>
          <w:bCs/>
          <w:color w:val="000000" w:themeColor="text1"/>
          <w:sz w:val="24"/>
          <w:highlight w:val="none"/>
          <w14:textFill>
            <w14:solidFill>
              <w14:schemeClr w14:val="tx1"/>
            </w14:solidFill>
          </w14:textFill>
        </w:rPr>
        <w:t>天以上的，</w:t>
      </w:r>
      <w:r>
        <w:rPr>
          <w:rFonts w:hint="eastAsia" w:ascii="仿宋" w:hAnsi="仿宋" w:eastAsia="仿宋" w:cs="仿宋"/>
          <w:b w:val="0"/>
          <w:bCs/>
          <w:color w:val="000000" w:themeColor="text1"/>
          <w:sz w:val="24"/>
          <w:highlight w:val="none"/>
          <w:lang w:eastAsia="zh-CN"/>
          <w14:textFill>
            <w14:solidFill>
              <w14:schemeClr w14:val="tx1"/>
            </w14:solidFill>
          </w14:textFill>
        </w:rPr>
        <w:t>采购</w:t>
      </w:r>
      <w:r>
        <w:rPr>
          <w:rFonts w:hint="eastAsia" w:ascii="仿宋" w:hAnsi="仿宋" w:eastAsia="仿宋" w:cs="仿宋"/>
          <w:b w:val="0"/>
          <w:bCs/>
          <w:color w:val="000000" w:themeColor="text1"/>
          <w:sz w:val="24"/>
          <w:highlight w:val="none"/>
          <w14:textFill>
            <w14:solidFill>
              <w14:schemeClr w14:val="tx1"/>
            </w14:solidFill>
          </w14:textFill>
        </w:rPr>
        <w:t>人有权终止合同并要求</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赔偿损失，履约保证金予以没收。</w:t>
      </w:r>
    </w:p>
    <w:p w14:paraId="26E9ED7C">
      <w:pPr>
        <w:shd w:val="clear" w:color="auto" w:fill="auto"/>
        <w:adjustRightInd w:val="0"/>
        <w:snapToGrid w:val="0"/>
        <w:spacing w:line="360" w:lineRule="auto"/>
        <w:ind w:firstLine="480" w:firstLineChars="200"/>
        <w:rPr>
          <w:rFonts w:hint="eastAsia"/>
          <w:color w:val="000000" w:themeColor="text1"/>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3、</w:t>
      </w:r>
      <w:r>
        <w:rPr>
          <w:rFonts w:hint="eastAsia" w:ascii="仿宋" w:hAnsi="仿宋" w:eastAsia="仿宋" w:cs="仿宋"/>
          <w:b w:val="0"/>
          <w:bCs/>
          <w:color w:val="000000" w:themeColor="text1"/>
          <w:sz w:val="24"/>
          <w:highlight w:val="none"/>
          <w:lang w:val="en-US" w:eastAsia="zh-CN"/>
          <w14:textFill>
            <w14:solidFill>
              <w14:schemeClr w14:val="tx1"/>
            </w14:solidFill>
          </w14:textFill>
        </w:rPr>
        <w:t>乙方所交货物的质量、规格等不符合合同规定及招标文件、国家相关规定标准的，</w:t>
      </w:r>
      <w:r>
        <w:rPr>
          <w:rFonts w:hint="eastAsia" w:ascii="仿宋" w:hAnsi="仿宋" w:eastAsia="仿宋" w:cs="仿宋"/>
          <w:b w:val="0"/>
          <w:bCs/>
          <w:color w:val="000000" w:themeColor="text1"/>
          <w:sz w:val="24"/>
          <w:highlight w:val="none"/>
          <w14:textFill>
            <w14:solidFill>
              <w14:schemeClr w14:val="tx1"/>
            </w14:solidFill>
          </w14:textFill>
        </w:rPr>
        <w:t>则</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有义务按</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要求，无条件保质保量迅速的重新供货或补足差量至指定地点</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每更换1次货物乙方须向甲方支付</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000元的违约金，也可由甲方从货款中扣除，同一批次货物更换超过3次的，甲方可解除合同，乙方因更换货物而逾期交货的，同时按乙方逾期交货处理。乙方拒绝更换货物或未在规定期限内换货的，甲方可单方面解除合同，不予支付相应货款，并且乙方应向甲方支付违约金</w:t>
      </w: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00000</w:t>
      </w:r>
      <w:r>
        <w:rPr>
          <w:rFonts w:hint="eastAsia" w:ascii="仿宋" w:hAnsi="仿宋" w:eastAsia="仿宋" w:cs="仿宋"/>
          <w:color w:val="000000" w:themeColor="text1"/>
          <w:sz w:val="24"/>
          <w:szCs w:val="24"/>
          <w:highlight w:val="none"/>
          <w14:textFill>
            <w14:solidFill>
              <w14:schemeClr w14:val="tx1"/>
            </w14:solidFill>
          </w14:textFill>
        </w:rPr>
        <w:t>元。</w:t>
      </w:r>
    </w:p>
    <w:p w14:paraId="012993FB">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承诺：在签订本合同时所约定的价格已充分考虑到市场风险，供货期间将不提出超出本合同之外的调价要求，否则即为违约，</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有权选择随时解除合同，并且由</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支付</w:t>
      </w:r>
      <w:r>
        <w:rPr>
          <w:rFonts w:hint="eastAsia" w:ascii="仿宋" w:hAnsi="仿宋" w:eastAsia="仿宋" w:cs="仿宋"/>
          <w:b w:val="0"/>
          <w:bCs/>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highlight w:val="none"/>
          <w14:textFill>
            <w14:solidFill>
              <w14:schemeClr w14:val="tx1"/>
            </w14:solidFill>
          </w14:textFill>
        </w:rPr>
        <w:t>万元作为违约金。</w:t>
      </w:r>
    </w:p>
    <w:p w14:paraId="0D68AE00">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5、本合同所约定违约金、赔偿等扣款事项如实际发生，而所约</w:t>
      </w:r>
      <w:r>
        <w:rPr>
          <w:rFonts w:hint="eastAsia" w:ascii="仿宋" w:hAnsi="仿宋" w:eastAsia="仿宋" w:cs="仿宋"/>
          <w:b w:val="0"/>
          <w:bCs/>
          <w:color w:val="000000" w:themeColor="text1"/>
          <w:sz w:val="24"/>
          <w:highlight w:val="none"/>
          <w:lang w:val="en-US" w:eastAsia="zh-CN"/>
          <w14:textFill>
            <w14:solidFill>
              <w14:schemeClr w14:val="tx1"/>
            </w14:solidFill>
          </w14:textFill>
        </w:rPr>
        <w:t>定的</w:t>
      </w:r>
      <w:r>
        <w:rPr>
          <w:rFonts w:hint="eastAsia" w:ascii="仿宋" w:hAnsi="仿宋" w:eastAsia="仿宋" w:cs="仿宋"/>
          <w:b w:val="0"/>
          <w:bCs/>
          <w:color w:val="000000" w:themeColor="text1"/>
          <w:sz w:val="24"/>
          <w:highlight w:val="none"/>
          <w14:textFill>
            <w14:solidFill>
              <w14:schemeClr w14:val="tx1"/>
            </w14:solidFill>
          </w14:textFill>
        </w:rPr>
        <w:t>各项违约金、赔偿金等若尚不足以抵偿、弥补</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损失的，</w:t>
      </w:r>
      <w:r>
        <w:rPr>
          <w:rFonts w:hint="eastAsia" w:ascii="仿宋" w:hAnsi="仿宋" w:eastAsia="仿宋" w:cs="仿宋"/>
          <w:b w:val="0"/>
          <w:bCs/>
          <w:color w:val="000000" w:themeColor="text1"/>
          <w:sz w:val="24"/>
          <w:highlight w:val="none"/>
          <w:lang w:eastAsia="zh-CN"/>
          <w14:textFill>
            <w14:solidFill>
              <w14:schemeClr w14:val="tx1"/>
            </w14:solidFill>
          </w14:textFill>
        </w:rPr>
        <w:t>乙方</w:t>
      </w:r>
      <w:r>
        <w:rPr>
          <w:rFonts w:hint="eastAsia" w:ascii="仿宋" w:hAnsi="仿宋" w:eastAsia="仿宋" w:cs="仿宋"/>
          <w:b w:val="0"/>
          <w:bCs/>
          <w:color w:val="000000" w:themeColor="text1"/>
          <w:sz w:val="24"/>
          <w:highlight w:val="none"/>
          <w14:textFill>
            <w14:solidFill>
              <w14:schemeClr w14:val="tx1"/>
            </w14:solidFill>
          </w14:textFill>
        </w:rPr>
        <w:t>有义务补足差额。各类扣款的扣除方式为：</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有权从履约保证金中直接扣除（如</w:t>
      </w:r>
      <w:r>
        <w:rPr>
          <w:rFonts w:hint="eastAsia" w:ascii="仿宋" w:hAnsi="仿宋" w:eastAsia="仿宋" w:cs="仿宋"/>
          <w:b w:val="0"/>
          <w:bCs/>
          <w:color w:val="000000" w:themeColor="text1"/>
          <w:sz w:val="24"/>
          <w:highlight w:val="none"/>
          <w:lang w:eastAsia="zh-CN"/>
          <w14:textFill>
            <w14:solidFill>
              <w14:schemeClr w14:val="tx1"/>
            </w14:solidFill>
          </w14:textFill>
        </w:rPr>
        <w:t>甲方</w:t>
      </w:r>
      <w:r>
        <w:rPr>
          <w:rFonts w:hint="eastAsia" w:ascii="仿宋" w:hAnsi="仿宋" w:eastAsia="仿宋" w:cs="仿宋"/>
          <w:b w:val="0"/>
          <w:bCs/>
          <w:color w:val="000000" w:themeColor="text1"/>
          <w:sz w:val="24"/>
          <w:highlight w:val="none"/>
          <w14:textFill>
            <w14:solidFill>
              <w14:schemeClr w14:val="tx1"/>
            </w14:solidFill>
          </w14:textFill>
        </w:rPr>
        <w:t>提交的履约保证金不足抵偿，则在付款时，从价款中直接将不足部分扣除）。 </w:t>
      </w:r>
    </w:p>
    <w:p w14:paraId="09063A2E">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八、不可抗力：</w:t>
      </w:r>
    </w:p>
    <w:p w14:paraId="751B87E8">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甲、乙</w:t>
      </w:r>
      <w:r>
        <w:rPr>
          <w:rFonts w:hint="eastAsia" w:ascii="仿宋" w:hAnsi="仿宋" w:eastAsia="仿宋" w:cs="仿宋"/>
          <w:color w:val="000000" w:themeColor="text1"/>
          <w:sz w:val="24"/>
          <w:highlight w:val="none"/>
          <w14:textFill>
            <w14:solidFill>
              <w14:schemeClr w14:val="tx1"/>
            </w14:solidFill>
          </w14:textFill>
        </w:rPr>
        <w:t>任何一方如确因不可抗力的原因，不能履行本合同时，应及时向对方通知不能履行、延期履行或部分履行合同的理由。在取得有关证明后，本合同可以不履行或延期履行或部分履行，并全部或者部分免予承担违约责任。</w:t>
      </w:r>
    </w:p>
    <w:p w14:paraId="00CB5698">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九、合同的变更或解除：</w:t>
      </w:r>
    </w:p>
    <w:p w14:paraId="7A0C97A2">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合同签订后，不能擅自变更或解除。如</w:t>
      </w:r>
      <w:r>
        <w:rPr>
          <w:rFonts w:hint="eastAsia" w:ascii="仿宋" w:hAnsi="仿宋" w:eastAsia="仿宋" w:cs="仿宋"/>
          <w:color w:val="000000" w:themeColor="text1"/>
          <w:sz w:val="24"/>
          <w:highlight w:val="none"/>
          <w:lang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方遇不可抗拒的原因，确实无法履行合同；</w:t>
      </w: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方因市场发生骤变或不能防止的原因，经双方协商同意后，可予变更或解除，但提出方应提前通知对方，并将“合同变更通知单”寄给对方，办理变更或解除的手续，如给对方造成损失的，应承担赔偿责任。未办理变更或解除的手续前，仍按原合同履行。</w:t>
      </w:r>
    </w:p>
    <w:p w14:paraId="60222B41">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十、解决办法：</w:t>
      </w:r>
    </w:p>
    <w:p w14:paraId="2B690F2A">
      <w:pPr>
        <w:keepNext w:val="0"/>
        <w:keepLines w:val="0"/>
        <w:pageBreakBefore w:val="0"/>
        <w:kinsoku/>
        <w:wordWrap/>
        <w:overflowPunct/>
        <w:topLinePunct w:val="0"/>
        <w:autoSpaceDE/>
        <w:autoSpaceDN/>
        <w:bidi w:val="0"/>
        <w:spacing w:beforeLines="0" w:afterLines="0" w:line="360" w:lineRule="auto"/>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双方在执行合同中所发生的一切争议，应通过协商解决。如协商不成，可向甲方所在地法院起诉。</w:t>
      </w:r>
    </w:p>
    <w:p w14:paraId="2E01453E">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十一、</w:t>
      </w:r>
      <w:r>
        <w:rPr>
          <w:rFonts w:hint="eastAsia" w:ascii="仿宋" w:hAnsi="仿宋" w:eastAsia="仿宋" w:cs="仿宋"/>
          <w:color w:val="000000" w:themeColor="text1"/>
          <w:sz w:val="24"/>
          <w:highlight w:val="none"/>
          <w14:textFill>
            <w14:solidFill>
              <w14:schemeClr w14:val="tx1"/>
            </w14:solidFill>
          </w14:textFill>
        </w:rPr>
        <w:t>本合同中的未尽事宜经双方协商需补充的条款可另附协议书，亦视为合同附件。合同附件与本合同有同等效力。经双方确认的往来信函、传真、电子邮件等，将作为本合同的组成部分，具有合同的效力。</w:t>
      </w:r>
    </w:p>
    <w:p w14:paraId="005D569F">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十二、</w:t>
      </w:r>
      <w:r>
        <w:rPr>
          <w:rFonts w:hint="eastAsia" w:ascii="仿宋" w:hAnsi="仿宋" w:eastAsia="仿宋" w:cs="仿宋"/>
          <w:color w:val="000000" w:themeColor="text1"/>
          <w:sz w:val="24"/>
          <w:highlight w:val="none"/>
          <w14:textFill>
            <w14:solidFill>
              <w14:schemeClr w14:val="tx1"/>
            </w14:solidFill>
          </w14:textFill>
        </w:rPr>
        <w:t>本合同为电脑打印文本，非经双方签字盖章确认修改部分，手写修改一律无效。</w:t>
      </w:r>
    </w:p>
    <w:p w14:paraId="3A2F7B0A">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十三、</w:t>
      </w:r>
      <w:r>
        <w:rPr>
          <w:rFonts w:hint="eastAsia" w:ascii="仿宋" w:hAnsi="仿宋" w:eastAsia="仿宋" w:cs="仿宋"/>
          <w:color w:val="000000" w:themeColor="text1"/>
          <w:sz w:val="24"/>
          <w:highlight w:val="none"/>
          <w14:textFill>
            <w14:solidFill>
              <w14:schemeClr w14:val="tx1"/>
            </w14:solidFill>
          </w14:textFill>
        </w:rPr>
        <w:t>本合同一式陆份，</w:t>
      </w:r>
      <w:r>
        <w:rPr>
          <w:rFonts w:hint="eastAsia" w:ascii="仿宋" w:hAnsi="仿宋" w:eastAsia="仿宋" w:cs="仿宋"/>
          <w:color w:val="000000" w:themeColor="text1"/>
          <w:sz w:val="24"/>
          <w:highlight w:val="none"/>
          <w:lang w:val="en-US" w:eastAsia="zh-CN"/>
          <w14:textFill>
            <w14:solidFill>
              <w14:schemeClr w14:val="tx1"/>
            </w14:solidFill>
          </w14:textFill>
        </w:rPr>
        <w:t>甲方执肆份、乙方执贰</w:t>
      </w:r>
      <w:r>
        <w:rPr>
          <w:rFonts w:hint="eastAsia" w:ascii="仿宋" w:hAnsi="仿宋" w:eastAsia="仿宋" w:cs="仿宋"/>
          <w:color w:val="000000" w:themeColor="text1"/>
          <w:sz w:val="24"/>
          <w:highlight w:val="none"/>
          <w14:textFill>
            <w14:solidFill>
              <w14:schemeClr w14:val="tx1"/>
            </w14:solidFill>
          </w14:textFill>
        </w:rPr>
        <w:t>份，自双方签</w:t>
      </w:r>
      <w:r>
        <w:rPr>
          <w:rFonts w:hint="eastAsia" w:ascii="仿宋" w:hAnsi="仿宋" w:eastAsia="仿宋" w:cs="仿宋"/>
          <w:color w:val="000000" w:themeColor="text1"/>
          <w:sz w:val="24"/>
          <w:highlight w:val="none"/>
          <w:lang w:val="en-US" w:eastAsia="zh-CN"/>
          <w14:textFill>
            <w14:solidFill>
              <w14:schemeClr w14:val="tx1"/>
            </w14:solidFill>
          </w14:textFill>
        </w:rPr>
        <w:t>字盖</w:t>
      </w:r>
      <w:r>
        <w:rPr>
          <w:rFonts w:hint="eastAsia" w:ascii="仿宋" w:hAnsi="仿宋" w:eastAsia="仿宋" w:cs="仿宋"/>
          <w:color w:val="000000" w:themeColor="text1"/>
          <w:sz w:val="24"/>
          <w:highlight w:val="none"/>
          <w14:textFill>
            <w14:solidFill>
              <w14:schemeClr w14:val="tx1"/>
            </w14:solidFill>
          </w14:textFill>
        </w:rPr>
        <w:t>章之日起生效，合同履行完毕之日起失效。</w:t>
      </w:r>
    </w:p>
    <w:p w14:paraId="127127A4">
      <w:pPr>
        <w:pStyle w:val="21"/>
        <w:keepNext w:val="0"/>
        <w:keepLines w:val="0"/>
        <w:pageBreakBefore w:val="0"/>
        <w:kinsoku/>
        <w:wordWrap/>
        <w:overflowPunct/>
        <w:topLinePunct w:val="0"/>
        <w:autoSpaceDE/>
        <w:autoSpaceDN/>
        <w:bidi w:val="0"/>
        <w:spacing w:line="440" w:lineRule="exact"/>
        <w:ind w:left="0" w:leftChars="0" w:firstLine="0" w:firstLineChars="0"/>
        <w:jc w:val="center"/>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采购人保留在正式签订合同前修改、完善合同条款的权利。</w:t>
      </w:r>
    </w:p>
    <w:p w14:paraId="3ADE6D92">
      <w:pPr>
        <w:pStyle w:val="25"/>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000000" w:themeColor="text1"/>
          <w:highlight w:val="none"/>
          <w14:textFill>
            <w14:solidFill>
              <w14:schemeClr w14:val="tx1"/>
            </w14:solidFill>
          </w14:textFill>
        </w:rPr>
      </w:pPr>
    </w:p>
    <w:p w14:paraId="7738F935">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甲</w:t>
      </w:r>
      <w:r>
        <w:rPr>
          <w:rFonts w:hint="eastAsia" w:ascii="仿宋" w:hAnsi="仿宋" w:eastAsia="仿宋" w:cs="仿宋"/>
          <w:color w:val="000000" w:themeColor="text1"/>
          <w:sz w:val="24"/>
          <w:highlight w:val="none"/>
          <w14:textFill>
            <w14:solidFill>
              <w14:schemeClr w14:val="tx1"/>
            </w14:solidFill>
          </w14:textFill>
        </w:rPr>
        <w:t xml:space="preserve">    方：                                   </w:t>
      </w:r>
      <w:r>
        <w:rPr>
          <w:rFonts w:hint="eastAsia" w:ascii="仿宋" w:hAnsi="仿宋" w:eastAsia="仿宋" w:cs="仿宋"/>
          <w:color w:val="000000" w:themeColor="text1"/>
          <w:sz w:val="24"/>
          <w:highlight w:val="none"/>
          <w:lang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 xml:space="preserve">    方：</w:t>
      </w:r>
    </w:p>
    <w:p w14:paraId="79F98EDB">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                                   法定代表：</w:t>
      </w:r>
    </w:p>
    <w:p w14:paraId="51589CAC">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 理 人：                                   代 理 人：</w:t>
      </w:r>
    </w:p>
    <w:p w14:paraId="6312CD20">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                                   地    址：</w:t>
      </w:r>
    </w:p>
    <w:p w14:paraId="7F173724">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话：                                   电    话：</w:t>
      </w:r>
    </w:p>
    <w:p w14:paraId="3CC43D3B">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506939F4">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账    号：                                   账    号：</w:t>
      </w:r>
    </w:p>
    <w:p w14:paraId="2B370791">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      年    月    日</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6AE15BE">
      <w:pPr>
        <w:keepNext w:val="0"/>
        <w:keepLines w:val="0"/>
        <w:pageBreakBefore w:val="0"/>
        <w:kinsoku/>
        <w:wordWrap/>
        <w:overflowPunct/>
        <w:topLinePunct w:val="0"/>
        <w:autoSpaceDE/>
        <w:autoSpaceDN/>
        <w:bidi w:val="0"/>
        <w:spacing w:beforeLines="0" w:afterLines="0"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签订地点：</w:t>
      </w:r>
    </w:p>
    <w:p w14:paraId="31ADFF51">
      <w:pPr>
        <w:snapToGrid w:val="0"/>
        <w:spacing w:line="460" w:lineRule="exact"/>
        <w:jc w:val="center"/>
        <w:rPr>
          <w:rFonts w:hint="eastAsia" w:ascii="仿宋" w:hAnsi="仿宋" w:eastAsia="仿宋" w:cs="仿宋"/>
          <w:b/>
          <w:color w:val="000000" w:themeColor="text1"/>
          <w:sz w:val="36"/>
          <w:szCs w:val="36"/>
          <w:highlight w:val="none"/>
          <w14:textFill>
            <w14:solidFill>
              <w14:schemeClr w14:val="tx1"/>
            </w14:solidFill>
          </w14:textFill>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C5571F4">
      <w:pPr>
        <w:snapToGrid w:val="0"/>
        <w:spacing w:line="460" w:lineRule="exact"/>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 应提交的有关格式范例</w:t>
      </w:r>
    </w:p>
    <w:p w14:paraId="2AC8B801">
      <w:pPr>
        <w:spacing w:line="460" w:lineRule="exact"/>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653A9AA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266496B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09602236">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68700A2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05AC379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有效的营业执照副本</w:t>
      </w:r>
      <w:r>
        <w:rPr>
          <w:rFonts w:hint="eastAsia" w:ascii="仿宋" w:hAnsi="仿宋" w:eastAsia="仿宋" w:cs="仿宋"/>
          <w:color w:val="000000" w:themeColor="text1"/>
          <w:sz w:val="24"/>
          <w:highlight w:val="none"/>
          <w14:textFill>
            <w14:solidFill>
              <w14:schemeClr w14:val="tx1"/>
            </w14:solidFill>
          </w14:textFill>
        </w:rPr>
        <w:t>……………………………………………（页码）</w:t>
      </w:r>
    </w:p>
    <w:p w14:paraId="1F3A8CF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投标保证金缴纳证明材料</w:t>
      </w:r>
      <w:r>
        <w:rPr>
          <w:rFonts w:hint="eastAsia" w:ascii="仿宋" w:hAnsi="仿宋" w:eastAsia="仿宋" w:cs="仿宋"/>
          <w:color w:val="000000" w:themeColor="text1"/>
          <w:sz w:val="24"/>
          <w:highlight w:val="none"/>
          <w14:textFill>
            <w14:solidFill>
              <w14:schemeClr w14:val="tx1"/>
            </w14:solidFill>
          </w14:textFill>
        </w:rPr>
        <w:t>………………………………………（页码）</w:t>
      </w:r>
    </w:p>
    <w:p w14:paraId="515E3C7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0660C8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3EBEC6B">
      <w:pPr>
        <w:snapToGrid w:val="0"/>
        <w:spacing w:line="360" w:lineRule="auto"/>
        <w:ind w:right="480"/>
        <w:jc w:val="center"/>
        <w:rPr>
          <w:rFonts w:hint="eastAsia" w:ascii="仿宋" w:hAnsi="仿宋" w:eastAsia="仿宋" w:cs="仿宋"/>
          <w:color w:val="000000" w:themeColor="text1"/>
          <w:kern w:val="0"/>
          <w:sz w:val="24"/>
          <w:highlight w:val="none"/>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2DABDD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0FAF567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杭州临安恒元建材有限公司</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浙江华夏工程管理有限公司</w:t>
      </w:r>
      <w:r>
        <w:rPr>
          <w:rFonts w:hint="eastAsia" w:ascii="仿宋" w:hAnsi="仿宋" w:eastAsia="仿宋" w:cs="仿宋"/>
          <w:color w:val="000000" w:themeColor="text1"/>
          <w:sz w:val="24"/>
          <w:highlight w:val="none"/>
          <w14:textFill>
            <w14:solidFill>
              <w14:schemeClr w14:val="tx1"/>
            </w14:solidFill>
          </w14:textFill>
        </w:rPr>
        <w:t>：</w:t>
      </w:r>
    </w:p>
    <w:p w14:paraId="57A6410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项目</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】采购活动，郑重承诺：</w:t>
      </w:r>
    </w:p>
    <w:p w14:paraId="0305C230">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6371790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31D2D24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71D0356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65FB2DC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2261553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63159A4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2C7D520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23E668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7F7BEFD4">
      <w:pPr>
        <w:snapToGrid w:val="0"/>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r>
        <w:rPr>
          <w:rFonts w:hint="eastAsia" w:ascii="仿宋" w:hAnsi="仿宋" w:eastAsia="仿宋" w:cs="仿宋"/>
          <w:color w:val="000000" w:themeColor="text1"/>
          <w:sz w:val="24"/>
          <w:highlight w:val="none"/>
          <w:lang w:eastAsia="zh-CN"/>
          <w14:textFill>
            <w14:solidFill>
              <w14:schemeClr w14:val="tx1"/>
            </w14:solidFill>
          </w14:textFill>
        </w:rPr>
        <w:t>。</w:t>
      </w:r>
    </w:p>
    <w:p w14:paraId="570593F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EB94569">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4835EB28">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月日</w:t>
      </w:r>
    </w:p>
    <w:p w14:paraId="5565B81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440AD68">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7728892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二</w:t>
      </w:r>
      <w:r>
        <w:rPr>
          <w:rFonts w:hint="eastAsia" w:ascii="仿宋" w:hAnsi="仿宋" w:eastAsia="仿宋" w:cs="仿宋"/>
          <w:b/>
          <w:color w:val="000000" w:themeColor="text1"/>
          <w:kern w:val="0"/>
          <w:sz w:val="32"/>
          <w:szCs w:val="32"/>
          <w:highlight w:val="none"/>
          <w14:textFill>
            <w14:solidFill>
              <w14:schemeClr w14:val="tx1"/>
            </w14:solidFill>
          </w14:textFill>
        </w:rPr>
        <w:t>、有效的营业执照副本</w:t>
      </w:r>
    </w:p>
    <w:p w14:paraId="41BF59D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提供有效的营业执照副本扫描件</w:t>
      </w:r>
      <w:r>
        <w:rPr>
          <w:rFonts w:hint="eastAsia" w:ascii="仿宋" w:hAnsi="仿宋" w:eastAsia="仿宋" w:cs="仿宋"/>
          <w:color w:val="000000" w:themeColor="text1"/>
          <w:sz w:val="24"/>
          <w:highlight w:val="none"/>
          <w14:textFill>
            <w14:solidFill>
              <w14:schemeClr w14:val="tx1"/>
            </w14:solidFill>
          </w14:textFill>
        </w:rPr>
        <w:t>）</w:t>
      </w:r>
    </w:p>
    <w:p w14:paraId="65A92A7C">
      <w:pPr>
        <w:rPr>
          <w:rFonts w:hint="eastAsia" w:ascii="仿宋" w:hAnsi="仿宋" w:eastAsia="仿宋" w:cs="仿宋"/>
          <w:color w:val="000000" w:themeColor="text1"/>
          <w:highlight w:val="none"/>
          <w14:textFill>
            <w14:solidFill>
              <w14:schemeClr w14:val="tx1"/>
            </w14:solidFill>
          </w14:textFill>
        </w:rPr>
      </w:pPr>
    </w:p>
    <w:p w14:paraId="41FBB428">
      <w:pPr>
        <w:widowControl/>
        <w:adjustRightInd/>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p>
    <w:p w14:paraId="41A85F6B">
      <w:pPr>
        <w:widowControl/>
        <w:adjustRightInd/>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三、投标保证金缴纳证明材料</w:t>
      </w:r>
    </w:p>
    <w:p w14:paraId="044F2553">
      <w:pPr>
        <w:spacing w:line="240" w:lineRule="auto"/>
        <w:ind w:right="0" w:firstLine="0" w:firstLineChars="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63402C6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45EBB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84339B8">
      <w:pPr>
        <w:pStyle w:val="15"/>
        <w:rPr>
          <w:rFonts w:hint="eastAsia"/>
          <w:color w:val="000000" w:themeColor="text1"/>
          <w:highlight w:val="none"/>
          <w14:textFill>
            <w14:solidFill>
              <w14:schemeClr w14:val="tx1"/>
            </w14:solidFill>
          </w14:textFill>
        </w:rPr>
      </w:pPr>
    </w:p>
    <w:p w14:paraId="202F7BF8">
      <w:pPr>
        <w:spacing w:line="360" w:lineRule="auto"/>
        <w:ind w:right="42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44DEE45">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16C8036E">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640E5A5C">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（1）响应函………………………………………………………………………（页码）</w:t>
      </w:r>
    </w:p>
    <w:p w14:paraId="171ECC74">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w:t>
      </w:r>
      <w:r>
        <w:rPr>
          <w:rFonts w:hint="eastAsia" w:ascii="仿宋" w:hAnsi="仿宋" w:eastAsia="仿宋" w:cs="仿宋"/>
          <w:color w:val="000000" w:themeColor="text1"/>
          <w:sz w:val="24"/>
          <w:highlight w:val="none"/>
          <w:lang w:val="zh-CN"/>
          <w14:textFill>
            <w14:solidFill>
              <w14:schemeClr w14:val="tx1"/>
            </w14:solidFill>
          </w14:textFill>
        </w:rPr>
        <w:t>、自然人本人</w:t>
      </w:r>
      <w:r>
        <w:rPr>
          <w:rFonts w:hint="eastAsia" w:ascii="仿宋" w:hAnsi="仿宋" w:eastAsia="仿宋" w:cs="仿宋"/>
          <w:color w:val="000000" w:themeColor="text1"/>
          <w:sz w:val="24"/>
          <w:highlight w:val="none"/>
          <w14:textFill>
            <w14:solidFill>
              <w14:schemeClr w14:val="tx1"/>
            </w14:solidFill>
          </w14:textFill>
        </w:rPr>
        <w:t>）身份证明……（页码）</w:t>
      </w:r>
    </w:p>
    <w:p w14:paraId="0DE44466">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）符合性审查资料……………………………………………………………（页码）</w:t>
      </w:r>
    </w:p>
    <w:p w14:paraId="2A64128B">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）响应产品清单………………………………………………………………（页码）</w:t>
      </w:r>
    </w:p>
    <w:p w14:paraId="46F5093C">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）商务技术偏离表……………………………………………………………（页码）</w:t>
      </w:r>
    </w:p>
    <w:p w14:paraId="7FA2A5BA">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16B21D5D">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B4E7E2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B9EF7F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339C77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3F1565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B21D2ED">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3F7C1883">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FCD591F">
      <w:pPr>
        <w:rPr>
          <w:rFonts w:hint="eastAsia" w:ascii="仿宋" w:hAnsi="仿宋" w:eastAsia="仿宋" w:cs="仿宋"/>
          <w:color w:val="000000" w:themeColor="text1"/>
          <w:highlight w:val="none"/>
          <w14:textFill>
            <w14:solidFill>
              <w14:schemeClr w14:val="tx1"/>
            </w14:solidFill>
          </w14:textFill>
        </w:rPr>
      </w:pPr>
    </w:p>
    <w:p w14:paraId="29269CFC">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2764790">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2712216">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87FA1E3">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75D6090D">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43BA2995">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B0BB810">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一、响应</w:t>
      </w:r>
      <w:r>
        <w:rPr>
          <w:rFonts w:hint="eastAsia" w:ascii="仿宋" w:hAnsi="仿宋" w:eastAsia="仿宋" w:cs="仿宋"/>
          <w:b/>
          <w:color w:val="000000" w:themeColor="text1"/>
          <w:sz w:val="32"/>
          <w:szCs w:val="32"/>
          <w:highlight w:val="none"/>
          <w14:textFill>
            <w14:solidFill>
              <w14:schemeClr w14:val="tx1"/>
            </w14:solidFill>
          </w14:textFill>
        </w:rPr>
        <w:t>函</w:t>
      </w:r>
    </w:p>
    <w:p w14:paraId="1F7917E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杭州临安恒元建材有限公司</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浙江华夏工程管理有限公司</w:t>
      </w:r>
      <w:r>
        <w:rPr>
          <w:rFonts w:hint="eastAsia" w:ascii="仿宋" w:hAnsi="仿宋" w:eastAsia="仿宋" w:cs="仿宋"/>
          <w:color w:val="000000" w:themeColor="text1"/>
          <w:sz w:val="24"/>
          <w:highlight w:val="none"/>
          <w14:textFill>
            <w14:solidFill>
              <w14:schemeClr w14:val="tx1"/>
            </w14:solidFill>
          </w14:textFill>
        </w:rPr>
        <w:t>：</w:t>
      </w:r>
    </w:p>
    <w:p w14:paraId="65A08E6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】的有关活动，并对此项目进行响应。为此：</w:t>
      </w:r>
    </w:p>
    <w:p w14:paraId="152C0E3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1、我方承诺响应有效期从提交响应文件的截止之日起天（不少于90天）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本响应文件在响应有效期满之前均具有约束力。</w:t>
      </w:r>
    </w:p>
    <w:p w14:paraId="67E5FCB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2、我方的响应文件包括以下内容：</w:t>
      </w:r>
    </w:p>
    <w:p w14:paraId="5B461DF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422C389D">
      <w:pPr>
        <w:snapToGrid w:val="0"/>
        <w:spacing w:line="360" w:lineRule="auto"/>
        <w:ind w:left="420" w:leftChars="200"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2.1.1</w:t>
      </w:r>
      <w:r>
        <w:rPr>
          <w:rFonts w:hint="eastAsia" w:ascii="仿宋" w:hAnsi="仿宋" w:eastAsia="仿宋" w:cs="仿宋"/>
          <w:color w:val="000000" w:themeColor="text1"/>
          <w:sz w:val="24"/>
          <w:highlight w:val="none"/>
          <w14:textFill>
            <w14:solidFill>
              <w14:schemeClr w14:val="tx1"/>
            </w14:solidFill>
          </w14:textFill>
        </w:rPr>
        <w:t>承诺函</w:t>
      </w:r>
      <w:r>
        <w:rPr>
          <w:rFonts w:hint="eastAsia" w:ascii="仿宋" w:hAnsi="仿宋" w:eastAsia="仿宋" w:cs="仿宋"/>
          <w:color w:val="000000" w:themeColor="text1"/>
          <w:sz w:val="24"/>
          <w:highlight w:val="none"/>
          <w:lang w:eastAsia="zh-CN"/>
          <w14:textFill>
            <w14:solidFill>
              <w14:schemeClr w14:val="tx1"/>
            </w14:solidFill>
          </w14:textFill>
        </w:rPr>
        <w:t>；</w:t>
      </w:r>
    </w:p>
    <w:p w14:paraId="34D7E23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2.1.2有效的营业执照副本；</w:t>
      </w:r>
    </w:p>
    <w:p w14:paraId="5DDA277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2.1.3投标保证金缴纳证明材料。</w:t>
      </w:r>
    </w:p>
    <w:p w14:paraId="584B5B37">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7E28A14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2.2.1响应函；</w:t>
      </w:r>
    </w:p>
    <w:p w14:paraId="5AE085C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w:t>
      </w:r>
      <w:r>
        <w:rPr>
          <w:rFonts w:hint="eastAsia" w:ascii="仿宋" w:hAnsi="仿宋" w:eastAsia="仿宋" w:cs="仿宋"/>
          <w:color w:val="000000" w:themeColor="text1"/>
          <w:sz w:val="24"/>
          <w:highlight w:val="none"/>
          <w:lang w:val="zh-CN"/>
          <w14:textFill>
            <w14:solidFill>
              <w14:schemeClr w14:val="tx1"/>
            </w14:solidFill>
          </w14:textFill>
        </w:rPr>
        <w:t>、自然人本人</w:t>
      </w:r>
      <w:r>
        <w:rPr>
          <w:rFonts w:hint="eastAsia" w:ascii="仿宋" w:hAnsi="仿宋" w:eastAsia="仿宋" w:cs="仿宋"/>
          <w:color w:val="000000" w:themeColor="text1"/>
          <w:sz w:val="24"/>
          <w:highlight w:val="none"/>
          <w14:textFill>
            <w14:solidFill>
              <w14:schemeClr w14:val="tx1"/>
            </w14:solidFill>
          </w14:textFill>
        </w:rPr>
        <w:t>）身份证明；</w:t>
      </w:r>
    </w:p>
    <w:p w14:paraId="523576F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符合性审查资料；</w:t>
      </w:r>
    </w:p>
    <w:p w14:paraId="3656DF4C">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响应产品清单；</w:t>
      </w:r>
    </w:p>
    <w:p w14:paraId="5142E80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商务技术偏离表；</w:t>
      </w:r>
    </w:p>
    <w:p w14:paraId="3AF4DBCC">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310340C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6681977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2.3.1响应报价明细表；</w:t>
      </w:r>
    </w:p>
    <w:p w14:paraId="2EF5B89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2.3.2报价情况说明（如果有）</w:t>
      </w:r>
      <w:r>
        <w:rPr>
          <w:rFonts w:hint="eastAsia" w:ascii="仿宋" w:hAnsi="仿宋" w:eastAsia="仿宋" w:cs="仿宋"/>
          <w:color w:val="000000" w:themeColor="text1"/>
          <w:sz w:val="24"/>
          <w:highlight w:val="none"/>
          <w:lang w:eastAsia="zh-CN"/>
          <w14:textFill>
            <w14:solidFill>
              <w14:schemeClr w14:val="tx1"/>
            </w14:solidFill>
          </w14:textFill>
        </w:rPr>
        <w:t>。</w:t>
      </w:r>
    </w:p>
    <w:p w14:paraId="08101FE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3、我方承诺除商务技术偏离表列出的偏离外，我方响应采购文件的全部要求。</w:t>
      </w:r>
    </w:p>
    <w:p w14:paraId="6CEC485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4、如我方成交，我方承诺：</w:t>
      </w:r>
    </w:p>
    <w:p w14:paraId="0E17319F">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4.1在收到成交通知书后，在成交通知书规定的期限内与你方签订合同； </w:t>
      </w:r>
    </w:p>
    <w:p w14:paraId="112F52BD">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6BC8EB6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4.3按照采购文件要求提交履约保证金； </w:t>
      </w:r>
    </w:p>
    <w:p w14:paraId="5EEA2EE5">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0FA991BE">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p>
    <w:p w14:paraId="6171FCDB">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02315F3A">
      <w:pPr>
        <w:spacing w:line="360" w:lineRule="auto"/>
        <w:jc w:val="center"/>
        <w:rPr>
          <w:rFonts w:hint="eastAsia" w:ascii="仿宋" w:hAnsi="仿宋" w:eastAsia="仿宋" w:cs="仿宋"/>
          <w:color w:val="000000" w:themeColor="text1"/>
          <w:sz w:val="24"/>
          <w:highlight w:val="none"/>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1AC716C">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008E39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B5623F7">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授权委托书（适用于非联合体响应）</w:t>
      </w:r>
    </w:p>
    <w:p w14:paraId="06F54F4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杭州临安恒元建材有限公司</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浙江华夏工程管理有限公司</w:t>
      </w:r>
      <w:r>
        <w:rPr>
          <w:rFonts w:hint="eastAsia" w:ascii="仿宋" w:hAnsi="仿宋" w:eastAsia="仿宋" w:cs="仿宋"/>
          <w:color w:val="000000" w:themeColor="text1"/>
          <w:sz w:val="24"/>
          <w:highlight w:val="none"/>
          <w14:textFill>
            <w14:solidFill>
              <w14:schemeClr w14:val="tx1"/>
            </w14:solidFill>
          </w14:textFill>
        </w:rPr>
        <w:t>：</w:t>
      </w:r>
    </w:p>
    <w:p w14:paraId="3DB351FC">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采购响应的一切事项，其法律后果由我方承担。</w:t>
      </w:r>
    </w:p>
    <w:p w14:paraId="198183A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自年月日起至年月日止。</w:t>
      </w:r>
    </w:p>
    <w:p w14:paraId="5FCD0AE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68FCE73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1ED5453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4EAAB8B3">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的身份证明（适用于法定代表人、单位负责人或者自然人本人代表供应商参加响应）</w:t>
      </w:r>
    </w:p>
    <w:p w14:paraId="074092EB">
      <w:pPr>
        <w:pStyle w:val="48"/>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2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5A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B75191">
            <w:pPr>
              <w:pStyle w:val="4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21B21807">
            <w:pPr>
              <w:pStyle w:val="4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047F3C0F">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54EBC26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50878DC0">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259144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C6E6DA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515704">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6D71A05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7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40135A">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19245F99">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69C3FD0D">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4B93AAF7">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响应文件中的</w:t>
            </w:r>
          </w:p>
          <w:p w14:paraId="709FBB63">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27E2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C640D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vAlign w:val="center"/>
          </w:tcPr>
          <w:p w14:paraId="6035E7F5">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响应文件按照采购文件要求签署、盖章。</w:t>
            </w:r>
          </w:p>
        </w:tc>
        <w:tc>
          <w:tcPr>
            <w:tcW w:w="2551" w:type="dxa"/>
            <w:vAlign w:val="center"/>
          </w:tcPr>
          <w:p w14:paraId="40AA44C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49A1DC4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3DCBA9FE">
            <w:pPr>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 页</w:t>
            </w:r>
          </w:p>
        </w:tc>
      </w:tr>
      <w:tr w14:paraId="34B0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7371F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vAlign w:val="center"/>
          </w:tcPr>
          <w:p w14:paraId="0B0415F0">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响应文件中承诺的响应有效期不少于采购文件中载明的响应有效期。</w:t>
            </w:r>
          </w:p>
        </w:tc>
        <w:tc>
          <w:tcPr>
            <w:tcW w:w="2551" w:type="dxa"/>
            <w:vAlign w:val="center"/>
          </w:tcPr>
          <w:p w14:paraId="744F0B6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w:t>
            </w:r>
          </w:p>
        </w:tc>
        <w:tc>
          <w:tcPr>
            <w:tcW w:w="1418" w:type="dxa"/>
            <w:vAlign w:val="center"/>
          </w:tcPr>
          <w:p w14:paraId="4BD31238">
            <w:pPr>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见响应文件第  页</w:t>
            </w:r>
          </w:p>
        </w:tc>
      </w:tr>
      <w:tr w14:paraId="296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646" w:type="dxa"/>
            <w:vAlign w:val="center"/>
          </w:tcPr>
          <w:p w14:paraId="4F1EE1D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vAlign w:val="center"/>
          </w:tcPr>
          <w:p w14:paraId="7E802AE8">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44C1F7D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系指实质性要求条款，明确要求提供材料的，按要求提供相应的材料；未明确要求提供材料的，依据商务技术偏离表）</w:t>
            </w:r>
          </w:p>
        </w:tc>
        <w:tc>
          <w:tcPr>
            <w:tcW w:w="1418" w:type="dxa"/>
            <w:vAlign w:val="center"/>
          </w:tcPr>
          <w:p w14:paraId="345DEE1B">
            <w:pPr>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见响应文件第  页</w:t>
            </w:r>
          </w:p>
        </w:tc>
      </w:tr>
    </w:tbl>
    <w:p w14:paraId="0C0849E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A5FD08">
      <w:pPr>
        <w:jc w:val="center"/>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7870B4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、响应产品清单</w:t>
      </w:r>
    </w:p>
    <w:p w14:paraId="571A90D1">
      <w:pPr>
        <w:pStyle w:val="25"/>
        <w:rPr>
          <w:rFonts w:hint="eastAsia" w:ascii="仿宋" w:hAnsi="仿宋" w:eastAsia="仿宋" w:cs="仿宋"/>
          <w:color w:val="000000" w:themeColor="text1"/>
          <w:highlight w:val="none"/>
          <w:lang w:val="en-US"/>
          <w14:textFill>
            <w14:solidFill>
              <w14:schemeClr w14:val="tx1"/>
            </w14:solidFill>
          </w14:textFill>
        </w:rPr>
      </w:pPr>
    </w:p>
    <w:tbl>
      <w:tblPr>
        <w:tblStyle w:val="27"/>
        <w:tblW w:w="7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2775"/>
        <w:gridCol w:w="1526"/>
      </w:tblGrid>
      <w:tr w14:paraId="2189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7930B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A239F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3E5D6A5">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产地</w:t>
            </w:r>
          </w:p>
        </w:tc>
        <w:tc>
          <w:tcPr>
            <w:tcW w:w="2775" w:type="dxa"/>
            <w:tcBorders>
              <w:top w:val="single" w:color="auto" w:sz="4" w:space="0"/>
              <w:left w:val="single" w:color="auto" w:sz="4" w:space="0"/>
              <w:bottom w:val="single" w:color="auto" w:sz="4" w:space="0"/>
              <w:right w:val="single" w:color="auto" w:sz="4" w:space="0"/>
            </w:tcBorders>
            <w:vAlign w:val="center"/>
          </w:tcPr>
          <w:p w14:paraId="206EBDC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1526" w:type="dxa"/>
            <w:tcBorders>
              <w:top w:val="single" w:color="auto" w:sz="4" w:space="0"/>
              <w:left w:val="single" w:color="auto" w:sz="4" w:space="0"/>
              <w:bottom w:val="single" w:color="auto" w:sz="4" w:space="0"/>
              <w:right w:val="single" w:color="auto" w:sz="4" w:space="0"/>
            </w:tcBorders>
            <w:vAlign w:val="center"/>
          </w:tcPr>
          <w:p w14:paraId="3E75206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1D05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C419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68FDE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75AF84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987ED9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0E323B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9E4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EBD12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00F8B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CF5324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CADA97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800119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CFF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AEDBB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4982E19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1818D8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976615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05A576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154CE02D">
      <w:pPr>
        <w:pStyle w:val="1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w:t>
      </w:r>
      <w:r>
        <w:rPr>
          <w:rFonts w:hint="eastAsia" w:ascii="仿宋" w:hAnsi="仿宋" w:eastAsia="仿宋" w:cs="仿宋"/>
          <w:color w:val="000000" w:themeColor="text1"/>
          <w:highlight w:val="none"/>
          <w:lang w:val="en-US"/>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按本格式和要求提供。</w:t>
      </w:r>
    </w:p>
    <w:p w14:paraId="1E06CEAA">
      <w:pPr>
        <w:pStyle w:val="3"/>
        <w:rPr>
          <w:rFonts w:hint="eastAsia"/>
          <w:color w:val="000000" w:themeColor="text1"/>
          <w:highlight w:val="none"/>
          <w:lang w:val="en-US"/>
          <w14:textFill>
            <w14:solidFill>
              <w14:schemeClr w14:val="tx1"/>
            </w14:solidFill>
          </w14:textFill>
        </w:rPr>
      </w:pPr>
    </w:p>
    <w:p w14:paraId="05BFBB35">
      <w:pPr>
        <w:rPr>
          <w:rFonts w:hint="eastAsia"/>
          <w:color w:val="000000" w:themeColor="text1"/>
          <w:highlight w:val="none"/>
          <w:lang w:val="en-US"/>
          <w14:textFill>
            <w14:solidFill>
              <w14:schemeClr w14:val="tx1"/>
            </w14:solidFill>
          </w14:textFill>
        </w:rPr>
      </w:pPr>
    </w:p>
    <w:p w14:paraId="58FFB8E4">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2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62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21B5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790F6A19">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采购文件章节及具体内容</w:t>
            </w:r>
          </w:p>
        </w:tc>
        <w:tc>
          <w:tcPr>
            <w:tcW w:w="3546" w:type="dxa"/>
          </w:tcPr>
          <w:p w14:paraId="55085D4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响应文件章节及具体内容</w:t>
            </w:r>
          </w:p>
        </w:tc>
        <w:tc>
          <w:tcPr>
            <w:tcW w:w="1276" w:type="dxa"/>
          </w:tcPr>
          <w:p w14:paraId="345A82C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00E1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AB50A7">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103435B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5EB75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DECCB9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A22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39B96E">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2C0609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7682F59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10A437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61B1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53057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10D68D5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55BC6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E1C1F9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54013443">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供应商保证：除商务技术偏离表列出的偏离外，供应商响应采购文件的全部要求</w:t>
      </w:r>
    </w:p>
    <w:p w14:paraId="24076133">
      <w:pPr>
        <w:jc w:val="center"/>
        <w:rPr>
          <w:rFonts w:hint="eastAsia" w:ascii="仿宋" w:hAnsi="仿宋" w:eastAsia="仿宋" w:cs="仿宋"/>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1A8FEA">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3A65088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2A3AF10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杭州临安恒元建材有限公司</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浙江华夏工程管理有限公司</w:t>
      </w:r>
      <w:r>
        <w:rPr>
          <w:rFonts w:hint="eastAsia" w:ascii="仿宋" w:hAnsi="仿宋" w:eastAsia="仿宋" w:cs="仿宋"/>
          <w:color w:val="000000" w:themeColor="text1"/>
          <w:sz w:val="24"/>
          <w:highlight w:val="none"/>
          <w14:textFill>
            <w14:solidFill>
              <w14:schemeClr w14:val="tx1"/>
            </w14:solidFill>
          </w14:textFill>
        </w:rPr>
        <w:t>：</w:t>
      </w:r>
    </w:p>
    <w:p w14:paraId="69B5A7E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21FB6D1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A29B13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316321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832092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0B747F6F">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2E46829">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52FC1B4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《中华人民共和国民法典》《政府采购非招标采购方式管理办法》</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F7339B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E1C39AF">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4B906DE">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71576DD">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D40CC62">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89B6C8A">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C3BD14E">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60AA3FC3">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A10796">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34FD2C7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034807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CCEBACF">
      <w:pPr>
        <w:snapToGrid w:val="0"/>
        <w:spacing w:line="360" w:lineRule="auto"/>
        <w:ind w:right="48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（1）响应报价明细表……………………………………………………（页码）</w:t>
      </w:r>
    </w:p>
    <w:p w14:paraId="7D3FB1D1">
      <w:pPr>
        <w:snapToGrid w:val="0"/>
        <w:spacing w:line="360" w:lineRule="auto"/>
        <w:ind w:right="480" w:firstLine="240" w:firstLineChars="100"/>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（2）报价情况说明（如果有）…………………………………………（页码）</w:t>
      </w:r>
    </w:p>
    <w:p w14:paraId="5F0877B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360D9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E8EA6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C5A979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B2F56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597BC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EE7087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B2CA0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5193F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36FC8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13ADB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EDD51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DCB2A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2C9FB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26FB83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C69DBA">
      <w:pPr>
        <w:pStyle w:val="5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24" w:type="first"/>
          <w:footerReference r:id="rId26" w:type="first"/>
          <w:headerReference r:id="rId23" w:type="default"/>
          <w:footerReference r:id="rId2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D1F230E">
      <w:pPr>
        <w:pStyle w:val="5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一、响应报价明细表</w:t>
      </w:r>
    </w:p>
    <w:p w14:paraId="187584D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杭州临安恒元建材有限公司</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浙江华夏工程管理有限公司</w:t>
      </w:r>
      <w:r>
        <w:rPr>
          <w:rFonts w:hint="eastAsia" w:ascii="仿宋" w:hAnsi="仿宋" w:eastAsia="仿宋" w:cs="仿宋"/>
          <w:color w:val="000000" w:themeColor="text1"/>
          <w:sz w:val="24"/>
          <w:highlight w:val="none"/>
          <w14:textFill>
            <w14:solidFill>
              <w14:schemeClr w14:val="tx1"/>
            </w14:solidFill>
          </w14:textFill>
        </w:rPr>
        <w:t>：</w:t>
      </w:r>
    </w:p>
    <w:p w14:paraId="1F72475C">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按你方采购文件要求，我们，本响应文件签字方，谨此向你方发出要约如下：如你方接受本响应，我方承诺按照如下响应报价明细表的价格完成</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CFD4A1A">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响应报价明细表(单位均为人民币元)</w:t>
      </w:r>
    </w:p>
    <w:tbl>
      <w:tblPr>
        <w:tblStyle w:val="27"/>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4"/>
        <w:gridCol w:w="2275"/>
        <w:gridCol w:w="2285"/>
        <w:gridCol w:w="1211"/>
        <w:gridCol w:w="1177"/>
        <w:gridCol w:w="1373"/>
      </w:tblGrid>
      <w:tr w14:paraId="280C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513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序号</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DFB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材料名称</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C4F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规格</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7A0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投标单价（元/吨）</w:t>
            </w:r>
          </w:p>
        </w:tc>
        <w:tc>
          <w:tcPr>
            <w:tcW w:w="1177" w:type="dxa"/>
            <w:tcBorders>
              <w:top w:val="single" w:color="000000" w:sz="4" w:space="0"/>
              <w:left w:val="single" w:color="000000" w:sz="4" w:space="0"/>
              <w:right w:val="single" w:color="000000" w:sz="4" w:space="0"/>
            </w:tcBorders>
            <w:shd w:val="clear" w:color="auto" w:fill="auto"/>
            <w:noWrap/>
            <w:vAlign w:val="center"/>
          </w:tcPr>
          <w:p w14:paraId="732DE3D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暂估数量（吨）</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4562">
            <w:pPr>
              <w:keepNext w:val="0"/>
              <w:keepLines w:val="0"/>
              <w:widowControl/>
              <w:suppressLineNumbers w:val="0"/>
              <w:jc w:val="center"/>
              <w:textAlignment w:val="center"/>
              <w:rPr>
                <w:rFonts w:hint="default"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小计（元）</w:t>
            </w:r>
          </w:p>
        </w:tc>
      </w:tr>
      <w:tr w14:paraId="6E10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D67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498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D15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3～5（2.36～4.75）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2F6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840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BA6B">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820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E33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000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0BC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5～10（4.75～9.5）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C3C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3B9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1408</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DF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0C18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BE2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BD4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B59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10～15（9.5～16）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289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FCB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431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6E54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759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FF5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石灰岩（整型）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0AD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10～20（9.5～20）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3A8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E61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F40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1AC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1C0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F0F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石灰岩（高标整型）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650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15～30（16～26.5）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C64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7923">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B48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2689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F20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6EE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机制砂</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43F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B58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02B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2109</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7E9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r w14:paraId="43E1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B9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合计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D83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none"/>
                <w14:textFill>
                  <w14:solidFill>
                    <w14:schemeClr w14:val="tx1"/>
                  </w14:solidFill>
                </w14:textFill>
              </w:rPr>
              <w:t>7991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1FF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r>
    </w:tbl>
    <w:p w14:paraId="34B8943E">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p>
    <w:p w14:paraId="72B14FD3">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default" w:ascii="仿宋" w:hAnsi="仿宋" w:eastAsia="仿宋" w:cs="仿宋"/>
          <w:b w:val="0"/>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highlight w:val="none"/>
          <w:lang w:val="zh-CN"/>
          <w14:textFill>
            <w14:solidFill>
              <w14:schemeClr w14:val="tx1"/>
            </w14:solidFill>
          </w14:textFill>
        </w:rPr>
        <w:t>注：1、供应商需按本表格式填写，</w:t>
      </w:r>
      <w:r>
        <w:rPr>
          <w:rFonts w:hint="eastAsia" w:ascii="仿宋" w:hAnsi="仿宋" w:eastAsia="仿宋" w:cs="仿宋"/>
          <w:b w:val="0"/>
          <w:bCs/>
          <w:color w:val="000000" w:themeColor="text1"/>
          <w:kern w:val="0"/>
          <w:sz w:val="24"/>
          <w:highlight w:val="none"/>
          <w14:textFill>
            <w14:solidFill>
              <w14:schemeClr w14:val="tx1"/>
            </w14:solidFill>
          </w14:textFill>
        </w:rPr>
        <w:t>否则视为</w:t>
      </w:r>
      <w:r>
        <w:rPr>
          <w:rFonts w:hint="eastAsia" w:ascii="仿宋" w:hAnsi="仿宋" w:eastAsia="仿宋" w:cs="仿宋"/>
          <w:b w:val="0"/>
          <w:bCs/>
          <w:color w:val="000000" w:themeColor="text1"/>
          <w:sz w:val="24"/>
          <w:highlight w:val="none"/>
          <w14:textFill>
            <w14:solidFill>
              <w14:schemeClr w14:val="tx1"/>
            </w14:solidFill>
          </w14:textFill>
        </w:rPr>
        <w:t>响应文件含有采购人不能接受的附加条件，响应无效</w:t>
      </w:r>
      <w:r>
        <w:rPr>
          <w:rFonts w:hint="eastAsia" w:ascii="仿宋" w:hAnsi="仿宋" w:eastAsia="仿宋" w:cs="仿宋"/>
          <w:b w:val="0"/>
          <w:bCs/>
          <w:color w:val="000000" w:themeColor="text1"/>
          <w:kern w:val="0"/>
          <w:sz w:val="24"/>
          <w:highlight w:val="none"/>
          <w:lang w:val="zh-CN"/>
          <w14:textFill>
            <w14:solidFill>
              <w14:schemeClr w14:val="tx1"/>
            </w14:solidFill>
          </w14:textFill>
        </w:rPr>
        <w:t>。</w:t>
      </w:r>
      <w:r>
        <w:rPr>
          <w:rFonts w:hint="eastAsia" w:ascii="仿宋" w:hAnsi="仿宋" w:eastAsia="仿宋" w:cs="仿宋"/>
          <w:b w:val="0"/>
          <w:bCs/>
          <w:color w:val="000000" w:themeColor="text1"/>
          <w:kern w:val="0"/>
          <w:sz w:val="24"/>
          <w:highlight w:val="none"/>
          <w:lang w:val="en-US" w:eastAsia="zh-CN"/>
          <w14:textFill>
            <w14:solidFill>
              <w14:schemeClr w14:val="tx1"/>
            </w14:solidFill>
          </w14:textFill>
        </w:rPr>
        <w:t>投标单价含运费、含13%增值税，最终数量按实结算。</w:t>
      </w:r>
    </w:p>
    <w:p w14:paraId="31A93402">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报价为货到采购人指定地点的交货价格，包括原材料的制作加工、装车、运输、货到现场的卸货、人工、验收、保险、税金、售后服务、技术服务、安全文明、环境保护、风险、利润、税费等，属于完成本次项目所必需的但投标供应商未列入报价的费用将被视为投标供应商优惠，采购单位均不予支付。有关本项目实施所涉及的一切费用均计入报价。</w:t>
      </w:r>
    </w:p>
    <w:p w14:paraId="1758B439">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响应文件含有采购人不能接受的附加条件，响应无效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；采购内容未包含在《响应报价明细表》名称栏中，供应商不能作出合理解释的，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响应文件含有采购人不能接受的附加条件的，响应无效。</w:t>
      </w:r>
    </w:p>
    <w:p w14:paraId="43269CE5">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3、特别提示：采购代理机构将对项目名称和项目编号，成交供应商名称、地址和成交标金额，主要成交标的名称、规格型号、数量、单价等予以公示。</w:t>
      </w:r>
    </w:p>
    <w:p w14:paraId="73B13D89">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C3C431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71D93D7">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D1C27A5">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18F6028A">
      <w:pPr>
        <w:pStyle w:val="3"/>
        <w:rPr>
          <w:rFonts w:hint="eastAsia" w:ascii="仿宋" w:hAnsi="仿宋" w:eastAsia="仿宋" w:cs="仿宋"/>
          <w:color w:val="000000" w:themeColor="text1"/>
          <w:kern w:val="0"/>
          <w:sz w:val="24"/>
          <w:highlight w:val="none"/>
          <w:lang w:val="zh-CN"/>
          <w14:textFill>
            <w14:solidFill>
              <w14:schemeClr w14:val="tx1"/>
            </w14:solidFill>
          </w14:textFill>
        </w:rPr>
      </w:pPr>
    </w:p>
    <w:p w14:paraId="2FFCBE75">
      <w:pPr>
        <w:rPr>
          <w:rFonts w:hint="eastAsia"/>
          <w:color w:val="000000" w:themeColor="text1"/>
          <w:highlight w:val="none"/>
          <w:lang w:val="zh-CN"/>
          <w14:textFill>
            <w14:solidFill>
              <w14:schemeClr w14:val="tx1"/>
            </w14:solidFill>
          </w14:textFill>
        </w:rPr>
      </w:pPr>
    </w:p>
    <w:p w14:paraId="57155747">
      <w:pPr>
        <w:tabs>
          <w:tab w:val="left" w:pos="4860"/>
        </w:tabs>
        <w:spacing w:line="360" w:lineRule="auto"/>
        <w:ind w:right="1560"/>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b/>
          <w:color w:val="000000" w:themeColor="text1"/>
          <w:sz w:val="28"/>
          <w:szCs w:val="28"/>
          <w:highlight w:val="none"/>
          <w14:textFill>
            <w14:solidFill>
              <w14:schemeClr w14:val="tx1"/>
            </w14:solidFill>
          </w14:textFill>
        </w:rPr>
        <w:t>报价情况说明（如果有）</w:t>
      </w:r>
    </w:p>
    <w:p w14:paraId="7198F3D7">
      <w:pPr>
        <w:tabs>
          <w:tab w:val="left" w:pos="4860"/>
        </w:tabs>
        <w:spacing w:line="360" w:lineRule="auto"/>
        <w:ind w:right="1560" w:firstLine="420" w:firstLineChars="200"/>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（如供应商报价低于项目预算50%的，应当提交本文档，详细阐述不影响产品质量或者诚信履约的具体原因。）</w:t>
      </w:r>
    </w:p>
    <w:p w14:paraId="4EF8E3C3">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p>
    <w:p w14:paraId="4B44DCD7">
      <w:pPr>
        <w:pStyle w:val="50"/>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14:paraId="2FEB997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5D7FF73">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B52D434">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832482F">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E898D61">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14B5C8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135CD48">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3D55194">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DDCED34">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6F3177D">
      <w:pPr>
        <w:rPr>
          <w:rFonts w:hint="eastAsia" w:ascii="仿宋" w:hAnsi="仿宋" w:eastAsia="仿宋" w:cs="仿宋"/>
          <w:b/>
          <w:bCs/>
          <w:color w:val="000000" w:themeColor="text1"/>
          <w:kern w:val="44"/>
          <w:sz w:val="44"/>
          <w:szCs w:val="44"/>
          <w:highlight w:val="none"/>
          <w14:textFill>
            <w14:solidFill>
              <w14:schemeClr w14:val="tx1"/>
            </w14:solidFill>
          </w14:textFill>
        </w:rPr>
      </w:pPr>
      <w:bookmarkStart w:id="367" w:name="_Toc465665161"/>
      <w:r>
        <w:rPr>
          <w:rFonts w:hint="eastAsia" w:ascii="仿宋" w:hAnsi="仿宋" w:eastAsia="仿宋" w:cs="仿宋"/>
          <w:b/>
          <w:bCs/>
          <w:color w:val="000000" w:themeColor="text1"/>
          <w:kern w:val="44"/>
          <w:sz w:val="44"/>
          <w:szCs w:val="44"/>
          <w:highlight w:val="none"/>
          <w14:textFill>
            <w14:solidFill>
              <w14:schemeClr w14:val="tx1"/>
            </w14:solidFill>
          </w14:textFill>
        </w:rPr>
        <w:br w:type="page"/>
      </w:r>
    </w:p>
    <w:p w14:paraId="0F4AD21F">
      <w:pPr>
        <w:spacing w:line="360" w:lineRule="auto"/>
        <w:jc w:val="both"/>
        <w:rPr>
          <w:rFonts w:hint="eastAsia" w:ascii="仿宋" w:hAnsi="仿宋" w:eastAsia="仿宋" w:cs="仿宋"/>
          <w:b/>
          <w:color w:val="000000" w:themeColor="text1"/>
          <w:spacing w:val="6"/>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44"/>
          <w:sz w:val="28"/>
          <w:szCs w:val="28"/>
          <w:highlight w:val="none"/>
          <w14:textFill>
            <w14:solidFill>
              <w14:schemeClr w14:val="tx1"/>
            </w14:solidFill>
          </w14:textFill>
        </w:rPr>
        <w:t>附件</w:t>
      </w:r>
      <w:bookmarkEnd w:id="367"/>
      <w:r>
        <w:rPr>
          <w:rFonts w:hint="eastAsia" w:ascii="仿宋" w:hAnsi="仿宋" w:eastAsia="仿宋" w:cs="仿宋"/>
          <w:b/>
          <w:bCs/>
          <w:color w:val="000000" w:themeColor="text1"/>
          <w:kern w:val="44"/>
          <w:sz w:val="28"/>
          <w:szCs w:val="28"/>
          <w:highlight w:val="none"/>
          <w:lang w:val="en-US" w:eastAsia="zh-CN"/>
          <w14:textFill>
            <w14:solidFill>
              <w14:schemeClr w14:val="tx1"/>
            </w14:solidFill>
          </w14:textFill>
        </w:rPr>
        <w:t>1</w:t>
      </w:r>
    </w:p>
    <w:p w14:paraId="26534E1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质疑函范本及制作说明</w:t>
      </w:r>
    </w:p>
    <w:p w14:paraId="278E987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699941F1">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67976AD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23E6F7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353FC2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446508">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53EA8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8CA81B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BF9491D">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60ABC07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6A43E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6759A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DBFA1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3FE95E5">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06E843F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19DF0B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E2BA22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3D8466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ED6A78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05CC58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206BD7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6BF3EE7">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46A1A44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5AFBB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                   公章：                      </w:t>
      </w:r>
    </w:p>
    <w:p w14:paraId="5C3772D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24A2A0D4">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65FBCA3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CD6D21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24928A1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6DF88A3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E317F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2B532AF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47492A7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7FCA3FD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15056A7">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54F700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C635AC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09CF4E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7E4C98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E0418A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6F8C60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7676E5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6E5F02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CEE2077">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AFD6AA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D421CE8">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477E7B33">
      <w:pPr>
        <w:spacing w:line="360" w:lineRule="auto"/>
        <w:jc w:val="both"/>
        <w:rPr>
          <w:rFonts w:hint="eastAsia" w:ascii="仿宋" w:hAnsi="仿宋" w:eastAsia="仿宋" w:cs="仿宋"/>
          <w:b/>
          <w:bCs/>
          <w:color w:val="000000" w:themeColor="text1"/>
          <w:kern w:val="44"/>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kern w:val="44"/>
          <w:sz w:val="28"/>
          <w:szCs w:val="28"/>
          <w:highlight w:val="none"/>
          <w14:textFill>
            <w14:solidFill>
              <w14:schemeClr w14:val="tx1"/>
            </w14:solidFill>
          </w14:textFill>
        </w:rPr>
        <w:t>附件</w:t>
      </w:r>
      <w:r>
        <w:rPr>
          <w:rFonts w:hint="eastAsia" w:ascii="仿宋" w:hAnsi="仿宋" w:eastAsia="仿宋" w:cs="仿宋"/>
          <w:b/>
          <w:bCs/>
          <w:color w:val="000000" w:themeColor="text1"/>
          <w:kern w:val="44"/>
          <w:sz w:val="28"/>
          <w:szCs w:val="28"/>
          <w:highlight w:val="none"/>
          <w:lang w:val="en-US" w:eastAsia="zh-CN"/>
          <w14:textFill>
            <w14:solidFill>
              <w14:schemeClr w14:val="tx1"/>
            </w14:solidFill>
          </w14:textFill>
        </w:rPr>
        <w:t>2：</w:t>
      </w:r>
    </w:p>
    <w:p w14:paraId="59F0710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投诉书范本及制作说明</w:t>
      </w:r>
    </w:p>
    <w:p w14:paraId="2FEA75B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04458B5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4A8C5A6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281831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DB270DC">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5F99889">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A76507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2E520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470B83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6704E5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5827DF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8C3D8E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3FF5575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66182A2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F5E163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3B540A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5C98D6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0D713D4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F7B2E9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C25819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2FF99C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2A4ED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C2719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2223F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0230971A">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620AC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E5722A0">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54ECB4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64E8287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BEEFE2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43C8B0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5C8BDA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4D1748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9B1549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75DEF61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60B17E0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9E0C69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EAE7A5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DFF4BF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                   公章：                      </w:t>
      </w:r>
    </w:p>
    <w:p w14:paraId="1E10055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820C21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697CBE87">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421BB2C">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553B3E5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084862B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0764EF5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78896B4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3E31E16F">
      <w:pPr>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9AEF34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31EFB6F8">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w:t>
      </w:r>
      <w:r>
        <w:rPr>
          <w:rFonts w:hint="eastAsia" w:ascii="仿宋" w:hAnsi="仿宋" w:eastAsia="仿宋" w:cs="仿宋"/>
          <w:b/>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（开标记录开启后，请将此附件填写完整发送至邮箱： 1075458398@qq.com）</w:t>
      </w:r>
    </w:p>
    <w:p w14:paraId="434ADE9D">
      <w:pPr>
        <w:pStyle w:val="1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b/>
          <w:bCs/>
          <w:color w:val="000000" w:themeColor="text1"/>
          <w:sz w:val="32"/>
          <w:szCs w:val="32"/>
          <w:highlight w:val="none"/>
          <w14:textFill>
            <w14:solidFill>
              <w14:schemeClr w14:val="tx1"/>
            </w14:solidFill>
          </w14:textFill>
        </w:rPr>
      </w:pPr>
    </w:p>
    <w:p w14:paraId="711C7199">
      <w:pPr>
        <w:pStyle w:val="1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采购活动现场确认声明书</w:t>
      </w:r>
    </w:p>
    <w:p w14:paraId="3AC2E244">
      <w:pPr>
        <w:pStyle w:val="1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0970CA7">
      <w:pPr>
        <w:pStyle w:val="14"/>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本人 ____________（授权代表姓名），经由______________________________（单位） ____________ （法定代表人姓名）合法授权参加</w:t>
      </w:r>
      <w:r>
        <w:rPr>
          <w:rFonts w:hint="eastAsia" w:ascii="仿宋" w:hAnsi="仿宋" w:eastAsia="仿宋" w:cs="仿宋"/>
          <w:color w:val="000000" w:themeColor="text1"/>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（编号：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）采购活动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经与本单位法人代表（负责人）联系确认，现就有关公平竞争事项郑重声明如下: </w:t>
      </w:r>
    </w:p>
    <w:p w14:paraId="262FDA5B">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本单位与采购人之间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2" w:char="00A3"/>
      </w:r>
      <w:r>
        <w:rPr>
          <w:rFonts w:hint="eastAsia" w:ascii="仿宋" w:hAnsi="仿宋" w:eastAsia="仿宋" w:cs="仿宋"/>
          <w:color w:val="000000" w:themeColor="text1"/>
          <w:sz w:val="24"/>
          <w:szCs w:val="24"/>
          <w:highlight w:val="none"/>
          <w14:textFill>
            <w14:solidFill>
              <w14:schemeClr w14:val="tx1"/>
            </w14:solidFill>
          </w14:textFill>
        </w:rPr>
        <w:t>不存在利害关系</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2" w:char="00A3"/>
      </w:r>
      <w:r>
        <w:rPr>
          <w:rFonts w:hint="eastAsia" w:ascii="仿宋" w:hAnsi="仿宋" w:eastAsia="仿宋" w:cs="仿宋"/>
          <w:color w:val="000000" w:themeColor="text1"/>
          <w:sz w:val="24"/>
          <w:szCs w:val="24"/>
          <w:highlight w:val="none"/>
          <w14:textFill>
            <w14:solidFill>
              <w14:schemeClr w14:val="tx1"/>
            </w14:solidFill>
          </w14:textFill>
        </w:rPr>
        <w:t>存在下列利害关系:</w:t>
      </w:r>
    </w:p>
    <w:p w14:paraId="483618BC">
      <w:pPr>
        <w:pStyle w:val="14"/>
        <w:keepNext w:val="0"/>
        <w:keepLines w:val="0"/>
        <w:pageBreakBefore w:val="0"/>
        <w:widowControl w:val="0"/>
        <w:numPr>
          <w:ilvl w:val="0"/>
          <w:numId w:val="4"/>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投资关系 B．行政隶属关系 C．业务指导关系</w:t>
      </w:r>
    </w:p>
    <w:p w14:paraId="0FAFDEAC">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D．其他可能影响采购公正的利害关系（如有，请如实说明）。</w:t>
      </w:r>
    </w:p>
    <w:p w14:paraId="41D51E3A">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二、现己清楚知道参加本项目采购活动的其他所有供应商名称，本单位</w:t>
      </w:r>
    </w:p>
    <w:p w14:paraId="38C298AD">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2" w:char="00A3"/>
      </w:r>
      <w:r>
        <w:rPr>
          <w:rFonts w:hint="eastAsia" w:ascii="仿宋" w:hAnsi="仿宋" w:eastAsia="仿宋" w:cs="仿宋"/>
          <w:color w:val="000000" w:themeColor="text1"/>
          <w:sz w:val="24"/>
          <w:szCs w:val="24"/>
          <w:highlight w:val="none"/>
          <w14:textFill>
            <w14:solidFill>
              <w14:schemeClr w14:val="tx1"/>
            </w14:solidFill>
          </w14:textFill>
        </w:rPr>
        <w:t>与其他所有供应商之间均不存在利害关系</w:t>
      </w:r>
    </w:p>
    <w:p w14:paraId="134BA06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2" w:char="00A3"/>
      </w:r>
      <w:r>
        <w:rPr>
          <w:rFonts w:hint="eastAsia" w:ascii="仿宋" w:hAnsi="仿宋" w:eastAsia="仿宋" w:cs="仿宋"/>
          <w:color w:val="000000" w:themeColor="text1"/>
          <w:sz w:val="24"/>
          <w:szCs w:val="24"/>
          <w:highlight w:val="none"/>
          <w14:textFill>
            <w14:solidFill>
              <w14:schemeClr w14:val="tx1"/>
            </w14:solidFill>
          </w14:textFill>
        </w:rPr>
        <w:t xml:space="preserve">与______________（供应商名称）之间存在下列利害关系: </w:t>
      </w:r>
    </w:p>
    <w:p w14:paraId="36A8C79C">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A．法定代表人或负责人或实际控制人是同一人 </w:t>
      </w:r>
    </w:p>
    <w:p w14:paraId="407AF34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B．法定代表人或负责人或实际控制人是夫妻关系 </w:t>
      </w:r>
    </w:p>
    <w:p w14:paraId="1FE3262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C．法定代表人或负责人或实际控制人是直系血亲关系 </w:t>
      </w:r>
    </w:p>
    <w:p w14:paraId="4E8D43C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D．法定代表人或负责人或实际控制人存在三代以内旁系血亲关系 </w:t>
      </w:r>
    </w:p>
    <w:p w14:paraId="5FF93A1B">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E．法定代表人或负责人或实际控制人存在近姻亲关系 </w:t>
      </w:r>
    </w:p>
    <w:p w14:paraId="57515D0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F．法定代表人或负责人或实际控制人存在股份控制或实际控制关系 </w:t>
      </w:r>
    </w:p>
    <w:p w14:paraId="3C8DC7F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G．存在共同直接或间接投资设立子公司、联营企业和合营企业情况 </w:t>
      </w:r>
    </w:p>
    <w:p w14:paraId="4AD0A875">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H．存在分级代理或代销关系、同一生产制造商关系、管理关系、重要业务（占主营业务收入 50 ％以上）或重要财务往来关系（如融资）等其他实质性控制关系 </w:t>
      </w:r>
    </w:p>
    <w:p w14:paraId="41F58C2A">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I．其他利害关系情况 ___________________________。</w:t>
      </w:r>
      <w:r>
        <w:rPr>
          <w:rFonts w:hint="eastAsia" w:ascii="仿宋" w:hAnsi="仿宋" w:eastAsia="仿宋" w:cs="仿宋"/>
          <w:color w:val="000000" w:themeColor="text1"/>
          <w:sz w:val="24"/>
          <w:szCs w:val="24"/>
          <w:highlight w:val="none"/>
          <w:lang w:eastAsia="zh-CN"/>
          <w14:textFill>
            <w14:solidFill>
              <w14:schemeClr w14:val="tx1"/>
            </w14:solidFill>
          </w14:textFill>
        </w:rPr>
        <w:t>（如未填写，视同“无”）</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A16B95A">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三、现己清楚知道并严格遵守采购法律法规。 </w:t>
      </w:r>
    </w:p>
    <w:p w14:paraId="453EB044">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四、我发现 ____________________供应商之间存在或可能存在上述第二条第 ____________项利害关系。 </w:t>
      </w:r>
      <w:r>
        <w:rPr>
          <w:rFonts w:hint="eastAsia" w:ascii="仿宋" w:hAnsi="仿宋" w:eastAsia="仿宋" w:cs="仿宋"/>
          <w:color w:val="000000" w:themeColor="text1"/>
          <w:sz w:val="24"/>
          <w:szCs w:val="24"/>
          <w:highlight w:val="none"/>
          <w:lang w:eastAsia="zh-CN"/>
          <w14:textFill>
            <w14:solidFill>
              <w14:schemeClr w14:val="tx1"/>
            </w14:solidFill>
          </w14:textFill>
        </w:rPr>
        <w:t>（如未填写，视同“无”）</w:t>
      </w:r>
    </w:p>
    <w:p w14:paraId="15AA0942">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F337E0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名称（签章）：</w:t>
      </w:r>
    </w:p>
    <w:p w14:paraId="4F962BE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供应商代表</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签名</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D8ABB1B">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sectPr>
      <w:headerReference r:id="rId27" w:type="default"/>
      <w:footerReference r:id="rId28" w:type="default"/>
      <w:pgSz w:w="11906" w:h="16838"/>
      <w:pgMar w:top="1440" w:right="1800" w:bottom="1440" w:left="1800" w:header="930"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71A4">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1748">
    <w:pPr>
      <w:pStyle w:val="1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BAC2E">
                          <w:pPr>
                            <w:pStyle w:val="1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8BAC2E">
                    <w:pPr>
                      <w:pStyle w:val="1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70ED806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8802">
    <w:pPr>
      <w:pStyle w:val="1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2A78C">
                          <w:pPr>
                            <w:pStyle w:val="1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592A78C">
                    <w:pPr>
                      <w:pStyle w:val="1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0EC3BFC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3D18">
    <w:pPr>
      <w:pStyle w:val="18"/>
      <w:jc w:val="center"/>
      <w:rPr>
        <w:rFonts w:ascii="仿宋_GB2312" w:eastAsia="仿宋_GB2312" w:cs="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33F5B">
                          <w:pPr>
                            <w:pStyle w:val="1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E33F5B">
                    <w:pPr>
                      <w:pStyle w:val="1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354E8350">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A01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4AF57">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34AF57">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CE03">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5FFF">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D5C9">
    <w:pPr>
      <w:pStyle w:val="18"/>
      <w:spacing w:before="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E66FF">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3E66FF">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CCD96">
    <w:pPr>
      <w:pStyle w:val="1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99683">
                          <w:pPr>
                            <w:pStyle w:val="18"/>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899683">
                    <w:pPr>
                      <w:pStyle w:val="18"/>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0178BAF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CDB3D">
    <w:pPr>
      <w:pStyle w:val="1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22FD2">
                          <w:pPr>
                            <w:pStyle w:val="1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722FD2">
                    <w:pPr>
                      <w:pStyle w:val="1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32EC6A0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D01C">
    <w:pPr>
      <w:pStyle w:val="1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85B2E">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485B2E">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72038D2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7227">
    <w:pPr>
      <w:pStyle w:val="1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80F00">
                          <w:pPr>
                            <w:pStyle w:val="1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880F00">
                    <w:pPr>
                      <w:pStyle w:val="1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1A66400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0BBB">
    <w:pPr>
      <w:pStyle w:val="19"/>
      <w:jc w:val="right"/>
      <w:rPr>
        <w:rFonts w:cs="仿宋" w:asciiTheme="minorEastAsia" w:hAnsiTheme="minor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3F60">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5084">
    <w:pPr>
      <w:pStyle w:val="19"/>
      <w:pBdr>
        <w:bottom w:val="single" w:color="auto" w:sz="4" w:space="1"/>
      </w:pBdr>
      <w:jc w:val="right"/>
    </w:pPr>
    <w:r>
      <w:rPr>
        <w:rFonts w:hint="eastAsia" w:ascii="仿宋" w:hAnsi="仿宋" w:eastAsia="仿宋" w:cs="仿宋"/>
        <w:u w:val="none"/>
        <w:lang w:eastAsia="zh-CN"/>
      </w:rPr>
      <w:t>杭州临安恒元建材有限公司无人机及配套智能化设备采购（二次）</w:t>
    </w:r>
    <w:r>
      <w:rPr>
        <w:rFonts w:hint="eastAsia" w:ascii="仿宋" w:hAnsi="仿宋" w:eastAsia="仿宋" w:cs="仿宋"/>
        <w:u w:val="none"/>
        <w:lang w:val="en-US" w:eastAsia="zh-CN"/>
      </w:rPr>
      <w:t>--询价文件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C0DA">
    <w:pPr>
      <w:pStyle w:val="19"/>
      <w:jc w:val="right"/>
    </w:pPr>
    <w:r>
      <w:rPr>
        <w:rFonts w:hint="eastAsia"/>
        <w:u w:val="single"/>
      </w:rPr>
      <w:t>杭州</w:t>
    </w:r>
    <w:r>
      <w:rPr>
        <w:rFonts w:hint="eastAsia"/>
        <w:u w:val="single"/>
        <w:lang w:val="zh-CN"/>
      </w:rPr>
      <w:t>市政府采购询价采购文件</w:t>
    </w:r>
  </w:p>
  <w:p w14:paraId="23BAD325">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D717">
    <w:pPr>
      <w:pStyle w:val="19"/>
      <w:pBdr>
        <w:bottom w:val="single" w:color="auto" w:sz="4" w:space="1"/>
      </w:pBdr>
      <w:jc w:val="right"/>
    </w:pPr>
    <w:r>
      <w:rPr>
        <w:rFonts w:hint="eastAsia" w:ascii="仿宋" w:hAnsi="仿宋" w:eastAsia="仿宋" w:cs="仿宋"/>
        <w:u w:val="none"/>
        <w:lang w:eastAsia="zh-CN"/>
      </w:rPr>
      <w:t>杭州临安恒元建材有限公司无人机及配套智能化设备采购（二次）</w:t>
    </w:r>
    <w:r>
      <w:rPr>
        <w:rFonts w:hint="eastAsia" w:ascii="仿宋" w:hAnsi="仿宋" w:eastAsia="仿宋" w:cs="仿宋"/>
        <w:u w:val="none"/>
        <w:lang w:val="en-US" w:eastAsia="zh-CN"/>
      </w:rPr>
      <w:t>--询价文件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A6AE">
    <w:pPr>
      <w:pStyle w:val="19"/>
      <w:pBdr>
        <w:top w:val="none" w:color="auto" w:sz="0" w:space="0"/>
        <w:left w:val="none" w:color="auto" w:sz="0" w:space="0"/>
        <w:bottom w:val="single" w:color="auto" w:sz="4" w:space="1"/>
        <w:right w:val="none" w:color="auto" w:sz="0" w:space="0"/>
      </w:pBdr>
      <w:jc w:val="right"/>
      <w:rPr>
        <w:rFonts w:ascii="仿宋_GB2312" w:eastAsia="仿宋_GB2312" w:cs="Times New Roman"/>
        <w:b/>
        <w:bCs/>
        <w:i/>
        <w:iCs/>
        <w:u w:val="single"/>
      </w:rPr>
    </w:pPr>
    <w:r>
      <w:rPr>
        <w:rFonts w:hint="eastAsia" w:ascii="仿宋" w:hAnsi="仿宋" w:eastAsia="仿宋" w:cs="仿宋"/>
        <w:u w:val="none"/>
        <w:lang w:val="en-US" w:eastAsia="zh-CN"/>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363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9966">
    <w:pPr>
      <w:pStyle w:val="19"/>
      <w:pBdr>
        <w:bottom w:val="single" w:color="auto" w:sz="4" w:space="1"/>
      </w:pBdr>
      <w:tabs>
        <w:tab w:val="left" w:pos="5565"/>
        <w:tab w:val="right" w:pos="8426"/>
      </w:tabs>
      <w:jc w:val="right"/>
      <w:rPr>
        <w:sz w:val="21"/>
        <w:szCs w:val="21"/>
      </w:rPr>
    </w:pPr>
    <w:r>
      <w:rPr>
        <w:rFonts w:hint="eastAsia" w:ascii="仿宋" w:hAnsi="仿宋" w:eastAsia="仿宋" w:cs="仿宋"/>
        <w:sz w:val="21"/>
        <w:szCs w:val="21"/>
        <w:u w:val="none"/>
        <w:lang w:val="en-US" w:eastAsia="zh-CN"/>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EEFD">
    <w:pPr>
      <w:pStyle w:val="19"/>
      <w:pBdr>
        <w:bottom w:val="single" w:color="auto" w:sz="4" w:space="1"/>
      </w:pBdr>
      <w:tabs>
        <w:tab w:val="left" w:pos="705"/>
        <w:tab w:val="left" w:pos="5565"/>
        <w:tab w:val="right" w:pos="8426"/>
      </w:tabs>
      <w:jc w:val="right"/>
      <w:rPr>
        <w:rFonts w:hint="default" w:ascii="仿宋" w:hAnsi="仿宋" w:eastAsia="仿宋" w:cs="仿宋"/>
        <w:u w:val="none"/>
        <w:lang w:val="en-US" w:eastAsia="zh-CN"/>
      </w:rPr>
    </w:pPr>
    <w:r>
      <w:rPr>
        <w:rFonts w:hint="eastAsia" w:ascii="仿宋" w:hAnsi="仿宋" w:eastAsia="仿宋" w:cs="仿宋"/>
        <w:u w:val="none"/>
        <w:lang w:val="en-US" w:eastAsia="zh-CN"/>
      </w:rPr>
      <w:t xml:space="preserve">询价文件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B26B">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7A17">
    <w:pPr>
      <w:pStyle w:val="19"/>
    </w:pPr>
    <w:r>
      <w:rPr>
        <w:rFonts w:hint="eastAsia" w:ascii="仿宋" w:hAnsi="仿宋" w:eastAsia="仿宋" w:cs="仿宋"/>
        <w:u w:val="none"/>
        <w:lang w:eastAsia="zh-CN"/>
      </w:rPr>
      <w:t>杭州临安恒元建材有限公司无人机及配套智能化设备采购（二次）</w:t>
    </w:r>
    <w:r>
      <w:rPr>
        <w:rFonts w:hint="eastAsia" w:ascii="仿宋" w:hAnsi="仿宋" w:eastAsia="仿宋" w:cs="仿宋"/>
        <w:u w:val="none"/>
        <w:lang w:val="en-US" w:eastAsia="zh-CN"/>
      </w:rPr>
      <w:t>--询价文件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409B">
    <w:pPr>
      <w:pStyle w:val="19"/>
      <w:pBdr>
        <w:bottom w:val="single" w:color="auto" w:sz="4" w:space="1"/>
      </w:pBdr>
      <w:jc w:val="right"/>
    </w:pPr>
    <w:r>
      <w:rPr>
        <w:rFonts w:hint="eastAsia" w:ascii="仿宋" w:hAnsi="仿宋" w:eastAsia="仿宋" w:cs="仿宋"/>
        <w:u w:val="none"/>
        <w:lang w:val="en-US" w:eastAsia="zh-CN"/>
      </w:rPr>
      <w:t>询价文件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B7DE">
    <w:pPr>
      <w:pStyle w:val="19"/>
      <w:pBdr>
        <w:bottom w:val="single" w:color="auto" w:sz="4" w:space="1"/>
      </w:pBdr>
      <w:jc w:val="right"/>
    </w:pPr>
    <w:r>
      <w:rPr>
        <w:rFonts w:hint="eastAsia" w:ascii="仿宋" w:hAnsi="仿宋" w:eastAsia="仿宋" w:cs="仿宋"/>
        <w:u w:val="none"/>
        <w:lang w:eastAsia="zh-CN"/>
      </w:rPr>
      <w:t>杭州临安恒元建材有限公司无人机及配套智能化设备采购（二次）</w:t>
    </w:r>
    <w:r>
      <w:rPr>
        <w:rFonts w:hint="eastAsia" w:ascii="仿宋" w:hAnsi="仿宋" w:eastAsia="仿宋" w:cs="仿宋"/>
        <w:u w:val="none"/>
        <w:lang w:val="en-US" w:eastAsia="zh-CN"/>
      </w:rPr>
      <w:t>--询价文件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24D29">
    <w:pPr>
      <w:pStyle w:val="19"/>
      <w:pBdr>
        <w:bottom w:val="single" w:color="auto" w:sz="4" w:space="1"/>
      </w:pBdr>
      <w:jc w:val="right"/>
    </w:pPr>
    <w:r>
      <w:rPr>
        <w:rFonts w:hint="eastAsia" w:ascii="仿宋" w:hAnsi="仿宋" w:eastAsia="仿宋" w:cs="仿宋"/>
        <w:u w:val="none"/>
        <w:lang w:val="en-US"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8"/>
      <w:lvlText w:val="%1."/>
      <w:lvlJc w:val="left"/>
      <w:pPr>
        <w:tabs>
          <w:tab w:val="left" w:pos="360"/>
        </w:tabs>
        <w:ind w:left="360" w:hanging="360"/>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2">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7CBE45BE"/>
    <w:multiLevelType w:val="singleLevel"/>
    <w:tmpl w:val="7CBE45BE"/>
    <w:lvl w:ilvl="0" w:tentative="0">
      <w:start w:val="25"/>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readOnly" w:enforcement="1" w:cryptProviderType="rsaFull" w:cryptAlgorithmClass="hash" w:cryptAlgorithmType="typeAny" w:cryptAlgorithmSid="4" w:cryptSpinCount="0" w:hash="PbjoHX4d4/RhC85c4wD6lknKgWQ=" w:salt="matz8wK9VzcPb+kXupy+wQ=="/>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YmM4MTJkYzAyMTczMDM3OGM4OGU3ODljYTEzYTI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E546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3DB4"/>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76C60"/>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A6A24"/>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870A8"/>
    <w:rsid w:val="006926FE"/>
    <w:rsid w:val="00694BBB"/>
    <w:rsid w:val="00695E88"/>
    <w:rsid w:val="006A7816"/>
    <w:rsid w:val="006B1775"/>
    <w:rsid w:val="006B17CF"/>
    <w:rsid w:val="006B725D"/>
    <w:rsid w:val="006C00D4"/>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45B6"/>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3252A"/>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590BC2"/>
    <w:rsid w:val="015B7364"/>
    <w:rsid w:val="01BA72B6"/>
    <w:rsid w:val="01BB3CD7"/>
    <w:rsid w:val="01CB2CC3"/>
    <w:rsid w:val="01D83074"/>
    <w:rsid w:val="021A0C65"/>
    <w:rsid w:val="02257180"/>
    <w:rsid w:val="02506BA4"/>
    <w:rsid w:val="02723BFD"/>
    <w:rsid w:val="027F1EE7"/>
    <w:rsid w:val="0284231A"/>
    <w:rsid w:val="030160C6"/>
    <w:rsid w:val="030C45C1"/>
    <w:rsid w:val="0339337F"/>
    <w:rsid w:val="033F1C52"/>
    <w:rsid w:val="03685798"/>
    <w:rsid w:val="0380595F"/>
    <w:rsid w:val="038A73C3"/>
    <w:rsid w:val="038F71C9"/>
    <w:rsid w:val="03B16273"/>
    <w:rsid w:val="03D44C3B"/>
    <w:rsid w:val="03DB240E"/>
    <w:rsid w:val="03DC0A5A"/>
    <w:rsid w:val="044D158E"/>
    <w:rsid w:val="04545D1C"/>
    <w:rsid w:val="045A5E42"/>
    <w:rsid w:val="045D72C7"/>
    <w:rsid w:val="04643D0B"/>
    <w:rsid w:val="049F3F1F"/>
    <w:rsid w:val="04B06F62"/>
    <w:rsid w:val="04C47485"/>
    <w:rsid w:val="04C80FA3"/>
    <w:rsid w:val="04D07A99"/>
    <w:rsid w:val="04FB35D0"/>
    <w:rsid w:val="05145BD8"/>
    <w:rsid w:val="051A3A2A"/>
    <w:rsid w:val="052E6ECB"/>
    <w:rsid w:val="05571376"/>
    <w:rsid w:val="05A2098C"/>
    <w:rsid w:val="05E13560"/>
    <w:rsid w:val="05EC353B"/>
    <w:rsid w:val="061C05B3"/>
    <w:rsid w:val="06296FF4"/>
    <w:rsid w:val="066761DB"/>
    <w:rsid w:val="066B5CCB"/>
    <w:rsid w:val="068F128E"/>
    <w:rsid w:val="06A25465"/>
    <w:rsid w:val="06A670EF"/>
    <w:rsid w:val="06AE1B74"/>
    <w:rsid w:val="06C8276A"/>
    <w:rsid w:val="06DB47AB"/>
    <w:rsid w:val="06DE46EF"/>
    <w:rsid w:val="07474800"/>
    <w:rsid w:val="077741FC"/>
    <w:rsid w:val="077A3CEC"/>
    <w:rsid w:val="07883C8D"/>
    <w:rsid w:val="0797489E"/>
    <w:rsid w:val="07DB248D"/>
    <w:rsid w:val="07FE56BB"/>
    <w:rsid w:val="08500CB6"/>
    <w:rsid w:val="086F75C9"/>
    <w:rsid w:val="087D3A94"/>
    <w:rsid w:val="088B49BF"/>
    <w:rsid w:val="08982830"/>
    <w:rsid w:val="08987FEB"/>
    <w:rsid w:val="089A2898"/>
    <w:rsid w:val="08AC4379"/>
    <w:rsid w:val="08B55328"/>
    <w:rsid w:val="08C85B86"/>
    <w:rsid w:val="08CB2A51"/>
    <w:rsid w:val="08EC3F8E"/>
    <w:rsid w:val="08F0070A"/>
    <w:rsid w:val="091837BC"/>
    <w:rsid w:val="096C1955"/>
    <w:rsid w:val="099F02B0"/>
    <w:rsid w:val="09C46268"/>
    <w:rsid w:val="09C95EEB"/>
    <w:rsid w:val="0A4707FD"/>
    <w:rsid w:val="0A7409D7"/>
    <w:rsid w:val="0A7964DD"/>
    <w:rsid w:val="0AA11CA0"/>
    <w:rsid w:val="0AA55524"/>
    <w:rsid w:val="0ADA1283"/>
    <w:rsid w:val="0AEC4F01"/>
    <w:rsid w:val="0B3450FB"/>
    <w:rsid w:val="0B3D575C"/>
    <w:rsid w:val="0B7A2EEB"/>
    <w:rsid w:val="0BA06C23"/>
    <w:rsid w:val="0BA15CEB"/>
    <w:rsid w:val="0BB73761"/>
    <w:rsid w:val="0BC93687"/>
    <w:rsid w:val="0BF51FFC"/>
    <w:rsid w:val="0BF77F50"/>
    <w:rsid w:val="0BF83BD6"/>
    <w:rsid w:val="0C71390F"/>
    <w:rsid w:val="0C943AA2"/>
    <w:rsid w:val="0CAA0BCF"/>
    <w:rsid w:val="0CC212FB"/>
    <w:rsid w:val="0CE41E67"/>
    <w:rsid w:val="0CE73BD2"/>
    <w:rsid w:val="0CEC762F"/>
    <w:rsid w:val="0D1A5EA5"/>
    <w:rsid w:val="0D1C440B"/>
    <w:rsid w:val="0D1E7CDD"/>
    <w:rsid w:val="0D313094"/>
    <w:rsid w:val="0D394DA1"/>
    <w:rsid w:val="0D710CA8"/>
    <w:rsid w:val="0D770A73"/>
    <w:rsid w:val="0DE12FE7"/>
    <w:rsid w:val="0E39045D"/>
    <w:rsid w:val="0E406B89"/>
    <w:rsid w:val="0E484E87"/>
    <w:rsid w:val="0E5427AC"/>
    <w:rsid w:val="0E715E49"/>
    <w:rsid w:val="0E8F500F"/>
    <w:rsid w:val="0E90141A"/>
    <w:rsid w:val="0EA350A2"/>
    <w:rsid w:val="0EBD2E3C"/>
    <w:rsid w:val="0ED32660"/>
    <w:rsid w:val="0EEF1DA4"/>
    <w:rsid w:val="0EF83D8F"/>
    <w:rsid w:val="0F242EBB"/>
    <w:rsid w:val="0F4C2412"/>
    <w:rsid w:val="0F7A2ADB"/>
    <w:rsid w:val="0F8A4633"/>
    <w:rsid w:val="0FA1275E"/>
    <w:rsid w:val="0FDA7A1E"/>
    <w:rsid w:val="10394E32"/>
    <w:rsid w:val="105A4469"/>
    <w:rsid w:val="10676AB0"/>
    <w:rsid w:val="10C20BDE"/>
    <w:rsid w:val="10E723F2"/>
    <w:rsid w:val="11284A20"/>
    <w:rsid w:val="11443064"/>
    <w:rsid w:val="11BF52F4"/>
    <w:rsid w:val="11C44F5D"/>
    <w:rsid w:val="11D7395B"/>
    <w:rsid w:val="1205512F"/>
    <w:rsid w:val="120C4519"/>
    <w:rsid w:val="121511E1"/>
    <w:rsid w:val="124318AA"/>
    <w:rsid w:val="12552EF0"/>
    <w:rsid w:val="126B0BC0"/>
    <w:rsid w:val="12707901"/>
    <w:rsid w:val="127A1BF9"/>
    <w:rsid w:val="129919B5"/>
    <w:rsid w:val="12A64B0B"/>
    <w:rsid w:val="12AF6A53"/>
    <w:rsid w:val="12D65322"/>
    <w:rsid w:val="12E82452"/>
    <w:rsid w:val="132536A6"/>
    <w:rsid w:val="13345697"/>
    <w:rsid w:val="13674AC3"/>
    <w:rsid w:val="138258D6"/>
    <w:rsid w:val="13891793"/>
    <w:rsid w:val="13A35CC9"/>
    <w:rsid w:val="13BC70A7"/>
    <w:rsid w:val="13C44C6D"/>
    <w:rsid w:val="13D974E5"/>
    <w:rsid w:val="13DC3A57"/>
    <w:rsid w:val="13F43E5A"/>
    <w:rsid w:val="144B267C"/>
    <w:rsid w:val="146B3D25"/>
    <w:rsid w:val="14C8253B"/>
    <w:rsid w:val="1500155F"/>
    <w:rsid w:val="15A00DC2"/>
    <w:rsid w:val="15BE7E61"/>
    <w:rsid w:val="15F5110D"/>
    <w:rsid w:val="15F56CEF"/>
    <w:rsid w:val="160615E5"/>
    <w:rsid w:val="160E0421"/>
    <w:rsid w:val="16121BB7"/>
    <w:rsid w:val="164976AB"/>
    <w:rsid w:val="16665322"/>
    <w:rsid w:val="1669748E"/>
    <w:rsid w:val="166E5F4D"/>
    <w:rsid w:val="167364D6"/>
    <w:rsid w:val="168B56EC"/>
    <w:rsid w:val="16994825"/>
    <w:rsid w:val="16F21AF1"/>
    <w:rsid w:val="16F5788F"/>
    <w:rsid w:val="171769F8"/>
    <w:rsid w:val="17202065"/>
    <w:rsid w:val="17327988"/>
    <w:rsid w:val="1734037F"/>
    <w:rsid w:val="17B347EF"/>
    <w:rsid w:val="17FB00F1"/>
    <w:rsid w:val="18335CC0"/>
    <w:rsid w:val="183378F9"/>
    <w:rsid w:val="188249D3"/>
    <w:rsid w:val="18C63125"/>
    <w:rsid w:val="18C75DE4"/>
    <w:rsid w:val="18E06A20"/>
    <w:rsid w:val="19370BAC"/>
    <w:rsid w:val="1939583F"/>
    <w:rsid w:val="195565B3"/>
    <w:rsid w:val="197344CC"/>
    <w:rsid w:val="198B3B37"/>
    <w:rsid w:val="19A07CA7"/>
    <w:rsid w:val="19C161F3"/>
    <w:rsid w:val="19C95982"/>
    <w:rsid w:val="19EC7BA8"/>
    <w:rsid w:val="19EF5BDB"/>
    <w:rsid w:val="1A004525"/>
    <w:rsid w:val="1A241FCB"/>
    <w:rsid w:val="1A310B82"/>
    <w:rsid w:val="1A4E3052"/>
    <w:rsid w:val="1A7F369B"/>
    <w:rsid w:val="1A903AFB"/>
    <w:rsid w:val="1A90602C"/>
    <w:rsid w:val="1ABA0365"/>
    <w:rsid w:val="1ABC1FED"/>
    <w:rsid w:val="1AD75285"/>
    <w:rsid w:val="1AD812C1"/>
    <w:rsid w:val="1ADE4D29"/>
    <w:rsid w:val="1B267BA9"/>
    <w:rsid w:val="1B2B55D1"/>
    <w:rsid w:val="1B3C6CE9"/>
    <w:rsid w:val="1B7E6C63"/>
    <w:rsid w:val="1B7E7DF7"/>
    <w:rsid w:val="1B8770AD"/>
    <w:rsid w:val="1B902C3E"/>
    <w:rsid w:val="1BB12770"/>
    <w:rsid w:val="1BDB6FF7"/>
    <w:rsid w:val="1C406E5A"/>
    <w:rsid w:val="1C4B1FEE"/>
    <w:rsid w:val="1C5033CC"/>
    <w:rsid w:val="1C6902F5"/>
    <w:rsid w:val="1C803D3D"/>
    <w:rsid w:val="1C884981"/>
    <w:rsid w:val="1D5842BF"/>
    <w:rsid w:val="1D840843"/>
    <w:rsid w:val="1D95194F"/>
    <w:rsid w:val="1DAB47A7"/>
    <w:rsid w:val="1DF724F0"/>
    <w:rsid w:val="1E2A40E0"/>
    <w:rsid w:val="1E715AFF"/>
    <w:rsid w:val="1EAE3076"/>
    <w:rsid w:val="1ED67F5E"/>
    <w:rsid w:val="1EE82638"/>
    <w:rsid w:val="1EF07B2A"/>
    <w:rsid w:val="1F017AFA"/>
    <w:rsid w:val="1F0B2C80"/>
    <w:rsid w:val="1F2D15FC"/>
    <w:rsid w:val="1F3D44B2"/>
    <w:rsid w:val="1F667ECB"/>
    <w:rsid w:val="1FB951CF"/>
    <w:rsid w:val="1FD5147C"/>
    <w:rsid w:val="1FE10954"/>
    <w:rsid w:val="203062AB"/>
    <w:rsid w:val="20806EC0"/>
    <w:rsid w:val="20A50C14"/>
    <w:rsid w:val="20E06E5E"/>
    <w:rsid w:val="21023AB4"/>
    <w:rsid w:val="211C30F2"/>
    <w:rsid w:val="211C60E8"/>
    <w:rsid w:val="2127683B"/>
    <w:rsid w:val="217E219B"/>
    <w:rsid w:val="21C36564"/>
    <w:rsid w:val="21EA6571"/>
    <w:rsid w:val="21ED538F"/>
    <w:rsid w:val="220426D8"/>
    <w:rsid w:val="221042EE"/>
    <w:rsid w:val="221C2532"/>
    <w:rsid w:val="2250591D"/>
    <w:rsid w:val="225D0CCB"/>
    <w:rsid w:val="23286AB2"/>
    <w:rsid w:val="233D0F56"/>
    <w:rsid w:val="23451A39"/>
    <w:rsid w:val="23665599"/>
    <w:rsid w:val="236B19AC"/>
    <w:rsid w:val="238A41F5"/>
    <w:rsid w:val="239278A7"/>
    <w:rsid w:val="239562F1"/>
    <w:rsid w:val="23A203FB"/>
    <w:rsid w:val="23D37B9B"/>
    <w:rsid w:val="240E42D2"/>
    <w:rsid w:val="24490897"/>
    <w:rsid w:val="247B4ED4"/>
    <w:rsid w:val="24843C71"/>
    <w:rsid w:val="249146F7"/>
    <w:rsid w:val="249C4E4A"/>
    <w:rsid w:val="24A52573"/>
    <w:rsid w:val="24B30B11"/>
    <w:rsid w:val="24BE3012"/>
    <w:rsid w:val="24DE130C"/>
    <w:rsid w:val="24F957CC"/>
    <w:rsid w:val="25021151"/>
    <w:rsid w:val="251227A7"/>
    <w:rsid w:val="25471DF4"/>
    <w:rsid w:val="254F52B2"/>
    <w:rsid w:val="257368AC"/>
    <w:rsid w:val="25756B02"/>
    <w:rsid w:val="2584600A"/>
    <w:rsid w:val="258B7C20"/>
    <w:rsid w:val="25980C9B"/>
    <w:rsid w:val="25B22B40"/>
    <w:rsid w:val="25F02F12"/>
    <w:rsid w:val="25F74A2E"/>
    <w:rsid w:val="2612679A"/>
    <w:rsid w:val="262749B1"/>
    <w:rsid w:val="26374858"/>
    <w:rsid w:val="265D7770"/>
    <w:rsid w:val="2668592C"/>
    <w:rsid w:val="268C17A5"/>
    <w:rsid w:val="269B5ACF"/>
    <w:rsid w:val="26F34D34"/>
    <w:rsid w:val="272C4BAB"/>
    <w:rsid w:val="27335B41"/>
    <w:rsid w:val="27337E5F"/>
    <w:rsid w:val="277E2C99"/>
    <w:rsid w:val="27960276"/>
    <w:rsid w:val="27C46B92"/>
    <w:rsid w:val="28116243"/>
    <w:rsid w:val="28552C3D"/>
    <w:rsid w:val="285D2B42"/>
    <w:rsid w:val="28612908"/>
    <w:rsid w:val="288D7E99"/>
    <w:rsid w:val="28A55563"/>
    <w:rsid w:val="28EC45F2"/>
    <w:rsid w:val="28ED2347"/>
    <w:rsid w:val="290A2CCA"/>
    <w:rsid w:val="29183639"/>
    <w:rsid w:val="291B32DF"/>
    <w:rsid w:val="29312D26"/>
    <w:rsid w:val="293B383D"/>
    <w:rsid w:val="29695C42"/>
    <w:rsid w:val="29746395"/>
    <w:rsid w:val="29986528"/>
    <w:rsid w:val="29F85218"/>
    <w:rsid w:val="29FB3F81"/>
    <w:rsid w:val="2A321DA8"/>
    <w:rsid w:val="2A3540A6"/>
    <w:rsid w:val="2A913BE9"/>
    <w:rsid w:val="2AA138C8"/>
    <w:rsid w:val="2AB63109"/>
    <w:rsid w:val="2AC31382"/>
    <w:rsid w:val="2AEF2177"/>
    <w:rsid w:val="2AF858C0"/>
    <w:rsid w:val="2B135955"/>
    <w:rsid w:val="2B1A46C4"/>
    <w:rsid w:val="2B255B99"/>
    <w:rsid w:val="2B502323"/>
    <w:rsid w:val="2B9E594C"/>
    <w:rsid w:val="2BA6600C"/>
    <w:rsid w:val="2BB138D1"/>
    <w:rsid w:val="2BC84B7C"/>
    <w:rsid w:val="2C6646BB"/>
    <w:rsid w:val="2C6C77F8"/>
    <w:rsid w:val="2C6D5A4A"/>
    <w:rsid w:val="2C6E531E"/>
    <w:rsid w:val="2C715A5D"/>
    <w:rsid w:val="2CA23219"/>
    <w:rsid w:val="2CBD34B5"/>
    <w:rsid w:val="2CE11346"/>
    <w:rsid w:val="2CFC0B7C"/>
    <w:rsid w:val="2D1E6D44"/>
    <w:rsid w:val="2D2E123C"/>
    <w:rsid w:val="2D412A32"/>
    <w:rsid w:val="2D7125D2"/>
    <w:rsid w:val="2DB07B81"/>
    <w:rsid w:val="2DD60BBC"/>
    <w:rsid w:val="2DDC6E75"/>
    <w:rsid w:val="2DDD6764"/>
    <w:rsid w:val="2DE24215"/>
    <w:rsid w:val="2DF126AA"/>
    <w:rsid w:val="2DFA159A"/>
    <w:rsid w:val="2E007DD5"/>
    <w:rsid w:val="2E151E3B"/>
    <w:rsid w:val="2E3305CD"/>
    <w:rsid w:val="2E654321"/>
    <w:rsid w:val="2E7262E3"/>
    <w:rsid w:val="2E774CB7"/>
    <w:rsid w:val="2EA0024E"/>
    <w:rsid w:val="2EC102CF"/>
    <w:rsid w:val="2EDD4E21"/>
    <w:rsid w:val="2F002AF1"/>
    <w:rsid w:val="2F1E2C31"/>
    <w:rsid w:val="2F280850"/>
    <w:rsid w:val="2F3C1703"/>
    <w:rsid w:val="2F42195A"/>
    <w:rsid w:val="2F7B4FA2"/>
    <w:rsid w:val="2F912405"/>
    <w:rsid w:val="2F9F5050"/>
    <w:rsid w:val="2FF736DF"/>
    <w:rsid w:val="30261EF2"/>
    <w:rsid w:val="302B3FFF"/>
    <w:rsid w:val="3035256F"/>
    <w:rsid w:val="30370042"/>
    <w:rsid w:val="303F44AC"/>
    <w:rsid w:val="304A388A"/>
    <w:rsid w:val="30647999"/>
    <w:rsid w:val="306A602F"/>
    <w:rsid w:val="308876DF"/>
    <w:rsid w:val="30B1780A"/>
    <w:rsid w:val="31121908"/>
    <w:rsid w:val="311517A5"/>
    <w:rsid w:val="31195DC3"/>
    <w:rsid w:val="313C62A9"/>
    <w:rsid w:val="315149B9"/>
    <w:rsid w:val="317F3D49"/>
    <w:rsid w:val="31894A5B"/>
    <w:rsid w:val="31A066B4"/>
    <w:rsid w:val="31A6590C"/>
    <w:rsid w:val="31B2784E"/>
    <w:rsid w:val="31BC1251"/>
    <w:rsid w:val="31CD2AE7"/>
    <w:rsid w:val="31D65E3F"/>
    <w:rsid w:val="31DC56CD"/>
    <w:rsid w:val="31FE5396"/>
    <w:rsid w:val="32554A7A"/>
    <w:rsid w:val="32BA2E92"/>
    <w:rsid w:val="32CB46AD"/>
    <w:rsid w:val="32EF09BF"/>
    <w:rsid w:val="32F26E9A"/>
    <w:rsid w:val="32FA3DAF"/>
    <w:rsid w:val="3301658F"/>
    <w:rsid w:val="3350577D"/>
    <w:rsid w:val="33AF19FD"/>
    <w:rsid w:val="33DF1012"/>
    <w:rsid w:val="33E775C7"/>
    <w:rsid w:val="33EE0253"/>
    <w:rsid w:val="34484F20"/>
    <w:rsid w:val="346A6D13"/>
    <w:rsid w:val="347C2B5F"/>
    <w:rsid w:val="34AD35BF"/>
    <w:rsid w:val="34CF1DAC"/>
    <w:rsid w:val="34DD6B75"/>
    <w:rsid w:val="34FA0097"/>
    <w:rsid w:val="35072BEA"/>
    <w:rsid w:val="350C6869"/>
    <w:rsid w:val="35470B97"/>
    <w:rsid w:val="354C01C6"/>
    <w:rsid w:val="35C91817"/>
    <w:rsid w:val="360F6BD4"/>
    <w:rsid w:val="366C2690"/>
    <w:rsid w:val="3676327B"/>
    <w:rsid w:val="369479C4"/>
    <w:rsid w:val="36CB0D6B"/>
    <w:rsid w:val="36DD557A"/>
    <w:rsid w:val="36FD79CA"/>
    <w:rsid w:val="37020D8A"/>
    <w:rsid w:val="370B6998"/>
    <w:rsid w:val="37230E7F"/>
    <w:rsid w:val="37D8041F"/>
    <w:rsid w:val="37DD09A1"/>
    <w:rsid w:val="38353194"/>
    <w:rsid w:val="383E3DAE"/>
    <w:rsid w:val="386F1B9A"/>
    <w:rsid w:val="38733858"/>
    <w:rsid w:val="38882D10"/>
    <w:rsid w:val="38A071A7"/>
    <w:rsid w:val="38BF7433"/>
    <w:rsid w:val="38D00D16"/>
    <w:rsid w:val="38D90506"/>
    <w:rsid w:val="38F51A62"/>
    <w:rsid w:val="38FF4C8D"/>
    <w:rsid w:val="390C0CA3"/>
    <w:rsid w:val="39174945"/>
    <w:rsid w:val="39641F82"/>
    <w:rsid w:val="39C12584"/>
    <w:rsid w:val="39CD28CD"/>
    <w:rsid w:val="39CD30F0"/>
    <w:rsid w:val="39D31AAB"/>
    <w:rsid w:val="39DC7D6B"/>
    <w:rsid w:val="3ACD609D"/>
    <w:rsid w:val="3AD53A5F"/>
    <w:rsid w:val="3AF10079"/>
    <w:rsid w:val="3AFE1FBE"/>
    <w:rsid w:val="3B021A92"/>
    <w:rsid w:val="3B1B2CE6"/>
    <w:rsid w:val="3B2B4B02"/>
    <w:rsid w:val="3B615FCE"/>
    <w:rsid w:val="3B6224F2"/>
    <w:rsid w:val="3B862684"/>
    <w:rsid w:val="3BAA5C47"/>
    <w:rsid w:val="3BAD5A4F"/>
    <w:rsid w:val="3BAF3006"/>
    <w:rsid w:val="3BCC2061"/>
    <w:rsid w:val="3C1C24AF"/>
    <w:rsid w:val="3C513AEB"/>
    <w:rsid w:val="3C8D62D5"/>
    <w:rsid w:val="3C8F5568"/>
    <w:rsid w:val="3C906A00"/>
    <w:rsid w:val="3C925059"/>
    <w:rsid w:val="3CC33464"/>
    <w:rsid w:val="3CE04E71"/>
    <w:rsid w:val="3D110F6E"/>
    <w:rsid w:val="3D463709"/>
    <w:rsid w:val="3D595B76"/>
    <w:rsid w:val="3D6F7148"/>
    <w:rsid w:val="3D7C7D5A"/>
    <w:rsid w:val="3DD37420"/>
    <w:rsid w:val="3DD46076"/>
    <w:rsid w:val="3DD671C7"/>
    <w:rsid w:val="3DE43692"/>
    <w:rsid w:val="3E2660A7"/>
    <w:rsid w:val="3E342D63"/>
    <w:rsid w:val="3E35044A"/>
    <w:rsid w:val="3E500D27"/>
    <w:rsid w:val="3ECB6BB2"/>
    <w:rsid w:val="3ED54CA3"/>
    <w:rsid w:val="3EDC5BD1"/>
    <w:rsid w:val="3F0B2EA0"/>
    <w:rsid w:val="3F3360F1"/>
    <w:rsid w:val="3F422D66"/>
    <w:rsid w:val="3F571FF2"/>
    <w:rsid w:val="3F680870"/>
    <w:rsid w:val="3FA83606"/>
    <w:rsid w:val="3FFB177B"/>
    <w:rsid w:val="40146D81"/>
    <w:rsid w:val="40354679"/>
    <w:rsid w:val="4037219F"/>
    <w:rsid w:val="40635C59"/>
    <w:rsid w:val="407C22A8"/>
    <w:rsid w:val="407E66AD"/>
    <w:rsid w:val="40866C82"/>
    <w:rsid w:val="40C34607"/>
    <w:rsid w:val="40D63A95"/>
    <w:rsid w:val="40F40090"/>
    <w:rsid w:val="40F8287F"/>
    <w:rsid w:val="413B7A6D"/>
    <w:rsid w:val="41432958"/>
    <w:rsid w:val="416879D1"/>
    <w:rsid w:val="419C0D67"/>
    <w:rsid w:val="41B45D97"/>
    <w:rsid w:val="41B81009"/>
    <w:rsid w:val="41B8730F"/>
    <w:rsid w:val="41F235E8"/>
    <w:rsid w:val="420A301F"/>
    <w:rsid w:val="424857F7"/>
    <w:rsid w:val="42E867BF"/>
    <w:rsid w:val="43290899"/>
    <w:rsid w:val="434A3256"/>
    <w:rsid w:val="435B5052"/>
    <w:rsid w:val="43615785"/>
    <w:rsid w:val="438F1AD4"/>
    <w:rsid w:val="44680760"/>
    <w:rsid w:val="44721E6E"/>
    <w:rsid w:val="447514E8"/>
    <w:rsid w:val="447F7EA6"/>
    <w:rsid w:val="4489178C"/>
    <w:rsid w:val="44962078"/>
    <w:rsid w:val="44E73C4D"/>
    <w:rsid w:val="450E5B4A"/>
    <w:rsid w:val="450F0E77"/>
    <w:rsid w:val="45266E38"/>
    <w:rsid w:val="452A1E56"/>
    <w:rsid w:val="45932632"/>
    <w:rsid w:val="459D6676"/>
    <w:rsid w:val="45C03600"/>
    <w:rsid w:val="462736C9"/>
    <w:rsid w:val="464C6C5A"/>
    <w:rsid w:val="464D5103"/>
    <w:rsid w:val="46641814"/>
    <w:rsid w:val="46875FD9"/>
    <w:rsid w:val="469B0FAE"/>
    <w:rsid w:val="46B50E20"/>
    <w:rsid w:val="46CC1F42"/>
    <w:rsid w:val="46D422A2"/>
    <w:rsid w:val="46DD599B"/>
    <w:rsid w:val="46E01A96"/>
    <w:rsid w:val="46F431BC"/>
    <w:rsid w:val="472A5F3F"/>
    <w:rsid w:val="47641563"/>
    <w:rsid w:val="47841A42"/>
    <w:rsid w:val="47855EE6"/>
    <w:rsid w:val="47887784"/>
    <w:rsid w:val="47BA4DA1"/>
    <w:rsid w:val="47BC567F"/>
    <w:rsid w:val="47EF7803"/>
    <w:rsid w:val="482F1AC9"/>
    <w:rsid w:val="48633A6E"/>
    <w:rsid w:val="48B60321"/>
    <w:rsid w:val="48BA4575"/>
    <w:rsid w:val="48EB286A"/>
    <w:rsid w:val="491B617C"/>
    <w:rsid w:val="491C4914"/>
    <w:rsid w:val="49600AD6"/>
    <w:rsid w:val="496B2440"/>
    <w:rsid w:val="49754BD6"/>
    <w:rsid w:val="4992080C"/>
    <w:rsid w:val="49B318C5"/>
    <w:rsid w:val="49D61562"/>
    <w:rsid w:val="49E05655"/>
    <w:rsid w:val="49F37065"/>
    <w:rsid w:val="4A1470AD"/>
    <w:rsid w:val="4A3D7041"/>
    <w:rsid w:val="4A4D25BF"/>
    <w:rsid w:val="4A7B4A3A"/>
    <w:rsid w:val="4A87148D"/>
    <w:rsid w:val="4ACE0C3C"/>
    <w:rsid w:val="4AE858D8"/>
    <w:rsid w:val="4B167C78"/>
    <w:rsid w:val="4B8169B9"/>
    <w:rsid w:val="4BC47C66"/>
    <w:rsid w:val="4BF6210B"/>
    <w:rsid w:val="4BFB61DC"/>
    <w:rsid w:val="4C1B2C4B"/>
    <w:rsid w:val="4C1C493F"/>
    <w:rsid w:val="4C21086B"/>
    <w:rsid w:val="4C227A9B"/>
    <w:rsid w:val="4C717595"/>
    <w:rsid w:val="4C742B81"/>
    <w:rsid w:val="4C7D78BC"/>
    <w:rsid w:val="4CA15422"/>
    <w:rsid w:val="4CAC5CC3"/>
    <w:rsid w:val="4CCD7017"/>
    <w:rsid w:val="4CDE5B89"/>
    <w:rsid w:val="4D195D9B"/>
    <w:rsid w:val="4DB30240"/>
    <w:rsid w:val="4DE478F9"/>
    <w:rsid w:val="4DF23BA9"/>
    <w:rsid w:val="4DFA3F65"/>
    <w:rsid w:val="4E1C6034"/>
    <w:rsid w:val="4E4540C4"/>
    <w:rsid w:val="4E9C5E27"/>
    <w:rsid w:val="4EAD640F"/>
    <w:rsid w:val="4ECD1F20"/>
    <w:rsid w:val="4EDF7277"/>
    <w:rsid w:val="4EE71234"/>
    <w:rsid w:val="4EEA4880"/>
    <w:rsid w:val="4EED278B"/>
    <w:rsid w:val="4F0143CF"/>
    <w:rsid w:val="4F0F0073"/>
    <w:rsid w:val="4F5774DC"/>
    <w:rsid w:val="4F5F0DCA"/>
    <w:rsid w:val="4F6E0572"/>
    <w:rsid w:val="4FBF7ABB"/>
    <w:rsid w:val="4FCD7475"/>
    <w:rsid w:val="4FD66B27"/>
    <w:rsid w:val="4FDE77A3"/>
    <w:rsid w:val="4FE13ED5"/>
    <w:rsid w:val="5012408F"/>
    <w:rsid w:val="50291D56"/>
    <w:rsid w:val="503E2125"/>
    <w:rsid w:val="50694E26"/>
    <w:rsid w:val="50AC3A48"/>
    <w:rsid w:val="50AD025B"/>
    <w:rsid w:val="50DA5903"/>
    <w:rsid w:val="50EA4F33"/>
    <w:rsid w:val="51013CBA"/>
    <w:rsid w:val="51176CFE"/>
    <w:rsid w:val="51257DF2"/>
    <w:rsid w:val="514205CA"/>
    <w:rsid w:val="514E3339"/>
    <w:rsid w:val="51537C0B"/>
    <w:rsid w:val="516E79EA"/>
    <w:rsid w:val="51A62CB4"/>
    <w:rsid w:val="51B223FE"/>
    <w:rsid w:val="51D27F79"/>
    <w:rsid w:val="51EC29AA"/>
    <w:rsid w:val="52181704"/>
    <w:rsid w:val="522651AE"/>
    <w:rsid w:val="522720DE"/>
    <w:rsid w:val="522B1280"/>
    <w:rsid w:val="522C710D"/>
    <w:rsid w:val="52A64F62"/>
    <w:rsid w:val="52BF535C"/>
    <w:rsid w:val="52C50BE9"/>
    <w:rsid w:val="534824AE"/>
    <w:rsid w:val="535C4B41"/>
    <w:rsid w:val="536D0343"/>
    <w:rsid w:val="53762E6A"/>
    <w:rsid w:val="5385101B"/>
    <w:rsid w:val="53905366"/>
    <w:rsid w:val="53BC2C8F"/>
    <w:rsid w:val="53C929DC"/>
    <w:rsid w:val="53E36B3D"/>
    <w:rsid w:val="53F266B1"/>
    <w:rsid w:val="54624EB9"/>
    <w:rsid w:val="548D5F33"/>
    <w:rsid w:val="54C21174"/>
    <w:rsid w:val="54C550B9"/>
    <w:rsid w:val="54CE74AF"/>
    <w:rsid w:val="54E63D3C"/>
    <w:rsid w:val="54F142BD"/>
    <w:rsid w:val="54FD6DDC"/>
    <w:rsid w:val="54FD7F7A"/>
    <w:rsid w:val="55760388"/>
    <w:rsid w:val="559D089E"/>
    <w:rsid w:val="55B23D90"/>
    <w:rsid w:val="55E9250B"/>
    <w:rsid w:val="55EB6C16"/>
    <w:rsid w:val="56027A65"/>
    <w:rsid w:val="56226FF5"/>
    <w:rsid w:val="564C244B"/>
    <w:rsid w:val="565371AF"/>
    <w:rsid w:val="56574EF1"/>
    <w:rsid w:val="56582A17"/>
    <w:rsid w:val="565D5C10"/>
    <w:rsid w:val="56747BA1"/>
    <w:rsid w:val="568B64F5"/>
    <w:rsid w:val="56BC1DA6"/>
    <w:rsid w:val="56D32F17"/>
    <w:rsid w:val="56F02C50"/>
    <w:rsid w:val="576D42A0"/>
    <w:rsid w:val="57AB6FAD"/>
    <w:rsid w:val="57AF19D1"/>
    <w:rsid w:val="57AF2B0B"/>
    <w:rsid w:val="57AF4D97"/>
    <w:rsid w:val="57D7526E"/>
    <w:rsid w:val="57EB20B3"/>
    <w:rsid w:val="580E7831"/>
    <w:rsid w:val="58443F53"/>
    <w:rsid w:val="5895387B"/>
    <w:rsid w:val="58976783"/>
    <w:rsid w:val="58B70212"/>
    <w:rsid w:val="58BA3515"/>
    <w:rsid w:val="58C31833"/>
    <w:rsid w:val="58C61EBA"/>
    <w:rsid w:val="58D42A10"/>
    <w:rsid w:val="58F93350"/>
    <w:rsid w:val="5903310E"/>
    <w:rsid w:val="593E00D2"/>
    <w:rsid w:val="59A00172"/>
    <w:rsid w:val="59A24506"/>
    <w:rsid w:val="59B435AB"/>
    <w:rsid w:val="59CE54CA"/>
    <w:rsid w:val="59D81662"/>
    <w:rsid w:val="59F97DC2"/>
    <w:rsid w:val="5A3115B5"/>
    <w:rsid w:val="5A501EB0"/>
    <w:rsid w:val="5A5359CF"/>
    <w:rsid w:val="5A581238"/>
    <w:rsid w:val="5A585267"/>
    <w:rsid w:val="5A9234A3"/>
    <w:rsid w:val="5A93726B"/>
    <w:rsid w:val="5A9776E6"/>
    <w:rsid w:val="5B0B5439"/>
    <w:rsid w:val="5B1C7676"/>
    <w:rsid w:val="5B37029C"/>
    <w:rsid w:val="5B3C6463"/>
    <w:rsid w:val="5B4A1A7A"/>
    <w:rsid w:val="5B5C0FA9"/>
    <w:rsid w:val="5B7A7C08"/>
    <w:rsid w:val="5B7C71A8"/>
    <w:rsid w:val="5B976EE8"/>
    <w:rsid w:val="5BC3635B"/>
    <w:rsid w:val="5BDB6C3E"/>
    <w:rsid w:val="5BF016EC"/>
    <w:rsid w:val="5BF91A82"/>
    <w:rsid w:val="5C07560D"/>
    <w:rsid w:val="5C17130E"/>
    <w:rsid w:val="5C386E13"/>
    <w:rsid w:val="5C6576E3"/>
    <w:rsid w:val="5C6A4366"/>
    <w:rsid w:val="5C71703C"/>
    <w:rsid w:val="5C7E1F0B"/>
    <w:rsid w:val="5C89392A"/>
    <w:rsid w:val="5C910A31"/>
    <w:rsid w:val="5CC42BB4"/>
    <w:rsid w:val="5CEB32F5"/>
    <w:rsid w:val="5CF50FC0"/>
    <w:rsid w:val="5D30539F"/>
    <w:rsid w:val="5D66145A"/>
    <w:rsid w:val="5DC845C7"/>
    <w:rsid w:val="5DCC4B33"/>
    <w:rsid w:val="5E127E29"/>
    <w:rsid w:val="5E1A599B"/>
    <w:rsid w:val="5E1E00A2"/>
    <w:rsid w:val="5E27164D"/>
    <w:rsid w:val="5E306E17"/>
    <w:rsid w:val="5E3616DE"/>
    <w:rsid w:val="5E376A3C"/>
    <w:rsid w:val="5E5166CA"/>
    <w:rsid w:val="5E7D2FED"/>
    <w:rsid w:val="5E98499F"/>
    <w:rsid w:val="5E9C374B"/>
    <w:rsid w:val="5EE52652"/>
    <w:rsid w:val="5EFE1B83"/>
    <w:rsid w:val="5F06422B"/>
    <w:rsid w:val="5F226FE9"/>
    <w:rsid w:val="5F3F3F76"/>
    <w:rsid w:val="5F7F2DC3"/>
    <w:rsid w:val="5FEB6932"/>
    <w:rsid w:val="60014881"/>
    <w:rsid w:val="60257358"/>
    <w:rsid w:val="60522D72"/>
    <w:rsid w:val="60E2116F"/>
    <w:rsid w:val="60E406F3"/>
    <w:rsid w:val="60E530F9"/>
    <w:rsid w:val="61113C76"/>
    <w:rsid w:val="612561BE"/>
    <w:rsid w:val="613C660B"/>
    <w:rsid w:val="61555BFA"/>
    <w:rsid w:val="618446C0"/>
    <w:rsid w:val="61A44D62"/>
    <w:rsid w:val="61AE798F"/>
    <w:rsid w:val="61B054B5"/>
    <w:rsid w:val="61C4588C"/>
    <w:rsid w:val="61F46E71"/>
    <w:rsid w:val="62944DD7"/>
    <w:rsid w:val="62AA4279"/>
    <w:rsid w:val="62FC2355"/>
    <w:rsid w:val="63BC1A40"/>
    <w:rsid w:val="64177A6E"/>
    <w:rsid w:val="642171BD"/>
    <w:rsid w:val="642C11DE"/>
    <w:rsid w:val="643B276C"/>
    <w:rsid w:val="6497295D"/>
    <w:rsid w:val="649B3DE2"/>
    <w:rsid w:val="64FD5929"/>
    <w:rsid w:val="65053261"/>
    <w:rsid w:val="65B80B66"/>
    <w:rsid w:val="65BD63F3"/>
    <w:rsid w:val="65D55BB1"/>
    <w:rsid w:val="660F30F2"/>
    <w:rsid w:val="66160B21"/>
    <w:rsid w:val="662773B0"/>
    <w:rsid w:val="666D7E19"/>
    <w:rsid w:val="668E1311"/>
    <w:rsid w:val="669F3BF2"/>
    <w:rsid w:val="66B912B0"/>
    <w:rsid w:val="66CD6B09"/>
    <w:rsid w:val="66E62B15"/>
    <w:rsid w:val="66EF4456"/>
    <w:rsid w:val="67034BEB"/>
    <w:rsid w:val="67170922"/>
    <w:rsid w:val="67282DFB"/>
    <w:rsid w:val="673B1704"/>
    <w:rsid w:val="677156E7"/>
    <w:rsid w:val="67BD1D4E"/>
    <w:rsid w:val="67C357D0"/>
    <w:rsid w:val="67E46F50"/>
    <w:rsid w:val="68104F00"/>
    <w:rsid w:val="683066A1"/>
    <w:rsid w:val="68790CF7"/>
    <w:rsid w:val="68823D68"/>
    <w:rsid w:val="68954EFF"/>
    <w:rsid w:val="68AB7066"/>
    <w:rsid w:val="68D63571"/>
    <w:rsid w:val="68D7303D"/>
    <w:rsid w:val="68DC1286"/>
    <w:rsid w:val="69006772"/>
    <w:rsid w:val="69823BDB"/>
    <w:rsid w:val="698B3309"/>
    <w:rsid w:val="69AA4EE0"/>
    <w:rsid w:val="69B61AD7"/>
    <w:rsid w:val="69DC4191"/>
    <w:rsid w:val="6A0C42B1"/>
    <w:rsid w:val="6A316C25"/>
    <w:rsid w:val="6A5437CA"/>
    <w:rsid w:val="6A5E76C5"/>
    <w:rsid w:val="6A6F4DA2"/>
    <w:rsid w:val="6A7E1939"/>
    <w:rsid w:val="6A8519B6"/>
    <w:rsid w:val="6ADA17F5"/>
    <w:rsid w:val="6AE06149"/>
    <w:rsid w:val="6AE61F48"/>
    <w:rsid w:val="6B016DA4"/>
    <w:rsid w:val="6B453107"/>
    <w:rsid w:val="6B4F3718"/>
    <w:rsid w:val="6B517D09"/>
    <w:rsid w:val="6BC90E06"/>
    <w:rsid w:val="6BE903ED"/>
    <w:rsid w:val="6C315C9B"/>
    <w:rsid w:val="6C655F8D"/>
    <w:rsid w:val="6C6E389D"/>
    <w:rsid w:val="6C8A0C24"/>
    <w:rsid w:val="6C8F5E38"/>
    <w:rsid w:val="6CAC6598"/>
    <w:rsid w:val="6CCC52EE"/>
    <w:rsid w:val="6CDD463E"/>
    <w:rsid w:val="6CE801F9"/>
    <w:rsid w:val="6CE92FCF"/>
    <w:rsid w:val="6D205BE5"/>
    <w:rsid w:val="6D652FDF"/>
    <w:rsid w:val="6D8450BF"/>
    <w:rsid w:val="6D865144"/>
    <w:rsid w:val="6DDB5E75"/>
    <w:rsid w:val="6DF143BA"/>
    <w:rsid w:val="6E0F44EC"/>
    <w:rsid w:val="6E26635A"/>
    <w:rsid w:val="6E292B76"/>
    <w:rsid w:val="6E354CD7"/>
    <w:rsid w:val="6E3C4D68"/>
    <w:rsid w:val="6E3E0F9E"/>
    <w:rsid w:val="6E3F02ED"/>
    <w:rsid w:val="6E5D4C17"/>
    <w:rsid w:val="6EB72579"/>
    <w:rsid w:val="6EB76354"/>
    <w:rsid w:val="6EDA0016"/>
    <w:rsid w:val="6EE50D71"/>
    <w:rsid w:val="6F1352D6"/>
    <w:rsid w:val="6F3215DB"/>
    <w:rsid w:val="6F7F4125"/>
    <w:rsid w:val="6F8A1A3C"/>
    <w:rsid w:val="6F8F2BAE"/>
    <w:rsid w:val="6FC14C19"/>
    <w:rsid w:val="6FFCA431"/>
    <w:rsid w:val="701D7844"/>
    <w:rsid w:val="704D4675"/>
    <w:rsid w:val="704F233D"/>
    <w:rsid w:val="707128CC"/>
    <w:rsid w:val="708E2E1C"/>
    <w:rsid w:val="709D579F"/>
    <w:rsid w:val="70A15D47"/>
    <w:rsid w:val="70A4574D"/>
    <w:rsid w:val="70D3077D"/>
    <w:rsid w:val="70DA3DEC"/>
    <w:rsid w:val="7104581E"/>
    <w:rsid w:val="71202DBA"/>
    <w:rsid w:val="7121430A"/>
    <w:rsid w:val="716B400E"/>
    <w:rsid w:val="71A14D48"/>
    <w:rsid w:val="71B71FD5"/>
    <w:rsid w:val="71D21E68"/>
    <w:rsid w:val="71F51BC6"/>
    <w:rsid w:val="71F64E2E"/>
    <w:rsid w:val="72071122"/>
    <w:rsid w:val="720A46D2"/>
    <w:rsid w:val="724B2D4D"/>
    <w:rsid w:val="725B321B"/>
    <w:rsid w:val="7261086B"/>
    <w:rsid w:val="726271FA"/>
    <w:rsid w:val="728A2A05"/>
    <w:rsid w:val="728C444A"/>
    <w:rsid w:val="72CF520C"/>
    <w:rsid w:val="72F9061E"/>
    <w:rsid w:val="733C11D9"/>
    <w:rsid w:val="736237DA"/>
    <w:rsid w:val="7367224C"/>
    <w:rsid w:val="73722184"/>
    <w:rsid w:val="73C25BA4"/>
    <w:rsid w:val="73C80D84"/>
    <w:rsid w:val="73F35BC7"/>
    <w:rsid w:val="74360EC5"/>
    <w:rsid w:val="74406B6D"/>
    <w:rsid w:val="744877CF"/>
    <w:rsid w:val="74577B2E"/>
    <w:rsid w:val="74730CF0"/>
    <w:rsid w:val="74831C9D"/>
    <w:rsid w:val="7483523C"/>
    <w:rsid w:val="74936FEA"/>
    <w:rsid w:val="749C465C"/>
    <w:rsid w:val="74C07CAE"/>
    <w:rsid w:val="74C94DB4"/>
    <w:rsid w:val="750A3856"/>
    <w:rsid w:val="75156306"/>
    <w:rsid w:val="751D031B"/>
    <w:rsid w:val="753C7D85"/>
    <w:rsid w:val="759213EA"/>
    <w:rsid w:val="75A66D7D"/>
    <w:rsid w:val="75C279B8"/>
    <w:rsid w:val="75D501C9"/>
    <w:rsid w:val="75DB70DC"/>
    <w:rsid w:val="75F13615"/>
    <w:rsid w:val="761958C7"/>
    <w:rsid w:val="762072BD"/>
    <w:rsid w:val="76213545"/>
    <w:rsid w:val="76391AC6"/>
    <w:rsid w:val="768A3AD2"/>
    <w:rsid w:val="769A6A08"/>
    <w:rsid w:val="76EB3411"/>
    <w:rsid w:val="76F96058"/>
    <w:rsid w:val="771D4568"/>
    <w:rsid w:val="77291B3A"/>
    <w:rsid w:val="772B19CE"/>
    <w:rsid w:val="777F2584"/>
    <w:rsid w:val="77DD1031"/>
    <w:rsid w:val="77F31DC8"/>
    <w:rsid w:val="77FC7352"/>
    <w:rsid w:val="781E71C5"/>
    <w:rsid w:val="785506C7"/>
    <w:rsid w:val="785D6A0E"/>
    <w:rsid w:val="78650950"/>
    <w:rsid w:val="789A5517"/>
    <w:rsid w:val="78A21BA4"/>
    <w:rsid w:val="792D7A1C"/>
    <w:rsid w:val="79404F19"/>
    <w:rsid w:val="795A005C"/>
    <w:rsid w:val="798219D5"/>
    <w:rsid w:val="799C7093"/>
    <w:rsid w:val="79BC4EE7"/>
    <w:rsid w:val="79E1188C"/>
    <w:rsid w:val="7A1B7ACF"/>
    <w:rsid w:val="7A2B3416"/>
    <w:rsid w:val="7A4F0FAC"/>
    <w:rsid w:val="7A672624"/>
    <w:rsid w:val="7A9F110E"/>
    <w:rsid w:val="7ABB0DE2"/>
    <w:rsid w:val="7AC06311"/>
    <w:rsid w:val="7B25086A"/>
    <w:rsid w:val="7B3E48AE"/>
    <w:rsid w:val="7B5F29FC"/>
    <w:rsid w:val="7B9A3006"/>
    <w:rsid w:val="7BB84A57"/>
    <w:rsid w:val="7C0043D4"/>
    <w:rsid w:val="7C0E06C1"/>
    <w:rsid w:val="7C606F46"/>
    <w:rsid w:val="7C635AEE"/>
    <w:rsid w:val="7C705B26"/>
    <w:rsid w:val="7C9035A6"/>
    <w:rsid w:val="7C912C3C"/>
    <w:rsid w:val="7C982B53"/>
    <w:rsid w:val="7CAC38A6"/>
    <w:rsid w:val="7CBB76D8"/>
    <w:rsid w:val="7CFC6AAB"/>
    <w:rsid w:val="7D1E37C3"/>
    <w:rsid w:val="7D415593"/>
    <w:rsid w:val="7D744CAA"/>
    <w:rsid w:val="7D7D17E3"/>
    <w:rsid w:val="7D8933C5"/>
    <w:rsid w:val="7DAD38C6"/>
    <w:rsid w:val="7DF34C50"/>
    <w:rsid w:val="7E192908"/>
    <w:rsid w:val="7E7062A0"/>
    <w:rsid w:val="7E823FF9"/>
    <w:rsid w:val="7E862BD4"/>
    <w:rsid w:val="7EA85A3A"/>
    <w:rsid w:val="7EAF0B77"/>
    <w:rsid w:val="7ECA167F"/>
    <w:rsid w:val="7EE767C9"/>
    <w:rsid w:val="7EF5451B"/>
    <w:rsid w:val="7F201A75"/>
    <w:rsid w:val="7F482E24"/>
    <w:rsid w:val="7F5369A6"/>
    <w:rsid w:val="7F587460"/>
    <w:rsid w:val="7F9514CD"/>
    <w:rsid w:val="7FAC0F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List Number"/>
    <w:basedOn w:val="1"/>
    <w:next w:val="9"/>
    <w:qFormat/>
    <w:uiPriority w:val="0"/>
    <w:pPr>
      <w:numPr>
        <w:ilvl w:val="0"/>
        <w:numId w:val="2"/>
      </w:numPr>
    </w:pPr>
  </w:style>
  <w:style w:type="paragraph" w:styleId="9">
    <w:name w:val="Balloon Text"/>
    <w:basedOn w:val="1"/>
    <w:next w:val="10"/>
    <w:link w:val="56"/>
    <w:qFormat/>
    <w:uiPriority w:val="0"/>
    <w:rPr>
      <w:sz w:val="18"/>
      <w:szCs w:val="18"/>
    </w:rPr>
  </w:style>
  <w:style w:type="paragraph" w:styleId="10">
    <w:name w:val="toc 8"/>
    <w:basedOn w:val="1"/>
    <w:next w:val="1"/>
    <w:semiHidden/>
    <w:qFormat/>
    <w:uiPriority w:val="0"/>
    <w:pPr>
      <w:spacing w:afterLines="50"/>
      <w:ind w:left="1470"/>
      <w:jc w:val="left"/>
    </w:pPr>
    <w:rPr>
      <w:snapToGrid w:val="0"/>
      <w:kern w:val="0"/>
      <w:sz w:val="18"/>
      <w:szCs w:val="18"/>
    </w:rPr>
  </w:style>
  <w:style w:type="paragraph" w:styleId="11">
    <w:name w:val="Normal Indent"/>
    <w:basedOn w:val="1"/>
    <w:link w:val="82"/>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link w:val="80"/>
    <w:qFormat/>
    <w:uiPriority w:val="99"/>
    <w:pPr>
      <w:jc w:val="left"/>
    </w:pPr>
  </w:style>
  <w:style w:type="paragraph" w:styleId="14">
    <w:name w:val="Body Text"/>
    <w:basedOn w:val="1"/>
    <w:next w:val="1"/>
    <w:qFormat/>
    <w:uiPriority w:val="99"/>
    <w:pPr>
      <w:autoSpaceDE w:val="0"/>
      <w:autoSpaceDN w:val="0"/>
      <w:adjustRightInd w:val="0"/>
      <w:spacing w:line="360" w:lineRule="auto"/>
    </w:pPr>
    <w:rPr>
      <w:rFonts w:ascii="宋体" w:hAnsi="Arial" w:cs="Arial"/>
      <w:snapToGrid w:val="0"/>
      <w:sz w:val="24"/>
      <w:szCs w:val="21"/>
      <w:lang w:val="zh-CN"/>
    </w:rPr>
  </w:style>
  <w:style w:type="paragraph" w:styleId="15">
    <w:name w:val="Body Text Indent"/>
    <w:basedOn w:val="1"/>
    <w:qFormat/>
    <w:uiPriority w:val="0"/>
    <w:pPr>
      <w:spacing w:line="480" w:lineRule="exact"/>
      <w:ind w:firstLine="480" w:firstLineChars="200"/>
    </w:pPr>
    <w:rPr>
      <w:rFonts w:ascii="宋体" w:hAnsi="宋体"/>
      <w:sz w:val="24"/>
    </w:rPr>
  </w:style>
  <w:style w:type="paragraph" w:styleId="16">
    <w:name w:val="Plain Text"/>
    <w:basedOn w:val="1"/>
    <w:next w:val="1"/>
    <w:qFormat/>
    <w:uiPriority w:val="0"/>
    <w:rPr>
      <w:rFonts w:ascii="宋体" w:hAnsi="Courier New"/>
      <w:szCs w:val="22"/>
    </w:rPr>
  </w:style>
  <w:style w:type="paragraph" w:styleId="17">
    <w:name w:val="Date"/>
    <w:basedOn w:val="1"/>
    <w:next w:val="1"/>
    <w:qFormat/>
    <w:uiPriority w:val="0"/>
    <w:pPr>
      <w:ind w:left="2500" w:leftChars="2500"/>
    </w:pPr>
    <w:rPr>
      <w:rFonts w:eastAsia="楷体_GB2312"/>
      <w:sz w:val="32"/>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link w:val="9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6"/>
    <w:basedOn w:val="1"/>
    <w:next w:val="1"/>
    <w:qFormat/>
    <w:uiPriority w:val="0"/>
    <w:pPr>
      <w:ind w:left="2100" w:leftChars="1000"/>
    </w:p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3"/>
    <w:next w:val="13"/>
    <w:link w:val="81"/>
    <w:qFormat/>
    <w:uiPriority w:val="0"/>
    <w:rPr>
      <w:b/>
      <w:bCs/>
    </w:rPr>
  </w:style>
  <w:style w:type="paragraph" w:styleId="25">
    <w:name w:val="Body Text First Indent"/>
    <w:basedOn w:val="14"/>
    <w:next w:val="21"/>
    <w:qFormat/>
    <w:uiPriority w:val="0"/>
    <w:pPr>
      <w:ind w:firstLine="420"/>
    </w:pPr>
    <w:rPr>
      <w:rFonts w:hAnsi="Times New Roman" w:cs="Times New Roman"/>
      <w:snapToGrid/>
      <w:szCs w:val="20"/>
    </w:rPr>
  </w:style>
  <w:style w:type="paragraph" w:styleId="26">
    <w:name w:val="Body Text First Indent 2"/>
    <w:basedOn w:val="15"/>
    <w:next w:val="1"/>
    <w:qFormat/>
    <w:uiPriority w:val="0"/>
    <w:pPr>
      <w:spacing w:line="240" w:lineRule="auto"/>
      <w:ind w:left="420" w:leftChars="200" w:firstLine="210"/>
    </w:pPr>
    <w:rPr>
      <w:sz w:val="21"/>
    </w:rPr>
  </w:style>
  <w:style w:type="table" w:styleId="28">
    <w:name w:val="Table Grid"/>
    <w:basedOn w:val="27"/>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197AFF"/>
      <w:u w:val="none"/>
    </w:rPr>
  </w:style>
  <w:style w:type="character" w:styleId="33">
    <w:name w:val="HTML Definition"/>
    <w:basedOn w:val="29"/>
    <w:qFormat/>
    <w:uiPriority w:val="0"/>
    <w:rPr>
      <w:i/>
      <w:iCs/>
    </w:rPr>
  </w:style>
  <w:style w:type="character" w:styleId="34">
    <w:name w:val="Hyperlink"/>
    <w:basedOn w:val="29"/>
    <w:qFormat/>
    <w:uiPriority w:val="0"/>
    <w:rPr>
      <w:color w:val="0000FF"/>
      <w:u w:val="single"/>
    </w:rPr>
  </w:style>
  <w:style w:type="character" w:styleId="35">
    <w:name w:val="HTML Code"/>
    <w:basedOn w:val="29"/>
    <w:qFormat/>
    <w:uiPriority w:val="0"/>
    <w:rPr>
      <w:rFonts w:ascii="Segoe UI" w:hAnsi="Segoe UI" w:eastAsia="Segoe UI" w:cs="Segoe UI"/>
      <w:sz w:val="21"/>
      <w:szCs w:val="21"/>
    </w:rPr>
  </w:style>
  <w:style w:type="character" w:styleId="36">
    <w:name w:val="annotation reference"/>
    <w:basedOn w:val="29"/>
    <w:qFormat/>
    <w:uiPriority w:val="99"/>
    <w:rPr>
      <w:sz w:val="21"/>
      <w:szCs w:val="21"/>
    </w:rPr>
  </w:style>
  <w:style w:type="character" w:styleId="37">
    <w:name w:val="HTML Keyboard"/>
    <w:basedOn w:val="29"/>
    <w:qFormat/>
    <w:uiPriority w:val="0"/>
    <w:rPr>
      <w:rFonts w:hint="default" w:ascii="Segoe UI" w:hAnsi="Segoe UI" w:eastAsia="Segoe UI" w:cs="Segoe UI"/>
      <w:sz w:val="21"/>
      <w:szCs w:val="21"/>
    </w:rPr>
  </w:style>
  <w:style w:type="character" w:styleId="38">
    <w:name w:val="HTML Sample"/>
    <w:basedOn w:val="29"/>
    <w:qFormat/>
    <w:uiPriority w:val="0"/>
    <w:rPr>
      <w:rFonts w:hint="default" w:ascii="Segoe UI" w:hAnsi="Segoe UI" w:eastAsia="Segoe UI" w:cs="Segoe UI"/>
      <w:sz w:val="21"/>
      <w:szCs w:val="21"/>
    </w:rPr>
  </w:style>
  <w:style w:type="paragraph" w:customStyle="1" w:styleId="39">
    <w:name w:val="Body Text First Indent1"/>
    <w:basedOn w:val="14"/>
    <w:qFormat/>
    <w:uiPriority w:val="0"/>
    <w:pPr>
      <w:tabs>
        <w:tab w:val="left" w:pos="1275"/>
      </w:tabs>
      <w:ind w:firstLine="420" w:firstLineChars="100"/>
    </w:p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BodyText"/>
    <w:basedOn w:val="1"/>
    <w:qFormat/>
    <w:uiPriority w:val="0"/>
    <w:pPr>
      <w:ind w:left="218"/>
      <w:textAlignment w:val="baseline"/>
    </w:pPr>
    <w:rPr>
      <w:rFonts w:ascii="仿宋" w:hAnsi="仿宋" w:eastAsia="仿宋"/>
      <w:sz w:val="24"/>
    </w:rPr>
  </w:style>
  <w:style w:type="paragraph" w:styleId="42">
    <w:name w:val="List Paragraph"/>
    <w:basedOn w:val="1"/>
    <w:qFormat/>
    <w:uiPriority w:val="99"/>
    <w:pPr>
      <w:ind w:firstLine="420" w:firstLineChars="200"/>
    </w:pPr>
  </w:style>
  <w:style w:type="paragraph" w:customStyle="1" w:styleId="4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2"/>
    <w:basedOn w:val="1"/>
    <w:qFormat/>
    <w:uiPriority w:val="0"/>
    <w:pPr>
      <w:spacing w:before="156" w:line="360" w:lineRule="auto"/>
      <w:ind w:firstLine="510" w:firstLineChars="200"/>
    </w:pPr>
    <w:rPr>
      <w:sz w:val="24"/>
      <w:szCs w:val="20"/>
    </w:rPr>
  </w:style>
  <w:style w:type="paragraph" w:customStyle="1" w:styleId="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7">
    <w:name w:val="索引 11"/>
    <w:basedOn w:val="1"/>
    <w:next w:val="1"/>
    <w:qFormat/>
    <w:uiPriority w:val="0"/>
    <w:pPr>
      <w:spacing w:line="360" w:lineRule="auto"/>
    </w:pPr>
    <w:rPr>
      <w:rFonts w:ascii="仿宋_GB2312" w:eastAsia="仿宋_GB2312"/>
      <w:sz w:val="24"/>
      <w:szCs w:val="20"/>
    </w:rPr>
  </w:style>
  <w:style w:type="paragraph" w:customStyle="1" w:styleId="48">
    <w:name w:val="纯文本_0_0"/>
    <w:basedOn w:val="49"/>
    <w:qFormat/>
    <w:uiPriority w:val="0"/>
    <w:rPr>
      <w:rFonts w:ascii="宋体" w:hAnsi="Courier New"/>
      <w:szCs w:val="21"/>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1">
    <w:name w:val="列出段落1"/>
    <w:basedOn w:val="1"/>
    <w:qFormat/>
    <w:uiPriority w:val="34"/>
    <w:pPr>
      <w:spacing w:line="360" w:lineRule="auto"/>
      <w:ind w:firstLine="420" w:firstLineChars="200"/>
    </w:pPr>
    <w:rPr>
      <w:rFonts w:ascii="Calibri" w:hAnsi="Calibri"/>
      <w:sz w:val="24"/>
      <w:szCs w:val="22"/>
    </w:rPr>
  </w:style>
  <w:style w:type="paragraph" w:customStyle="1" w:styleId="5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3">
    <w:name w:val="纯文本1"/>
    <w:basedOn w:val="1"/>
    <w:qFormat/>
    <w:uiPriority w:val="0"/>
    <w:rPr>
      <w:rFonts w:ascii="宋体" w:hAnsi="Courier New"/>
      <w:kern w:val="0"/>
      <w:sz w:val="20"/>
      <w:szCs w:val="20"/>
    </w:rPr>
  </w:style>
  <w:style w:type="paragraph" w:customStyle="1" w:styleId="54">
    <w:name w:val="_Style 3"/>
    <w:basedOn w:val="1"/>
    <w:qFormat/>
    <w:uiPriority w:val="0"/>
    <w:pPr>
      <w:ind w:firstLine="420" w:firstLineChars="200"/>
    </w:pPr>
    <w:rPr>
      <w:rFonts w:ascii="Calibri" w:hAnsi="Calibri" w:cs="宋体"/>
    </w:rPr>
  </w:style>
  <w:style w:type="paragraph" w:customStyle="1" w:styleId="55">
    <w:name w:val="正文 A"/>
    <w:basedOn w:val="1"/>
    <w:qFormat/>
    <w:uiPriority w:val="0"/>
    <w:rPr>
      <w:rFonts w:ascii="Arial Unicode MS" w:hAnsi="Arial Unicode MS" w:eastAsia="Arial Unicode MS" w:cs="Arial Unicode MS"/>
      <w:color w:val="000000"/>
      <w:u w:color="000000"/>
    </w:rPr>
  </w:style>
  <w:style w:type="character" w:customStyle="1" w:styleId="56">
    <w:name w:val="批注框文本 Char"/>
    <w:basedOn w:val="29"/>
    <w:link w:val="9"/>
    <w:qFormat/>
    <w:uiPriority w:val="0"/>
    <w:rPr>
      <w:rFonts w:asciiTheme="minorHAnsi" w:hAnsiTheme="minorHAnsi" w:eastAsiaTheme="minorEastAsia" w:cstheme="minorBidi"/>
      <w:kern w:val="2"/>
      <w:sz w:val="18"/>
      <w:szCs w:val="18"/>
    </w:rPr>
  </w:style>
  <w:style w:type="character" w:customStyle="1" w:styleId="57">
    <w:name w:val="font51"/>
    <w:basedOn w:val="29"/>
    <w:qFormat/>
    <w:uiPriority w:val="0"/>
    <w:rPr>
      <w:rFonts w:hint="eastAsia" w:ascii="宋体" w:hAnsi="宋体" w:eastAsia="宋体" w:cs="宋体"/>
      <w:color w:val="000000"/>
      <w:sz w:val="20"/>
      <w:szCs w:val="20"/>
      <w:u w:val="none"/>
    </w:rPr>
  </w:style>
  <w:style w:type="paragraph" w:customStyle="1" w:styleId="58">
    <w:name w:val="正文段"/>
    <w:basedOn w:val="1"/>
    <w:qFormat/>
    <w:uiPriority w:val="0"/>
    <w:pPr>
      <w:widowControl/>
      <w:snapToGrid w:val="0"/>
      <w:spacing w:afterLines="50"/>
      <w:ind w:firstLine="200" w:firstLineChars="200"/>
    </w:pPr>
    <w:rPr>
      <w:kern w:val="0"/>
      <w:sz w:val="24"/>
    </w:rPr>
  </w:style>
  <w:style w:type="character" w:customStyle="1" w:styleId="59">
    <w:name w:val="font11"/>
    <w:qFormat/>
    <w:uiPriority w:val="0"/>
    <w:rPr>
      <w:rFonts w:ascii="宋体" w:hAnsi="宋体" w:eastAsia="宋体"/>
      <w:color w:val="000000"/>
      <w:sz w:val="22"/>
      <w:u w:val="none"/>
    </w:rPr>
  </w:style>
  <w:style w:type="character" w:customStyle="1" w:styleId="60">
    <w:name w:val="font161"/>
    <w:basedOn w:val="29"/>
    <w:qFormat/>
    <w:uiPriority w:val="0"/>
    <w:rPr>
      <w:rFonts w:hint="eastAsia" w:ascii="等线" w:hAnsi="等线" w:eastAsia="等线" w:cs="等线"/>
      <w:color w:val="FF0000"/>
      <w:sz w:val="18"/>
      <w:szCs w:val="18"/>
      <w:u w:val="none"/>
    </w:rPr>
  </w:style>
  <w:style w:type="character" w:customStyle="1" w:styleId="61">
    <w:name w:val="font131"/>
    <w:basedOn w:val="29"/>
    <w:qFormat/>
    <w:uiPriority w:val="0"/>
    <w:rPr>
      <w:rFonts w:hint="eastAsia" w:ascii="等线" w:hAnsi="等线" w:eastAsia="等线" w:cs="等线"/>
      <w:b/>
      <w:color w:val="FF0000"/>
      <w:sz w:val="18"/>
      <w:szCs w:val="18"/>
      <w:u w:val="none"/>
    </w:rPr>
  </w:style>
  <w:style w:type="character" w:customStyle="1" w:styleId="62">
    <w:name w:val="font141"/>
    <w:basedOn w:val="29"/>
    <w:qFormat/>
    <w:uiPriority w:val="0"/>
    <w:rPr>
      <w:rFonts w:hint="eastAsia" w:ascii="等线" w:hAnsi="等线" w:eastAsia="等线" w:cs="等线"/>
      <w:color w:val="000000"/>
      <w:sz w:val="18"/>
      <w:szCs w:val="18"/>
      <w:u w:val="none"/>
    </w:rPr>
  </w:style>
  <w:style w:type="character" w:customStyle="1" w:styleId="63">
    <w:name w:val="font31"/>
    <w:basedOn w:val="29"/>
    <w:qFormat/>
    <w:uiPriority w:val="0"/>
    <w:rPr>
      <w:rFonts w:hint="eastAsia" w:ascii="等线" w:hAnsi="等线" w:eastAsia="等线" w:cs="等线"/>
      <w:color w:val="000000"/>
      <w:sz w:val="18"/>
      <w:szCs w:val="18"/>
      <w:u w:val="none"/>
    </w:rPr>
  </w:style>
  <w:style w:type="character" w:customStyle="1" w:styleId="64">
    <w:name w:val="font01"/>
    <w:basedOn w:val="29"/>
    <w:qFormat/>
    <w:uiPriority w:val="0"/>
    <w:rPr>
      <w:rFonts w:hint="eastAsia" w:ascii="等线" w:hAnsi="等线" w:eastAsia="等线" w:cs="等线"/>
      <w:b/>
      <w:color w:val="FF0000"/>
      <w:sz w:val="18"/>
      <w:szCs w:val="18"/>
      <w:u w:val="none"/>
    </w:rPr>
  </w:style>
  <w:style w:type="character" w:customStyle="1" w:styleId="65">
    <w:name w:val="font122"/>
    <w:basedOn w:val="29"/>
    <w:qFormat/>
    <w:uiPriority w:val="0"/>
    <w:rPr>
      <w:rFonts w:hint="eastAsia" w:ascii="等线" w:hAnsi="等线" w:eastAsia="等线" w:cs="等线"/>
      <w:color w:val="FF0000"/>
      <w:sz w:val="18"/>
      <w:szCs w:val="18"/>
      <w:u w:val="none"/>
    </w:rPr>
  </w:style>
  <w:style w:type="paragraph" w:customStyle="1" w:styleId="66">
    <w:name w:val="Table Paragraph"/>
    <w:basedOn w:val="1"/>
    <w:qFormat/>
    <w:uiPriority w:val="1"/>
    <w:rPr>
      <w:rFonts w:ascii="宋体" w:hAnsi="宋体" w:eastAsia="宋体" w:cs="宋体"/>
      <w:lang w:val="zh-CN" w:bidi="zh-CN"/>
    </w:rPr>
  </w:style>
  <w:style w:type="character" w:customStyle="1" w:styleId="67">
    <w:name w:val="font61"/>
    <w:basedOn w:val="29"/>
    <w:qFormat/>
    <w:uiPriority w:val="0"/>
    <w:rPr>
      <w:rFonts w:hint="eastAsia" w:ascii="宋体" w:hAnsi="宋体" w:eastAsia="宋体" w:cs="宋体"/>
      <w:b/>
      <w:color w:val="000000"/>
      <w:sz w:val="32"/>
      <w:szCs w:val="32"/>
      <w:u w:val="none"/>
    </w:rPr>
  </w:style>
  <w:style w:type="character" w:customStyle="1" w:styleId="68">
    <w:name w:val="font13"/>
    <w:basedOn w:val="29"/>
    <w:qFormat/>
    <w:uiPriority w:val="0"/>
    <w:rPr>
      <w:rFonts w:hint="eastAsia" w:ascii="宋体" w:hAnsi="宋体" w:eastAsia="宋体" w:cs="宋体"/>
      <w:color w:val="000000"/>
      <w:sz w:val="24"/>
      <w:szCs w:val="24"/>
      <w:u w:val="none"/>
    </w:rPr>
  </w:style>
  <w:style w:type="character" w:customStyle="1" w:styleId="69">
    <w:name w:val="font101"/>
    <w:basedOn w:val="29"/>
    <w:qFormat/>
    <w:uiPriority w:val="0"/>
    <w:rPr>
      <w:rFonts w:ascii="Calibri" w:hAnsi="Calibri" w:cs="Calibri"/>
      <w:color w:val="000000"/>
      <w:sz w:val="24"/>
      <w:szCs w:val="24"/>
      <w:u w:val="none"/>
    </w:rPr>
  </w:style>
  <w:style w:type="character" w:customStyle="1" w:styleId="70">
    <w:name w:val="font121"/>
    <w:basedOn w:val="29"/>
    <w:qFormat/>
    <w:uiPriority w:val="0"/>
    <w:rPr>
      <w:rFonts w:hint="eastAsia" w:ascii="宋体" w:hAnsi="宋体" w:eastAsia="宋体" w:cs="宋体"/>
      <w:color w:val="000000"/>
      <w:sz w:val="24"/>
      <w:szCs w:val="24"/>
      <w:u w:val="none"/>
    </w:rPr>
  </w:style>
  <w:style w:type="character" w:customStyle="1" w:styleId="71">
    <w:name w:val="font71"/>
    <w:basedOn w:val="29"/>
    <w:qFormat/>
    <w:uiPriority w:val="0"/>
    <w:rPr>
      <w:rFonts w:ascii="Calibri" w:hAnsi="Calibri" w:cs="Calibri"/>
      <w:color w:val="000000"/>
      <w:sz w:val="24"/>
      <w:szCs w:val="24"/>
      <w:u w:val="none"/>
    </w:rPr>
  </w:style>
  <w:style w:type="paragraph" w:customStyle="1" w:styleId="72">
    <w:name w:val="样式1"/>
    <w:basedOn w:val="1"/>
    <w:qFormat/>
    <w:uiPriority w:val="0"/>
    <w:pPr>
      <w:spacing w:line="360" w:lineRule="exact"/>
      <w:ind w:firstLine="200" w:firstLineChars="200"/>
    </w:pPr>
    <w:rPr>
      <w:rFonts w:ascii="Arial" w:hAnsi="Arial"/>
    </w:rPr>
  </w:style>
  <w:style w:type="character" w:customStyle="1" w:styleId="73">
    <w:name w:val="font21"/>
    <w:basedOn w:val="29"/>
    <w:qFormat/>
    <w:uiPriority w:val="0"/>
    <w:rPr>
      <w:rFonts w:hint="eastAsia" w:ascii="宋体" w:hAnsi="宋体" w:eastAsia="宋体" w:cs="宋体"/>
      <w:color w:val="000000"/>
      <w:sz w:val="22"/>
      <w:szCs w:val="22"/>
      <w:u w:val="none"/>
    </w:rPr>
  </w:style>
  <w:style w:type="paragraph" w:customStyle="1" w:styleId="7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6">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7">
    <w:name w:val="NormalCharacter"/>
    <w:qFormat/>
    <w:uiPriority w:val="0"/>
    <w:rPr>
      <w:rFonts w:ascii="Calibri" w:hAnsi="Calibri" w:eastAsia="宋体" w:cs="Times New Roman"/>
      <w:kern w:val="2"/>
      <w:sz w:val="21"/>
      <w:szCs w:val="22"/>
      <w:lang w:val="en-US" w:eastAsia="zh-CN" w:bidi="ar-SA"/>
    </w:rPr>
  </w:style>
  <w:style w:type="paragraph" w:customStyle="1" w:styleId="78">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9">
    <w:name w:val="默认段落字体 Para Char Char Char Char Char Char Char Char Char1 Char Char Char Char"/>
    <w:basedOn w:val="1"/>
    <w:qFormat/>
    <w:uiPriority w:val="0"/>
    <w:rPr>
      <w:rFonts w:ascii="Tahoma" w:hAnsi="Tahoma"/>
      <w:szCs w:val="20"/>
    </w:rPr>
  </w:style>
  <w:style w:type="character" w:customStyle="1" w:styleId="80">
    <w:name w:val="批注文字 Char"/>
    <w:basedOn w:val="29"/>
    <w:link w:val="13"/>
    <w:qFormat/>
    <w:uiPriority w:val="0"/>
    <w:rPr>
      <w:kern w:val="2"/>
      <w:sz w:val="21"/>
      <w:szCs w:val="24"/>
    </w:rPr>
  </w:style>
  <w:style w:type="character" w:customStyle="1" w:styleId="81">
    <w:name w:val="批注主题 Char"/>
    <w:basedOn w:val="80"/>
    <w:link w:val="24"/>
    <w:qFormat/>
    <w:uiPriority w:val="0"/>
    <w:rPr>
      <w:kern w:val="2"/>
      <w:sz w:val="21"/>
      <w:szCs w:val="24"/>
    </w:rPr>
  </w:style>
  <w:style w:type="character" w:customStyle="1" w:styleId="82">
    <w:name w:val="正文缩进 Char"/>
    <w:link w:val="11"/>
    <w:qFormat/>
    <w:uiPriority w:val="0"/>
    <w:rPr>
      <w:rFonts w:ascii="宋体" w:hAnsiTheme="minorHAnsi" w:eastAsiaTheme="minorEastAsia" w:cstheme="minorBidi"/>
      <w:snapToGrid w:val="0"/>
      <w:color w:val="000000"/>
      <w:kern w:val="28"/>
      <w:sz w:val="28"/>
    </w:rPr>
  </w:style>
  <w:style w:type="paragraph" w:customStyle="1" w:styleId="8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4">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5">
    <w:name w:val="hour_pm"/>
    <w:basedOn w:val="29"/>
    <w:qFormat/>
    <w:uiPriority w:val="0"/>
  </w:style>
  <w:style w:type="character" w:customStyle="1" w:styleId="86">
    <w:name w:val="hover9"/>
    <w:basedOn w:val="29"/>
    <w:qFormat/>
    <w:uiPriority w:val="0"/>
    <w:rPr>
      <w:shd w:val="clear" w:color="auto" w:fill="EEEEEE"/>
    </w:rPr>
  </w:style>
  <w:style w:type="character" w:customStyle="1" w:styleId="87">
    <w:name w:val="old"/>
    <w:basedOn w:val="29"/>
    <w:qFormat/>
    <w:uiPriority w:val="0"/>
    <w:rPr>
      <w:color w:val="999999"/>
    </w:rPr>
  </w:style>
  <w:style w:type="character" w:customStyle="1" w:styleId="88">
    <w:name w:val="hour_am"/>
    <w:basedOn w:val="29"/>
    <w:qFormat/>
    <w:uiPriority w:val="0"/>
  </w:style>
  <w:style w:type="character" w:customStyle="1" w:styleId="89">
    <w:name w:val="hover"/>
    <w:basedOn w:val="29"/>
    <w:qFormat/>
    <w:uiPriority w:val="0"/>
    <w:rPr>
      <w:shd w:val="clear" w:color="auto" w:fill="EEEEEE"/>
    </w:rPr>
  </w:style>
  <w:style w:type="character" w:customStyle="1" w:styleId="90">
    <w:name w:val="页眉 Char"/>
    <w:basedOn w:val="29"/>
    <w:link w:val="19"/>
    <w:qFormat/>
    <w:uiPriority w:val="99"/>
    <w:rPr>
      <w:rFonts w:asciiTheme="minorHAnsi" w:hAnsiTheme="minorHAnsi" w:eastAsiaTheme="minorEastAsia" w:cstheme="minorBidi"/>
      <w:kern w:val="2"/>
      <w:sz w:val="18"/>
      <w:szCs w:val="24"/>
    </w:rPr>
  </w:style>
  <w:style w:type="character" w:customStyle="1" w:styleId="91">
    <w:name w:val="批注文字 Char1"/>
    <w:qFormat/>
    <w:uiPriority w:val="99"/>
    <w:rPr>
      <w:kern w:val="2"/>
      <w:sz w:val="21"/>
      <w:szCs w:val="24"/>
    </w:rPr>
  </w:style>
  <w:style w:type="paragraph" w:customStyle="1" w:styleId="9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48</Pages>
  <Words>10258</Words>
  <Characters>11600</Characters>
  <Lines>261</Lines>
  <Paragraphs>73</Paragraphs>
  <TotalTime>102</TotalTime>
  <ScaleCrop>false</ScaleCrop>
  <LinksUpToDate>false</LinksUpToDate>
  <CharactersWithSpaces>11824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WPS_134962209</cp:lastModifiedBy>
  <cp:lastPrinted>2020-11-06T11:17:00Z</cp:lastPrinted>
  <dcterms:modified xsi:type="dcterms:W3CDTF">2025-07-11T09:04:17Z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20736CDB07B74CC29B7FC4A7953E7660_13</vt:lpwstr>
  </property>
  <property fmtid="{D5CDD505-2E9C-101B-9397-08002B2CF9AE}" pid="4" name="commondata">
    <vt:lpwstr>eyJoZGlkIjoiODcxOTViM2NkMzNjZGZjODM1NDMwODhlMDU4NmYxZjEifQ==</vt:lpwstr>
  </property>
  <property fmtid="{D5CDD505-2E9C-101B-9397-08002B2CF9AE}" pid="5" name="KSOTemplateDocerSaveRecord">
    <vt:lpwstr>eyJoZGlkIjoiYmJiNjQ0ZDliNjVhNTFkYzU5MDQyNzViZWU3NTNjZjciLCJ1c2VySWQiOiIxMzQ5NjIyMDkifQ==</vt:lpwstr>
  </property>
</Properties>
</file>