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012A9">
      <w:pPr>
        <w:spacing w:line="360" w:lineRule="auto"/>
        <w:jc w:val="center"/>
        <w:rPr>
          <w:rFonts w:ascii="宋体" w:hAnsi="宋体" w:cs="宋体"/>
          <w:b/>
          <w:color w:val="000000" w:themeColor="text1"/>
          <w:sz w:val="24"/>
        </w:rPr>
      </w:pPr>
    </w:p>
    <w:p w14:paraId="0A9B5CD2">
      <w:pPr>
        <w:adjustRightInd/>
        <w:spacing w:line="360" w:lineRule="auto"/>
        <w:jc w:val="center"/>
        <w:rPr>
          <w:rFonts w:ascii="宋体" w:hAnsi="宋体" w:cs="宋体"/>
          <w:b/>
          <w:color w:val="000000" w:themeColor="text1"/>
          <w:sz w:val="48"/>
          <w:szCs w:val="48"/>
        </w:rPr>
      </w:pPr>
    </w:p>
    <w:p w14:paraId="64AAE816">
      <w:pPr>
        <w:pStyle w:val="23"/>
        <w:rPr>
          <w:color w:val="000000" w:themeColor="text1"/>
        </w:rPr>
      </w:pPr>
    </w:p>
    <w:p w14:paraId="2E6A98EA">
      <w:pPr>
        <w:pStyle w:val="965"/>
        <w:spacing w:line="760" w:lineRule="exact"/>
        <w:rPr>
          <w:rFonts w:ascii="宋体" w:eastAsia="宋体"/>
          <w:color w:val="000000" w:themeColor="text1"/>
          <w:sz w:val="52"/>
          <w:szCs w:val="52"/>
        </w:rPr>
      </w:pPr>
      <w:bookmarkStart w:id="0" w:name="OLE_LINK6"/>
      <w:r>
        <w:rPr>
          <w:rFonts w:hint="eastAsia" w:ascii="宋体" w:eastAsia="宋体"/>
          <w:color w:val="000000" w:themeColor="text1"/>
          <w:sz w:val="52"/>
          <w:szCs w:val="52"/>
        </w:rPr>
        <w:t>萧山区衙前镇第二小学2025年暑期教师疗休养采购项目</w:t>
      </w:r>
    </w:p>
    <w:bookmarkEnd w:id="0"/>
    <w:p w14:paraId="4BCEA6D1">
      <w:pPr>
        <w:adjustRightInd/>
        <w:spacing w:line="360" w:lineRule="auto"/>
        <w:jc w:val="center"/>
        <w:rPr>
          <w:rFonts w:ascii="宋体" w:hAnsi="宋体" w:cs="宋体"/>
          <w:b/>
          <w:color w:val="000000" w:themeColor="text1"/>
          <w:spacing w:val="-23"/>
          <w:sz w:val="52"/>
          <w:szCs w:val="52"/>
        </w:rPr>
      </w:pPr>
    </w:p>
    <w:p w14:paraId="38AFF914">
      <w:pPr>
        <w:pStyle w:val="23"/>
        <w:rPr>
          <w:rFonts w:hAnsi="宋体" w:cs="宋体"/>
          <w:b/>
          <w:bCs/>
          <w:color w:val="000000" w:themeColor="text1"/>
          <w:sz w:val="52"/>
          <w:szCs w:val="52"/>
        </w:rPr>
      </w:pPr>
    </w:p>
    <w:p w14:paraId="281FA808">
      <w:pPr>
        <w:adjustRightInd/>
        <w:spacing w:line="360" w:lineRule="auto"/>
        <w:jc w:val="center"/>
        <w:rPr>
          <w:rFonts w:ascii="宋体" w:hAnsi="宋体" w:cs="宋体"/>
          <w:b/>
          <w:bCs/>
          <w:color w:val="000000" w:themeColor="text1"/>
          <w:sz w:val="52"/>
          <w:szCs w:val="52"/>
        </w:rPr>
      </w:pPr>
      <w:r>
        <w:rPr>
          <w:rFonts w:hint="eastAsia" w:ascii="宋体" w:hAnsi="宋体" w:cs="宋体"/>
          <w:b/>
          <w:bCs/>
          <w:color w:val="000000" w:themeColor="text1"/>
          <w:sz w:val="52"/>
          <w:szCs w:val="52"/>
        </w:rPr>
        <w:t>交易文件</w:t>
      </w:r>
    </w:p>
    <w:p w14:paraId="3D172F03">
      <w:pPr>
        <w:adjustRightInd/>
        <w:spacing w:line="360" w:lineRule="auto"/>
        <w:jc w:val="center"/>
        <w:rPr>
          <w:rFonts w:ascii="宋体" w:hAnsi="宋体" w:cs="宋体"/>
          <w:b/>
          <w:color w:val="000000" w:themeColor="text1"/>
          <w:sz w:val="44"/>
          <w:szCs w:val="44"/>
        </w:rPr>
      </w:pPr>
    </w:p>
    <w:p w14:paraId="72084843">
      <w:pPr>
        <w:snapToGrid w:val="0"/>
        <w:spacing w:line="360" w:lineRule="auto"/>
        <w:jc w:val="center"/>
        <w:rPr>
          <w:rFonts w:ascii="宋体" w:hAnsi="宋体" w:cs="宋体"/>
          <w:b/>
          <w:bCs/>
          <w:color w:val="000000" w:themeColor="text1"/>
          <w:sz w:val="30"/>
          <w:szCs w:val="30"/>
        </w:rPr>
      </w:pPr>
      <w:r>
        <w:rPr>
          <w:rFonts w:hint="eastAsia" w:ascii="宋体" w:hAnsi="宋体" w:cs="宋体"/>
          <w:b/>
          <w:bCs/>
          <w:color w:val="000000" w:themeColor="text1"/>
          <w:sz w:val="30"/>
          <w:szCs w:val="30"/>
        </w:rPr>
        <w:t xml:space="preserve">交易编号: ZJZL-HZ2025-30 </w:t>
      </w:r>
    </w:p>
    <w:p w14:paraId="03217FDE">
      <w:pPr>
        <w:adjustRightInd/>
        <w:spacing w:line="360" w:lineRule="auto"/>
        <w:rPr>
          <w:rFonts w:ascii="宋体" w:hAnsi="宋体" w:cs="宋体"/>
          <w:color w:val="000000" w:themeColor="text1"/>
          <w:sz w:val="28"/>
          <w:szCs w:val="20"/>
        </w:rPr>
      </w:pPr>
    </w:p>
    <w:p w14:paraId="25856572">
      <w:pPr>
        <w:spacing w:line="360" w:lineRule="auto"/>
        <w:jc w:val="center"/>
        <w:rPr>
          <w:rFonts w:ascii="宋体" w:hAnsi="宋体" w:cs="宋体"/>
          <w:b/>
          <w:color w:val="000000" w:themeColor="text1"/>
          <w:sz w:val="44"/>
          <w:szCs w:val="44"/>
        </w:rPr>
      </w:pPr>
    </w:p>
    <w:p w14:paraId="7ACA3B87">
      <w:pPr>
        <w:spacing w:line="360" w:lineRule="auto"/>
        <w:jc w:val="center"/>
        <w:rPr>
          <w:rFonts w:ascii="宋体" w:hAnsi="宋体" w:cs="宋体"/>
          <w:b/>
          <w:color w:val="000000" w:themeColor="text1"/>
          <w:sz w:val="44"/>
          <w:szCs w:val="44"/>
        </w:rPr>
      </w:pPr>
    </w:p>
    <w:p w14:paraId="15FEB2E8">
      <w:pPr>
        <w:spacing w:line="360" w:lineRule="auto"/>
        <w:rPr>
          <w:rFonts w:ascii="宋体" w:hAnsi="宋体" w:cs="宋体"/>
          <w:color w:val="000000" w:themeColor="text1"/>
          <w:sz w:val="24"/>
        </w:rPr>
      </w:pPr>
    </w:p>
    <w:p w14:paraId="435CDF28">
      <w:pPr>
        <w:spacing w:line="360" w:lineRule="auto"/>
        <w:rPr>
          <w:rFonts w:ascii="宋体" w:hAnsi="宋体" w:cs="宋体"/>
          <w:color w:val="000000" w:themeColor="text1"/>
          <w:sz w:val="32"/>
          <w:szCs w:val="32"/>
        </w:rPr>
      </w:pPr>
    </w:p>
    <w:p w14:paraId="466335C4">
      <w:pPr>
        <w:spacing w:line="360" w:lineRule="auto"/>
        <w:jc w:val="center"/>
        <w:rPr>
          <w:rFonts w:ascii="宋体" w:hAnsi="宋体" w:cs="宋体"/>
          <w:b/>
          <w:color w:val="000000" w:themeColor="text1"/>
          <w:sz w:val="32"/>
          <w:szCs w:val="30"/>
        </w:rPr>
      </w:pPr>
      <w:r>
        <w:rPr>
          <w:rFonts w:hint="eastAsia" w:ascii="宋体" w:hAnsi="宋体" w:cs="宋体"/>
          <w:b/>
          <w:color w:val="000000" w:themeColor="text1"/>
          <w:sz w:val="32"/>
          <w:szCs w:val="30"/>
        </w:rPr>
        <w:t>交 易 人：萧山区衙前镇第二小学</w:t>
      </w:r>
    </w:p>
    <w:p w14:paraId="6BA34CA1">
      <w:pPr>
        <w:spacing w:line="360" w:lineRule="auto"/>
        <w:jc w:val="center"/>
        <w:rPr>
          <w:rFonts w:ascii="宋体" w:hAnsi="宋体" w:cs="宋体"/>
          <w:b/>
          <w:color w:val="000000" w:themeColor="text1"/>
          <w:sz w:val="32"/>
          <w:szCs w:val="30"/>
        </w:rPr>
      </w:pPr>
      <w:r>
        <w:rPr>
          <w:rFonts w:hint="eastAsia" w:ascii="宋体" w:hAnsi="宋体" w:cs="宋体"/>
          <w:b/>
          <w:color w:val="000000" w:themeColor="text1"/>
          <w:sz w:val="32"/>
          <w:szCs w:val="30"/>
        </w:rPr>
        <w:t xml:space="preserve"> 采购机构：浙江筑脸全过程工程咨询有限公司</w:t>
      </w:r>
    </w:p>
    <w:p w14:paraId="230F436A">
      <w:pPr>
        <w:snapToGrid w:val="0"/>
        <w:spacing w:line="360" w:lineRule="auto"/>
        <w:jc w:val="center"/>
        <w:rPr>
          <w:rFonts w:ascii="宋体" w:hAnsi="宋体" w:cs="宋体"/>
          <w:b/>
          <w:color w:val="000000" w:themeColor="text1"/>
          <w:sz w:val="32"/>
          <w:szCs w:val="32"/>
        </w:rPr>
      </w:pPr>
      <w:r>
        <w:rPr>
          <w:rFonts w:hint="eastAsia" w:ascii="宋体" w:hAnsi="宋体" w:cs="宋体"/>
          <w:b/>
          <w:color w:val="000000" w:themeColor="text1"/>
          <w:sz w:val="32"/>
          <w:szCs w:val="32"/>
        </w:rPr>
        <w:t>二〇二五年六月</w:t>
      </w:r>
    </w:p>
    <w:p w14:paraId="5A30236C">
      <w:pPr>
        <w:pStyle w:val="23"/>
        <w:rPr>
          <w:color w:val="000000" w:themeColor="text1"/>
        </w:rPr>
      </w:pPr>
    </w:p>
    <w:p w14:paraId="67FD7C55">
      <w:pPr>
        <w:pStyle w:val="60"/>
        <w:rPr>
          <w:color w:val="000000" w:themeColor="text1"/>
        </w:rPr>
      </w:pPr>
    </w:p>
    <w:p w14:paraId="6BBD5380">
      <w:pPr>
        <w:pStyle w:val="50"/>
        <w:rPr>
          <w:color w:val="000000" w:themeColor="text1"/>
        </w:rPr>
      </w:pPr>
    </w:p>
    <w:p w14:paraId="269EB78E"/>
    <w:p w14:paraId="2EA44421">
      <w:pPr>
        <w:pStyle w:val="50"/>
      </w:pPr>
    </w:p>
    <w:p w14:paraId="3DD223C7">
      <w:pPr>
        <w:spacing w:line="360" w:lineRule="auto"/>
        <w:jc w:val="center"/>
        <w:rPr>
          <w:rFonts w:ascii="宋体" w:hAnsi="宋体" w:cs="宋体"/>
          <w:b/>
          <w:color w:val="000000" w:themeColor="text1"/>
          <w:sz w:val="48"/>
          <w:szCs w:val="48"/>
        </w:rPr>
      </w:pPr>
      <w:r>
        <w:rPr>
          <w:rFonts w:hint="eastAsia" w:ascii="宋体" w:hAnsi="宋体" w:cs="宋体"/>
          <w:b/>
          <w:color w:val="000000" w:themeColor="text1"/>
          <w:sz w:val="48"/>
          <w:szCs w:val="48"/>
        </w:rPr>
        <w:t>目  录</w:t>
      </w:r>
    </w:p>
    <w:p w14:paraId="648AEFE6">
      <w:pPr>
        <w:spacing w:line="360" w:lineRule="auto"/>
        <w:rPr>
          <w:rFonts w:ascii="宋体" w:hAnsi="宋体" w:cs="宋体"/>
          <w:color w:val="000000" w:themeColor="text1"/>
          <w:sz w:val="32"/>
          <w:szCs w:val="32"/>
        </w:rPr>
      </w:pPr>
    </w:p>
    <w:p w14:paraId="14546E89">
      <w:pPr>
        <w:spacing w:line="360" w:lineRule="auto"/>
        <w:rPr>
          <w:rFonts w:ascii="宋体" w:hAnsi="宋体" w:cs="宋体"/>
          <w:color w:val="000000" w:themeColor="text1"/>
          <w:sz w:val="32"/>
          <w:szCs w:val="32"/>
        </w:rPr>
      </w:pPr>
    </w:p>
    <w:p w14:paraId="79E576D6">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第一部分      交易公告</w:t>
      </w:r>
    </w:p>
    <w:p w14:paraId="42B00192">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第二部分      供应商须知</w:t>
      </w:r>
    </w:p>
    <w:p w14:paraId="7DAAE1AB">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第三部分      采购需求</w:t>
      </w:r>
    </w:p>
    <w:p w14:paraId="449E158A">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第四部分      交易办法</w:t>
      </w:r>
    </w:p>
    <w:p w14:paraId="58B43278">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第五部分      拟签订的合同文本</w:t>
      </w:r>
    </w:p>
    <w:p w14:paraId="01574FC0">
      <w:pPr>
        <w:spacing w:line="360" w:lineRule="auto"/>
        <w:ind w:firstLine="1280" w:firstLineChars="400"/>
        <w:rPr>
          <w:rFonts w:ascii="宋体" w:hAnsi="宋体" w:cs="宋体"/>
          <w:color w:val="000000" w:themeColor="text1"/>
          <w:sz w:val="32"/>
          <w:szCs w:val="32"/>
        </w:rPr>
      </w:pPr>
      <w:r>
        <w:rPr>
          <w:rFonts w:hint="eastAsia" w:ascii="宋体" w:hAnsi="宋体" w:cs="宋体"/>
          <w:color w:val="000000" w:themeColor="text1"/>
          <w:sz w:val="32"/>
          <w:szCs w:val="32"/>
        </w:rPr>
        <w:t>第六部分      应提交的有关格式范例</w:t>
      </w:r>
    </w:p>
    <w:p w14:paraId="1CA2017B">
      <w:pPr>
        <w:spacing w:line="360" w:lineRule="auto"/>
        <w:ind w:firstLine="549" w:firstLineChars="229"/>
        <w:rPr>
          <w:rFonts w:ascii="宋体" w:hAnsi="宋体" w:cs="宋体"/>
          <w:color w:val="000000" w:themeColor="text1"/>
          <w:sz w:val="24"/>
        </w:rPr>
      </w:pPr>
      <w:bookmarkStart w:id="1" w:name="_Hlt91233176"/>
      <w:bookmarkEnd w:id="1"/>
      <w:bookmarkStart w:id="2" w:name="_Toc91899869"/>
    </w:p>
    <w:p w14:paraId="624F45FB">
      <w:pPr>
        <w:spacing w:line="360" w:lineRule="auto"/>
        <w:ind w:firstLine="549" w:firstLineChars="229"/>
        <w:rPr>
          <w:rFonts w:ascii="宋体" w:hAnsi="宋体" w:cs="宋体"/>
          <w:color w:val="000000" w:themeColor="text1"/>
          <w:sz w:val="24"/>
        </w:rPr>
      </w:pPr>
    </w:p>
    <w:p w14:paraId="3E94F36F">
      <w:pPr>
        <w:spacing w:line="360" w:lineRule="auto"/>
        <w:ind w:firstLine="549" w:firstLineChars="229"/>
        <w:rPr>
          <w:rFonts w:ascii="宋体" w:hAnsi="宋体" w:cs="宋体"/>
          <w:color w:val="000000" w:themeColor="text1"/>
          <w:sz w:val="24"/>
        </w:rPr>
      </w:pPr>
    </w:p>
    <w:p w14:paraId="794438BC">
      <w:pPr>
        <w:spacing w:line="360" w:lineRule="auto"/>
        <w:ind w:firstLine="549" w:firstLineChars="229"/>
        <w:rPr>
          <w:rFonts w:ascii="宋体" w:hAnsi="宋体" w:cs="宋体"/>
          <w:color w:val="000000" w:themeColor="text1"/>
          <w:sz w:val="24"/>
        </w:rPr>
      </w:pPr>
    </w:p>
    <w:p w14:paraId="1CB21659">
      <w:pPr>
        <w:spacing w:line="360" w:lineRule="auto"/>
        <w:ind w:firstLine="549" w:firstLineChars="229"/>
        <w:rPr>
          <w:rFonts w:ascii="宋体" w:hAnsi="宋体" w:cs="宋体"/>
          <w:color w:val="000000" w:themeColor="text1"/>
          <w:sz w:val="24"/>
        </w:rPr>
      </w:pPr>
    </w:p>
    <w:p w14:paraId="4DB6CAD9">
      <w:pPr>
        <w:spacing w:line="360" w:lineRule="auto"/>
        <w:ind w:firstLine="549" w:firstLineChars="229"/>
        <w:rPr>
          <w:rFonts w:ascii="宋体" w:hAnsi="宋体" w:cs="宋体"/>
          <w:color w:val="000000" w:themeColor="text1"/>
          <w:sz w:val="24"/>
        </w:rPr>
      </w:pPr>
    </w:p>
    <w:p w14:paraId="63CB15BD">
      <w:pPr>
        <w:spacing w:line="360" w:lineRule="auto"/>
        <w:ind w:firstLine="549" w:firstLineChars="229"/>
        <w:rPr>
          <w:rFonts w:ascii="宋体" w:hAnsi="宋体" w:cs="宋体"/>
          <w:color w:val="000000" w:themeColor="text1"/>
          <w:sz w:val="24"/>
        </w:rPr>
      </w:pPr>
    </w:p>
    <w:p w14:paraId="3D945334">
      <w:pPr>
        <w:spacing w:line="360" w:lineRule="auto"/>
        <w:ind w:firstLine="549" w:firstLineChars="229"/>
        <w:rPr>
          <w:rFonts w:ascii="宋体" w:hAnsi="宋体" w:cs="宋体"/>
          <w:color w:val="000000" w:themeColor="text1"/>
          <w:sz w:val="24"/>
        </w:rPr>
      </w:pPr>
    </w:p>
    <w:p w14:paraId="4B4B0A66">
      <w:pPr>
        <w:spacing w:line="360" w:lineRule="auto"/>
        <w:ind w:firstLine="549" w:firstLineChars="229"/>
        <w:rPr>
          <w:rFonts w:ascii="宋体" w:hAnsi="宋体" w:cs="宋体"/>
          <w:color w:val="000000" w:themeColor="text1"/>
          <w:sz w:val="24"/>
        </w:rPr>
      </w:pPr>
    </w:p>
    <w:p w14:paraId="6DE4003C">
      <w:pPr>
        <w:spacing w:line="360" w:lineRule="auto"/>
        <w:ind w:firstLine="549" w:firstLineChars="229"/>
        <w:rPr>
          <w:rFonts w:ascii="宋体" w:hAnsi="宋体" w:cs="宋体"/>
          <w:color w:val="000000" w:themeColor="text1"/>
          <w:sz w:val="24"/>
        </w:rPr>
      </w:pPr>
    </w:p>
    <w:p w14:paraId="42B16E3C">
      <w:pPr>
        <w:spacing w:line="360" w:lineRule="auto"/>
        <w:ind w:firstLine="549" w:firstLineChars="229"/>
        <w:rPr>
          <w:rFonts w:ascii="宋体" w:hAnsi="宋体" w:cs="宋体"/>
          <w:color w:val="000000" w:themeColor="text1"/>
          <w:sz w:val="24"/>
        </w:rPr>
      </w:pPr>
    </w:p>
    <w:p w14:paraId="53A408B2">
      <w:pPr>
        <w:spacing w:line="360" w:lineRule="auto"/>
        <w:ind w:firstLine="549" w:firstLineChars="229"/>
        <w:rPr>
          <w:rFonts w:ascii="宋体" w:hAnsi="宋体" w:cs="宋体"/>
          <w:color w:val="000000" w:themeColor="text1"/>
          <w:sz w:val="24"/>
        </w:rPr>
      </w:pPr>
    </w:p>
    <w:p w14:paraId="17911902">
      <w:pPr>
        <w:spacing w:line="360" w:lineRule="auto"/>
        <w:ind w:firstLine="549" w:firstLineChars="229"/>
        <w:rPr>
          <w:rFonts w:ascii="宋体" w:hAnsi="宋体" w:cs="宋体"/>
          <w:color w:val="000000" w:themeColor="text1"/>
          <w:sz w:val="24"/>
        </w:rPr>
      </w:pPr>
    </w:p>
    <w:p w14:paraId="11E5B40A">
      <w:pPr>
        <w:spacing w:line="360" w:lineRule="auto"/>
        <w:rPr>
          <w:rFonts w:ascii="宋体" w:hAnsi="宋体" w:cs="宋体"/>
          <w:color w:val="000000" w:themeColor="text1"/>
          <w:sz w:val="24"/>
        </w:rPr>
      </w:pPr>
    </w:p>
    <w:p w14:paraId="38AAD9B7">
      <w:pPr>
        <w:adjustRightInd/>
        <w:spacing w:line="360" w:lineRule="auto"/>
        <w:jc w:val="center"/>
        <w:outlineLvl w:val="0"/>
        <w:rPr>
          <w:rFonts w:ascii="宋体" w:hAnsi="宋体" w:cs="宋体"/>
          <w:b/>
          <w:color w:val="000000" w:themeColor="text1"/>
          <w:sz w:val="36"/>
          <w:szCs w:val="20"/>
        </w:rPr>
      </w:pPr>
      <w:bookmarkStart w:id="3" w:name="第一部分"/>
      <w:r>
        <w:rPr>
          <w:rFonts w:hint="eastAsia" w:ascii="宋体" w:hAnsi="宋体" w:cs="宋体"/>
          <w:b/>
          <w:color w:val="000000" w:themeColor="text1"/>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rPr>
        <w:t>第一部分 交易公告</w:t>
      </w:r>
    </w:p>
    <w:p w14:paraId="49B7C6FA">
      <w:pPr>
        <w:spacing w:line="360" w:lineRule="auto"/>
        <w:rPr>
          <w:rFonts w:ascii="宋体" w:hAnsi="宋体" w:cs="宋体"/>
          <w:b/>
          <w:color w:val="000000" w:themeColor="text1"/>
          <w:sz w:val="24"/>
        </w:rPr>
      </w:pPr>
      <w:r>
        <w:rPr>
          <w:rFonts w:hint="eastAsia" w:ascii="宋体" w:hAnsi="宋体" w:cs="宋体"/>
          <w:b/>
          <w:color w:val="000000" w:themeColor="text1"/>
          <w:sz w:val="24"/>
        </w:rPr>
        <w:t>一、基本情况</w:t>
      </w:r>
    </w:p>
    <w:p w14:paraId="35F92DBD">
      <w:pPr>
        <w:spacing w:line="360" w:lineRule="auto"/>
        <w:ind w:firstLine="480"/>
        <w:rPr>
          <w:rFonts w:ascii="宋体" w:hAnsi="宋体" w:cs="宋体"/>
          <w:b/>
          <w:color w:val="000000" w:themeColor="text1"/>
          <w:sz w:val="24"/>
        </w:rPr>
      </w:pPr>
      <w:r>
        <w:rPr>
          <w:rFonts w:hint="eastAsia" w:ascii="宋体" w:hAnsi="宋体" w:cs="宋体"/>
          <w:b/>
          <w:color w:val="000000" w:themeColor="text1"/>
          <w:sz w:val="24"/>
        </w:rPr>
        <w:t>交易编号：</w:t>
      </w:r>
      <w:r>
        <w:rPr>
          <w:rFonts w:hint="eastAsia" w:ascii="宋体" w:hAnsi="宋体" w:cs="宋体"/>
          <w:bCs/>
          <w:color w:val="000000" w:themeColor="text1"/>
          <w:sz w:val="24"/>
        </w:rPr>
        <w:t xml:space="preserve"> ZJZL-HZ2025-30 </w:t>
      </w:r>
    </w:p>
    <w:p w14:paraId="15ECF6F0">
      <w:pPr>
        <w:spacing w:line="360" w:lineRule="auto"/>
        <w:ind w:firstLine="480"/>
        <w:rPr>
          <w:rFonts w:ascii="宋体" w:hAnsi="宋体" w:cs="宋体"/>
          <w:color w:val="000000" w:themeColor="text1"/>
          <w:sz w:val="24"/>
        </w:rPr>
      </w:pPr>
      <w:r>
        <w:rPr>
          <w:rFonts w:hint="eastAsia" w:ascii="宋体" w:hAnsi="宋体" w:cs="宋体"/>
          <w:b/>
          <w:color w:val="000000" w:themeColor="text1"/>
          <w:sz w:val="24"/>
        </w:rPr>
        <w:t>交易名称：</w:t>
      </w:r>
      <w:bookmarkStart w:id="11" w:name="OLE_LINK7"/>
      <w:bookmarkStart w:id="12" w:name="OLE_LINK9"/>
      <w:bookmarkStart w:id="13" w:name="OLE_LINK10"/>
      <w:r>
        <w:rPr>
          <w:rFonts w:hint="eastAsia" w:ascii="宋体" w:hAnsi="宋体" w:cs="宋体"/>
          <w:color w:val="000000" w:themeColor="text1"/>
          <w:sz w:val="24"/>
          <w:u w:val="single"/>
        </w:rPr>
        <w:t>萧山区衙前镇第二小学2025年暑期教师疗休养采购项目</w:t>
      </w:r>
      <w:bookmarkEnd w:id="11"/>
      <w:bookmarkEnd w:id="12"/>
      <w:bookmarkEnd w:id="13"/>
    </w:p>
    <w:p w14:paraId="0E01AA81">
      <w:pPr>
        <w:spacing w:line="360" w:lineRule="auto"/>
        <w:ind w:firstLine="480"/>
        <w:rPr>
          <w:rFonts w:ascii="宋体" w:hAnsi="宋体" w:cs="宋体"/>
          <w:color w:val="000000" w:themeColor="text1"/>
          <w:sz w:val="24"/>
        </w:rPr>
      </w:pPr>
      <w:r>
        <w:rPr>
          <w:rFonts w:hint="eastAsia" w:ascii="宋体" w:hAnsi="宋体" w:cs="宋体"/>
          <w:b/>
          <w:color w:val="000000" w:themeColor="text1"/>
          <w:sz w:val="24"/>
        </w:rPr>
        <w:t>预算金额：</w:t>
      </w:r>
      <w:r>
        <w:rPr>
          <w:rFonts w:hint="eastAsia" w:ascii="宋体" w:hAnsi="宋体" w:cs="宋体"/>
          <w:color w:val="000000" w:themeColor="text1"/>
          <w:sz w:val="24"/>
          <w:szCs w:val="28"/>
        </w:rPr>
        <w:t>17.4万</w:t>
      </w:r>
      <w:r>
        <w:rPr>
          <w:rFonts w:hint="eastAsia" w:cs="宋体"/>
          <w:color w:val="000000" w:themeColor="text1"/>
          <w:sz w:val="24"/>
        </w:rPr>
        <w:t>元</w:t>
      </w:r>
    </w:p>
    <w:p w14:paraId="42C3E622">
      <w:pPr>
        <w:spacing w:line="360" w:lineRule="auto"/>
        <w:ind w:firstLine="480"/>
        <w:rPr>
          <w:rFonts w:ascii="宋体" w:hAnsi="宋体" w:cs="宋体"/>
          <w:color w:val="000000" w:themeColor="text1"/>
          <w:sz w:val="24"/>
        </w:rPr>
      </w:pPr>
      <w:r>
        <w:rPr>
          <w:rFonts w:hint="eastAsia" w:ascii="宋体" w:hAnsi="宋体" w:cs="宋体"/>
          <w:b/>
          <w:color w:val="000000" w:themeColor="text1"/>
          <w:sz w:val="24"/>
        </w:rPr>
        <w:t>最高限价：</w:t>
      </w:r>
      <w:r>
        <w:rPr>
          <w:rFonts w:hint="eastAsia" w:ascii="宋体" w:hAnsi="宋体" w:cs="宋体"/>
          <w:color w:val="000000" w:themeColor="text1"/>
          <w:sz w:val="24"/>
          <w:szCs w:val="28"/>
        </w:rPr>
        <w:t>17.4万</w:t>
      </w:r>
      <w:r>
        <w:rPr>
          <w:rFonts w:hint="eastAsia" w:cs="宋体"/>
          <w:color w:val="000000" w:themeColor="text1"/>
          <w:sz w:val="24"/>
        </w:rPr>
        <w:t>元</w:t>
      </w:r>
    </w:p>
    <w:p w14:paraId="5EE64F8D">
      <w:pPr>
        <w:pStyle w:val="15"/>
        <w:spacing w:line="360" w:lineRule="auto"/>
        <w:ind w:firstLine="480"/>
        <w:rPr>
          <w:rFonts w:hAnsi="宋体" w:cs="宋体"/>
          <w:b/>
          <w:color w:val="000000" w:themeColor="text1"/>
          <w:sz w:val="24"/>
        </w:rPr>
      </w:pPr>
      <w:r>
        <w:rPr>
          <w:rFonts w:hint="eastAsia" w:hAnsi="宋体" w:cs="宋体"/>
          <w:b/>
          <w:color w:val="000000" w:themeColor="text1"/>
          <w:sz w:val="24"/>
        </w:rPr>
        <w:t>交易需求：</w:t>
      </w:r>
    </w:p>
    <w:p w14:paraId="30773C06">
      <w:pPr>
        <w:spacing w:line="360" w:lineRule="auto"/>
        <w:ind w:firstLine="480"/>
        <w:rPr>
          <w:rFonts w:hAnsi="宋体" w:cs="宋体"/>
          <w:color w:val="000000" w:themeColor="text1"/>
          <w:sz w:val="24"/>
        </w:rPr>
      </w:pPr>
      <w:r>
        <w:rPr>
          <w:rFonts w:hint="eastAsia" w:hAnsi="宋体" w:cs="宋体"/>
          <w:color w:val="000000" w:themeColor="text1"/>
          <w:sz w:val="24"/>
        </w:rPr>
        <w:t>标项名称</w:t>
      </w:r>
      <w:r>
        <w:rPr>
          <w:rFonts w:hint="eastAsia" w:hAnsi="宋体" w:cs="宋体"/>
          <w:color w:val="000000" w:themeColor="text1"/>
          <w:sz w:val="24"/>
          <w:szCs w:val="28"/>
        </w:rPr>
        <w:t>：萧山区衙前镇第二小学2025年暑期教师疗休养采购项目</w:t>
      </w:r>
    </w:p>
    <w:p w14:paraId="37DA18CF">
      <w:pPr>
        <w:pStyle w:val="15"/>
        <w:spacing w:line="360" w:lineRule="auto"/>
        <w:ind w:firstLine="480" w:firstLineChars="200"/>
        <w:rPr>
          <w:rFonts w:hAnsi="宋体" w:cs="宋体"/>
          <w:color w:val="000000" w:themeColor="text1"/>
          <w:sz w:val="24"/>
        </w:rPr>
      </w:pPr>
      <w:r>
        <w:rPr>
          <w:rFonts w:hint="eastAsia" w:hAnsi="宋体" w:cs="宋体"/>
          <w:color w:val="000000" w:themeColor="text1"/>
          <w:sz w:val="24"/>
        </w:rPr>
        <w:t>数量:1</w:t>
      </w:r>
    </w:p>
    <w:p w14:paraId="15B20427">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预算金额</w:t>
      </w:r>
      <w:r>
        <w:rPr>
          <w:rFonts w:hint="eastAsia" w:ascii="宋体" w:hAnsi="宋体" w:cs="宋体"/>
          <w:color w:val="000000" w:themeColor="text1"/>
          <w:sz w:val="24"/>
          <w:szCs w:val="28"/>
        </w:rPr>
        <w:t>：17.4万</w:t>
      </w:r>
      <w:r>
        <w:rPr>
          <w:rFonts w:hint="eastAsia" w:cs="宋体"/>
          <w:color w:val="000000" w:themeColor="text1"/>
          <w:sz w:val="24"/>
        </w:rPr>
        <w:t>元</w:t>
      </w:r>
    </w:p>
    <w:p w14:paraId="322ADAA5">
      <w:pPr>
        <w:pStyle w:val="15"/>
        <w:spacing w:line="360" w:lineRule="auto"/>
        <w:ind w:firstLine="480"/>
        <w:rPr>
          <w:rFonts w:hAnsi="宋体" w:cs="宋体"/>
          <w:color w:val="000000" w:themeColor="text1"/>
          <w:sz w:val="24"/>
        </w:rPr>
      </w:pPr>
      <w:r>
        <w:rPr>
          <w:rFonts w:hint="eastAsia" w:hAnsi="宋体" w:cs="宋体"/>
          <w:color w:val="000000" w:themeColor="text1"/>
          <w:sz w:val="24"/>
        </w:rPr>
        <w:t>简要规格描述或项目基本概况介绍、用途：</w:t>
      </w:r>
      <w:r>
        <w:rPr>
          <w:rFonts w:hint="eastAsia" w:hAnsi="宋体"/>
          <w:color w:val="000000" w:themeColor="text1"/>
          <w:sz w:val="24"/>
          <w:szCs w:val="28"/>
        </w:rPr>
        <w:t>详见交易文件</w:t>
      </w:r>
    </w:p>
    <w:p w14:paraId="0E3B534F">
      <w:pPr>
        <w:pStyle w:val="15"/>
        <w:spacing w:line="360" w:lineRule="auto"/>
        <w:ind w:firstLine="480"/>
        <w:rPr>
          <w:rFonts w:hAnsi="宋体" w:cs="宋体"/>
          <w:color w:val="000000" w:themeColor="text1"/>
          <w:sz w:val="24"/>
        </w:rPr>
      </w:pPr>
      <w:r>
        <w:rPr>
          <w:rFonts w:hint="eastAsia" w:hAnsi="宋体" w:cs="宋体"/>
          <w:color w:val="000000" w:themeColor="text1"/>
          <w:sz w:val="24"/>
        </w:rPr>
        <w:t>备注：</w:t>
      </w:r>
    </w:p>
    <w:p w14:paraId="16DB673A">
      <w:pPr>
        <w:pStyle w:val="15"/>
        <w:spacing w:line="360" w:lineRule="auto"/>
        <w:ind w:firstLine="480"/>
        <w:rPr>
          <w:rFonts w:hAnsi="宋体" w:cs="宋体"/>
          <w:color w:val="000000" w:themeColor="text1"/>
        </w:rPr>
      </w:pPr>
      <w:r>
        <w:rPr>
          <w:rFonts w:hint="eastAsia" w:hAnsi="宋体" w:cs="宋体"/>
          <w:b/>
          <w:color w:val="000000" w:themeColor="text1"/>
          <w:sz w:val="24"/>
          <w:szCs w:val="18"/>
        </w:rPr>
        <w:t>合同履约期限：</w:t>
      </w:r>
      <w:r>
        <w:rPr>
          <w:rFonts w:hint="eastAsia" w:hAnsi="宋体"/>
          <w:color w:val="000000" w:themeColor="text1"/>
          <w:sz w:val="24"/>
          <w:szCs w:val="28"/>
        </w:rPr>
        <w:t>详见交易文件</w:t>
      </w:r>
    </w:p>
    <w:p w14:paraId="6E4A8FE6">
      <w:pPr>
        <w:spacing w:line="360" w:lineRule="auto"/>
        <w:ind w:firstLine="480"/>
        <w:rPr>
          <w:rFonts w:ascii="宋体" w:hAnsi="宋体" w:cs="宋体"/>
          <w:b/>
          <w:color w:val="000000" w:themeColor="text1"/>
          <w:sz w:val="24"/>
        </w:rPr>
      </w:pPr>
      <w:r>
        <w:rPr>
          <w:rFonts w:hint="eastAsia" w:ascii="宋体" w:hAnsi="宋体" w:cs="宋体"/>
          <w:b/>
          <w:color w:val="000000" w:themeColor="text1"/>
          <w:sz w:val="24"/>
        </w:rPr>
        <w:t xml:space="preserve">本项目接受联合体投标：（ ）是；（√）否 </w:t>
      </w:r>
      <w:r>
        <w:rPr>
          <w:rFonts w:hint="eastAsia" w:ascii="宋体" w:hAnsi="宋体" w:cs="宋体"/>
          <w:color w:val="000000" w:themeColor="text1"/>
          <w:kern w:val="0"/>
          <w:sz w:val="24"/>
        </w:rPr>
        <w:t>。</w:t>
      </w:r>
    </w:p>
    <w:p w14:paraId="3B3F2048">
      <w:pPr>
        <w:spacing w:line="360" w:lineRule="auto"/>
        <w:rPr>
          <w:rFonts w:ascii="宋体" w:hAnsi="宋体" w:cs="宋体"/>
          <w:b/>
          <w:color w:val="000000" w:themeColor="text1"/>
          <w:sz w:val="24"/>
        </w:rPr>
      </w:pPr>
      <w:r>
        <w:rPr>
          <w:rFonts w:hint="eastAsia" w:ascii="宋体" w:hAnsi="宋体" w:cs="宋体"/>
          <w:b/>
          <w:color w:val="000000" w:themeColor="text1"/>
          <w:sz w:val="24"/>
        </w:rPr>
        <w:t>二、申请人的资格要求：</w:t>
      </w:r>
    </w:p>
    <w:p w14:paraId="04C03AD2">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1、具有独立承担民事责任的能力；</w:t>
      </w:r>
    </w:p>
    <w:p w14:paraId="420ACA56">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2、具有良好的商业信誉和健全的财务会计制度；</w:t>
      </w:r>
    </w:p>
    <w:p w14:paraId="042B0057">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3、具有履行合同所必需的设备和专业技术能力；</w:t>
      </w:r>
    </w:p>
    <w:p w14:paraId="14D45B2B">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4、有依法缴纳税收和社会保障资金的良好记录；</w:t>
      </w:r>
    </w:p>
    <w:p w14:paraId="6C761F70">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5、参加采购活动前三年内，在经营活动中没有重大违法记录；</w:t>
      </w:r>
    </w:p>
    <w:p w14:paraId="49BA2BC3">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6、法律、行政法规规定的其他条件；</w:t>
      </w:r>
    </w:p>
    <w:p w14:paraId="041799AD">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7、本项目的特定资格要求：具有旅行社业务经营许可证。</w:t>
      </w:r>
    </w:p>
    <w:p w14:paraId="198F6699">
      <w:pPr>
        <w:spacing w:line="440" w:lineRule="exact"/>
        <w:ind w:right="21" w:rightChars="10" w:firstLine="480" w:firstLineChars="200"/>
        <w:rPr>
          <w:rFonts w:ascii="宋体" w:hAnsi="宋体" w:cs="宋体"/>
          <w:color w:val="000000" w:themeColor="text1"/>
          <w:sz w:val="24"/>
        </w:rPr>
      </w:pPr>
      <w:r>
        <w:rPr>
          <w:rFonts w:hint="eastAsia" w:ascii="宋体" w:hAnsi="宋体" w:cs="宋体"/>
          <w:color w:val="000000" w:themeColor="text1"/>
          <w:sz w:val="24"/>
        </w:rPr>
        <w:t>8、本项目不接受联合体参与（潜在供应商能独立完成本项目）。</w:t>
      </w:r>
    </w:p>
    <w:p w14:paraId="127D32AF">
      <w:pPr>
        <w:spacing w:line="360" w:lineRule="auto"/>
        <w:rPr>
          <w:rFonts w:ascii="宋体" w:hAnsi="宋体" w:cs="宋体"/>
          <w:b/>
          <w:color w:val="000000" w:themeColor="text1"/>
          <w:sz w:val="24"/>
        </w:rPr>
      </w:pPr>
      <w:r>
        <w:rPr>
          <w:rFonts w:hint="eastAsia" w:ascii="宋体" w:hAnsi="宋体" w:cs="宋体"/>
          <w:b/>
          <w:color w:val="000000" w:themeColor="text1"/>
          <w:sz w:val="24"/>
        </w:rPr>
        <w:t>三、获取交易文件</w:t>
      </w:r>
    </w:p>
    <w:p w14:paraId="79258914">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时间：</w:t>
      </w:r>
      <w:r>
        <w:rPr>
          <w:rFonts w:hint="eastAsia" w:ascii="宋体" w:hAnsi="宋体" w:cs="宋体"/>
          <w:color w:val="000000" w:themeColor="text1"/>
          <w:sz w:val="24"/>
          <w:highlight w:val="none"/>
        </w:rPr>
        <w:t>/至</w:t>
      </w:r>
      <w:r>
        <w:rPr>
          <w:rFonts w:hint="eastAsia" w:ascii="宋体" w:hAnsi="宋体" w:cs="宋体"/>
          <w:color w:val="000000" w:themeColor="text1"/>
          <w:sz w:val="24"/>
          <w:highlight w:val="none"/>
          <w:u w:val="single"/>
        </w:rPr>
        <w:t>20</w:t>
      </w:r>
      <w:r>
        <w:rPr>
          <w:rFonts w:hint="eastAsia" w:ascii="宋体" w:hAnsi="宋体" w:cs="宋体"/>
          <w:color w:val="000000" w:themeColor="text1"/>
          <w:sz w:val="24"/>
          <w:highlight w:val="none"/>
          <w:u w:val="single"/>
          <w:lang w:val="en-US" w:eastAsia="zh-CN"/>
        </w:rPr>
        <w:t>25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7</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rPr>
        <w:t>，每天上午00:00至12:00 ，下午12:00至23:59（北京时间，线上获取法定节假日均可，线下获取文件法定节假日除外）</w:t>
      </w:r>
    </w:p>
    <w:p w14:paraId="5B5629D9">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地点（网址）：</w:t>
      </w:r>
      <w:r>
        <w:rPr>
          <w:rFonts w:hint="eastAsia" w:ascii="宋体" w:hAnsi="宋体" w:cs="宋体"/>
          <w:color w:val="000000" w:themeColor="text1"/>
          <w:sz w:val="24"/>
        </w:rPr>
        <w:t>乐采云平台（https://www.lecaiyun.com/）</w:t>
      </w:r>
    </w:p>
    <w:p w14:paraId="413A86D2">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方式：</w:t>
      </w:r>
      <w:r>
        <w:rPr>
          <w:rFonts w:hint="eastAsia" w:ascii="宋体" w:hAnsi="宋体" w:cs="宋体"/>
          <w:color w:val="000000" w:themeColor="text1"/>
          <w:sz w:val="24"/>
        </w:rPr>
        <w:t>供应商登录乐采云平台https://www.lecaiyun.com/在线申请获取交易文件（进入“采购公告”应用，在获取采购文件菜单中选择项目，申请获取采购文件）。</w:t>
      </w:r>
    </w:p>
    <w:p w14:paraId="0B746489">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售价（元）：</w:t>
      </w:r>
      <w:r>
        <w:rPr>
          <w:rFonts w:hint="eastAsia" w:ascii="宋体" w:hAnsi="宋体" w:cs="宋体"/>
          <w:color w:val="000000" w:themeColor="text1"/>
          <w:sz w:val="24"/>
        </w:rPr>
        <w:t>0</w:t>
      </w:r>
    </w:p>
    <w:p w14:paraId="053F818E">
      <w:pPr>
        <w:spacing w:line="360" w:lineRule="auto"/>
        <w:rPr>
          <w:rFonts w:ascii="宋体" w:hAnsi="宋体" w:cs="宋体"/>
          <w:b/>
          <w:color w:val="000000" w:themeColor="text1"/>
          <w:sz w:val="24"/>
        </w:rPr>
      </w:pPr>
      <w:r>
        <w:rPr>
          <w:rFonts w:hint="eastAsia" w:ascii="宋体" w:hAnsi="宋体" w:cs="宋体"/>
          <w:b/>
          <w:color w:val="000000" w:themeColor="text1"/>
          <w:sz w:val="24"/>
        </w:rPr>
        <w:t>四、提交响应文件截止时间、交易时间和地点</w:t>
      </w:r>
    </w:p>
    <w:p w14:paraId="5964FB00">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提交响应文件截止时间：</w:t>
      </w:r>
      <w:r>
        <w:rPr>
          <w:rFonts w:hint="eastAsia" w:ascii="宋体" w:hAnsi="宋体" w:cs="宋体"/>
          <w:color w:val="000000" w:themeColor="text1"/>
          <w:sz w:val="24"/>
          <w:highlight w:val="none"/>
          <w:u w:val="single"/>
        </w:rPr>
        <w:t>20</w:t>
      </w:r>
      <w:r>
        <w:rPr>
          <w:rFonts w:hint="eastAsia" w:ascii="宋体" w:hAnsi="宋体" w:cs="宋体"/>
          <w:color w:val="000000" w:themeColor="text1"/>
          <w:sz w:val="24"/>
          <w:highlight w:val="none"/>
          <w:u w:val="single"/>
          <w:lang w:val="en-US" w:eastAsia="zh-CN"/>
        </w:rPr>
        <w:t>25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7</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u w:val="single"/>
        </w:rPr>
        <w:t>日14点00分</w:t>
      </w:r>
      <w:r>
        <w:rPr>
          <w:rFonts w:hint="eastAsia" w:ascii="宋体" w:hAnsi="宋体" w:cs="宋体"/>
          <w:color w:val="000000" w:themeColor="text1"/>
          <w:sz w:val="24"/>
          <w:highlight w:val="none"/>
        </w:rPr>
        <w:t>（</w:t>
      </w:r>
      <w:r>
        <w:rPr>
          <w:rFonts w:hint="eastAsia" w:ascii="宋体" w:hAnsi="宋体" w:cs="宋体"/>
          <w:color w:val="000000" w:themeColor="text1"/>
          <w:sz w:val="24"/>
        </w:rPr>
        <w:t>北京时间）</w:t>
      </w:r>
    </w:p>
    <w:p w14:paraId="6194C482">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投标地点（网址）：</w:t>
      </w:r>
      <w:r>
        <w:rPr>
          <w:rFonts w:hint="eastAsia" w:ascii="宋体" w:hAnsi="宋体" w:cs="宋体"/>
          <w:color w:val="000000" w:themeColor="text1"/>
          <w:sz w:val="24"/>
        </w:rPr>
        <w:t xml:space="preserve">乐采云平台（https://www.lecaiyun.com/） </w:t>
      </w:r>
    </w:p>
    <w:p w14:paraId="5A3638AF">
      <w:pPr>
        <w:spacing w:line="360" w:lineRule="auto"/>
        <w:ind w:firstLine="482" w:firstLineChars="200"/>
        <w:rPr>
          <w:rFonts w:ascii="宋体" w:hAnsi="宋体" w:cs="宋体"/>
          <w:bCs/>
          <w:color w:val="000000" w:themeColor="text1"/>
          <w:sz w:val="24"/>
          <w:u w:val="single"/>
        </w:rPr>
      </w:pPr>
      <w:r>
        <w:rPr>
          <w:rFonts w:hint="eastAsia" w:ascii="宋体" w:hAnsi="宋体" w:cs="宋体"/>
          <w:b/>
          <w:color w:val="000000" w:themeColor="text1"/>
          <w:sz w:val="24"/>
        </w:rPr>
        <w:t>交易时间：</w:t>
      </w:r>
      <w:r>
        <w:rPr>
          <w:rFonts w:hint="eastAsia" w:ascii="宋体" w:hAnsi="宋体" w:cs="宋体"/>
          <w:color w:val="000000" w:themeColor="text1"/>
          <w:sz w:val="24"/>
          <w:highlight w:val="none"/>
          <w:u w:val="single"/>
        </w:rPr>
        <w:t>20</w:t>
      </w:r>
      <w:r>
        <w:rPr>
          <w:rFonts w:hint="eastAsia" w:ascii="宋体" w:hAnsi="宋体" w:cs="宋体"/>
          <w:color w:val="000000" w:themeColor="text1"/>
          <w:sz w:val="24"/>
          <w:highlight w:val="none"/>
          <w:u w:val="single"/>
          <w:lang w:val="en-US" w:eastAsia="zh-CN"/>
        </w:rPr>
        <w:t>25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7</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4</w:t>
      </w:r>
      <w:r>
        <w:rPr>
          <w:rFonts w:hint="eastAsia" w:ascii="宋体" w:hAnsi="宋体" w:cs="宋体"/>
          <w:color w:val="000000" w:themeColor="text1"/>
          <w:sz w:val="24"/>
          <w:highlight w:val="none"/>
          <w:u w:val="single"/>
        </w:rPr>
        <w:t>日14点00分</w:t>
      </w:r>
    </w:p>
    <w:p w14:paraId="035FCA0B">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开标地点（网址）：</w:t>
      </w:r>
      <w:r>
        <w:rPr>
          <w:rFonts w:hint="eastAsia" w:ascii="宋体" w:hAnsi="宋体" w:cs="宋体"/>
          <w:color w:val="000000" w:themeColor="text1"/>
          <w:sz w:val="24"/>
        </w:rPr>
        <w:t>乐采云平台（https://www.lecaiyun.com/）</w:t>
      </w:r>
    </w:p>
    <w:p w14:paraId="3F1BC49C">
      <w:pPr>
        <w:spacing w:line="360" w:lineRule="auto"/>
        <w:rPr>
          <w:rFonts w:ascii="宋体" w:hAnsi="宋体" w:cs="宋体"/>
          <w:b/>
          <w:color w:val="000000" w:themeColor="text1"/>
          <w:sz w:val="24"/>
        </w:rPr>
      </w:pPr>
      <w:r>
        <w:rPr>
          <w:rFonts w:hint="eastAsia" w:ascii="宋体" w:hAnsi="宋体" w:cs="宋体"/>
          <w:b/>
          <w:color w:val="000000" w:themeColor="text1"/>
          <w:sz w:val="24"/>
        </w:rPr>
        <w:t>五、其他补充事宜</w:t>
      </w:r>
    </w:p>
    <w:p w14:paraId="3040B260">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供应商认为交易文件使自己的权益受到损害的，可以自获取交易文件之日起3个工作日内，以书面形式向交易人和采购代理机构提出质疑。质疑供应商对交易人、采购代理机构的答复不满意或者交易人、采购代理机构未在规定的时间内作出答复的，可以在答复期满后十五个工作日内向采购监督管理部门投诉。质疑函范本、投诉书范本请到浙江政府采购网下载专区下载。</w:t>
      </w:r>
    </w:p>
    <w:p w14:paraId="596FCB4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2.其他事项：电子招投标的说明：①电子招投标：本项目以数据电文形式，依托“乐采云平台（www.lecaiyun.com）” 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3490B001">
      <w:pPr>
        <w:spacing w:line="360" w:lineRule="auto"/>
        <w:rPr>
          <w:rFonts w:ascii="宋体" w:hAnsi="宋体" w:cs="宋体"/>
          <w:b/>
          <w:color w:val="000000" w:themeColor="text1"/>
          <w:sz w:val="24"/>
        </w:rPr>
      </w:pPr>
      <w:r>
        <w:rPr>
          <w:rFonts w:hint="eastAsia" w:ascii="宋体" w:hAnsi="宋体" w:cs="宋体"/>
          <w:b/>
          <w:color w:val="000000" w:themeColor="text1"/>
          <w:sz w:val="24"/>
        </w:rPr>
        <w:t>七、对本次采购提出询问、质疑、投诉，请按以下方式联系</w:t>
      </w:r>
    </w:p>
    <w:p w14:paraId="1E70A893">
      <w:pPr>
        <w:widowControl/>
        <w:spacing w:line="360" w:lineRule="auto"/>
        <w:ind w:firstLine="480" w:firstLineChars="200"/>
        <w:jc w:val="left"/>
        <w:rPr>
          <w:rFonts w:ascii="宋体" w:hAnsi="宋体" w:cs="宋体"/>
          <w:color w:val="000000" w:themeColor="text1"/>
          <w:sz w:val="24"/>
          <w:szCs w:val="28"/>
        </w:rPr>
      </w:pPr>
      <w:r>
        <w:rPr>
          <w:rFonts w:hint="eastAsia" w:ascii="宋体" w:hAnsi="宋体" w:cs="宋体"/>
          <w:color w:val="000000" w:themeColor="text1"/>
          <w:sz w:val="24"/>
          <w:szCs w:val="28"/>
        </w:rPr>
        <w:t>1.交易人信息</w:t>
      </w:r>
    </w:p>
    <w:p w14:paraId="0EC14DFE">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szCs w:val="28"/>
        </w:rPr>
        <w:t>名称：萧山</w:t>
      </w:r>
      <w:r>
        <w:rPr>
          <w:rFonts w:hint="eastAsia" w:ascii="宋体" w:hAnsi="宋体" w:cs="宋体"/>
          <w:sz w:val="24"/>
        </w:rPr>
        <w:t>区衙前镇第二小学</w:t>
      </w:r>
    </w:p>
    <w:p w14:paraId="2BAEB785">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地址：</w:t>
      </w:r>
      <w:r>
        <w:rPr>
          <w:rFonts w:hint="eastAsia" w:ascii="宋体" w:hAnsi="宋体"/>
          <w:bCs/>
          <w:color w:val="000000" w:themeColor="text1"/>
          <w:sz w:val="24"/>
        </w:rPr>
        <w:t>杭州市萧山区衙前路603号</w:t>
      </w:r>
    </w:p>
    <w:p w14:paraId="5CC4CCF2">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szCs w:val="28"/>
        </w:rPr>
        <w:t>项目</w:t>
      </w:r>
      <w:r>
        <w:rPr>
          <w:rFonts w:hint="eastAsia" w:ascii="宋体" w:hAnsi="宋体" w:cs="宋体"/>
          <w:color w:val="000000" w:themeColor="text1"/>
          <w:sz w:val="24"/>
        </w:rPr>
        <w:t>联系人（询问）：</w:t>
      </w:r>
      <w:r>
        <w:rPr>
          <w:rFonts w:hint="eastAsia" w:ascii="宋体" w:hAnsi="宋体"/>
          <w:sz w:val="24"/>
        </w:rPr>
        <w:t>戴老师</w:t>
      </w:r>
    </w:p>
    <w:p w14:paraId="1287B237">
      <w:pPr>
        <w:widowControl/>
        <w:spacing w:line="360" w:lineRule="auto"/>
        <w:ind w:firstLine="480" w:firstLineChars="200"/>
        <w:jc w:val="left"/>
        <w:rPr>
          <w:rFonts w:ascii="宋体" w:hAnsi="宋体" w:cs="宋体"/>
          <w:color w:val="000000" w:themeColor="text1"/>
          <w:sz w:val="24"/>
          <w:szCs w:val="28"/>
          <w:highlight w:val="yellow"/>
        </w:rPr>
      </w:pPr>
      <w:r>
        <w:rPr>
          <w:rFonts w:hint="eastAsia" w:ascii="宋体" w:hAnsi="宋体" w:cs="宋体"/>
          <w:color w:val="000000" w:themeColor="text1"/>
          <w:sz w:val="24"/>
        </w:rPr>
        <w:t>项目联系方式（询问）：15088761816</w:t>
      </w:r>
    </w:p>
    <w:p w14:paraId="60C0D4C2">
      <w:pPr>
        <w:widowControl/>
        <w:spacing w:line="360" w:lineRule="auto"/>
        <w:ind w:firstLine="480" w:firstLineChars="200"/>
        <w:jc w:val="left"/>
        <w:rPr>
          <w:rFonts w:ascii="宋体" w:hAnsi="宋体" w:cs="宋体"/>
          <w:color w:val="000000" w:themeColor="text1"/>
          <w:sz w:val="24"/>
          <w:szCs w:val="28"/>
        </w:rPr>
      </w:pPr>
      <w:bookmarkStart w:id="14" w:name="_Toc28359086"/>
      <w:bookmarkStart w:id="15" w:name="_Toc28359009"/>
      <w:r>
        <w:rPr>
          <w:rFonts w:hint="eastAsia" w:ascii="宋体" w:hAnsi="宋体" w:cs="宋体"/>
          <w:color w:val="000000" w:themeColor="text1"/>
          <w:sz w:val="24"/>
          <w:szCs w:val="28"/>
        </w:rPr>
        <w:t>2.</w:t>
      </w:r>
      <w:bookmarkEnd w:id="14"/>
      <w:bookmarkEnd w:id="15"/>
      <w:r>
        <w:rPr>
          <w:rFonts w:hint="eastAsia" w:ascii="宋体" w:hAnsi="宋体" w:cs="宋体"/>
          <w:color w:val="000000" w:themeColor="text1"/>
          <w:sz w:val="24"/>
          <w:szCs w:val="28"/>
        </w:rPr>
        <w:t>采购机构信息</w:t>
      </w:r>
    </w:p>
    <w:p w14:paraId="333922C5">
      <w:pPr>
        <w:widowControl/>
        <w:spacing w:line="360" w:lineRule="auto"/>
        <w:ind w:firstLine="480" w:firstLineChars="200"/>
        <w:jc w:val="left"/>
        <w:rPr>
          <w:rFonts w:ascii="宋体" w:hAnsi="宋体" w:cs="宋体"/>
          <w:color w:val="000000" w:themeColor="text1"/>
          <w:sz w:val="24"/>
          <w:szCs w:val="28"/>
        </w:rPr>
      </w:pPr>
      <w:r>
        <w:rPr>
          <w:rFonts w:hint="eastAsia" w:ascii="宋体" w:hAnsi="宋体" w:cs="宋体"/>
          <w:color w:val="000000" w:themeColor="text1"/>
          <w:sz w:val="24"/>
          <w:szCs w:val="28"/>
        </w:rPr>
        <w:t>名称：浙江筑脸全过程工程咨询有限公司</w:t>
      </w:r>
    </w:p>
    <w:p w14:paraId="507FCF70">
      <w:pPr>
        <w:widowControl/>
        <w:spacing w:line="360" w:lineRule="auto"/>
        <w:ind w:firstLine="480" w:firstLineChars="200"/>
        <w:jc w:val="left"/>
        <w:rPr>
          <w:rFonts w:hint="eastAsia" w:ascii="宋体" w:hAnsi="宋体" w:cs="宋体"/>
          <w:color w:val="000000" w:themeColor="text1"/>
          <w:sz w:val="24"/>
          <w:szCs w:val="28"/>
        </w:rPr>
      </w:pPr>
      <w:r>
        <w:rPr>
          <w:rFonts w:hint="eastAsia" w:ascii="宋体" w:hAnsi="宋体" w:cs="宋体"/>
          <w:color w:val="000000" w:themeColor="text1"/>
          <w:sz w:val="24"/>
          <w:szCs w:val="28"/>
        </w:rPr>
        <w:t>地址：</w:t>
      </w:r>
      <w:r>
        <w:rPr>
          <w:rFonts w:hint="eastAsia" w:ascii="宋体" w:hAnsi="宋体" w:cs="宋体"/>
          <w:color w:val="000000" w:themeColor="text1"/>
          <w:sz w:val="24"/>
          <w:szCs w:val="28"/>
        </w:rPr>
        <w:tab/>
      </w:r>
      <w:r>
        <w:rPr>
          <w:rFonts w:hint="eastAsia" w:ascii="宋体" w:hAnsi="宋体" w:cs="宋体"/>
          <w:color w:val="000000" w:themeColor="text1"/>
          <w:sz w:val="24"/>
          <w:szCs w:val="28"/>
        </w:rPr>
        <w:t>杭州市萧山区金瑞大厦1幢6楼</w:t>
      </w:r>
    </w:p>
    <w:p w14:paraId="7A60B36F">
      <w:pPr>
        <w:widowControl/>
        <w:spacing w:line="360" w:lineRule="auto"/>
        <w:ind w:firstLine="480" w:firstLineChars="200"/>
        <w:jc w:val="left"/>
        <w:rPr>
          <w:rFonts w:ascii="宋体" w:hAnsi="宋体" w:cs="宋体"/>
          <w:color w:val="000000" w:themeColor="text1"/>
          <w:sz w:val="24"/>
          <w:szCs w:val="28"/>
        </w:rPr>
      </w:pPr>
      <w:r>
        <w:rPr>
          <w:rFonts w:hint="eastAsia" w:ascii="宋体" w:hAnsi="宋体" w:cs="宋体"/>
          <w:color w:val="000000" w:themeColor="text1"/>
          <w:sz w:val="24"/>
          <w:szCs w:val="28"/>
        </w:rPr>
        <w:t>项目联系人（询问）：冯刚锋</w:t>
      </w:r>
    </w:p>
    <w:p w14:paraId="32A94276">
      <w:pPr>
        <w:widowControl/>
        <w:spacing w:line="360" w:lineRule="auto"/>
        <w:ind w:firstLine="480" w:firstLineChars="200"/>
        <w:jc w:val="left"/>
        <w:rPr>
          <w:rFonts w:ascii="宋体" w:hAnsi="宋体" w:cs="宋体"/>
          <w:color w:val="000000" w:themeColor="text1"/>
          <w:sz w:val="24"/>
          <w:szCs w:val="28"/>
        </w:rPr>
      </w:pPr>
      <w:r>
        <w:rPr>
          <w:rFonts w:hint="eastAsia" w:ascii="宋体" w:hAnsi="宋体" w:cs="宋体"/>
          <w:color w:val="000000" w:themeColor="text1"/>
          <w:sz w:val="24"/>
          <w:szCs w:val="28"/>
        </w:rPr>
        <w:t>项目联系方式（询问）：15205854844</w:t>
      </w:r>
    </w:p>
    <w:p w14:paraId="40518C4C">
      <w:pPr>
        <w:spacing w:line="360" w:lineRule="auto"/>
        <w:ind w:firstLine="480" w:firstLineChars="200"/>
        <w:rPr>
          <w:rFonts w:ascii="宋体" w:hAnsi="宋体" w:cs="宋体"/>
          <w:color w:val="000000" w:themeColor="text1"/>
          <w:sz w:val="24"/>
        </w:rPr>
      </w:pPr>
    </w:p>
    <w:p w14:paraId="016857D1">
      <w:pPr>
        <w:spacing w:line="360" w:lineRule="auto"/>
        <w:ind w:firstLine="480" w:firstLineChars="200"/>
        <w:rPr>
          <w:rFonts w:ascii="宋体" w:hAnsi="宋体" w:cs="宋体"/>
          <w:color w:val="000000" w:themeColor="text1"/>
          <w:sz w:val="24"/>
        </w:rPr>
      </w:pPr>
    </w:p>
    <w:p w14:paraId="0924232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若对项目采购电子交易系统操作有疑问，可登录政采云（https://www.zcygov.cn/），点击右侧咨询小采，获取采小蜜智能服务管家帮助，或拨打政采云服务热线400-881-7190获取热线服务帮助。</w:t>
      </w:r>
    </w:p>
    <w:p w14:paraId="372A073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CA问题联系电话（人工）：汇信CA 400-888-4636；天谷CA 400-087-8198。</w:t>
      </w:r>
    </w:p>
    <w:p w14:paraId="34620FE9">
      <w:pPr>
        <w:adjustRightInd/>
        <w:spacing w:line="360" w:lineRule="auto"/>
        <w:jc w:val="center"/>
        <w:outlineLvl w:val="0"/>
        <w:rPr>
          <w:rFonts w:ascii="宋体" w:hAnsi="宋体" w:cs="宋体"/>
          <w:b/>
          <w:color w:val="000000" w:themeColor="text1"/>
          <w:sz w:val="36"/>
          <w:szCs w:val="20"/>
        </w:rPr>
      </w:pPr>
      <w:r>
        <w:rPr>
          <w:rFonts w:hint="eastAsia" w:ascii="宋体" w:hAnsi="宋体" w:cs="宋体"/>
          <w:b/>
          <w:color w:val="000000" w:themeColor="text1"/>
          <w:sz w:val="36"/>
          <w:szCs w:val="20"/>
        </w:rPr>
        <w:br w:type="page"/>
      </w:r>
      <w:r>
        <w:rPr>
          <w:rFonts w:hint="eastAsia" w:ascii="宋体" w:hAnsi="宋体" w:cs="宋体"/>
          <w:b/>
          <w:color w:val="000000" w:themeColor="text1"/>
          <w:sz w:val="36"/>
          <w:szCs w:val="20"/>
        </w:rPr>
        <w:t>第二部分</w:t>
      </w:r>
      <w:bookmarkEnd w:id="8"/>
      <w:r>
        <w:rPr>
          <w:rFonts w:hint="eastAsia" w:ascii="宋体" w:hAnsi="宋体" w:cs="宋体"/>
          <w:b/>
          <w:color w:val="000000" w:themeColor="text1"/>
          <w:sz w:val="36"/>
          <w:szCs w:val="20"/>
        </w:rPr>
        <w:t>供应商须知</w:t>
      </w:r>
      <w:bookmarkEnd w:id="9"/>
    </w:p>
    <w:p w14:paraId="74F61203">
      <w:pPr>
        <w:snapToGrid w:val="0"/>
        <w:spacing w:line="360" w:lineRule="auto"/>
        <w:jc w:val="center"/>
        <w:rPr>
          <w:rFonts w:ascii="宋体" w:hAnsi="宋体" w:cs="宋体"/>
          <w:b/>
          <w:color w:val="000000" w:themeColor="text1"/>
          <w:sz w:val="32"/>
          <w:szCs w:val="20"/>
        </w:rPr>
      </w:pPr>
      <w:r>
        <w:rPr>
          <w:rFonts w:hint="eastAsia" w:ascii="宋体" w:hAnsi="宋体" w:cs="宋体"/>
          <w:b/>
          <w:color w:val="000000" w:themeColor="text1"/>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2205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0B3AB7">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3B5338">
            <w:pPr>
              <w:snapToGrid w:val="0"/>
              <w:jc w:val="center"/>
              <w:rPr>
                <w:rFonts w:ascii="宋体" w:hAnsi="宋体" w:cs="宋体"/>
                <w:b/>
                <w:color w:val="000000" w:themeColor="text1"/>
                <w:sz w:val="24"/>
              </w:rPr>
            </w:pPr>
            <w:r>
              <w:rPr>
                <w:rFonts w:hint="eastAsia" w:ascii="宋体" w:hAnsi="宋体" w:cs="宋体"/>
                <w:b/>
                <w:color w:val="000000" w:themeColor="text1"/>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7101F">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本项目的特别规定</w:t>
            </w:r>
          </w:p>
        </w:tc>
      </w:tr>
      <w:tr w14:paraId="027C1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7C63F8">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1B2AA3">
            <w:pPr>
              <w:snapToGrid w:val="0"/>
              <w:jc w:val="center"/>
              <w:rPr>
                <w:rFonts w:ascii="宋体" w:hAnsi="宋体" w:cs="宋体"/>
                <w:b/>
                <w:color w:val="000000" w:themeColor="text1"/>
                <w:sz w:val="24"/>
              </w:rPr>
            </w:pPr>
            <w:r>
              <w:rPr>
                <w:rFonts w:hint="eastAsia" w:ascii="宋体" w:hAnsi="宋体" w:cs="宋体"/>
                <w:b/>
                <w:color w:val="000000" w:themeColor="text1"/>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D1A88">
            <w:pPr>
              <w:spacing w:line="360" w:lineRule="auto"/>
              <w:rPr>
                <w:rFonts w:ascii="宋体" w:hAnsi="宋体" w:cs="宋体"/>
                <w:color w:val="000000" w:themeColor="text1"/>
                <w:sz w:val="24"/>
              </w:rPr>
            </w:pPr>
            <w:r>
              <w:rPr>
                <w:rFonts w:hint="eastAsia" w:ascii="宋体" w:hAnsi="宋体" w:cs="宋体"/>
                <w:color w:val="000000" w:themeColor="text1"/>
                <w:kern w:val="0"/>
                <w:sz w:val="24"/>
              </w:rPr>
              <w:t>(  )A货物类</w:t>
            </w:r>
            <w:r>
              <w:rPr>
                <w:rFonts w:hint="eastAsia" w:ascii="宋体" w:hAnsi="宋体" w:cs="宋体"/>
                <w:color w:val="000000" w:themeColor="text1"/>
                <w:sz w:val="24"/>
              </w:rPr>
              <w:t>。</w:t>
            </w:r>
          </w:p>
          <w:p w14:paraId="135EDE91">
            <w:pPr>
              <w:spacing w:line="360" w:lineRule="auto"/>
              <w:rPr>
                <w:rFonts w:ascii="宋体" w:hAnsi="宋体" w:cs="宋体"/>
                <w:color w:val="000000" w:themeColor="text1"/>
                <w:sz w:val="24"/>
              </w:rPr>
            </w:pPr>
            <w:r>
              <w:rPr>
                <w:rFonts w:hint="eastAsia" w:ascii="宋体" w:hAnsi="宋体" w:cs="宋体"/>
                <w:color w:val="000000" w:themeColor="text1"/>
                <w:kern w:val="0"/>
                <w:sz w:val="24"/>
              </w:rPr>
              <w:t xml:space="preserve">( </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)B服务类</w:t>
            </w:r>
            <w:r>
              <w:rPr>
                <w:rFonts w:hint="eastAsia" w:ascii="宋体" w:hAnsi="宋体" w:cs="宋体"/>
                <w:color w:val="000000" w:themeColor="text1"/>
                <w:sz w:val="24"/>
              </w:rPr>
              <w:t>。</w:t>
            </w:r>
          </w:p>
        </w:tc>
      </w:tr>
      <w:tr w14:paraId="08CC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315CA">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EBF660">
            <w:pPr>
              <w:snapToGrid w:val="0"/>
              <w:spacing w:line="360" w:lineRule="auto"/>
              <w:jc w:val="center"/>
              <w:rPr>
                <w:rFonts w:ascii="仿宋" w:hAnsi="仿宋" w:eastAsia="仿宋" w:cs="仿宋"/>
                <w:b/>
                <w:color w:val="000000" w:themeColor="text1"/>
                <w:sz w:val="24"/>
              </w:rPr>
            </w:pPr>
            <w:r>
              <w:rPr>
                <w:rFonts w:hint="eastAsia" w:ascii="宋体" w:hAnsi="宋体" w:cs="宋体"/>
                <w:b/>
                <w:color w:val="000000" w:themeColor="text1"/>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1341A">
            <w:pPr>
              <w:spacing w:line="440" w:lineRule="exact"/>
              <w:rPr>
                <w:rFonts w:ascii="仿宋" w:hAnsi="仿宋" w:eastAsia="仿宋" w:cs="仿宋"/>
                <w:color w:val="000000" w:themeColor="text1"/>
              </w:rPr>
            </w:pPr>
            <w:r>
              <w:rPr>
                <w:rFonts w:hint="eastAsia" w:ascii="仿宋" w:hAnsi="仿宋" w:eastAsia="仿宋" w:cs="仿宋"/>
                <w:color w:val="000000" w:themeColor="text1"/>
              </w:rPr>
              <w:t>/</w:t>
            </w:r>
          </w:p>
        </w:tc>
      </w:tr>
      <w:tr w14:paraId="5C9CF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08A495">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1FE3B5">
            <w:pPr>
              <w:snapToGrid w:val="0"/>
              <w:jc w:val="center"/>
              <w:rPr>
                <w:rFonts w:ascii="宋体" w:hAnsi="宋体" w:cs="宋体"/>
                <w:b/>
                <w:color w:val="000000" w:themeColor="text1"/>
                <w:sz w:val="24"/>
              </w:rPr>
            </w:pPr>
            <w:r>
              <w:rPr>
                <w:rFonts w:hint="eastAsia" w:ascii="宋体" w:hAnsi="宋体" w:cs="宋体"/>
                <w:b/>
                <w:color w:val="000000" w:themeColor="text1"/>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62268">
            <w:pPr>
              <w:spacing w:line="360" w:lineRule="auto"/>
              <w:rPr>
                <w:rFonts w:ascii="宋体" w:hAnsi="宋体" w:cs="宋体"/>
                <w:color w:val="000000" w:themeColor="text1"/>
              </w:rPr>
            </w:pPr>
            <w:r>
              <w:rPr>
                <w:rFonts w:hint="eastAsia" w:ascii="宋体" w:hAnsi="宋体" w:cs="宋体"/>
                <w:color w:val="000000" w:themeColor="text1"/>
                <w:kern w:val="0"/>
                <w:sz w:val="24"/>
              </w:rPr>
              <w:t xml:space="preserve">( </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r>
              <w:rPr>
                <w:rFonts w:hint="eastAsia" w:ascii="宋体" w:hAnsi="宋体" w:cs="宋体"/>
                <w:color w:val="000000" w:themeColor="text1"/>
                <w:sz w:val="24"/>
                <w:szCs w:val="32"/>
              </w:rPr>
              <w:t>本项目不允许采购进口产品。</w:t>
            </w:r>
          </w:p>
        </w:tc>
      </w:tr>
      <w:tr w14:paraId="0FFA6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F59A6B">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605B14">
            <w:pPr>
              <w:snapToGrid w:val="0"/>
              <w:ind w:firstLine="482" w:firstLineChars="200"/>
              <w:rPr>
                <w:rFonts w:ascii="宋体" w:hAnsi="宋体" w:cs="宋体"/>
                <w:b/>
                <w:color w:val="000000" w:themeColor="text1"/>
                <w:sz w:val="24"/>
              </w:rPr>
            </w:pPr>
            <w:r>
              <w:rPr>
                <w:rFonts w:hint="eastAsia" w:ascii="宋体" w:hAnsi="宋体" w:cs="宋体"/>
                <w:b/>
                <w:color w:val="000000" w:themeColor="text1"/>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EEF7A">
            <w:pPr>
              <w:spacing w:line="360" w:lineRule="auto"/>
              <w:rPr>
                <w:rFonts w:ascii="宋体" w:hAnsi="宋体" w:cs="宋体"/>
                <w:bCs/>
                <w:color w:val="000000" w:themeColor="text1"/>
                <w:sz w:val="24"/>
              </w:rPr>
            </w:pPr>
            <w:r>
              <w:rPr>
                <w:rFonts w:hint="eastAsia" w:ascii="宋体" w:hAnsi="宋体" w:cs="宋体"/>
                <w:bCs/>
                <w:color w:val="000000" w:themeColor="text1"/>
                <w:sz w:val="24"/>
              </w:rPr>
              <w:t>（√）</w:t>
            </w:r>
            <w:r>
              <w:rPr>
                <w:rFonts w:hint="eastAsia" w:ascii="宋体" w:hAnsi="宋体" w:cs="宋体"/>
                <w:bCs/>
                <w:color w:val="000000" w:themeColor="text1"/>
                <w:kern w:val="0"/>
                <w:sz w:val="24"/>
              </w:rPr>
              <w:t>B</w:t>
            </w:r>
            <w:r>
              <w:rPr>
                <w:rFonts w:hint="eastAsia" w:ascii="宋体" w:hAnsi="宋体" w:cs="宋体"/>
                <w:bCs/>
                <w:color w:val="000000" w:themeColor="text1"/>
                <w:sz w:val="24"/>
              </w:rPr>
              <w:t>不同意分包。</w:t>
            </w:r>
          </w:p>
        </w:tc>
      </w:tr>
      <w:tr w14:paraId="773F9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27DBB1">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394ACA">
            <w:pPr>
              <w:snapToGrid w:val="0"/>
              <w:jc w:val="center"/>
              <w:rPr>
                <w:rFonts w:ascii="宋体" w:hAnsi="宋体" w:cs="宋体"/>
                <w:b/>
                <w:color w:val="000000" w:themeColor="text1"/>
                <w:sz w:val="24"/>
              </w:rPr>
            </w:pPr>
            <w:r>
              <w:rPr>
                <w:rFonts w:hint="eastAsia" w:ascii="宋体" w:hAnsi="宋体" w:cs="宋体"/>
                <w:b/>
                <w:color w:val="000000" w:themeColor="text1"/>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C665F">
            <w:pPr>
              <w:spacing w:line="360" w:lineRule="auto"/>
              <w:rPr>
                <w:rFonts w:ascii="宋体" w:hAnsi="宋体" w:cs="宋体"/>
                <w:bCs/>
                <w:color w:val="000000" w:themeColor="text1"/>
                <w:sz w:val="24"/>
                <w:szCs w:val="20"/>
              </w:rPr>
            </w:pPr>
            <w:r>
              <w:rPr>
                <w:rFonts w:hint="eastAsia" w:ascii="宋体" w:hAnsi="宋体" w:cs="宋体"/>
                <w:bCs/>
                <w:color w:val="000000" w:themeColor="text1"/>
                <w:sz w:val="24"/>
              </w:rPr>
              <w:t>（√）</w:t>
            </w:r>
            <w:r>
              <w:rPr>
                <w:rFonts w:hint="eastAsia" w:ascii="宋体" w:hAnsi="宋体" w:cs="宋体"/>
                <w:bCs/>
                <w:color w:val="000000" w:themeColor="text1"/>
                <w:kern w:val="0"/>
                <w:sz w:val="24"/>
              </w:rPr>
              <w:t>A</w:t>
            </w:r>
            <w:r>
              <w:rPr>
                <w:rFonts w:hint="eastAsia" w:ascii="宋体" w:hAnsi="宋体" w:cs="宋体"/>
                <w:bCs/>
                <w:color w:val="000000" w:themeColor="text1"/>
                <w:sz w:val="24"/>
              </w:rPr>
              <w:t>不组织。</w:t>
            </w:r>
          </w:p>
        </w:tc>
      </w:tr>
      <w:tr w14:paraId="67905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414C6">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96B3AF">
            <w:pPr>
              <w:snapToGrid w:val="0"/>
              <w:jc w:val="center"/>
              <w:rPr>
                <w:rFonts w:ascii="宋体" w:hAnsi="宋体" w:cs="宋体"/>
                <w:b/>
                <w:color w:val="000000" w:themeColor="text1"/>
                <w:sz w:val="24"/>
              </w:rPr>
            </w:pPr>
            <w:r>
              <w:rPr>
                <w:rFonts w:hint="eastAsia" w:ascii="宋体" w:hAnsi="宋体" w:cs="宋体"/>
                <w:b/>
                <w:color w:val="000000" w:themeColor="text1"/>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C217B">
            <w:pPr>
              <w:spacing w:line="360" w:lineRule="auto"/>
              <w:rPr>
                <w:rFonts w:ascii="宋体" w:hAnsi="宋体" w:cs="宋体"/>
                <w:bCs/>
                <w:color w:val="000000" w:themeColor="text1"/>
                <w:sz w:val="24"/>
              </w:rPr>
            </w:pPr>
            <w:r>
              <w:rPr>
                <w:rFonts w:hint="eastAsia" w:ascii="宋体" w:hAnsi="宋体" w:cs="宋体"/>
                <w:bCs/>
                <w:color w:val="000000" w:themeColor="text1"/>
                <w:sz w:val="24"/>
              </w:rPr>
              <w:t>（√）A不要求提供。</w:t>
            </w:r>
          </w:p>
        </w:tc>
      </w:tr>
      <w:tr w14:paraId="4424D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DEB4B">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14F944">
            <w:pPr>
              <w:snapToGrid w:val="0"/>
              <w:jc w:val="center"/>
              <w:rPr>
                <w:rFonts w:ascii="宋体" w:hAnsi="宋体" w:cs="宋体"/>
                <w:bCs/>
                <w:color w:val="000000" w:themeColor="text1"/>
                <w:sz w:val="24"/>
              </w:rPr>
            </w:pPr>
            <w:r>
              <w:rPr>
                <w:rFonts w:hint="eastAsia" w:ascii="宋体" w:hAnsi="宋体" w:cs="宋体"/>
                <w:b/>
                <w:color w:val="000000" w:themeColor="text1"/>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16CE60">
            <w:pPr>
              <w:snapToGrid w:val="0"/>
              <w:spacing w:line="360" w:lineRule="auto"/>
              <w:rPr>
                <w:rFonts w:ascii="宋体" w:hAnsi="宋体" w:cs="宋体"/>
                <w:b/>
                <w:color w:val="000000" w:themeColor="text1"/>
                <w:kern w:val="0"/>
                <w:sz w:val="24"/>
                <w:lang w:val="zh-CN"/>
              </w:rPr>
            </w:pPr>
            <w:r>
              <w:rPr>
                <w:rFonts w:hint="eastAsia" w:ascii="宋体" w:hAnsi="宋体" w:cs="宋体"/>
                <w:color w:val="000000" w:themeColor="text1"/>
                <w:sz w:val="24"/>
              </w:rPr>
              <w:t>（√）A不组织。</w:t>
            </w:r>
          </w:p>
        </w:tc>
      </w:tr>
      <w:tr w14:paraId="07920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3B8F6C69">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7</w:t>
            </w:r>
          </w:p>
        </w:tc>
        <w:tc>
          <w:tcPr>
            <w:tcW w:w="1843" w:type="dxa"/>
            <w:tcBorders>
              <w:top w:val="single" w:color="000000" w:sz="8" w:space="0"/>
              <w:left w:val="single" w:color="auto" w:sz="4" w:space="0"/>
              <w:right w:val="single" w:color="000000" w:sz="8" w:space="0"/>
            </w:tcBorders>
            <w:vAlign w:val="center"/>
          </w:tcPr>
          <w:p w14:paraId="486F9D1C">
            <w:pPr>
              <w:snapToGrid w:val="0"/>
              <w:jc w:val="center"/>
              <w:rPr>
                <w:rFonts w:ascii="宋体" w:hAnsi="宋体" w:cs="宋体"/>
                <w:b/>
                <w:color w:val="000000" w:themeColor="text1"/>
                <w:sz w:val="24"/>
              </w:rPr>
            </w:pPr>
            <w:r>
              <w:rPr>
                <w:rFonts w:hint="eastAsia" w:ascii="宋体" w:hAnsi="宋体" w:cs="宋体"/>
                <w:b/>
                <w:color w:val="000000" w:themeColor="text1"/>
                <w:sz w:val="24"/>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ACA61">
            <w:pPr>
              <w:spacing w:line="360" w:lineRule="auto"/>
              <w:rPr>
                <w:rFonts w:ascii="宋体" w:hAnsi="宋体" w:cs="宋体"/>
                <w:color w:val="000000" w:themeColor="text1"/>
                <w:sz w:val="24"/>
              </w:rPr>
            </w:pPr>
            <w:r>
              <w:rPr>
                <w:rFonts w:hint="eastAsia" w:ascii="宋体" w:hAnsi="宋体" w:cs="宋体"/>
                <w:color w:val="000000" w:themeColor="text1"/>
                <w:sz w:val="24"/>
              </w:rPr>
              <w:t>（1）资格证明文件：见交易文件第二部分10.1。</w:t>
            </w:r>
          </w:p>
          <w:p w14:paraId="5A40560A">
            <w:pPr>
              <w:spacing w:line="360" w:lineRule="auto"/>
              <w:rPr>
                <w:rFonts w:ascii="宋体" w:hAnsi="宋体" w:cs="宋体"/>
                <w:snapToGrid w:val="0"/>
                <w:color w:val="000000" w:themeColor="text1"/>
                <w:kern w:val="0"/>
                <w:szCs w:val="21"/>
              </w:rPr>
            </w:pPr>
            <w:r>
              <w:rPr>
                <w:rFonts w:hint="eastAsia" w:ascii="宋体" w:hAnsi="宋体" w:cs="宋体"/>
                <w:color w:val="000000" w:themeColor="text1"/>
                <w:kern w:val="0"/>
                <w:sz w:val="24"/>
                <w:lang w:val="zh-CN"/>
              </w:rPr>
              <w:t>供应商未提供有效的资格证明文件的，视为供应商不具备交易文件中规定的资格要求，交易无效。</w:t>
            </w:r>
          </w:p>
        </w:tc>
      </w:tr>
      <w:tr w14:paraId="75474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58FA7938">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8</w:t>
            </w:r>
          </w:p>
        </w:tc>
        <w:tc>
          <w:tcPr>
            <w:tcW w:w="1843" w:type="dxa"/>
            <w:tcBorders>
              <w:top w:val="single" w:color="000000" w:sz="8" w:space="0"/>
              <w:left w:val="single" w:color="auto" w:sz="4" w:space="0"/>
              <w:right w:val="single" w:color="000000" w:sz="8" w:space="0"/>
            </w:tcBorders>
            <w:vAlign w:val="center"/>
          </w:tcPr>
          <w:p w14:paraId="22E6C202">
            <w:pPr>
              <w:snapToGrid w:val="0"/>
              <w:jc w:val="center"/>
              <w:rPr>
                <w:rFonts w:ascii="宋体" w:hAnsi="宋体" w:cs="宋体"/>
                <w:bCs/>
                <w:color w:val="000000" w:themeColor="text1"/>
                <w:sz w:val="24"/>
              </w:rPr>
            </w:pPr>
            <w:r>
              <w:rPr>
                <w:rFonts w:hint="eastAsia" w:ascii="宋体" w:hAnsi="宋体" w:cs="宋体"/>
                <w:b/>
                <w:color w:val="000000" w:themeColor="text1"/>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16E7E">
            <w:pPr>
              <w:spacing w:line="420" w:lineRule="exact"/>
              <w:ind w:firstLine="480" w:firstLineChars="200"/>
              <w:rPr>
                <w:rFonts w:ascii="宋体" w:hAnsi="宋体" w:cs="宋体"/>
                <w:bCs/>
                <w:color w:val="000000" w:themeColor="text1"/>
                <w:kern w:val="0"/>
                <w:sz w:val="24"/>
                <w:lang w:val="zh-CN"/>
              </w:rPr>
            </w:pPr>
            <w:r>
              <w:rPr>
                <w:rFonts w:hint="eastAsia" w:ascii="宋体" w:hAnsi="宋体" w:cs="宋体"/>
                <w:bCs/>
                <w:color w:val="000000" w:themeColor="text1"/>
                <w:kern w:val="0"/>
                <w:sz w:val="24"/>
                <w:lang w:val="zh-CN"/>
              </w:rPr>
              <w:t>有关本项目实施所需的所有费用（含税费）均计入报价。</w:t>
            </w:r>
            <w:r>
              <w:rPr>
                <w:rFonts w:hint="eastAsia" w:ascii="宋体" w:hAnsi="宋体" w:cs="宋体"/>
                <w:bCs/>
                <w:color w:val="000000" w:themeColor="text1"/>
                <w:kern w:val="0"/>
                <w:sz w:val="24"/>
              </w:rPr>
              <w:t>交易一览表（报价表）是报价的唯一载体</w:t>
            </w:r>
            <w:r>
              <w:rPr>
                <w:rFonts w:hint="eastAsia" w:ascii="宋体" w:hAnsi="宋体" w:cs="宋体"/>
                <w:bCs/>
                <w:color w:val="000000" w:themeColor="text1"/>
                <w:kern w:val="0"/>
                <w:sz w:val="24"/>
                <w:lang w:val="zh-CN"/>
              </w:rPr>
              <w:t>。响应文件中价格全部采用人民币报价。交易文件未列明，而供应商认为必需的费用也需列入报价。</w:t>
            </w:r>
          </w:p>
          <w:p w14:paraId="1E27E521">
            <w:pPr>
              <w:spacing w:line="420" w:lineRule="exact"/>
              <w:rPr>
                <w:rFonts w:ascii="宋体" w:hAnsi="宋体" w:cs="宋体"/>
                <w:bCs/>
                <w:color w:val="000000" w:themeColor="text1"/>
                <w:kern w:val="0"/>
                <w:sz w:val="24"/>
                <w:lang w:val="zh-CN"/>
              </w:rPr>
            </w:pPr>
            <w:r>
              <w:rPr>
                <w:rFonts w:hint="eastAsia" w:ascii="宋体" w:hAnsi="宋体" w:cs="宋体"/>
                <w:bCs/>
                <w:color w:val="000000" w:themeColor="text1"/>
                <w:kern w:val="0"/>
                <w:sz w:val="24"/>
                <w:lang w:val="zh-CN"/>
              </w:rPr>
              <w:t>交易报价出现下列情形的，交易无效：</w:t>
            </w:r>
          </w:p>
          <w:p w14:paraId="25E04E4E">
            <w:pPr>
              <w:spacing w:line="420" w:lineRule="exact"/>
              <w:ind w:firstLine="480" w:firstLineChars="200"/>
              <w:rPr>
                <w:rFonts w:ascii="宋体" w:hAnsi="宋体" w:cs="宋体"/>
                <w:bCs/>
                <w:color w:val="000000" w:themeColor="text1"/>
                <w:kern w:val="0"/>
                <w:sz w:val="24"/>
                <w:lang w:val="zh-CN"/>
              </w:rPr>
            </w:pPr>
            <w:r>
              <w:rPr>
                <w:rFonts w:hint="eastAsia" w:ascii="宋体" w:hAnsi="宋体" w:cs="宋体"/>
                <w:bCs/>
                <w:color w:val="000000" w:themeColor="text1"/>
                <w:kern w:val="0"/>
                <w:sz w:val="24"/>
                <w:lang w:val="zh-CN"/>
              </w:rPr>
              <w:t>响应文件出现不是唯一的、有选择性交易报价的；</w:t>
            </w:r>
          </w:p>
          <w:p w14:paraId="52DCC845">
            <w:pPr>
              <w:spacing w:line="420" w:lineRule="exact"/>
              <w:ind w:firstLine="480" w:firstLineChars="200"/>
              <w:rPr>
                <w:rFonts w:ascii="宋体" w:hAnsi="宋体" w:cs="宋体"/>
                <w:bCs/>
                <w:color w:val="000000" w:themeColor="text1"/>
                <w:kern w:val="0"/>
                <w:sz w:val="24"/>
                <w:lang w:val="zh-CN"/>
              </w:rPr>
            </w:pPr>
            <w:r>
              <w:rPr>
                <w:rFonts w:hint="eastAsia" w:ascii="宋体" w:hAnsi="宋体" w:cs="宋体"/>
                <w:bCs/>
                <w:color w:val="000000" w:themeColor="text1"/>
                <w:kern w:val="0"/>
                <w:sz w:val="24"/>
                <w:lang w:val="zh-CN"/>
              </w:rPr>
              <w:t>交易报价超过交易文件中规定的预算金额或者最高限价的；</w:t>
            </w:r>
          </w:p>
          <w:p w14:paraId="3D3B7A4A">
            <w:pPr>
              <w:spacing w:line="420" w:lineRule="exact"/>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报价明显低于其他通过符合性审查供应商的报价，有可能影响产品质量或者不能诚信履约的，未能按要求提供书面说明或者提交相关证明材料证明其报价合理性的；</w:t>
            </w:r>
          </w:p>
          <w:p w14:paraId="442F3B4C">
            <w:pPr>
              <w:spacing w:line="420" w:lineRule="exact"/>
              <w:rPr>
                <w:rFonts w:ascii="宋体" w:hAnsi="宋体" w:cs="宋体"/>
                <w:color w:val="000000" w:themeColor="text1"/>
                <w:kern w:val="0"/>
                <w:sz w:val="24"/>
                <w:lang w:val="zh-CN"/>
              </w:rPr>
            </w:pPr>
            <w:r>
              <w:rPr>
                <w:rFonts w:hint="eastAsia" w:ascii="宋体" w:hAnsi="宋体" w:cs="宋体"/>
                <w:bCs/>
                <w:color w:val="000000" w:themeColor="text1"/>
                <w:kern w:val="0"/>
                <w:sz w:val="24"/>
              </w:rPr>
              <w:t>供应商对根据修正原则修正后的报价不确认的。</w:t>
            </w:r>
          </w:p>
        </w:tc>
      </w:tr>
      <w:tr w14:paraId="3950B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269F86">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DD4199">
            <w:pPr>
              <w:snapToGrid w:val="0"/>
              <w:jc w:val="center"/>
              <w:rPr>
                <w:rFonts w:ascii="宋体" w:hAnsi="宋体" w:cs="宋体"/>
                <w:b/>
                <w:color w:val="000000" w:themeColor="text1"/>
                <w:sz w:val="24"/>
              </w:rPr>
            </w:pPr>
            <w:r>
              <w:rPr>
                <w:rFonts w:hint="eastAsia" w:ascii="宋体" w:hAnsi="宋体" w:cs="宋体"/>
                <w:b/>
                <w:color w:val="000000" w:themeColor="text1"/>
                <w:sz w:val="24"/>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43BCA">
            <w:pPr>
              <w:pStyle w:val="32"/>
              <w:spacing w:line="360" w:lineRule="auto"/>
              <w:ind w:hanging="4"/>
              <w:rPr>
                <w:rFonts w:hAnsi="宋体" w:cs="宋体"/>
                <w:color w:val="000000" w:themeColor="text1"/>
                <w:kern w:val="28"/>
                <w:sz w:val="24"/>
                <w:szCs w:val="24"/>
              </w:rPr>
            </w:pPr>
            <w:r>
              <w:rPr>
                <w:rFonts w:hint="eastAsia" w:hAnsi="宋体" w:cs="宋体"/>
                <w:color w:val="000000" w:themeColor="text1"/>
                <w:kern w:val="28"/>
                <w:sz w:val="24"/>
                <w:szCs w:val="24"/>
              </w:rPr>
              <w:t>备份文件是否收取：不收取</w:t>
            </w:r>
          </w:p>
          <w:p w14:paraId="78958E4A">
            <w:pPr>
              <w:pStyle w:val="32"/>
              <w:spacing w:line="360" w:lineRule="auto"/>
              <w:ind w:hanging="4"/>
              <w:rPr>
                <w:rFonts w:hAnsi="宋体" w:cs="宋体"/>
                <w:color w:val="000000" w:themeColor="text1"/>
                <w:kern w:val="28"/>
                <w:sz w:val="24"/>
                <w:szCs w:val="24"/>
              </w:rPr>
            </w:pPr>
            <w:r>
              <w:rPr>
                <w:rFonts w:hint="eastAsia" w:hAnsi="宋体" w:cs="宋体"/>
                <w:b/>
                <w:color w:val="000000" w:themeColor="text1"/>
                <w:sz w:val="24"/>
              </w:rPr>
              <w:t>成交单位在成交后提供纸质响应文件一正三副。</w:t>
            </w:r>
          </w:p>
        </w:tc>
      </w:tr>
      <w:tr w14:paraId="60C16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248D69">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C51E4">
            <w:pPr>
              <w:snapToGrid w:val="0"/>
              <w:jc w:val="center"/>
              <w:rPr>
                <w:rFonts w:ascii="宋体" w:hAnsi="宋体" w:cs="宋体"/>
                <w:b/>
                <w:color w:val="000000" w:themeColor="text1"/>
                <w:sz w:val="24"/>
              </w:rPr>
            </w:pPr>
            <w:r>
              <w:rPr>
                <w:rFonts w:hint="eastAsia" w:ascii="宋体" w:hAnsi="宋体" w:cs="宋体"/>
                <w:b/>
                <w:color w:val="000000" w:themeColor="text1"/>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5ABFC5A">
            <w:pPr>
              <w:spacing w:line="400" w:lineRule="exact"/>
              <w:rPr>
                <w:rFonts w:ascii="宋体" w:hAnsi="宋体" w:cs="宋体"/>
                <w:b/>
                <w:color w:val="000000" w:themeColor="text1"/>
                <w:sz w:val="24"/>
              </w:rPr>
            </w:pPr>
            <w:r>
              <w:rPr>
                <w:rFonts w:hint="eastAsia" w:ascii="宋体" w:hAnsi="宋体" w:cs="宋体"/>
                <w:bCs/>
                <w:color w:val="000000" w:themeColor="text1"/>
                <w:kern w:val="0"/>
                <w:sz w:val="24"/>
              </w:rPr>
              <w:t>本次代理服务费由交易人支付。</w:t>
            </w:r>
          </w:p>
        </w:tc>
      </w:tr>
      <w:tr w14:paraId="298EC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CFAC98">
            <w:pPr>
              <w:snapToGrid w:val="0"/>
              <w:spacing w:line="360" w:lineRule="auto"/>
              <w:jc w:val="center"/>
              <w:rPr>
                <w:rFonts w:ascii="宋体" w:hAnsi="宋体" w:cs="宋体"/>
                <w:b/>
                <w:color w:val="000000" w:themeColor="text1"/>
                <w:sz w:val="24"/>
              </w:rPr>
            </w:pPr>
            <w:r>
              <w:rPr>
                <w:rFonts w:hint="eastAsia" w:ascii="宋体" w:hAnsi="宋体" w:cs="宋体"/>
                <w:bCs/>
                <w:color w:val="000000" w:themeColor="text1"/>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EF6E6">
            <w:pPr>
              <w:snapToGrid w:val="0"/>
              <w:jc w:val="center"/>
              <w:rPr>
                <w:rFonts w:ascii="宋体" w:hAnsi="宋体" w:cs="宋体"/>
                <w:b/>
                <w:color w:val="000000" w:themeColor="text1"/>
                <w:sz w:val="24"/>
              </w:rPr>
            </w:pPr>
            <w:r>
              <w:rPr>
                <w:rFonts w:hint="eastAsia" w:ascii="宋体" w:hAnsi="宋体" w:cs="宋体"/>
                <w:b/>
                <w:color w:val="000000" w:themeColor="text1"/>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0CDAE6E4">
            <w:pPr>
              <w:pStyle w:val="15"/>
              <w:spacing w:line="360" w:lineRule="auto"/>
              <w:ind w:firstLine="0"/>
              <w:rPr>
                <w:rFonts w:hAnsi="宋体" w:cs="宋体"/>
                <w:color w:val="000000" w:themeColor="text1"/>
                <w:sz w:val="24"/>
              </w:rPr>
            </w:pPr>
            <w:r>
              <w:rPr>
                <w:rFonts w:hint="eastAsia" w:hAnsi="宋体" w:cs="宋体"/>
                <w:bCs/>
                <w:snapToGrid/>
                <w:color w:val="000000" w:themeColor="text1"/>
                <w:kern w:val="0"/>
                <w:sz w:val="24"/>
                <w:szCs w:val="24"/>
              </w:rPr>
              <w:t>本项目不收取。</w:t>
            </w:r>
          </w:p>
        </w:tc>
      </w:tr>
      <w:tr w14:paraId="4CF1E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2A299D">
            <w:pPr>
              <w:snapToGrid w:val="0"/>
              <w:spacing w:line="360" w:lineRule="auto"/>
              <w:jc w:val="center"/>
              <w:rPr>
                <w:rFonts w:ascii="宋体" w:hAnsi="宋体" w:cs="宋体"/>
                <w:bCs/>
                <w:color w:val="000000" w:themeColor="text1"/>
                <w:sz w:val="24"/>
              </w:rPr>
            </w:pPr>
            <w:r>
              <w:rPr>
                <w:rFonts w:hint="eastAsia" w:ascii="宋体" w:hAnsi="宋体" w:cs="宋体"/>
                <w:bCs/>
                <w:color w:val="000000" w:themeColor="text1"/>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11E726F">
            <w:pPr>
              <w:snapToGrid w:val="0"/>
              <w:jc w:val="center"/>
              <w:rPr>
                <w:rFonts w:ascii="宋体" w:hAnsi="宋体" w:cs="宋体"/>
                <w:b/>
                <w:color w:val="000000" w:themeColor="text1"/>
                <w:sz w:val="24"/>
              </w:rPr>
            </w:pPr>
            <w:r>
              <w:rPr>
                <w:rFonts w:hint="eastAsia" w:ascii="宋体" w:hAnsi="宋体" w:cs="宋体"/>
                <w:b/>
                <w:color w:val="000000" w:themeColor="text1"/>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0B0B7F9">
            <w:pPr>
              <w:pStyle w:val="32"/>
              <w:spacing w:line="360" w:lineRule="auto"/>
              <w:ind w:hanging="4"/>
              <w:rPr>
                <w:rFonts w:hAnsi="宋体" w:cs="宋体"/>
                <w:color w:val="000000" w:themeColor="text1"/>
                <w:sz w:val="24"/>
              </w:rPr>
            </w:pPr>
            <w:r>
              <w:rPr>
                <w:rFonts w:hint="eastAsia" w:hAnsi="宋体" w:cs="宋体"/>
                <w:color w:val="000000" w:themeColor="text1"/>
                <w:sz w:val="24"/>
              </w:rPr>
              <w:t>本项目由交易人进行资格文件及信用信息查询。</w:t>
            </w:r>
          </w:p>
        </w:tc>
      </w:tr>
      <w:tr w14:paraId="2830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85A784">
            <w:pPr>
              <w:snapToGrid w:val="0"/>
              <w:spacing w:line="360" w:lineRule="auto"/>
              <w:jc w:val="center"/>
              <w:rPr>
                <w:rFonts w:ascii="宋体" w:hAnsi="宋体" w:cs="宋体"/>
                <w:bCs/>
                <w:color w:val="000000" w:themeColor="text1"/>
                <w:sz w:val="24"/>
              </w:rPr>
            </w:pPr>
            <w:r>
              <w:rPr>
                <w:rFonts w:hint="eastAsia" w:ascii="宋体" w:hAnsi="宋体" w:cs="宋体"/>
                <w:bCs/>
                <w:color w:val="000000" w:themeColor="text1"/>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E447E1">
            <w:pPr>
              <w:snapToGrid w:val="0"/>
              <w:jc w:val="center"/>
              <w:rPr>
                <w:rFonts w:ascii="宋体" w:hAnsi="宋体" w:cs="宋体"/>
                <w:b/>
                <w:color w:val="000000" w:themeColor="text1"/>
                <w:sz w:val="24"/>
              </w:rPr>
            </w:pPr>
            <w:r>
              <w:rPr>
                <w:rFonts w:hint="eastAsia" w:ascii="宋体" w:hAnsi="宋体" w:cs="宋体"/>
                <w:b/>
                <w:color w:val="000000" w:themeColor="text1"/>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42139">
            <w:pPr>
              <w:spacing w:line="360" w:lineRule="auto"/>
              <w:jc w:val="left"/>
              <w:rPr>
                <w:rFonts w:ascii="宋体" w:hAnsi="宋体" w:cs="宋体"/>
                <w:color w:val="000000" w:themeColor="text1"/>
                <w:sz w:val="24"/>
                <w:u w:val="single"/>
              </w:rPr>
            </w:pPr>
            <w:r>
              <w:rPr>
                <w:rFonts w:hint="eastAsia" w:ascii="宋体" w:hAnsi="宋体" w:cs="宋体"/>
                <w:color w:val="000000" w:themeColor="text1"/>
                <w:sz w:val="24"/>
              </w:rPr>
              <w:t>交易人质疑接收人：</w:t>
            </w:r>
            <w:r>
              <w:rPr>
                <w:rFonts w:hint="eastAsia" w:ascii="宋体" w:hAnsi="宋体" w:cs="宋体"/>
                <w:color w:val="000000" w:themeColor="text1"/>
                <w:sz w:val="24"/>
                <w:u w:val="single"/>
              </w:rPr>
              <w:t>胡老师</w:t>
            </w:r>
            <w:r>
              <w:rPr>
                <w:rFonts w:hint="eastAsia" w:ascii="宋体" w:hAnsi="宋体" w:cs="宋体"/>
                <w:color w:val="000000" w:themeColor="text1"/>
                <w:sz w:val="24"/>
              </w:rPr>
              <w:t>联系方式：</w:t>
            </w:r>
            <w:r>
              <w:rPr>
                <w:rFonts w:ascii="宋体" w:hAnsi="宋体" w:cs="宋体"/>
                <w:color w:val="000000" w:themeColor="text1"/>
                <w:sz w:val="24"/>
                <w:u w:val="single"/>
              </w:rPr>
              <w:t>0571-82785629</w:t>
            </w:r>
          </w:p>
          <w:p w14:paraId="30D4B678">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bCs/>
                <w:color w:val="000000" w:themeColor="text1"/>
                <w:sz w:val="24"/>
                <w:u w:val="single"/>
              </w:rPr>
              <w:t>杭州市萧山区衙前路603号</w:t>
            </w:r>
          </w:p>
          <w:p w14:paraId="1DBA30E4">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rPr>
              <w:t>邮箱:</w:t>
            </w:r>
            <w:r>
              <w:rPr>
                <w:rFonts w:hint="eastAsia" w:ascii="宋体" w:hAnsi="宋体" w:cs="宋体"/>
                <w:color w:val="000000" w:themeColor="text1"/>
                <w:sz w:val="24"/>
                <w:u w:val="single"/>
              </w:rPr>
              <w:t>hjfyqex@163.com</w:t>
            </w:r>
          </w:p>
          <w:p w14:paraId="0477895D">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rPr>
              <w:t>采购机构质疑接收人：</w:t>
            </w:r>
            <w:r>
              <w:rPr>
                <w:rFonts w:hint="eastAsia" w:ascii="宋体" w:hAnsi="宋体" w:cs="宋体"/>
                <w:color w:val="000000" w:themeColor="text1"/>
                <w:sz w:val="24"/>
                <w:u w:val="single"/>
              </w:rPr>
              <w:t>蒋炎亮</w:t>
            </w:r>
            <w:r>
              <w:rPr>
                <w:rFonts w:hint="eastAsia" w:ascii="宋体" w:hAnsi="宋体" w:cs="宋体"/>
                <w:color w:val="000000" w:themeColor="text1"/>
                <w:sz w:val="24"/>
              </w:rPr>
              <w:t>联系方式：</w:t>
            </w:r>
            <w:r>
              <w:rPr>
                <w:rFonts w:hint="eastAsia" w:ascii="宋体" w:hAnsi="宋体" w:cs="宋体"/>
                <w:color w:val="000000" w:themeColor="text1"/>
                <w:sz w:val="24"/>
                <w:u w:val="single"/>
              </w:rPr>
              <w:t>13867445544</w:t>
            </w:r>
          </w:p>
          <w:p w14:paraId="5AAA1472">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color w:val="000000" w:themeColor="text1"/>
                <w:sz w:val="24"/>
                <w:szCs w:val="28"/>
                <w:u w:val="single"/>
              </w:rPr>
              <w:t>杭州市萧山区金城路165号金瑞大厦1幢6楼</w:t>
            </w:r>
          </w:p>
          <w:p w14:paraId="18A5348D">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rPr>
              <w:t>邮箱：</w:t>
            </w:r>
            <w:r>
              <w:rPr>
                <w:rFonts w:hint="eastAsia" w:ascii="宋体" w:hAnsi="宋体" w:cs="宋体"/>
                <w:color w:val="000000" w:themeColor="text1"/>
                <w:sz w:val="24"/>
                <w:szCs w:val="28"/>
                <w:u w:val="single"/>
              </w:rPr>
              <w:t xml:space="preserve">240824439@qq.com </w:t>
            </w:r>
          </w:p>
          <w:p w14:paraId="3AFC46F5">
            <w:pPr>
              <w:snapToGrid w:val="0"/>
              <w:spacing w:line="360" w:lineRule="auto"/>
              <w:rPr>
                <w:rFonts w:ascii="宋体" w:hAnsi="宋体" w:cs="宋体"/>
                <w:b/>
                <w:color w:val="000000" w:themeColor="text1"/>
                <w:sz w:val="24"/>
              </w:rPr>
            </w:pPr>
            <w:r>
              <w:rPr>
                <w:rFonts w:hint="eastAsia" w:ascii="宋体" w:hAnsi="宋体" w:cs="宋体"/>
                <w:b/>
                <w:color w:val="000000" w:themeColor="text1"/>
                <w:sz w:val="24"/>
              </w:rPr>
              <w:t>如通过邮箱方式发送质疑，须提交符合法规及交易文件要求的质疑文件（参考附件2），盖章扫描后发送，质疑的受理按答复主体划分以交易人或采购机构邮箱回复确认受理为准。</w:t>
            </w:r>
          </w:p>
          <w:p w14:paraId="67954992">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本项目涉及资格条件、采购需求、评分办法及采购过程中有关现场考察或开标前答疑会事项由交易人进行答复。</w:t>
            </w:r>
          </w:p>
          <w:p w14:paraId="027774C5">
            <w:pPr>
              <w:pStyle w:val="32"/>
              <w:spacing w:line="360" w:lineRule="auto"/>
              <w:ind w:hanging="4"/>
              <w:rPr>
                <w:rFonts w:hAnsi="宋体" w:cs="宋体"/>
                <w:color w:val="000000" w:themeColor="text1"/>
                <w:sz w:val="24"/>
              </w:rPr>
            </w:pPr>
            <w:r>
              <w:rPr>
                <w:rFonts w:hint="eastAsia" w:hAnsi="宋体" w:cs="宋体"/>
                <w:color w:val="000000" w:themeColor="text1"/>
                <w:sz w:val="24"/>
              </w:rPr>
              <w:t>涉及流程组织等相关事项，由采购机构进行答复。</w:t>
            </w:r>
          </w:p>
        </w:tc>
      </w:tr>
      <w:tr w14:paraId="30B44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5D9414">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57852B4">
            <w:pPr>
              <w:snapToGrid w:val="0"/>
              <w:jc w:val="center"/>
              <w:rPr>
                <w:rFonts w:ascii="宋体" w:hAnsi="宋体" w:cs="宋体"/>
                <w:b/>
                <w:color w:val="000000" w:themeColor="text1"/>
                <w:sz w:val="24"/>
              </w:rPr>
            </w:pPr>
            <w:r>
              <w:rPr>
                <w:rFonts w:hint="eastAsia" w:ascii="宋体" w:hAnsi="宋体" w:cs="宋体"/>
                <w:b/>
                <w:color w:val="000000" w:themeColor="text1"/>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7AE1F9">
            <w:pPr>
              <w:spacing w:line="360" w:lineRule="auto"/>
              <w:ind w:firstLine="482" w:firstLineChars="200"/>
              <w:rPr>
                <w:rFonts w:ascii="宋体" w:hAnsi="宋体" w:cs="宋体"/>
                <w:snapToGrid w:val="0"/>
                <w:color w:val="000000" w:themeColor="text1"/>
                <w:kern w:val="28"/>
                <w:sz w:val="24"/>
              </w:rPr>
            </w:pPr>
            <w:r>
              <w:rPr>
                <w:rFonts w:hint="eastAsia" w:ascii="宋体" w:hAnsi="宋体" w:cs="宋体"/>
                <w:b/>
                <w:color w:val="000000" w:themeColor="text1"/>
                <w:sz w:val="24"/>
              </w:rPr>
              <w:t>本项目通用总则条款与前附表等专用特别规定有冲突之处，以专用条款（特别规定）为准</w:t>
            </w:r>
          </w:p>
        </w:tc>
      </w:tr>
    </w:tbl>
    <w:p w14:paraId="40C40595">
      <w:pPr>
        <w:snapToGrid w:val="0"/>
        <w:spacing w:line="360" w:lineRule="auto"/>
        <w:jc w:val="center"/>
        <w:rPr>
          <w:rFonts w:ascii="宋体" w:hAnsi="宋体" w:cs="宋体"/>
          <w:b/>
          <w:color w:val="000000" w:themeColor="text1"/>
          <w:sz w:val="32"/>
          <w:szCs w:val="20"/>
        </w:rPr>
      </w:pPr>
    </w:p>
    <w:bookmarkEnd w:id="10"/>
    <w:p w14:paraId="5FB9E06D">
      <w:pPr>
        <w:rPr>
          <w:rFonts w:ascii="宋体" w:hAnsi="宋体" w:cs="宋体"/>
          <w:b/>
          <w:color w:val="000000" w:themeColor="text1"/>
          <w:sz w:val="32"/>
          <w:szCs w:val="20"/>
        </w:rPr>
      </w:pPr>
      <w:bookmarkStart w:id="16" w:name="_Toc164416483"/>
      <w:bookmarkStart w:id="17" w:name="第三部分"/>
      <w:r>
        <w:rPr>
          <w:rFonts w:hint="eastAsia" w:ascii="宋体" w:hAnsi="宋体" w:cs="宋体"/>
          <w:b/>
          <w:color w:val="000000" w:themeColor="text1"/>
          <w:sz w:val="32"/>
          <w:szCs w:val="20"/>
        </w:rPr>
        <w:br w:type="page"/>
      </w:r>
    </w:p>
    <w:p w14:paraId="0F8E4F48">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一、总则</w:t>
      </w:r>
    </w:p>
    <w:p w14:paraId="18571CE0">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1、适用范围</w:t>
      </w:r>
    </w:p>
    <w:p w14:paraId="5C2C314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本交易文件适用于该项目的交易、响应、评审、资格审查及信用信息查询、评审、定标、合同、验收等行为（法律、法规另有规定的，从其规定）。</w:t>
      </w:r>
    </w:p>
    <w:p w14:paraId="05690FAB">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2、定义</w:t>
      </w:r>
    </w:p>
    <w:p w14:paraId="3B59099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2.1“交易人”系指交易公告中载明的本项目的交易人。</w:t>
      </w:r>
    </w:p>
    <w:p w14:paraId="3AD167C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2.2“采购机构”系指交易公告中载明的本项目的采购机构。</w:t>
      </w:r>
    </w:p>
    <w:p w14:paraId="0367203C">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2.3“供应商”系指是指响应招标、参加投标竞争的法人、其他组织或者自然人。</w:t>
      </w:r>
    </w:p>
    <w:p w14:paraId="7BF73BA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2.4“负责人”系指法人企业的法定负责人，或其他组织为法律、行政法规规定代表单位行使职权的主要负责人，或自然人本人。</w:t>
      </w:r>
    </w:p>
    <w:p w14:paraId="2216A006">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14:paraId="2AAF7233">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2.6“电子交易平台”是指本项目采购活动所依托的政府采购云平台（https://www.zcygov.cn/）。</w:t>
      </w:r>
    </w:p>
    <w:p w14:paraId="642AD4A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2.7“▲”系指实质性要求条款，“（</w:t>
      </w:r>
      <w:r>
        <w:rPr>
          <w:rFonts w:hint="eastAsia" w:ascii="宋体" w:hAnsi="宋体" w:cs="宋体"/>
          <w:bCs/>
          <w:color w:val="000000" w:themeColor="text1"/>
          <w:sz w:val="24"/>
        </w:rPr>
        <w:t>√</w:t>
      </w:r>
      <w:r>
        <w:rPr>
          <w:rFonts w:hint="eastAsia" w:ascii="宋体" w:hAnsi="宋体" w:cs="宋体"/>
          <w:color w:val="000000" w:themeColor="text1"/>
          <w:sz w:val="24"/>
        </w:rPr>
        <w:t>）”系指适用本项目的要求，“（ ）”系指不适用本项目的要求。</w:t>
      </w:r>
    </w:p>
    <w:p w14:paraId="0702EB26">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3、询问、质疑、投诉</w:t>
      </w:r>
    </w:p>
    <w:p w14:paraId="136D9CA7">
      <w:pPr>
        <w:snapToGrid w:val="0"/>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zh-CN"/>
        </w:rPr>
        <w:t>.1供应商询问</w:t>
      </w:r>
    </w:p>
    <w:p w14:paraId="61345A51">
      <w:pPr>
        <w:snapToGrid w:val="0"/>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供应商对</w:t>
      </w:r>
      <w:r>
        <w:rPr>
          <w:rFonts w:hint="eastAsia" w:ascii="宋体" w:hAnsi="宋体" w:cs="宋体"/>
          <w:color w:val="000000" w:themeColor="text1"/>
          <w:kern w:val="0"/>
          <w:sz w:val="24"/>
        </w:rPr>
        <w:t>交易</w:t>
      </w:r>
      <w:r>
        <w:rPr>
          <w:rFonts w:hint="eastAsia" w:ascii="宋体" w:hAnsi="宋体" w:cs="宋体"/>
          <w:color w:val="000000" w:themeColor="text1"/>
          <w:kern w:val="0"/>
          <w:sz w:val="24"/>
          <w:lang w:val="zh-CN"/>
        </w:rPr>
        <w:t>活动事项有疑问的，可以提出询问，交易人或者采购机构应当在3个工作日内对</w:t>
      </w:r>
      <w:r>
        <w:rPr>
          <w:rFonts w:hint="eastAsia" w:ascii="宋体" w:hAnsi="宋体" w:cs="宋体"/>
          <w:color w:val="000000" w:themeColor="text1"/>
          <w:sz w:val="24"/>
        </w:rPr>
        <w:t>供应</w:t>
      </w:r>
      <w:r>
        <w:rPr>
          <w:rFonts w:hint="eastAsia" w:ascii="宋体" w:hAnsi="宋体" w:cs="宋体"/>
          <w:color w:val="000000" w:themeColor="text1"/>
          <w:kern w:val="0"/>
          <w:sz w:val="24"/>
          <w:lang w:val="zh-CN"/>
        </w:rPr>
        <w:t>商依法提出的询问作出答复，但答复的内容不得涉及商业秘密。供应商提出的询问超出交易人对采购机构委托授权范围的，采购机构应当告知供应商向交易人提出。</w:t>
      </w:r>
    </w:p>
    <w:p w14:paraId="1A7E0BE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3.2供应商质疑</w:t>
      </w:r>
    </w:p>
    <w:p w14:paraId="7C250050">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3.2.1提出质疑的供应商应当是参与所质疑项目交易活动的供应商。潜在供应商已依法获取其可质疑的交易文件的，可以对该文件提出质疑。</w:t>
      </w:r>
    </w:p>
    <w:p w14:paraId="7378B9E4">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3.2.2供应商认为交易文件、交易过程和成交结果使自己的权益受到损害的，可以在知道或者应知其权益受到损害之日起三天内，以书面形式向交易人或者采购机构提出质疑，否则，交易人或者采购机构不予受理：</w:t>
      </w:r>
    </w:p>
    <w:p w14:paraId="016DAF76">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3.2.2.1对采购过程提出质疑的，质疑期限为各采购程序环节结束之日起计算。对同一采购程序环节的质疑，供应商须一次性提出。</w:t>
      </w:r>
    </w:p>
    <w:p w14:paraId="7BDDD7B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3.2.3供应商提出质疑应当提交质疑函和必要的证明材料。质疑函应当包括下列内容：</w:t>
      </w:r>
    </w:p>
    <w:p w14:paraId="6CE06A94">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3.2.3.1供应商的姓名或者名称、地址、邮编、联系人及联系电话；</w:t>
      </w:r>
    </w:p>
    <w:p w14:paraId="1A2E598A">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3.2.3.2质疑项目的名称、编号；</w:t>
      </w:r>
    </w:p>
    <w:p w14:paraId="504395D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3.2.3.3具体、明确的质疑事项和与质疑事项相关的请求；</w:t>
      </w:r>
    </w:p>
    <w:p w14:paraId="712A722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3.2.3.4事实依据；</w:t>
      </w:r>
    </w:p>
    <w:p w14:paraId="30AE9D1D">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3.2.3.5必要的法律依据；</w:t>
      </w:r>
    </w:p>
    <w:p w14:paraId="60995FBC">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3.2.3.6提出质疑的日期。</w:t>
      </w:r>
    </w:p>
    <w:p w14:paraId="6C105912">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14:paraId="406DD50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质疑函范本及制作说明详见附件1。</w:t>
      </w:r>
    </w:p>
    <w:p w14:paraId="2ECEC2E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3.2.4交易人或者采购机构应当在收到供应商的书面质疑后七个工作日内作出答复，并以书面形式通知质疑供应商和其他与质疑处理结果有利害关系的采购当事人，但答复的内容不得涉及商业秘密。</w:t>
      </w:r>
    </w:p>
    <w:p w14:paraId="35D46B2A">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3.2.5询问或者质疑事项可能影响交易结果的，交易人应当暂停签订合同，已经签订合同的，应当中止履行合同。</w:t>
      </w:r>
    </w:p>
    <w:p w14:paraId="582F0164">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3.3供应商投诉</w:t>
      </w:r>
    </w:p>
    <w:p w14:paraId="03BE507C">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3.3.1质疑供应商对交易人、采购机构的答复不满意或者交易人、采购机构未在规定的时间内作出答复的，可以在答复期满后十五个工作日内向同级采购监督管理部门提出投诉。</w:t>
      </w:r>
    </w:p>
    <w:p w14:paraId="256569BC">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3.3.2供应商投诉的事项不得超出已质疑事项的范围，基于质疑答复内容提出的投诉事项除外。</w:t>
      </w:r>
    </w:p>
    <w:p w14:paraId="0BD02B3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3.3.3供应商投诉应当有明确的请求和必要的证明材料。</w:t>
      </w:r>
    </w:p>
    <w:p w14:paraId="433203F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3.3.4以联合体形式参加采购活动的，其投诉应当由组成联合体的所有供应商共同提出。</w:t>
      </w:r>
    </w:p>
    <w:p w14:paraId="60F578A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3.3.5投诉书范本及制作说明详见附件2。</w:t>
      </w:r>
    </w:p>
    <w:p w14:paraId="1E42766C">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二、交易文件的构成、澄清、修改</w:t>
      </w:r>
    </w:p>
    <w:p w14:paraId="3779A47A">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4、交易文件的构成</w:t>
      </w:r>
    </w:p>
    <w:p w14:paraId="1404CB1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4.1交易文件包括下列文件及附件：</w:t>
      </w:r>
    </w:p>
    <w:p w14:paraId="6C7ED9E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4.1.1交易公告；</w:t>
      </w:r>
    </w:p>
    <w:p w14:paraId="30713ED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4.1.2供应商须知；</w:t>
      </w:r>
    </w:p>
    <w:p w14:paraId="05CD52A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4.1.3交易需求；</w:t>
      </w:r>
    </w:p>
    <w:p w14:paraId="42C956FE">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4.1.4交易办法；</w:t>
      </w:r>
    </w:p>
    <w:p w14:paraId="49B9705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4.1.5拟签订的合同文本；</w:t>
      </w:r>
    </w:p>
    <w:p w14:paraId="7DA2FE1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4.1.6应提交的有关格式范例。</w:t>
      </w:r>
    </w:p>
    <w:p w14:paraId="611D735D">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4.2与本项目有关的澄清或者修改的内容为</w:t>
      </w:r>
      <w:r>
        <w:rPr>
          <w:rFonts w:hint="eastAsia" w:ascii="宋体" w:hAnsi="宋体" w:cs="宋体"/>
          <w:bCs/>
          <w:color w:val="000000" w:themeColor="text1"/>
          <w:sz w:val="24"/>
        </w:rPr>
        <w:t>交易文件的组成部分</w:t>
      </w:r>
      <w:r>
        <w:rPr>
          <w:rFonts w:hint="eastAsia" w:ascii="宋体" w:hAnsi="宋体" w:cs="宋体"/>
          <w:color w:val="000000" w:themeColor="text1"/>
          <w:sz w:val="24"/>
        </w:rPr>
        <w:t>。</w:t>
      </w:r>
    </w:p>
    <w:p w14:paraId="79D4858F">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5、交易文件的澄清、修改</w:t>
      </w:r>
    </w:p>
    <w:p w14:paraId="3C7369B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5.1已获取交易文件的潜在供应商，若有问题需要澄清，应于投标截止时间前，以书面形式向采购机构提出。</w:t>
      </w:r>
    </w:p>
    <w:p w14:paraId="013421D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5.2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280F2133">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三、响应</w:t>
      </w:r>
    </w:p>
    <w:p w14:paraId="7C8FBC1C">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6、交易文件的获取</w:t>
      </w:r>
    </w:p>
    <w:p w14:paraId="78ED222E">
      <w:pPr>
        <w:snapToGrid w:val="0"/>
        <w:spacing w:line="360" w:lineRule="auto"/>
        <w:ind w:firstLine="480" w:firstLineChars="200"/>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详见交易公告中获取交易文件的时间期限、地点、方式及交易文件售价。</w:t>
      </w:r>
    </w:p>
    <w:p w14:paraId="27804C5E">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7、交易前答疑会或现场考察</w:t>
      </w:r>
    </w:p>
    <w:p w14:paraId="356D523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交易人组织潜在供应商现场考察或者召开交易前答疑会的，潜在供应商按第二部分供应商须知前附表的规定参加现场考察或者开标前答疑会。</w:t>
      </w:r>
    </w:p>
    <w:p w14:paraId="3EA97FD6">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8、交易保证金</w:t>
      </w:r>
    </w:p>
    <w:p w14:paraId="3B3AC7C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本项目不需缴纳交易保证金。</w:t>
      </w:r>
    </w:p>
    <w:p w14:paraId="2B83A386">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9、响应文件的语言</w:t>
      </w:r>
    </w:p>
    <w:p w14:paraId="3C70041C">
      <w:pPr>
        <w:snapToGrid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rPr>
        <w:t>响应文件及供应商与交易有关的来往通知、函件和文件均应使用中文。</w:t>
      </w:r>
    </w:p>
    <w:p w14:paraId="2561E3D0">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10、响应文件的组成</w:t>
      </w:r>
    </w:p>
    <w:p w14:paraId="639F7941">
      <w:pPr>
        <w:snapToGrid w:val="0"/>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10.1资格文件：</w:t>
      </w:r>
    </w:p>
    <w:p w14:paraId="0C50E68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10.1.1符合参加交易活动应当具备的一般条件的承诺函；</w:t>
      </w:r>
    </w:p>
    <w:p w14:paraId="3B2E86C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10.1.2落实政府采购政策需满足的资格要求；</w:t>
      </w:r>
    </w:p>
    <w:p w14:paraId="3F635A9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10.1.3本项目的特定资格要求。</w:t>
      </w:r>
    </w:p>
    <w:p w14:paraId="27F5CD47">
      <w:pPr>
        <w:snapToGrid w:val="0"/>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10.2商务技术文件：</w:t>
      </w:r>
    </w:p>
    <w:p w14:paraId="2C67CDE6">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10.2.1交易函；</w:t>
      </w:r>
    </w:p>
    <w:p w14:paraId="47A1E7A3">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10.2.2授权委托书或法定代表人（单位负责人、自然人本人）身份证明；</w:t>
      </w:r>
    </w:p>
    <w:p w14:paraId="53667BBC">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10.2.3符合性审查资料；</w:t>
      </w:r>
    </w:p>
    <w:p w14:paraId="614BF1F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10.2.4评标标准相应的商务技术资料；</w:t>
      </w:r>
    </w:p>
    <w:p w14:paraId="189F3382">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10.2.5响应标的清单；</w:t>
      </w:r>
    </w:p>
    <w:p w14:paraId="551049C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10.2.6商务技术偏离表；</w:t>
      </w:r>
    </w:p>
    <w:p w14:paraId="0180D3DE">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10.2.7供应商廉洁自律承诺书；</w:t>
      </w:r>
    </w:p>
    <w:p w14:paraId="66CD333B">
      <w:pPr>
        <w:snapToGrid w:val="0"/>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10.3报价文件：</w:t>
      </w:r>
    </w:p>
    <w:p w14:paraId="6E1EF4E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10.3.1交易一览表（报价表）；</w:t>
      </w:r>
    </w:p>
    <w:p w14:paraId="559C4D0E">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10.3.2中小企业声明函。</w:t>
      </w:r>
    </w:p>
    <w:p w14:paraId="71176E81">
      <w:pPr>
        <w:snapToGrid w:val="0"/>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响应文件含有交易人不能接受的附加条件的，交易无效；</w:t>
      </w:r>
    </w:p>
    <w:p w14:paraId="62C75BF7">
      <w:pPr>
        <w:snapToGrid w:val="0"/>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供应商提供虚假材料投标的，交易无效。</w:t>
      </w:r>
    </w:p>
    <w:p w14:paraId="29F3351C">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11、响应文件的编制</w:t>
      </w:r>
    </w:p>
    <w:p w14:paraId="3E55ABFE">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11.1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5078674">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11.2供应商进行电子投标应安装客户端软件—“政采云电子交易客户端”，并按照交易文件和电子交易平台的要求编制并加密响应文件。供应商未按规定加密的响应文件，电子交易平台将拒收并提示。</w:t>
      </w:r>
    </w:p>
    <w:p w14:paraId="03EE3559">
      <w:pPr>
        <w:snapToGrid w:val="0"/>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sz w:val="24"/>
        </w:rPr>
        <w:t>11.3使用“政采云电子交易客户端”需要提前申领CA数字证书，申领流程请自行前往“浙江政府采购网-下载专区-电子交易客户端-CA驱动</w:t>
      </w:r>
      <w:r>
        <w:rPr>
          <w:rFonts w:hint="eastAsia" w:ascii="宋体" w:hAnsi="宋体" w:cs="宋体"/>
          <w:color w:val="000000" w:themeColor="text1"/>
          <w:kern w:val="0"/>
          <w:sz w:val="24"/>
          <w:lang w:val="zh-CN"/>
        </w:rPr>
        <w:t>和申领流程”进行查阅。</w:t>
      </w:r>
    </w:p>
    <w:p w14:paraId="6F81B772">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12、响应文件的签署、盖章</w:t>
      </w:r>
    </w:p>
    <w:p w14:paraId="48C798CF">
      <w:pPr>
        <w:snapToGrid w:val="0"/>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sz w:val="24"/>
        </w:rPr>
        <w:t>12.1响应文件按照交易文件第六部分格式要求进行签署、盖章。</w:t>
      </w:r>
      <w:r>
        <w:rPr>
          <w:rFonts w:hint="eastAsia" w:ascii="宋体" w:hAnsi="宋体" w:cs="宋体"/>
          <w:b/>
          <w:color w:val="000000" w:themeColor="text1"/>
          <w:sz w:val="24"/>
        </w:rPr>
        <w:t>▲供应商的响应文件未按照交易文件要求签署、盖章的，其交易无效</w:t>
      </w:r>
      <w:r>
        <w:rPr>
          <w:rFonts w:hint="eastAsia" w:ascii="宋体" w:hAnsi="宋体" w:cs="宋体"/>
          <w:color w:val="000000" w:themeColor="text1"/>
          <w:sz w:val="24"/>
        </w:rPr>
        <w:t>。</w:t>
      </w:r>
    </w:p>
    <w:p w14:paraId="0296A277">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12.2为确保网上操作合法、有效和安全，供应商应当在投标截止时间前完成在“政府采购云平台”的身份认证，确保在电子投标过程中能够对相关数据电文进行加密和使用电子签名。</w:t>
      </w:r>
    </w:p>
    <w:p w14:paraId="4A4ADE0F">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12.3交易文件对响应文件签署、盖章的要求适用于电子签名。</w:t>
      </w:r>
    </w:p>
    <w:p w14:paraId="7DBE21E0">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13、响应文件的提交、补充、修改、撤回</w:t>
      </w:r>
    </w:p>
    <w:p w14:paraId="21170377">
      <w:pPr>
        <w:pStyle w:val="129"/>
        <w:ind w:firstLine="480"/>
        <w:rPr>
          <w:rFonts w:ascii="宋体" w:hAnsi="宋体" w:cs="宋体"/>
          <w:color w:val="000000" w:themeColor="text1"/>
          <w:szCs w:val="24"/>
        </w:rPr>
      </w:pPr>
      <w:r>
        <w:rPr>
          <w:rFonts w:hint="eastAsia" w:ascii="宋体" w:hAnsi="宋体" w:cs="宋体"/>
          <w:color w:val="000000" w:themeColor="text1"/>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62724D30">
      <w:pPr>
        <w:pStyle w:val="129"/>
        <w:spacing w:before="0"/>
        <w:ind w:firstLine="480"/>
        <w:rPr>
          <w:rFonts w:ascii="宋体" w:hAnsi="宋体" w:cs="宋体"/>
          <w:color w:val="000000" w:themeColor="text1"/>
          <w:szCs w:val="24"/>
        </w:rPr>
      </w:pPr>
      <w:r>
        <w:rPr>
          <w:rFonts w:hint="eastAsia" w:ascii="宋体" w:hAnsi="宋体" w:cs="宋体"/>
          <w:color w:val="000000" w:themeColor="text1"/>
          <w:szCs w:val="24"/>
        </w:rPr>
        <w:t>13.2电子交易平台收到响应文件，将妥善保存并即时向供应商发出确认回执通知。在投标截止时间前，除供应商补充、修改或者撤回响应文件外，任何单位和个人不得解密或提取响应文件。</w:t>
      </w:r>
    </w:p>
    <w:p w14:paraId="79FF97B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13.3交易人、采购机构可以视情况延长响应文件提交的截止时间。在上述情况下，采购机构与供应商以前在投标截止期方面的全部权利、责任和义务，将适用于延长至新的投标截止期。</w:t>
      </w:r>
    </w:p>
    <w:p w14:paraId="441FD5F9">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14、备份响应文件</w:t>
      </w:r>
    </w:p>
    <w:p w14:paraId="7B0CA8BC">
      <w:pPr>
        <w:snapToGrid w:val="0"/>
        <w:spacing w:line="360" w:lineRule="auto"/>
        <w:ind w:firstLine="480" w:firstLineChars="200"/>
        <w:outlineLvl w:val="1"/>
        <w:rPr>
          <w:rFonts w:ascii="宋体" w:hAnsi="宋体" w:cs="宋体"/>
          <w:b/>
          <w:color w:val="000000" w:themeColor="text1"/>
          <w:sz w:val="24"/>
        </w:rPr>
      </w:pPr>
      <w:r>
        <w:rPr>
          <w:rFonts w:hint="eastAsia" w:ascii="宋体" w:hAnsi="宋体" w:cs="宋体"/>
          <w:snapToGrid w:val="0"/>
          <w:color w:val="000000" w:themeColor="text1"/>
          <w:sz w:val="24"/>
        </w:rPr>
        <w:t>不收取备份响应文件</w:t>
      </w:r>
    </w:p>
    <w:p w14:paraId="529C13BE">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15、响应文件的无效处理</w:t>
      </w:r>
    </w:p>
    <w:p w14:paraId="62BEE35D">
      <w:pPr>
        <w:pStyle w:val="3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有交易文件第四部分4.2规定的情形之一的，交易无效。</w:t>
      </w:r>
    </w:p>
    <w:p w14:paraId="20193D55">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16、交易有效期</w:t>
      </w:r>
    </w:p>
    <w:p w14:paraId="217EC4B3">
      <w:pPr>
        <w:snapToGrid w:val="0"/>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sz w:val="24"/>
        </w:rPr>
        <w:t>16.1</w:t>
      </w:r>
      <w:r>
        <w:rPr>
          <w:rFonts w:hint="eastAsia" w:ascii="宋体" w:hAnsi="宋体" w:cs="宋体"/>
          <w:snapToGrid w:val="0"/>
          <w:color w:val="000000" w:themeColor="text1"/>
          <w:sz w:val="24"/>
        </w:rPr>
        <w:t>交易有效期</w:t>
      </w:r>
      <w:r>
        <w:rPr>
          <w:rFonts w:hint="eastAsia" w:ascii="宋体" w:hAnsi="宋体" w:cs="宋体"/>
          <w:color w:val="000000" w:themeColor="text1"/>
          <w:sz w:val="24"/>
        </w:rPr>
        <w:t>为从提交响应文件的截止之日起90天。▲</w:t>
      </w:r>
      <w:r>
        <w:rPr>
          <w:rFonts w:hint="eastAsia" w:ascii="宋体" w:hAnsi="宋体" w:cs="宋体"/>
          <w:b/>
          <w:color w:val="000000" w:themeColor="text1"/>
          <w:sz w:val="24"/>
        </w:rPr>
        <w:t>供应商的响应文件中承诺的交易有效期少于交易文件中载明的交易有效期的，交易无效。</w:t>
      </w:r>
    </w:p>
    <w:p w14:paraId="2D5206A5">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16.2响应文件合格投递后，自投标截止日期起，在交易有效期内有效。</w:t>
      </w:r>
    </w:p>
    <w:p w14:paraId="1A0FA15A">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16.3在原定交易有效期满之前，如果出现特殊情况，采购机构可以以书面形式通知供应商延长交易有效期。供应商同意延长的，不得要求或被允许修改其响应文件，供应商拒绝延长的，其交易无效。</w:t>
      </w:r>
    </w:p>
    <w:p w14:paraId="4DAF738D">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四、交易、资格审查</w:t>
      </w:r>
    </w:p>
    <w:p w14:paraId="4B63E09E">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17、交易</w:t>
      </w:r>
    </w:p>
    <w:p w14:paraId="2016793A">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17.1采购机构按照交易文件规定的时间通过电子交易平台组织开标，所有供应商均应当准时在线参加。供应商不足3家的，不得开标。</w:t>
      </w:r>
    </w:p>
    <w:p w14:paraId="2C242EF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17.2交易时，电子交易平台按交易时间自动提取所有响应文件。采购机构依托电子交易平台发起开始解密指令，供应商按照平台提示和交易文件的规定在半小时内完成在线解密。</w:t>
      </w:r>
    </w:p>
    <w:p w14:paraId="6FA88C2D">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17.3响应文件未按时解密，供应商提供了备份响应文件的，以备份响应文件作为依据，否则视为响应文件撤回。响应文件已按时解密的，备份响应文件自动失效。</w:t>
      </w:r>
    </w:p>
    <w:p w14:paraId="3AC0EE2A">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18、资格审查</w:t>
      </w:r>
    </w:p>
    <w:p w14:paraId="5F2BC65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18.1交易后，交易人或采购机构将依法对供应商的资格进行审查。</w:t>
      </w:r>
    </w:p>
    <w:p w14:paraId="4E128DF2">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18.2交易人或采购机构依据法律法规和交易文件的规定，对供应商的基本资格条件、特定资格条件进行审查。</w:t>
      </w:r>
    </w:p>
    <w:p w14:paraId="27BDA8D3">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18.3供应商未按照交易文件要求提供与基本资格条件、特定资格条件相应的有效资格证明材料的，视为供应商不具备交易文件中规定的资格要求，其交易无效。</w:t>
      </w:r>
    </w:p>
    <w:p w14:paraId="60B7C4A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18.4对未通过资格审查的供应商，交易人或采购机构告知其未通过的原因。</w:t>
      </w:r>
    </w:p>
    <w:p w14:paraId="1E069A8F">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18.5合格供应商不足3家的，不再评标。</w:t>
      </w:r>
    </w:p>
    <w:p w14:paraId="0E541C22">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五、评审</w:t>
      </w:r>
    </w:p>
    <w:p w14:paraId="70EA8B3D">
      <w:pPr>
        <w:snapToGrid w:val="0"/>
        <w:spacing w:line="360" w:lineRule="auto"/>
        <w:ind w:firstLine="482" w:firstLineChars="200"/>
        <w:outlineLvl w:val="1"/>
        <w:rPr>
          <w:rFonts w:ascii="宋体" w:hAnsi="宋体" w:cs="宋体"/>
          <w:b/>
          <w:color w:val="000000" w:themeColor="text1"/>
          <w:sz w:val="24"/>
        </w:rPr>
      </w:pPr>
      <w:bookmarkStart w:id="18" w:name="_Toc91899903"/>
      <w:r>
        <w:rPr>
          <w:rFonts w:hint="eastAsia" w:ascii="宋体" w:hAnsi="宋体" w:cs="宋体"/>
          <w:b/>
          <w:color w:val="000000" w:themeColor="text1"/>
          <w:sz w:val="24"/>
        </w:rPr>
        <w:t>19、</w:t>
      </w:r>
      <w:r>
        <w:rPr>
          <w:rFonts w:hint="eastAsia" w:ascii="宋体" w:hAnsi="宋体" w:cs="宋体"/>
          <w:color w:val="000000" w:themeColor="text1"/>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000000" w:themeColor="text1"/>
          <w:sz w:val="24"/>
        </w:rPr>
        <w:t>详见交易文件第四部分交易办法。</w:t>
      </w:r>
    </w:p>
    <w:p w14:paraId="4441987E">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六、定标</w:t>
      </w:r>
    </w:p>
    <w:p w14:paraId="12B280F4">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20、确定成交供应商</w:t>
      </w:r>
    </w:p>
    <w:p w14:paraId="2F54E556">
      <w:pPr>
        <w:pStyle w:val="129"/>
        <w:snapToGrid w:val="0"/>
        <w:spacing w:before="0"/>
        <w:ind w:firstLine="480"/>
        <w:rPr>
          <w:rFonts w:ascii="宋体" w:hAnsi="宋体" w:cs="宋体"/>
          <w:b/>
          <w:color w:val="000000" w:themeColor="text1"/>
          <w:szCs w:val="24"/>
        </w:rPr>
      </w:pPr>
      <w:r>
        <w:rPr>
          <w:rFonts w:hint="eastAsia" w:ascii="宋体" w:hAnsi="宋体" w:cs="宋体"/>
          <w:color w:val="000000" w:themeColor="text1"/>
          <w:szCs w:val="24"/>
        </w:rPr>
        <w:t>交易人将自收到评审报告之日起5个工作日内通过电子交易平台在评审报告推荐的成交候选人中按顺序确定成交供应商。</w:t>
      </w:r>
    </w:p>
    <w:p w14:paraId="74B671C7">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21、成交通知与成交结果公告</w:t>
      </w:r>
    </w:p>
    <w:p w14:paraId="5C852BAF">
      <w:pPr>
        <w:widowControl/>
        <w:shd w:val="clear" w:color="auto" w:fill="FFFFFF"/>
        <w:spacing w:line="360" w:lineRule="auto"/>
        <w:ind w:firstLine="480"/>
        <w:rPr>
          <w:rFonts w:ascii="宋体" w:hAnsi="宋体" w:cs="宋体"/>
          <w:color w:val="000000" w:themeColor="text1"/>
          <w:sz w:val="24"/>
        </w:rPr>
      </w:pPr>
      <w:r>
        <w:rPr>
          <w:rFonts w:hint="eastAsia" w:ascii="宋体" w:hAnsi="宋体" w:cs="宋体"/>
          <w:color w:val="000000" w:themeColor="text1"/>
          <w:sz w:val="24"/>
        </w:rPr>
        <w:t>21.1自成交人确定之日起3天内，采购机构通过电子交易平台向成交人发出成交通知书，同时编制发布采购结果公告。采购机构也可以以纸质形式进行成交通知。</w:t>
      </w:r>
    </w:p>
    <w:p w14:paraId="3385E585">
      <w:pPr>
        <w:widowControl/>
        <w:shd w:val="clear" w:color="auto" w:fill="FFFFFF"/>
        <w:spacing w:line="360" w:lineRule="auto"/>
        <w:ind w:firstLine="480"/>
        <w:rPr>
          <w:rFonts w:ascii="宋体" w:hAnsi="宋体" w:cs="宋体"/>
          <w:color w:val="000000" w:themeColor="text1"/>
          <w:sz w:val="24"/>
        </w:rPr>
      </w:pPr>
      <w:r>
        <w:rPr>
          <w:rFonts w:hint="eastAsia" w:ascii="宋体" w:hAnsi="宋体" w:cs="宋体"/>
          <w:color w:val="000000" w:themeColor="text1"/>
          <w:sz w:val="24"/>
        </w:rPr>
        <w:t>21.2成交结果公告内容包括交易人及其委托的采购机构的名称、地址、联系方式，项目名称和交易编号，成交人名称、地址和成交金额。</w:t>
      </w:r>
    </w:p>
    <w:p w14:paraId="603E2684">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七、合同授予</w:t>
      </w:r>
    </w:p>
    <w:p w14:paraId="4F1BC92D">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22、</w:t>
      </w:r>
      <w:r>
        <w:rPr>
          <w:rFonts w:hint="eastAsia" w:ascii="宋体" w:hAnsi="宋体" w:cs="宋体"/>
          <w:color w:val="000000" w:themeColor="text1"/>
          <w:sz w:val="24"/>
        </w:rPr>
        <w:t>合同主要条款详见第五部分拟签订的合同文本。</w:t>
      </w:r>
    </w:p>
    <w:p w14:paraId="00A389EA">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23、合同的签订</w:t>
      </w:r>
    </w:p>
    <w:p w14:paraId="115A4A87">
      <w:pPr>
        <w:widowControl/>
        <w:shd w:val="clear" w:color="auto" w:fill="FFFFFF"/>
        <w:spacing w:line="360" w:lineRule="auto"/>
        <w:ind w:firstLine="480"/>
        <w:rPr>
          <w:rFonts w:ascii="宋体" w:hAnsi="宋体" w:cs="宋体"/>
          <w:color w:val="000000" w:themeColor="text1"/>
          <w:kern w:val="0"/>
          <w:sz w:val="24"/>
        </w:rPr>
      </w:pPr>
      <w:r>
        <w:rPr>
          <w:rFonts w:hint="eastAsia" w:ascii="宋体" w:hAnsi="宋体" w:cs="宋体"/>
          <w:color w:val="000000" w:themeColor="text1"/>
          <w:sz w:val="24"/>
        </w:rPr>
        <w:t>23.1</w:t>
      </w:r>
      <w:r>
        <w:rPr>
          <w:rFonts w:hint="eastAsia" w:ascii="宋体" w:hAnsi="宋体" w:cs="宋体"/>
          <w:color w:val="000000" w:themeColor="text1"/>
          <w:kern w:val="0"/>
          <w:sz w:val="24"/>
        </w:rPr>
        <w:t>交易人与成交人应当通过电子交易平台在成交通知书发出之日起三十日内，按照交易文件确定的事项签订采购合同。</w:t>
      </w:r>
    </w:p>
    <w:p w14:paraId="470D56E2">
      <w:pPr>
        <w:pStyle w:val="129"/>
        <w:snapToGrid w:val="0"/>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lang w:val="zh-CN"/>
        </w:rPr>
        <w:t>2</w:t>
      </w:r>
      <w:r>
        <w:rPr>
          <w:rFonts w:hint="eastAsia" w:ascii="宋体" w:hAnsi="宋体" w:cs="宋体"/>
          <w:color w:val="000000" w:themeColor="text1"/>
          <w:kern w:val="0"/>
          <w:szCs w:val="24"/>
        </w:rPr>
        <w:t>3</w:t>
      </w:r>
      <w:r>
        <w:rPr>
          <w:rFonts w:hint="eastAsia" w:ascii="宋体" w:hAnsi="宋体" w:cs="宋体"/>
          <w:color w:val="000000" w:themeColor="text1"/>
          <w:kern w:val="0"/>
          <w:szCs w:val="24"/>
          <w:lang w:val="zh-CN"/>
        </w:rPr>
        <w:t>.2成交人按规定的日期、时间、地点，由法定代表人或其授权代表与交易人代表签订合同。如成交人为联合体的，由联合体成员各方法定代表人或其授权代表与交易人代表签订合同。</w:t>
      </w:r>
    </w:p>
    <w:p w14:paraId="7C8E6647">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23.3如签订合同并生效后，供应商无故拒绝或延期，除按照合同条款处理外，列入不良行为记录一次，并给予通报。</w:t>
      </w:r>
    </w:p>
    <w:p w14:paraId="761DED3E">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23.4成交供应商拒绝与交易人签订合同的，交易人可以按照评审报告推荐的</w:t>
      </w:r>
      <w:r>
        <w:rPr>
          <w:rFonts w:hint="eastAsia" w:ascii="宋体" w:hAnsi="宋体" w:cs="宋体"/>
          <w:color w:val="000000" w:themeColor="text1"/>
          <w:kern w:val="0"/>
          <w:szCs w:val="24"/>
        </w:rPr>
        <w:t>成交</w:t>
      </w:r>
      <w:r>
        <w:rPr>
          <w:rFonts w:hint="eastAsia" w:ascii="宋体" w:hAnsi="宋体" w:cs="宋体"/>
          <w:color w:val="000000" w:themeColor="text1"/>
          <w:szCs w:val="24"/>
        </w:rPr>
        <w:t>或者成交候选人名单排序，确定下一候选人为成交供应商，也可以重新开展采购活动。</w:t>
      </w:r>
    </w:p>
    <w:p w14:paraId="5C692037">
      <w:pPr>
        <w:pStyle w:val="129"/>
        <w:snapToGrid w:val="0"/>
        <w:spacing w:before="0" w:after="120"/>
        <w:ind w:firstLine="480"/>
        <w:rPr>
          <w:rFonts w:ascii="宋体" w:hAnsi="宋体" w:cs="宋体"/>
          <w:color w:val="000000" w:themeColor="text1"/>
          <w:szCs w:val="24"/>
        </w:rPr>
      </w:pPr>
      <w:r>
        <w:rPr>
          <w:rFonts w:hint="eastAsia" w:ascii="宋体" w:hAnsi="宋体" w:cs="宋体"/>
          <w:color w:val="000000" w:themeColor="text1"/>
          <w:szCs w:val="24"/>
        </w:rPr>
        <w:t>23.5采购合同由交易人与成交供应商根据交易文件、响应文件等内容通过政府采购电子交易平台在线签订，自动备案。</w:t>
      </w:r>
    </w:p>
    <w:p w14:paraId="46DA6A27">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24、履约保证金</w:t>
      </w:r>
    </w:p>
    <w:p w14:paraId="0C7EAD32">
      <w:pPr>
        <w:tabs>
          <w:tab w:val="left" w:pos="0"/>
        </w:tabs>
        <w:spacing w:line="360" w:lineRule="auto"/>
        <w:ind w:firstLine="482"/>
        <w:rPr>
          <w:rFonts w:ascii="宋体" w:hAnsi="宋体" w:cs="宋体"/>
          <w:b/>
          <w:color w:val="000000" w:themeColor="text1"/>
          <w:sz w:val="24"/>
        </w:rPr>
      </w:pPr>
      <w:r>
        <w:rPr>
          <w:rFonts w:hint="eastAsia" w:ascii="宋体" w:hAnsi="宋体" w:cs="宋体"/>
          <w:color w:val="000000" w:themeColor="text1"/>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rPr>
        <w:t>。履约保证金的数额不得超过采购合同金额的2%。鼓励和支持供应商以银行、保险公司出具的保函形式提供履约保证金。</w:t>
      </w:r>
    </w:p>
    <w:p w14:paraId="7CB084D0">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八、电子交易活动的中止</w:t>
      </w:r>
    </w:p>
    <w:p w14:paraId="692E55B1">
      <w:pPr>
        <w:snapToGrid w:val="0"/>
        <w:spacing w:line="360" w:lineRule="auto"/>
        <w:ind w:firstLine="482" w:firstLineChars="200"/>
        <w:outlineLvl w:val="1"/>
        <w:rPr>
          <w:rFonts w:ascii="宋体" w:hAnsi="宋体" w:cs="宋体"/>
          <w:color w:val="000000" w:themeColor="text1"/>
          <w:sz w:val="24"/>
        </w:rPr>
      </w:pPr>
      <w:r>
        <w:rPr>
          <w:rFonts w:hint="eastAsia" w:ascii="宋体" w:hAnsi="宋体" w:cs="宋体"/>
          <w:b/>
          <w:color w:val="000000" w:themeColor="text1"/>
          <w:sz w:val="24"/>
        </w:rPr>
        <w:t>25、电子交易活动的中止。</w:t>
      </w:r>
      <w:r>
        <w:rPr>
          <w:rFonts w:hint="eastAsia" w:ascii="宋体" w:hAnsi="宋体" w:cs="宋体"/>
          <w:color w:val="000000" w:themeColor="text1"/>
          <w:sz w:val="24"/>
        </w:rPr>
        <w:t>采购过程中出现以下情形，导致电子交易平台无法正常运行，或者无法保证电子交易的公平、公正和安全时，采购机构可中止电子交易活动：</w:t>
      </w:r>
    </w:p>
    <w:p w14:paraId="05EDAE05">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25.1电子交易平台发生故障而无法登录访问的；</w:t>
      </w:r>
    </w:p>
    <w:p w14:paraId="160B65EA">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25.2电子交易平台应用或数据库出现错误，不能进行正常操作的；</w:t>
      </w:r>
    </w:p>
    <w:p w14:paraId="6C8C62E6">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25.3电子交易平台发现严重安全漏洞，有潜在泄密危险的；</w:t>
      </w:r>
    </w:p>
    <w:p w14:paraId="430687E3">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25.4病毒发作导致不能进行正常操作的；</w:t>
      </w:r>
    </w:p>
    <w:p w14:paraId="4DD8CA2D">
      <w:pPr>
        <w:pStyle w:val="129"/>
        <w:snapToGrid w:val="0"/>
        <w:spacing w:before="0"/>
        <w:ind w:firstLine="480"/>
        <w:rPr>
          <w:rFonts w:ascii="宋体" w:hAnsi="宋体" w:cs="宋体"/>
          <w:color w:val="000000" w:themeColor="text1"/>
          <w:szCs w:val="24"/>
        </w:rPr>
      </w:pPr>
      <w:r>
        <w:rPr>
          <w:rFonts w:hint="eastAsia" w:ascii="宋体" w:hAnsi="宋体" w:cs="宋体"/>
          <w:color w:val="000000" w:themeColor="text1"/>
          <w:szCs w:val="24"/>
        </w:rPr>
        <w:t>25.5其他无法保证电子交易的公平、公正和安全的情况。</w:t>
      </w:r>
    </w:p>
    <w:p w14:paraId="2EF84D96">
      <w:pPr>
        <w:snapToGrid w:val="0"/>
        <w:spacing w:line="360" w:lineRule="auto"/>
        <w:ind w:firstLine="482" w:firstLineChars="200"/>
        <w:outlineLvl w:val="1"/>
        <w:rPr>
          <w:rFonts w:ascii="宋体" w:hAnsi="宋体" w:cs="宋体"/>
          <w:color w:val="000000" w:themeColor="text1"/>
          <w:sz w:val="24"/>
        </w:rPr>
      </w:pPr>
      <w:r>
        <w:rPr>
          <w:rFonts w:hint="eastAsia" w:ascii="宋体" w:hAnsi="宋体" w:cs="宋体"/>
          <w:b/>
          <w:color w:val="000000" w:themeColor="text1"/>
          <w:sz w:val="24"/>
        </w:rPr>
        <w:t>26</w:t>
      </w:r>
      <w:r>
        <w:rPr>
          <w:rFonts w:hint="eastAsia" w:ascii="宋体" w:hAnsi="宋体" w:cs="宋体"/>
          <w:b/>
          <w:bCs/>
          <w:color w:val="000000" w:themeColor="text1"/>
          <w:sz w:val="24"/>
        </w:rPr>
        <w:t>、</w:t>
      </w:r>
      <w:r>
        <w:rPr>
          <w:rFonts w:hint="eastAsia" w:ascii="宋体" w:hAnsi="宋体" w:cs="宋体"/>
          <w:color w:val="000000" w:themeColor="text1"/>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86B5952">
      <w:pPr>
        <w:adjustRightInd/>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九、验收</w:t>
      </w:r>
    </w:p>
    <w:p w14:paraId="0D10A5AA">
      <w:pPr>
        <w:snapToGrid w:val="0"/>
        <w:spacing w:line="360" w:lineRule="auto"/>
        <w:ind w:firstLine="482" w:firstLineChars="200"/>
        <w:outlineLvl w:val="1"/>
        <w:rPr>
          <w:rFonts w:ascii="宋体" w:hAnsi="宋体" w:cs="宋体"/>
          <w:b/>
          <w:color w:val="000000" w:themeColor="text1"/>
          <w:sz w:val="24"/>
        </w:rPr>
      </w:pPr>
      <w:r>
        <w:rPr>
          <w:rFonts w:hint="eastAsia" w:ascii="宋体" w:hAnsi="宋体" w:cs="宋体"/>
          <w:b/>
          <w:color w:val="000000" w:themeColor="text1"/>
          <w:sz w:val="24"/>
        </w:rPr>
        <w:t>27、验收</w:t>
      </w:r>
    </w:p>
    <w:p w14:paraId="5A71CE09">
      <w:pPr>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27.1交易人应当组织对供应商履约的验收。</w:t>
      </w:r>
    </w:p>
    <w:bookmarkEnd w:id="16"/>
    <w:bookmarkEnd w:id="17"/>
    <w:bookmarkEnd w:id="18"/>
    <w:p w14:paraId="774C1FFE">
      <w:pPr>
        <w:rPr>
          <w:rFonts w:ascii="宋体" w:hAnsi="宋体" w:cs="宋体"/>
          <w:b/>
          <w:color w:val="000000" w:themeColor="text1"/>
          <w:sz w:val="36"/>
          <w:szCs w:val="36"/>
        </w:rPr>
      </w:pPr>
      <w:bookmarkStart w:id="19" w:name="第四部分"/>
      <w:r>
        <w:rPr>
          <w:rFonts w:hint="eastAsia" w:ascii="宋体" w:hAnsi="宋体" w:cs="宋体"/>
          <w:b/>
          <w:color w:val="000000" w:themeColor="text1"/>
          <w:sz w:val="36"/>
          <w:szCs w:val="36"/>
        </w:rPr>
        <w:br w:type="page"/>
      </w:r>
    </w:p>
    <w:p w14:paraId="74A3909E">
      <w:pPr>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第三部分  交易需求</w:t>
      </w:r>
    </w:p>
    <w:p w14:paraId="4077FBC6">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属于实质性要求条款的，请用符号“▲”标明，否则属于非实质性要求。</w:t>
      </w:r>
    </w:p>
    <w:p w14:paraId="6463F89F">
      <w:pPr>
        <w:tabs>
          <w:tab w:val="left" w:pos="312"/>
        </w:tabs>
        <w:adjustRightInd/>
        <w:spacing w:line="480" w:lineRule="exact"/>
        <w:jc w:val="center"/>
        <w:rPr>
          <w:rFonts w:ascii="宋体" w:hAnsi="宋体" w:cs="宋体"/>
          <w:sz w:val="24"/>
        </w:rPr>
      </w:pPr>
      <w:r>
        <w:rPr>
          <w:rFonts w:hint="eastAsia" w:ascii="宋体" w:hAnsi="宋体" w:cs="宋体"/>
          <w:sz w:val="24"/>
        </w:rPr>
        <w:t>一、交易一览表</w:t>
      </w:r>
    </w:p>
    <w:tbl>
      <w:tblPr>
        <w:tblStyle w:val="62"/>
        <w:tblpPr w:leftFromText="180" w:rightFromText="180" w:vertAnchor="text" w:horzAnchor="margin" w:tblpY="55"/>
        <w:tblW w:w="0" w:type="auto"/>
        <w:tblInd w:w="0" w:type="dxa"/>
        <w:tblLayout w:type="fixed"/>
        <w:tblCellMar>
          <w:top w:w="0" w:type="dxa"/>
          <w:left w:w="0" w:type="dxa"/>
          <w:bottom w:w="0" w:type="dxa"/>
          <w:right w:w="0" w:type="dxa"/>
        </w:tblCellMar>
      </w:tblPr>
      <w:tblGrid>
        <w:gridCol w:w="680"/>
        <w:gridCol w:w="2783"/>
        <w:gridCol w:w="1980"/>
        <w:gridCol w:w="817"/>
        <w:gridCol w:w="968"/>
        <w:gridCol w:w="1576"/>
      </w:tblGrid>
      <w:tr w14:paraId="3BB96CCD">
        <w:tblPrEx>
          <w:tblCellMar>
            <w:top w:w="0" w:type="dxa"/>
            <w:left w:w="0" w:type="dxa"/>
            <w:bottom w:w="0" w:type="dxa"/>
            <w:right w:w="0" w:type="dxa"/>
          </w:tblCellMar>
        </w:tblPrEx>
        <w:trPr>
          <w:cantSplit/>
          <w:trHeight w:val="557" w:hRule="atLeast"/>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1B01B7">
            <w:pPr>
              <w:jc w:val="center"/>
              <w:rPr>
                <w:rFonts w:ascii="宋体" w:hAnsi="宋体" w:cs="宋体"/>
                <w:bCs/>
                <w:sz w:val="24"/>
              </w:rPr>
            </w:pPr>
            <w:r>
              <w:rPr>
                <w:rFonts w:hint="eastAsia" w:ascii="宋体" w:hAnsi="宋体" w:cs="宋体"/>
                <w:bCs/>
                <w:sz w:val="24"/>
              </w:rPr>
              <w:t>标项</w:t>
            </w:r>
          </w:p>
        </w:tc>
        <w:tc>
          <w:tcPr>
            <w:tcW w:w="278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B69304">
            <w:pPr>
              <w:jc w:val="center"/>
              <w:rPr>
                <w:rFonts w:ascii="宋体" w:hAnsi="宋体" w:cs="宋体"/>
                <w:bCs/>
                <w:sz w:val="24"/>
              </w:rPr>
            </w:pPr>
            <w:r>
              <w:rPr>
                <w:rFonts w:hint="eastAsia" w:ascii="宋体" w:hAnsi="宋体" w:cs="宋体"/>
                <w:bCs/>
                <w:sz w:val="24"/>
              </w:rPr>
              <w:t>名称</w:t>
            </w:r>
          </w:p>
        </w:tc>
        <w:tc>
          <w:tcPr>
            <w:tcW w:w="19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137663">
            <w:pPr>
              <w:jc w:val="center"/>
              <w:rPr>
                <w:rFonts w:ascii="宋体" w:hAnsi="宋体" w:cs="宋体"/>
                <w:bCs/>
                <w:sz w:val="24"/>
              </w:rPr>
            </w:pPr>
            <w:r>
              <w:rPr>
                <w:rFonts w:hint="eastAsia" w:ascii="宋体" w:hAnsi="宋体" w:cs="宋体"/>
                <w:bCs/>
                <w:sz w:val="24"/>
              </w:rPr>
              <w:t>规格型号与参数</w:t>
            </w:r>
          </w:p>
        </w:tc>
        <w:tc>
          <w:tcPr>
            <w:tcW w:w="81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F87E3E">
            <w:pPr>
              <w:jc w:val="center"/>
              <w:rPr>
                <w:rFonts w:ascii="宋体" w:hAnsi="宋体" w:cs="宋体"/>
                <w:bCs/>
                <w:sz w:val="24"/>
              </w:rPr>
            </w:pPr>
            <w:r>
              <w:rPr>
                <w:rFonts w:hint="eastAsia" w:ascii="宋体" w:hAnsi="宋体" w:cs="宋体"/>
                <w:bCs/>
                <w:sz w:val="24"/>
              </w:rPr>
              <w:t>单位</w:t>
            </w:r>
          </w:p>
        </w:tc>
        <w:tc>
          <w:tcPr>
            <w:tcW w:w="9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631D0C">
            <w:pPr>
              <w:jc w:val="center"/>
              <w:rPr>
                <w:rFonts w:ascii="宋体" w:hAnsi="宋体" w:cs="宋体"/>
                <w:bCs/>
                <w:sz w:val="24"/>
              </w:rPr>
            </w:pPr>
            <w:r>
              <w:rPr>
                <w:rFonts w:hint="eastAsia" w:ascii="宋体" w:hAnsi="宋体" w:cs="宋体"/>
                <w:bCs/>
                <w:sz w:val="24"/>
              </w:rPr>
              <w:t>数量</w:t>
            </w:r>
          </w:p>
        </w:tc>
        <w:tc>
          <w:tcPr>
            <w:tcW w:w="1576" w:type="dxa"/>
            <w:tcBorders>
              <w:top w:val="single" w:color="auto" w:sz="4" w:space="0"/>
              <w:left w:val="nil"/>
              <w:bottom w:val="single" w:color="auto" w:sz="4" w:space="0"/>
              <w:right w:val="single" w:color="auto" w:sz="4" w:space="0"/>
            </w:tcBorders>
            <w:noWrap/>
            <w:vAlign w:val="center"/>
          </w:tcPr>
          <w:p w14:paraId="7BF88A0A">
            <w:pPr>
              <w:jc w:val="center"/>
              <w:rPr>
                <w:rFonts w:ascii="宋体" w:hAnsi="宋体" w:cs="宋体"/>
                <w:bCs/>
                <w:sz w:val="24"/>
              </w:rPr>
            </w:pPr>
            <w:r>
              <w:rPr>
                <w:rFonts w:hint="eastAsia" w:ascii="宋体" w:hAnsi="宋体" w:cs="宋体"/>
                <w:bCs/>
                <w:sz w:val="24"/>
              </w:rPr>
              <w:t>备注</w:t>
            </w:r>
          </w:p>
        </w:tc>
      </w:tr>
      <w:tr w14:paraId="785F3313">
        <w:tblPrEx>
          <w:tblCellMar>
            <w:top w:w="0" w:type="dxa"/>
            <w:left w:w="0" w:type="dxa"/>
            <w:bottom w:w="0" w:type="dxa"/>
            <w:right w:w="0" w:type="dxa"/>
          </w:tblCellMar>
        </w:tblPrEx>
        <w:trPr>
          <w:cantSplit/>
          <w:trHeight w:val="807" w:hRule="atLeast"/>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39550A">
            <w:pPr>
              <w:jc w:val="center"/>
              <w:rPr>
                <w:rFonts w:ascii="宋体" w:hAnsi="宋体" w:cs="宋体"/>
                <w:color w:val="000000"/>
                <w:sz w:val="24"/>
              </w:rPr>
            </w:pPr>
            <w:r>
              <w:rPr>
                <w:rFonts w:hint="eastAsia" w:ascii="宋体" w:hAnsi="宋体" w:cs="宋体"/>
                <w:color w:val="000000"/>
                <w:sz w:val="24"/>
              </w:rPr>
              <w:t>1</w:t>
            </w:r>
          </w:p>
        </w:tc>
        <w:tc>
          <w:tcPr>
            <w:tcW w:w="278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226CD3">
            <w:pPr>
              <w:widowControl/>
              <w:spacing w:before="75" w:after="75" w:line="360" w:lineRule="atLeast"/>
              <w:jc w:val="center"/>
              <w:rPr>
                <w:rFonts w:ascii="宋体" w:hAnsi="宋体" w:cs="宋体"/>
                <w:color w:val="000000"/>
                <w:sz w:val="24"/>
              </w:rPr>
            </w:pPr>
            <w:r>
              <w:rPr>
                <w:rFonts w:hint="eastAsia" w:ascii="宋体" w:hAnsi="宋体" w:cs="宋体"/>
                <w:b/>
                <w:color w:val="000000"/>
                <w:sz w:val="24"/>
              </w:rPr>
              <w:t>萧山区衙前镇第二小学2025年暑期教师疗休养采购项目</w:t>
            </w: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257602">
            <w:pPr>
              <w:jc w:val="center"/>
              <w:rPr>
                <w:rFonts w:ascii="宋体" w:hAnsi="宋体" w:cs="宋体"/>
                <w:color w:val="000000"/>
                <w:sz w:val="24"/>
              </w:rPr>
            </w:pPr>
            <w:r>
              <w:rPr>
                <w:rFonts w:hint="eastAsia" w:ascii="宋体" w:hAnsi="宋体" w:cs="宋体"/>
                <w:color w:val="000000"/>
                <w:sz w:val="24"/>
              </w:rPr>
              <w:t>详见交易需求</w:t>
            </w:r>
          </w:p>
        </w:tc>
        <w:tc>
          <w:tcPr>
            <w:tcW w:w="81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64E542">
            <w:pPr>
              <w:jc w:val="center"/>
              <w:rPr>
                <w:rFonts w:ascii="宋体" w:hAnsi="宋体" w:cs="宋体"/>
                <w:color w:val="000000"/>
                <w:sz w:val="24"/>
              </w:rPr>
            </w:pPr>
            <w:r>
              <w:rPr>
                <w:rFonts w:hint="eastAsia" w:ascii="宋体" w:hAnsi="宋体" w:cs="宋体"/>
                <w:color w:val="000000"/>
                <w:sz w:val="24"/>
              </w:rPr>
              <w:t>人</w:t>
            </w:r>
          </w:p>
        </w:tc>
        <w:tc>
          <w:tcPr>
            <w:tcW w:w="9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B7421F">
            <w:pPr>
              <w:jc w:val="center"/>
              <w:rPr>
                <w:rFonts w:ascii="宋体" w:hAnsi="宋体" w:cs="宋体"/>
                <w:color w:val="000000"/>
                <w:sz w:val="24"/>
              </w:rPr>
            </w:pPr>
            <w:r>
              <w:rPr>
                <w:rFonts w:hint="eastAsia" w:ascii="宋体" w:hAnsi="宋体" w:cs="宋体"/>
                <w:color w:val="000000"/>
                <w:sz w:val="24"/>
              </w:rPr>
              <w:t>58</w:t>
            </w:r>
          </w:p>
        </w:tc>
        <w:tc>
          <w:tcPr>
            <w:tcW w:w="1576" w:type="dxa"/>
            <w:tcBorders>
              <w:top w:val="single" w:color="auto" w:sz="4" w:space="0"/>
              <w:left w:val="single" w:color="auto" w:sz="4" w:space="0"/>
              <w:bottom w:val="single" w:color="auto" w:sz="4" w:space="0"/>
              <w:right w:val="single" w:color="auto" w:sz="4" w:space="0"/>
            </w:tcBorders>
            <w:noWrap/>
            <w:vAlign w:val="center"/>
          </w:tcPr>
          <w:p w14:paraId="3EA0567F">
            <w:pPr>
              <w:jc w:val="center"/>
              <w:rPr>
                <w:rFonts w:ascii="宋体" w:hAnsi="宋体" w:cs="宋体"/>
                <w:color w:val="000000"/>
                <w:sz w:val="24"/>
              </w:rPr>
            </w:pPr>
            <w:r>
              <w:rPr>
                <w:rFonts w:hint="eastAsia" w:ascii="宋体" w:hAnsi="宋体" w:cs="宋体"/>
                <w:color w:val="000000"/>
                <w:sz w:val="24"/>
              </w:rPr>
              <w:t>按3000元/人</w:t>
            </w:r>
          </w:p>
        </w:tc>
      </w:tr>
    </w:tbl>
    <w:p w14:paraId="354A43D9">
      <w:pPr>
        <w:snapToGrid w:val="0"/>
        <w:ind w:firstLine="241" w:firstLineChars="100"/>
        <w:rPr>
          <w:rFonts w:ascii="宋体" w:hAnsi="宋体" w:cs="宋体"/>
          <w:b/>
          <w:bCs/>
          <w:color w:val="000000"/>
          <w:sz w:val="24"/>
        </w:rPr>
      </w:pPr>
      <w:r>
        <w:rPr>
          <w:rFonts w:hint="eastAsia" w:ascii="宋体" w:hAnsi="宋体" w:cs="宋体"/>
          <w:b/>
          <w:bCs/>
          <w:color w:val="000000"/>
          <w:sz w:val="24"/>
        </w:rPr>
        <w:t>注：（1）最终结算以每人报价单价为准。</w:t>
      </w:r>
    </w:p>
    <w:p w14:paraId="3D5B2E14">
      <w:pPr>
        <w:adjustRightInd/>
        <w:spacing w:line="360" w:lineRule="auto"/>
        <w:jc w:val="center"/>
        <w:rPr>
          <w:rFonts w:ascii="宋体" w:hAnsi="宋体" w:cs="宋体"/>
          <w:b/>
          <w:sz w:val="24"/>
        </w:rPr>
      </w:pPr>
    </w:p>
    <w:p w14:paraId="2ADBA29F">
      <w:pPr>
        <w:adjustRightInd/>
        <w:spacing w:line="480" w:lineRule="exact"/>
        <w:jc w:val="center"/>
        <w:rPr>
          <w:rFonts w:ascii="宋体" w:hAnsi="宋体" w:cs="宋体"/>
          <w:b/>
          <w:sz w:val="24"/>
        </w:rPr>
      </w:pPr>
      <w:r>
        <w:rPr>
          <w:rFonts w:hint="eastAsia" w:ascii="宋体" w:hAnsi="宋体" w:cs="宋体"/>
          <w:b/>
          <w:sz w:val="24"/>
        </w:rPr>
        <w:t>二、交易需求</w:t>
      </w:r>
    </w:p>
    <w:p w14:paraId="0C64910D">
      <w:pPr>
        <w:adjustRightInd/>
        <w:spacing w:line="480" w:lineRule="exact"/>
        <w:rPr>
          <w:rFonts w:ascii="宋体" w:hAnsi="宋体" w:cs="宋体"/>
          <w:b/>
          <w:bCs/>
          <w:position w:val="-6"/>
          <w:sz w:val="28"/>
          <w:szCs w:val="28"/>
        </w:rPr>
      </w:pPr>
      <w:r>
        <w:rPr>
          <w:rFonts w:hint="eastAsia" w:ascii="宋体" w:hAnsi="宋体" w:cs="宋体"/>
          <w:b/>
          <w:bCs/>
          <w:position w:val="-6"/>
          <w:sz w:val="28"/>
          <w:szCs w:val="28"/>
        </w:rPr>
        <w:t xml:space="preserve">（一）技术需求： </w:t>
      </w:r>
    </w:p>
    <w:p w14:paraId="331E52CC">
      <w:pPr>
        <w:pStyle w:val="32"/>
        <w:spacing w:line="480" w:lineRule="exact"/>
        <w:ind w:firstLine="472" w:firstLineChars="196"/>
        <w:rPr>
          <w:rFonts w:hAnsi="宋体" w:cs="宋体"/>
          <w:b/>
          <w:bCs/>
          <w:color w:val="000000"/>
          <w:sz w:val="24"/>
          <w:szCs w:val="24"/>
        </w:rPr>
      </w:pPr>
      <w:r>
        <w:rPr>
          <w:rFonts w:hint="eastAsia" w:hAnsi="宋体" w:cs="宋体"/>
          <w:b/>
          <w:bCs/>
          <w:color w:val="000000"/>
          <w:sz w:val="24"/>
          <w:szCs w:val="24"/>
        </w:rPr>
        <w:t>1、项目总体概况</w:t>
      </w:r>
    </w:p>
    <w:p w14:paraId="0EA887C5">
      <w:pPr>
        <w:pStyle w:val="32"/>
        <w:spacing w:line="480" w:lineRule="exact"/>
        <w:ind w:firstLine="470" w:firstLineChars="196"/>
        <w:rPr>
          <w:rFonts w:hAnsi="宋体" w:cs="宋体"/>
          <w:color w:val="000000"/>
          <w:sz w:val="24"/>
        </w:rPr>
      </w:pPr>
      <w:r>
        <w:rPr>
          <w:rFonts w:hint="eastAsia" w:hAnsi="宋体" w:cs="宋体"/>
          <w:color w:val="000000"/>
          <w:sz w:val="24"/>
        </w:rPr>
        <w:t>本次交易范围为萧山区衙前镇第二小学2025年暑期教师疗休养采购项目。提供旅游策划、线路安排、服务保障、费用控制等一系列疗休养相关服务。</w:t>
      </w:r>
    </w:p>
    <w:p w14:paraId="198924DB">
      <w:pPr>
        <w:pStyle w:val="32"/>
        <w:spacing w:line="480" w:lineRule="exact"/>
        <w:ind w:firstLine="482" w:firstLineChars="200"/>
        <w:rPr>
          <w:rFonts w:hAnsi="宋体" w:cs="宋体"/>
          <w:b/>
          <w:bCs/>
          <w:color w:val="000000"/>
          <w:sz w:val="24"/>
        </w:rPr>
      </w:pPr>
      <w:r>
        <w:rPr>
          <w:rFonts w:hint="eastAsia" w:hAnsi="宋体" w:cs="宋体"/>
          <w:b/>
          <w:bCs/>
          <w:color w:val="000000"/>
          <w:sz w:val="24"/>
        </w:rPr>
        <w:t>2、具体服务要求</w:t>
      </w:r>
    </w:p>
    <w:p w14:paraId="33888BAA">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2.1项目主要内容：萧山区衙前镇第二小学2025年暑期教师疗休养采购项目</w:t>
      </w:r>
    </w:p>
    <w:p w14:paraId="6FB0D207">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2.2本次交易提供5天4晚疗休养策划、线路安排、服务保障、费用控制等一系列疗休养相关服务。</w:t>
      </w:r>
    </w:p>
    <w:p w14:paraId="5626C13D">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2.3本次疗休养一条路线分两批出行，线路为：温州洞头、楠溪江。</w:t>
      </w:r>
    </w:p>
    <w:p w14:paraId="69CB1397">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2.4预算金额：不超过3000元/人。响应报价：响应人需在响应文件中需提供具体行程、出行方式、就餐标准等具体明细，报价根据要求提供每人次的单价，结算时按实际参加人数*中标单价计算。响应单价为投标人综合考虑后的统一单价，不得再有淡季旺季的价格区别。本项目各投标人须考虑出行时间、人数、目的地、淡旺季等情况，各响应人自行承担报价风险，均以响应单价为结算依据。</w:t>
      </w:r>
    </w:p>
    <w:p w14:paraId="76CEC1A2">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2.5响应报价包括响应人完成本项目所需的一切费用 ，包括但不限于：交通费（含燃油费、过路费、景点交通费等）、住宿费、伙食费、景点门票、导游费、保险费及涉及的其他所有费用、税金。要求不进任何购物店,不组织任何自费项目。若遇本次交易参考线路之外的线路方案，由采购人与成交人根据市场价自行协商确定。</w:t>
      </w:r>
    </w:p>
    <w:p w14:paraId="73C99CCE">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2.6计划暂定于</w:t>
      </w:r>
      <w:bookmarkStart w:id="20" w:name="OLE_LINK8"/>
      <w:r>
        <w:rPr>
          <w:rFonts w:hint="eastAsia" w:ascii="宋体" w:hAnsi="宋体" w:cs="宋体"/>
          <w:color w:val="000000"/>
          <w:sz w:val="24"/>
        </w:rPr>
        <w:t>2025年7月22日至7月26日</w:t>
      </w:r>
      <w:bookmarkEnd w:id="20"/>
      <w:r>
        <w:rPr>
          <w:rFonts w:hint="eastAsia" w:ascii="宋体" w:hAnsi="宋体" w:cs="宋体"/>
          <w:color w:val="000000"/>
          <w:sz w:val="24"/>
        </w:rPr>
        <w:t>第一批出行，2025年8月1日至8月5日第二批出行，暂定人数为58人左右，具体出行人数以确定后的最终人数为准。</w:t>
      </w:r>
    </w:p>
    <w:p w14:paraId="1BAFA2C4">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2.7线路安排：具体出行线路交易结束后由业主单位确定，响应人需在响应文件中提供具体方案供业主参考,要求行程安排轻松合理，休闲休养相结合。</w:t>
      </w:r>
      <w:bookmarkStart w:id="388" w:name="_GoBack"/>
    </w:p>
    <w:bookmarkEnd w:id="388"/>
    <w:p w14:paraId="765423BD">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 xml:space="preserve">2.8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 </w:t>
      </w:r>
    </w:p>
    <w:p w14:paraId="27963A85">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2.9住宿：住宿综合环境好，要求四星以上（含）且设施较好的三年以内新装修的酒店（一般标准2人间，如因男女人数为单，剩下两人须安排一人一间,费用不作增加）。要求标明每天住宿酒店的名称、星级和具体地址，不得出现同级酒店字样，如实际接待中投标指定酒店无法安排，需要安排高一级酒店。住宿酒店要求交通便利、环境较好、干净卫生、服务优质，有较强的接待能力，同时配套设施齐全、使用安全方便。若住宿不符合招标人要求，招标人有权更换，成交人应当给予调换，直至招标人满意为止。</w:t>
      </w:r>
    </w:p>
    <w:p w14:paraId="081B99EF">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2.10餐饮：早餐为酒店早餐，中餐不低于80元/人，晚餐不低于120元/人，餐厅必须有接待资质、环境好的饭店就餐，允许团队等额退餐，自己点菜。中晚餐每桌提供可乐、雪碧、果粒橙各一瓶（均为1.5升）。如招标人对菜品质量不满意的，有权更换菜品，成交人应当给予调换，直至招标人满意为止。</w:t>
      </w:r>
    </w:p>
    <w:p w14:paraId="22F6CC3C">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2.11要求全程提供持证全陪、地陪导游服务（全陪导游须持有导游证3年以上，出团前1周提交疗休养方审核）。</w:t>
      </w:r>
    </w:p>
    <w:p w14:paraId="51ABBEF7">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2.12要求为参加休养职工提供每人每天2瓶矿泉水，水果、适当零食、应急药物等。</w:t>
      </w:r>
    </w:p>
    <w:p w14:paraId="474E6E81">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2.13保险：购买疗休养过程中的各类保险（包括：旅行社责任险，旅游意外伤害保险等），做到应保则保，响应文件中应说明具体险种和单人保额。其中，旅行社责任险不少于100万元/人、旅游安全人身意外伤害保险不少于100万元/人。实际实施过程中，旅行社必须提供每批休养人员购买保险的原始凭证的复印件给业主。</w:t>
      </w:r>
    </w:p>
    <w:p w14:paraId="775A7E28">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2.14出发前，疗养行程、注意事项人手1份。</w:t>
      </w:r>
    </w:p>
    <w:p w14:paraId="3E6B5582">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2.15针对疗休养活动中可能发生的突发状况、意外情况等（如：投诉、纠纷、安全事故等），响应人须制定周密、可靠的安全保障和突发事件应急预案，确保在各种情况下参团人员的人身及财产安全，响应人应在响应文件中提供详细说明。</w:t>
      </w:r>
    </w:p>
    <w:p w14:paraId="1CC2928C">
      <w:pPr>
        <w:adjustRightInd/>
        <w:spacing w:line="480" w:lineRule="exact"/>
        <w:ind w:firstLine="480" w:firstLineChars="200"/>
        <w:rPr>
          <w:rFonts w:ascii="宋体" w:hAnsi="宋体" w:cs="宋体"/>
          <w:color w:val="000000"/>
          <w:sz w:val="24"/>
        </w:rPr>
      </w:pPr>
      <w:r>
        <w:rPr>
          <w:rFonts w:hint="eastAsia" w:ascii="宋体" w:hAnsi="宋体" w:cs="宋体"/>
          <w:color w:val="000000"/>
          <w:sz w:val="24"/>
        </w:rPr>
        <w:t>2.16如遇政策性调整、突发疫情等各项不确定因素，招标人有权按照最新政策调整或终止合同。</w:t>
      </w:r>
    </w:p>
    <w:p w14:paraId="1CEF6B04">
      <w:pPr>
        <w:adjustRightInd/>
        <w:spacing w:line="480" w:lineRule="exact"/>
        <w:rPr>
          <w:rFonts w:ascii="宋体" w:hAnsi="宋体" w:cs="宋体"/>
          <w:b/>
          <w:bCs/>
          <w:color w:val="000000"/>
          <w:sz w:val="28"/>
          <w:szCs w:val="28"/>
        </w:rPr>
      </w:pPr>
      <w:r>
        <w:rPr>
          <w:rFonts w:hint="eastAsia" w:ascii="宋体" w:hAnsi="宋体" w:cs="宋体"/>
          <w:b/>
          <w:bCs/>
          <w:position w:val="-6"/>
          <w:sz w:val="28"/>
          <w:szCs w:val="28"/>
        </w:rPr>
        <w:t>（二）</w:t>
      </w:r>
      <w:r>
        <w:rPr>
          <w:rFonts w:hint="eastAsia" w:ascii="宋体" w:hAnsi="宋体" w:cs="宋体"/>
          <w:b/>
          <w:bCs/>
          <w:color w:val="000000"/>
          <w:sz w:val="28"/>
          <w:szCs w:val="28"/>
        </w:rPr>
        <w:t>商务需求：</w:t>
      </w:r>
    </w:p>
    <w:p w14:paraId="6919D66B">
      <w:pPr>
        <w:adjustRightInd/>
        <w:spacing w:line="480" w:lineRule="exact"/>
        <w:ind w:firstLine="360" w:firstLineChars="150"/>
        <w:rPr>
          <w:rFonts w:ascii="宋体" w:hAnsi="宋体" w:cs="宋体"/>
          <w:color w:val="000000"/>
          <w:sz w:val="24"/>
        </w:rPr>
      </w:pPr>
      <w:r>
        <w:rPr>
          <w:rFonts w:hint="eastAsia" w:ascii="宋体" w:hAnsi="宋体" w:cs="宋体"/>
          <w:color w:val="000000" w:themeColor="text1"/>
          <w:sz w:val="24"/>
        </w:rPr>
        <w:t>1、</w:t>
      </w:r>
      <w:r>
        <w:rPr>
          <w:rFonts w:hint="eastAsia" w:ascii="宋体" w:hAnsi="宋体" w:cs="宋体"/>
          <w:color w:val="000000"/>
          <w:sz w:val="24"/>
        </w:rPr>
        <w:t>服务期限：具体以采购人要求为准。</w:t>
      </w:r>
    </w:p>
    <w:p w14:paraId="2124B26F">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2、服务质量承诺：</w:t>
      </w:r>
    </w:p>
    <w:p w14:paraId="7DDDCABF">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2.1为确保服务质量及与采购人沟通联络，成交方须设置兼职主管，负责对承包项目、范围、服务质量的检查监督及与采购人日常业务联系；</w:t>
      </w:r>
    </w:p>
    <w:p w14:paraId="25257923">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2.2成交方需提供员工管理服务规范要求及确保服务质量达标的具体措施；</w:t>
      </w:r>
    </w:p>
    <w:p w14:paraId="79222E46">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2.3成交方需向采购人提供服务承诺；</w:t>
      </w:r>
    </w:p>
    <w:p w14:paraId="23ECDEA2">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2.4成交方须主动接受采购人的指导、检查、监督及协调；</w:t>
      </w:r>
    </w:p>
    <w:p w14:paraId="5561FF7A">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2.5现有服务范围内，由于调整而增加的工作量，不再增加费用；</w:t>
      </w:r>
    </w:p>
    <w:p w14:paraId="07FB459B">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2.6因成交方工作人员的失误造成的损失由成交方负责。</w:t>
      </w:r>
    </w:p>
    <w:p w14:paraId="27B4C029">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2.7成交方员工在工作及服务期间发生的一切安全事故由成交方负责，与采购人无关。</w:t>
      </w:r>
    </w:p>
    <w:p w14:paraId="3A63E631">
      <w:pPr>
        <w:adjustRightInd/>
        <w:spacing w:line="480" w:lineRule="exact"/>
        <w:ind w:firstLine="360" w:firstLineChars="150"/>
        <w:rPr>
          <w:rFonts w:ascii="宋体" w:hAnsi="宋体" w:cs="宋体"/>
          <w:color w:val="000000"/>
          <w:sz w:val="24"/>
        </w:rPr>
      </w:pPr>
      <w:r>
        <w:rPr>
          <w:rFonts w:hint="eastAsia" w:ascii="宋体" w:hAnsi="宋体" w:cs="宋体"/>
          <w:color w:val="000000" w:themeColor="text1"/>
          <w:sz w:val="24"/>
        </w:rPr>
        <w:t>3、</w:t>
      </w:r>
      <w:r>
        <w:rPr>
          <w:rFonts w:hint="eastAsia" w:ascii="宋体" w:hAnsi="宋体" w:cs="宋体"/>
          <w:color w:val="000000"/>
          <w:sz w:val="24"/>
        </w:rPr>
        <w:t>付款方式</w:t>
      </w:r>
    </w:p>
    <w:p w14:paraId="26D4A468">
      <w:pPr>
        <w:adjustRightInd/>
        <w:spacing w:line="480" w:lineRule="exact"/>
        <w:ind w:firstLine="360" w:firstLineChars="150"/>
        <w:rPr>
          <w:rFonts w:ascii="宋体" w:hAnsi="宋体" w:cs="宋体"/>
          <w:color w:val="000000"/>
          <w:sz w:val="24"/>
        </w:rPr>
      </w:pPr>
      <w:r>
        <w:rPr>
          <w:rFonts w:hint="eastAsia" w:ascii="宋体" w:hAnsi="宋体" w:cs="宋体"/>
          <w:color w:val="000000"/>
          <w:sz w:val="24"/>
        </w:rPr>
        <w:t>分批支付，最终结算价按照实际参加人数*单价，按实结算，经甲方确认后一个月内支付全款。</w:t>
      </w:r>
    </w:p>
    <w:p w14:paraId="0BCAC5A8">
      <w:pPr>
        <w:rPr>
          <w:color w:val="000000" w:themeColor="text1"/>
        </w:rPr>
      </w:pPr>
    </w:p>
    <w:p w14:paraId="667C7811">
      <w:pPr>
        <w:snapToGrid w:val="0"/>
        <w:spacing w:line="360" w:lineRule="auto"/>
        <w:jc w:val="center"/>
        <w:rPr>
          <w:rFonts w:ascii="宋体" w:hAnsi="宋体" w:cs="宋体"/>
          <w:b/>
          <w:color w:val="000000" w:themeColor="text1"/>
          <w:sz w:val="36"/>
          <w:szCs w:val="36"/>
        </w:rPr>
      </w:pPr>
    </w:p>
    <w:p w14:paraId="33C32350">
      <w:pPr>
        <w:pStyle w:val="2"/>
        <w:rPr>
          <w:rFonts w:ascii="宋体" w:hAnsi="宋体" w:cs="宋体"/>
          <w:color w:val="000000" w:themeColor="text1"/>
          <w:sz w:val="36"/>
          <w:szCs w:val="36"/>
        </w:rPr>
      </w:pPr>
    </w:p>
    <w:p w14:paraId="58439602">
      <w:pPr>
        <w:rPr>
          <w:rFonts w:ascii="宋体" w:hAnsi="宋体" w:cs="宋体"/>
          <w:b/>
          <w:color w:val="000000" w:themeColor="text1"/>
          <w:sz w:val="36"/>
          <w:szCs w:val="36"/>
        </w:rPr>
      </w:pPr>
    </w:p>
    <w:p w14:paraId="4804A339">
      <w:pPr>
        <w:rPr>
          <w:rFonts w:ascii="宋体" w:hAnsi="宋体" w:cs="宋体"/>
          <w:b/>
          <w:color w:val="000000" w:themeColor="text1"/>
          <w:sz w:val="36"/>
          <w:szCs w:val="36"/>
        </w:rPr>
      </w:pPr>
      <w:r>
        <w:rPr>
          <w:rFonts w:hint="eastAsia" w:ascii="宋体" w:hAnsi="宋体" w:cs="宋体"/>
          <w:b/>
          <w:color w:val="000000" w:themeColor="text1"/>
          <w:sz w:val="36"/>
          <w:szCs w:val="36"/>
        </w:rPr>
        <w:br w:type="page"/>
      </w:r>
    </w:p>
    <w:p w14:paraId="1E405227">
      <w:pPr>
        <w:snapToGrid w:val="0"/>
        <w:spacing w:line="36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 xml:space="preserve">第四部分  </w:t>
      </w:r>
      <w:bookmarkStart w:id="21" w:name="_Toc184308045"/>
      <w:bookmarkEnd w:id="21"/>
      <w:bookmarkStart w:id="22" w:name="_Toc184314467"/>
      <w:bookmarkEnd w:id="22"/>
      <w:bookmarkStart w:id="23" w:name="_Toc184310279"/>
      <w:bookmarkEnd w:id="23"/>
      <w:bookmarkStart w:id="24" w:name="_Toc184312129"/>
      <w:bookmarkEnd w:id="24"/>
      <w:bookmarkStart w:id="25" w:name="_Toc184308040"/>
      <w:bookmarkEnd w:id="25"/>
      <w:bookmarkStart w:id="26" w:name="_Toc184314440"/>
      <w:bookmarkEnd w:id="26"/>
      <w:bookmarkStart w:id="27" w:name="_Toc184310344"/>
      <w:bookmarkEnd w:id="27"/>
      <w:bookmarkStart w:id="28" w:name="_Toc184314424"/>
      <w:bookmarkEnd w:id="28"/>
      <w:bookmarkStart w:id="29" w:name="_Toc184310341"/>
      <w:bookmarkEnd w:id="29"/>
      <w:bookmarkStart w:id="30" w:name="_Toc184314468"/>
      <w:bookmarkEnd w:id="30"/>
      <w:bookmarkStart w:id="31" w:name="_Toc184308106"/>
      <w:bookmarkEnd w:id="31"/>
      <w:bookmarkStart w:id="32" w:name="_Toc184314472"/>
      <w:bookmarkEnd w:id="32"/>
      <w:bookmarkStart w:id="33" w:name="_Toc184312132"/>
      <w:bookmarkEnd w:id="33"/>
      <w:bookmarkStart w:id="34" w:name="_Toc184310338"/>
      <w:bookmarkEnd w:id="34"/>
      <w:bookmarkStart w:id="35" w:name="_Toc184310317"/>
      <w:bookmarkEnd w:id="35"/>
      <w:bookmarkStart w:id="36" w:name="_Toc184313239"/>
      <w:bookmarkEnd w:id="36"/>
      <w:bookmarkStart w:id="37" w:name="_Toc184313250"/>
      <w:bookmarkEnd w:id="37"/>
      <w:bookmarkStart w:id="38" w:name="_Toc184314436"/>
      <w:bookmarkEnd w:id="38"/>
      <w:bookmarkStart w:id="39" w:name="_Toc184312089"/>
      <w:bookmarkEnd w:id="39"/>
      <w:bookmarkStart w:id="40" w:name="_Toc184310316"/>
      <w:bookmarkEnd w:id="40"/>
      <w:bookmarkStart w:id="41" w:name="_Toc184314473"/>
      <w:bookmarkEnd w:id="41"/>
      <w:bookmarkStart w:id="42" w:name="_Toc184308055"/>
      <w:bookmarkEnd w:id="42"/>
      <w:bookmarkStart w:id="43" w:name="_Toc184312123"/>
      <w:bookmarkEnd w:id="43"/>
      <w:bookmarkStart w:id="44" w:name="_Toc184308056"/>
      <w:bookmarkEnd w:id="44"/>
      <w:bookmarkStart w:id="45" w:name="_Toc184313308"/>
      <w:bookmarkEnd w:id="45"/>
      <w:bookmarkStart w:id="46" w:name="_Toc184312136"/>
      <w:bookmarkEnd w:id="46"/>
      <w:bookmarkStart w:id="47" w:name="_Toc184314482"/>
      <w:bookmarkEnd w:id="47"/>
      <w:bookmarkStart w:id="48" w:name="_Toc184312138"/>
      <w:bookmarkEnd w:id="48"/>
      <w:bookmarkStart w:id="49" w:name="_Toc184314416"/>
      <w:bookmarkEnd w:id="49"/>
      <w:bookmarkStart w:id="50" w:name="_Toc184310275"/>
      <w:bookmarkEnd w:id="50"/>
      <w:bookmarkStart w:id="51" w:name="_Toc184314455"/>
      <w:bookmarkEnd w:id="51"/>
      <w:bookmarkStart w:id="52" w:name="_Toc184313300"/>
      <w:bookmarkEnd w:id="52"/>
      <w:bookmarkStart w:id="53" w:name="_Toc184314461"/>
      <w:bookmarkEnd w:id="53"/>
      <w:bookmarkStart w:id="54" w:name="_Toc184312112"/>
      <w:bookmarkEnd w:id="54"/>
      <w:bookmarkStart w:id="55" w:name="_Toc184308061"/>
      <w:bookmarkEnd w:id="55"/>
      <w:bookmarkStart w:id="56" w:name="_Toc184312108"/>
      <w:bookmarkEnd w:id="56"/>
      <w:bookmarkStart w:id="57" w:name="_Toc184308082"/>
      <w:bookmarkEnd w:id="57"/>
      <w:bookmarkStart w:id="58" w:name="_Toc184314478"/>
      <w:bookmarkEnd w:id="58"/>
      <w:bookmarkStart w:id="59" w:name="_Toc184310301"/>
      <w:bookmarkEnd w:id="59"/>
      <w:bookmarkStart w:id="60" w:name="_Toc184310342"/>
      <w:bookmarkEnd w:id="60"/>
      <w:bookmarkStart w:id="61" w:name="_Toc184314438"/>
      <w:bookmarkEnd w:id="61"/>
      <w:bookmarkStart w:id="62" w:name="_Toc184314418"/>
      <w:bookmarkEnd w:id="62"/>
      <w:bookmarkStart w:id="63" w:name="_Toc184314431"/>
      <w:bookmarkEnd w:id="63"/>
      <w:bookmarkStart w:id="64" w:name="_Toc184313254"/>
      <w:bookmarkEnd w:id="64"/>
      <w:bookmarkStart w:id="65" w:name="_Toc184314463"/>
      <w:bookmarkEnd w:id="65"/>
      <w:bookmarkStart w:id="66" w:name="_Toc184314434"/>
      <w:bookmarkEnd w:id="66"/>
      <w:bookmarkStart w:id="67" w:name="_Toc184314447"/>
      <w:bookmarkEnd w:id="67"/>
      <w:bookmarkStart w:id="68" w:name="_Toc184314477"/>
      <w:bookmarkEnd w:id="68"/>
      <w:bookmarkStart w:id="69" w:name="_Toc184308038"/>
      <w:bookmarkEnd w:id="69"/>
      <w:bookmarkStart w:id="70" w:name="_Toc184310339"/>
      <w:bookmarkEnd w:id="70"/>
      <w:bookmarkStart w:id="71" w:name="_Toc184308091"/>
      <w:bookmarkEnd w:id="71"/>
      <w:bookmarkStart w:id="72" w:name="_Toc184313246"/>
      <w:bookmarkEnd w:id="72"/>
      <w:bookmarkStart w:id="73" w:name="_Toc184312076"/>
      <w:bookmarkEnd w:id="73"/>
      <w:bookmarkStart w:id="74" w:name="_Toc184312127"/>
      <w:bookmarkEnd w:id="74"/>
      <w:bookmarkStart w:id="75" w:name="_Toc184310274"/>
      <w:bookmarkEnd w:id="75"/>
      <w:bookmarkStart w:id="76" w:name="_Toc184313270"/>
      <w:bookmarkEnd w:id="76"/>
      <w:bookmarkStart w:id="77" w:name="_Toc184308085"/>
      <w:bookmarkEnd w:id="77"/>
      <w:bookmarkStart w:id="78" w:name="_Toc184310277"/>
      <w:bookmarkEnd w:id="78"/>
      <w:bookmarkStart w:id="79" w:name="_Toc184313265"/>
      <w:bookmarkEnd w:id="79"/>
      <w:bookmarkStart w:id="80" w:name="_Toc184308087"/>
      <w:bookmarkEnd w:id="80"/>
      <w:bookmarkStart w:id="81" w:name="_Toc184310324"/>
      <w:bookmarkEnd w:id="81"/>
      <w:bookmarkStart w:id="82" w:name="_Toc184314441"/>
      <w:bookmarkEnd w:id="82"/>
      <w:bookmarkStart w:id="83" w:name="_Toc184313256"/>
      <w:bookmarkEnd w:id="83"/>
      <w:bookmarkStart w:id="84" w:name="_Toc184314419"/>
      <w:bookmarkEnd w:id="84"/>
      <w:bookmarkStart w:id="85" w:name="_Toc184310290"/>
      <w:bookmarkEnd w:id="85"/>
      <w:bookmarkStart w:id="86" w:name="_Toc184313241"/>
      <w:bookmarkEnd w:id="86"/>
      <w:bookmarkStart w:id="87" w:name="_Toc184308083"/>
      <w:bookmarkEnd w:id="87"/>
      <w:bookmarkStart w:id="88" w:name="_Toc184312117"/>
      <w:bookmarkEnd w:id="88"/>
      <w:bookmarkStart w:id="89" w:name="_Toc184308043"/>
      <w:bookmarkEnd w:id="89"/>
      <w:bookmarkStart w:id="90" w:name="_Toc184312084"/>
      <w:bookmarkEnd w:id="90"/>
      <w:bookmarkStart w:id="91" w:name="_Toc184313291"/>
      <w:bookmarkEnd w:id="91"/>
      <w:bookmarkStart w:id="92" w:name="_Toc184314433"/>
      <w:bookmarkEnd w:id="92"/>
      <w:bookmarkStart w:id="93" w:name="_Toc184310337"/>
      <w:bookmarkEnd w:id="93"/>
      <w:bookmarkStart w:id="94" w:name="_Toc184310314"/>
      <w:bookmarkEnd w:id="94"/>
      <w:bookmarkStart w:id="95" w:name="_Toc184310304"/>
      <w:bookmarkEnd w:id="95"/>
      <w:bookmarkStart w:id="96" w:name="_Toc184308066"/>
      <w:bookmarkEnd w:id="96"/>
      <w:bookmarkStart w:id="97" w:name="_Toc184314453"/>
      <w:bookmarkEnd w:id="97"/>
      <w:bookmarkStart w:id="98" w:name="_Toc184312075"/>
      <w:bookmarkEnd w:id="98"/>
      <w:bookmarkStart w:id="99" w:name="_Toc184312070"/>
      <w:bookmarkEnd w:id="99"/>
      <w:bookmarkStart w:id="100" w:name="_Toc184308081"/>
      <w:bookmarkEnd w:id="100"/>
      <w:bookmarkStart w:id="101" w:name="_Toc184310311"/>
      <w:bookmarkEnd w:id="101"/>
      <w:bookmarkStart w:id="102" w:name="_Toc184313242"/>
      <w:bookmarkEnd w:id="102"/>
      <w:bookmarkStart w:id="103" w:name="_Toc184313257"/>
      <w:bookmarkEnd w:id="103"/>
      <w:bookmarkStart w:id="104" w:name="_Toc184308048"/>
      <w:bookmarkEnd w:id="104"/>
      <w:bookmarkStart w:id="105" w:name="_Toc184314474"/>
      <w:bookmarkEnd w:id="105"/>
      <w:bookmarkStart w:id="106" w:name="_Toc184310328"/>
      <w:bookmarkEnd w:id="106"/>
      <w:bookmarkStart w:id="107" w:name="_Toc184312131"/>
      <w:bookmarkEnd w:id="107"/>
      <w:bookmarkStart w:id="108" w:name="_Toc184308060"/>
      <w:bookmarkEnd w:id="108"/>
      <w:bookmarkStart w:id="109" w:name="_Toc184312095"/>
      <w:bookmarkEnd w:id="109"/>
      <w:bookmarkStart w:id="110" w:name="_Toc184313297"/>
      <w:bookmarkEnd w:id="110"/>
      <w:bookmarkStart w:id="111" w:name="_Toc184314432"/>
      <w:bookmarkEnd w:id="111"/>
      <w:bookmarkStart w:id="112" w:name="_Toc184312083"/>
      <w:bookmarkEnd w:id="112"/>
      <w:bookmarkStart w:id="113" w:name="_Toc184310307"/>
      <w:bookmarkEnd w:id="113"/>
      <w:bookmarkStart w:id="114" w:name="_Toc184310285"/>
      <w:bookmarkEnd w:id="114"/>
      <w:bookmarkStart w:id="115" w:name="_Toc184308086"/>
      <w:bookmarkEnd w:id="115"/>
      <w:bookmarkStart w:id="116" w:name="_Toc184312111"/>
      <w:bookmarkEnd w:id="116"/>
      <w:bookmarkStart w:id="117" w:name="_Toc184314450"/>
      <w:bookmarkEnd w:id="117"/>
      <w:bookmarkStart w:id="118" w:name="_Toc184310333"/>
      <w:bookmarkEnd w:id="118"/>
      <w:bookmarkStart w:id="119" w:name="_Toc184310309"/>
      <w:bookmarkEnd w:id="119"/>
      <w:bookmarkStart w:id="120" w:name="_Toc184308057"/>
      <w:bookmarkEnd w:id="120"/>
      <w:bookmarkStart w:id="121" w:name="_Toc184314426"/>
      <w:bookmarkEnd w:id="121"/>
      <w:bookmarkStart w:id="122" w:name="_Toc184308069"/>
      <w:bookmarkEnd w:id="122"/>
      <w:bookmarkStart w:id="123" w:name="_Toc184312094"/>
      <w:bookmarkEnd w:id="123"/>
      <w:bookmarkStart w:id="124" w:name="_Toc184312088"/>
      <w:bookmarkEnd w:id="124"/>
      <w:bookmarkStart w:id="125" w:name="_Toc184308053"/>
      <w:bookmarkEnd w:id="125"/>
      <w:bookmarkStart w:id="126" w:name="_Toc184313247"/>
      <w:bookmarkEnd w:id="126"/>
      <w:bookmarkStart w:id="127" w:name="_Toc184314464"/>
      <w:bookmarkEnd w:id="127"/>
      <w:bookmarkStart w:id="128" w:name="_Toc184312103"/>
      <w:bookmarkEnd w:id="128"/>
      <w:bookmarkStart w:id="129" w:name="_Toc184308089"/>
      <w:bookmarkEnd w:id="129"/>
      <w:bookmarkStart w:id="130" w:name="_Toc184312110"/>
      <w:bookmarkEnd w:id="130"/>
      <w:bookmarkStart w:id="131" w:name="_Toc184308102"/>
      <w:bookmarkEnd w:id="131"/>
      <w:bookmarkStart w:id="132" w:name="_Toc184312133"/>
      <w:bookmarkEnd w:id="132"/>
      <w:bookmarkStart w:id="133" w:name="_Toc184314446"/>
      <w:bookmarkEnd w:id="133"/>
      <w:bookmarkStart w:id="134" w:name="_Toc184308096"/>
      <w:bookmarkEnd w:id="134"/>
      <w:bookmarkStart w:id="135" w:name="_Toc184313287"/>
      <w:bookmarkEnd w:id="135"/>
      <w:bookmarkStart w:id="136" w:name="_Toc184314422"/>
      <w:bookmarkEnd w:id="136"/>
      <w:bookmarkStart w:id="137" w:name="_Toc184310319"/>
      <w:bookmarkEnd w:id="137"/>
      <w:bookmarkStart w:id="138" w:name="_Toc184310305"/>
      <w:bookmarkEnd w:id="138"/>
      <w:bookmarkStart w:id="139" w:name="_Toc184310334"/>
      <w:bookmarkEnd w:id="139"/>
      <w:bookmarkStart w:id="140" w:name="_Toc184314476"/>
      <w:bookmarkEnd w:id="140"/>
      <w:bookmarkStart w:id="141" w:name="_Toc184313249"/>
      <w:bookmarkEnd w:id="141"/>
      <w:bookmarkStart w:id="142" w:name="_Toc184312125"/>
      <w:bookmarkEnd w:id="142"/>
      <w:bookmarkStart w:id="143" w:name="_Toc184310283"/>
      <w:bookmarkEnd w:id="143"/>
      <w:bookmarkStart w:id="144" w:name="_Toc184314437"/>
      <w:bookmarkEnd w:id="144"/>
      <w:bookmarkStart w:id="145" w:name="_Toc184313258"/>
      <w:bookmarkEnd w:id="145"/>
      <w:bookmarkStart w:id="146" w:name="_Toc184308074"/>
      <w:bookmarkEnd w:id="146"/>
      <w:bookmarkStart w:id="147" w:name="_Toc184308098"/>
      <w:bookmarkEnd w:id="147"/>
      <w:bookmarkStart w:id="148" w:name="_Toc184312069"/>
      <w:bookmarkEnd w:id="148"/>
      <w:bookmarkStart w:id="149" w:name="_Toc184310335"/>
      <w:bookmarkEnd w:id="149"/>
      <w:bookmarkStart w:id="150" w:name="_Toc184313285"/>
      <w:bookmarkEnd w:id="150"/>
      <w:bookmarkStart w:id="151" w:name="_Toc184313310"/>
      <w:bookmarkEnd w:id="151"/>
      <w:bookmarkStart w:id="152" w:name="_Toc184314475"/>
      <w:bookmarkEnd w:id="152"/>
      <w:bookmarkStart w:id="153" w:name="_Toc184312087"/>
      <w:bookmarkEnd w:id="153"/>
      <w:bookmarkStart w:id="154" w:name="_Toc184313277"/>
      <w:bookmarkEnd w:id="154"/>
      <w:bookmarkStart w:id="155" w:name="_Toc184310312"/>
      <w:bookmarkEnd w:id="155"/>
      <w:bookmarkStart w:id="156" w:name="_Toc184314459"/>
      <w:bookmarkEnd w:id="156"/>
      <w:bookmarkStart w:id="157" w:name="_Toc184308044"/>
      <w:bookmarkEnd w:id="157"/>
      <w:bookmarkStart w:id="158" w:name="_Toc184308107"/>
      <w:bookmarkEnd w:id="158"/>
      <w:bookmarkStart w:id="159" w:name="_Toc184314443"/>
      <w:bookmarkEnd w:id="159"/>
      <w:bookmarkStart w:id="160" w:name="_Toc184313296"/>
      <w:bookmarkEnd w:id="160"/>
      <w:bookmarkStart w:id="161" w:name="_Toc184313259"/>
      <w:bookmarkEnd w:id="161"/>
      <w:bookmarkStart w:id="162" w:name="_Toc184314420"/>
      <w:bookmarkEnd w:id="162"/>
      <w:bookmarkStart w:id="163" w:name="_Toc184308039"/>
      <w:bookmarkEnd w:id="163"/>
      <w:bookmarkStart w:id="164" w:name="_Toc184310288"/>
      <w:bookmarkEnd w:id="164"/>
      <w:bookmarkStart w:id="165" w:name="_Toc184313243"/>
      <w:bookmarkEnd w:id="165"/>
      <w:bookmarkStart w:id="166" w:name="_Toc184314417"/>
      <w:bookmarkEnd w:id="166"/>
      <w:bookmarkStart w:id="167" w:name="_Toc184312107"/>
      <w:bookmarkEnd w:id="167"/>
      <w:bookmarkStart w:id="168" w:name="_Toc184308041"/>
      <w:bookmarkEnd w:id="168"/>
      <w:bookmarkStart w:id="169" w:name="_Toc184310287"/>
      <w:bookmarkEnd w:id="169"/>
      <w:bookmarkStart w:id="170" w:name="_Toc184310340"/>
      <w:bookmarkEnd w:id="170"/>
      <w:bookmarkStart w:id="171" w:name="_Toc184308067"/>
      <w:bookmarkEnd w:id="171"/>
      <w:bookmarkStart w:id="172" w:name="_Toc184312137"/>
      <w:bookmarkEnd w:id="172"/>
      <w:bookmarkStart w:id="173" w:name="_Toc184308094"/>
      <w:bookmarkEnd w:id="173"/>
      <w:bookmarkStart w:id="174" w:name="_Toc184313294"/>
      <w:bookmarkEnd w:id="174"/>
      <w:bookmarkStart w:id="175" w:name="_Toc184310303"/>
      <w:bookmarkEnd w:id="175"/>
      <w:bookmarkStart w:id="176" w:name="_Toc184312128"/>
      <w:bookmarkEnd w:id="176"/>
      <w:bookmarkStart w:id="177" w:name="_Toc184313309"/>
      <w:bookmarkEnd w:id="177"/>
      <w:bookmarkStart w:id="178" w:name="_Toc184313278"/>
      <w:bookmarkEnd w:id="178"/>
      <w:bookmarkStart w:id="179" w:name="_Toc184313288"/>
      <w:bookmarkEnd w:id="179"/>
      <w:bookmarkStart w:id="180" w:name="_Toc184308078"/>
      <w:bookmarkEnd w:id="180"/>
      <w:bookmarkStart w:id="181" w:name="_Toc184308088"/>
      <w:bookmarkEnd w:id="181"/>
      <w:bookmarkStart w:id="182" w:name="_Toc184312113"/>
      <w:bookmarkEnd w:id="182"/>
      <w:bookmarkStart w:id="183" w:name="_Toc184310308"/>
      <w:bookmarkEnd w:id="183"/>
      <w:bookmarkStart w:id="184" w:name="_Toc184313267"/>
      <w:bookmarkEnd w:id="184"/>
      <w:bookmarkStart w:id="185" w:name="_Toc184313244"/>
      <w:bookmarkEnd w:id="185"/>
      <w:bookmarkStart w:id="186" w:name="_Toc184308103"/>
      <w:bookmarkEnd w:id="186"/>
      <w:bookmarkStart w:id="187" w:name="_Toc184312073"/>
      <w:bookmarkEnd w:id="187"/>
      <w:bookmarkStart w:id="188" w:name="_Toc184313279"/>
      <w:bookmarkEnd w:id="188"/>
      <w:bookmarkStart w:id="189" w:name="_Toc184313301"/>
      <w:bookmarkEnd w:id="189"/>
      <w:bookmarkStart w:id="190" w:name="_Toc184314462"/>
      <w:bookmarkEnd w:id="190"/>
      <w:bookmarkStart w:id="191" w:name="_Toc184308049"/>
      <w:bookmarkEnd w:id="191"/>
      <w:bookmarkStart w:id="192" w:name="_Toc184313304"/>
      <w:bookmarkEnd w:id="192"/>
      <w:bookmarkStart w:id="193" w:name="_Toc184314466"/>
      <w:bookmarkEnd w:id="193"/>
      <w:bookmarkStart w:id="194" w:name="_Toc184313248"/>
      <w:bookmarkEnd w:id="194"/>
      <w:bookmarkStart w:id="195" w:name="_Toc184313253"/>
      <w:bookmarkEnd w:id="195"/>
      <w:bookmarkStart w:id="196" w:name="_Toc184308052"/>
      <w:bookmarkEnd w:id="196"/>
      <w:bookmarkStart w:id="197" w:name="_Toc184310272"/>
      <w:bookmarkEnd w:id="197"/>
      <w:bookmarkStart w:id="198" w:name="_Toc184313238"/>
      <w:bookmarkEnd w:id="198"/>
      <w:bookmarkStart w:id="199" w:name="_Toc184312078"/>
      <w:bookmarkEnd w:id="199"/>
      <w:bookmarkStart w:id="200" w:name="_Toc184314480"/>
      <w:bookmarkEnd w:id="200"/>
      <w:bookmarkStart w:id="201" w:name="_Toc184314415"/>
      <w:bookmarkEnd w:id="201"/>
      <w:bookmarkStart w:id="202" w:name="_Toc184314449"/>
      <w:bookmarkEnd w:id="202"/>
      <w:bookmarkStart w:id="203" w:name="_Toc184313240"/>
      <w:bookmarkEnd w:id="203"/>
      <w:bookmarkStart w:id="204" w:name="_Toc184312067"/>
      <w:bookmarkEnd w:id="204"/>
      <w:bookmarkStart w:id="205" w:name="_Toc184308063"/>
      <w:bookmarkEnd w:id="205"/>
      <w:bookmarkStart w:id="206" w:name="_Toc184310330"/>
      <w:bookmarkEnd w:id="206"/>
      <w:bookmarkStart w:id="207" w:name="_Toc184308059"/>
      <w:bookmarkEnd w:id="207"/>
      <w:bookmarkStart w:id="208" w:name="_Toc184313286"/>
      <w:bookmarkEnd w:id="208"/>
      <w:bookmarkStart w:id="209" w:name="_Toc184308072"/>
      <w:bookmarkEnd w:id="209"/>
      <w:bookmarkStart w:id="210" w:name="_Toc184314457"/>
      <w:bookmarkEnd w:id="210"/>
      <w:bookmarkStart w:id="211" w:name="_Toc184313266"/>
      <w:bookmarkEnd w:id="211"/>
      <w:bookmarkStart w:id="212" w:name="_Toc184308105"/>
      <w:bookmarkEnd w:id="212"/>
      <w:bookmarkStart w:id="213" w:name="_Toc184314428"/>
      <w:bookmarkEnd w:id="213"/>
      <w:bookmarkStart w:id="214" w:name="_Toc184308062"/>
      <w:bookmarkEnd w:id="214"/>
      <w:bookmarkStart w:id="215" w:name="_Toc184308108"/>
      <w:bookmarkEnd w:id="215"/>
      <w:bookmarkStart w:id="216" w:name="_Toc184314411"/>
      <w:bookmarkEnd w:id="216"/>
      <w:bookmarkStart w:id="217" w:name="_Toc184310332"/>
      <w:bookmarkEnd w:id="217"/>
      <w:bookmarkStart w:id="218" w:name="_Toc184312106"/>
      <w:bookmarkEnd w:id="218"/>
      <w:bookmarkStart w:id="219" w:name="_Toc184312096"/>
      <w:bookmarkEnd w:id="219"/>
      <w:bookmarkStart w:id="220" w:name="_Toc184308104"/>
      <w:bookmarkEnd w:id="220"/>
      <w:bookmarkStart w:id="221" w:name="_Toc184310289"/>
      <w:bookmarkEnd w:id="221"/>
      <w:bookmarkStart w:id="222" w:name="_Toc184310318"/>
      <w:bookmarkEnd w:id="222"/>
      <w:bookmarkStart w:id="223" w:name="_Toc184314471"/>
      <w:bookmarkEnd w:id="223"/>
      <w:bookmarkStart w:id="224" w:name="_Toc184310297"/>
      <w:bookmarkEnd w:id="224"/>
      <w:bookmarkStart w:id="225" w:name="_Toc184312092"/>
      <w:bookmarkEnd w:id="225"/>
      <w:bookmarkStart w:id="226" w:name="_Toc184314444"/>
      <w:bookmarkEnd w:id="226"/>
      <w:bookmarkStart w:id="227" w:name="_Toc184312081"/>
      <w:bookmarkEnd w:id="227"/>
      <w:bookmarkStart w:id="228" w:name="_Toc184313260"/>
      <w:bookmarkEnd w:id="228"/>
      <w:bookmarkStart w:id="229" w:name="_Toc184312079"/>
      <w:bookmarkEnd w:id="229"/>
      <w:bookmarkStart w:id="230" w:name="_Toc184312099"/>
      <w:bookmarkEnd w:id="230"/>
      <w:bookmarkStart w:id="231" w:name="_Toc184308100"/>
      <w:bookmarkEnd w:id="231"/>
      <w:bookmarkStart w:id="232" w:name="_Toc184312090"/>
      <w:bookmarkEnd w:id="232"/>
      <w:bookmarkStart w:id="233" w:name="_Toc184313274"/>
      <w:bookmarkEnd w:id="233"/>
      <w:bookmarkStart w:id="234" w:name="_Toc184310336"/>
      <w:bookmarkEnd w:id="234"/>
      <w:bookmarkStart w:id="235" w:name="_Toc184314454"/>
      <w:bookmarkEnd w:id="235"/>
      <w:bookmarkStart w:id="236" w:name="_Toc184312135"/>
      <w:bookmarkEnd w:id="236"/>
      <w:bookmarkStart w:id="237" w:name="_Toc184313262"/>
      <w:bookmarkEnd w:id="237"/>
      <w:bookmarkStart w:id="238" w:name="_Toc184310299"/>
      <w:bookmarkEnd w:id="238"/>
      <w:bookmarkStart w:id="239" w:name="_Toc184313275"/>
      <w:bookmarkEnd w:id="239"/>
      <w:bookmarkStart w:id="240" w:name="_Toc184313282"/>
      <w:bookmarkEnd w:id="240"/>
      <w:bookmarkStart w:id="241" w:name="_Toc184310292"/>
      <w:bookmarkEnd w:id="241"/>
      <w:bookmarkStart w:id="242" w:name="_Toc184310323"/>
      <w:bookmarkEnd w:id="242"/>
      <w:bookmarkStart w:id="243" w:name="_Toc184313255"/>
      <w:bookmarkEnd w:id="243"/>
      <w:bookmarkStart w:id="244" w:name="_Toc184312119"/>
      <w:bookmarkEnd w:id="244"/>
      <w:bookmarkStart w:id="245" w:name="_Toc184313290"/>
      <w:bookmarkEnd w:id="245"/>
      <w:bookmarkStart w:id="246" w:name="_Toc184312082"/>
      <w:bookmarkEnd w:id="246"/>
      <w:bookmarkStart w:id="247" w:name="_Toc184313306"/>
      <w:bookmarkEnd w:id="247"/>
      <w:bookmarkStart w:id="248" w:name="_Toc184308095"/>
      <w:bookmarkEnd w:id="248"/>
      <w:bookmarkStart w:id="249" w:name="_Toc184308077"/>
      <w:bookmarkEnd w:id="249"/>
      <w:bookmarkStart w:id="250" w:name="_Toc184312074"/>
      <w:bookmarkEnd w:id="250"/>
      <w:bookmarkStart w:id="251" w:name="_Toc184313261"/>
      <w:bookmarkEnd w:id="251"/>
      <w:bookmarkStart w:id="252" w:name="_Toc184314442"/>
      <w:bookmarkEnd w:id="252"/>
      <w:bookmarkStart w:id="253" w:name="_Toc184312102"/>
      <w:bookmarkEnd w:id="253"/>
      <w:bookmarkStart w:id="254" w:name="_Toc184308101"/>
      <w:bookmarkEnd w:id="254"/>
      <w:bookmarkStart w:id="255" w:name="_Toc184308080"/>
      <w:bookmarkEnd w:id="255"/>
      <w:bookmarkStart w:id="256" w:name="_Toc184308090"/>
      <w:bookmarkEnd w:id="256"/>
      <w:bookmarkStart w:id="257" w:name="_Toc184310302"/>
      <w:bookmarkEnd w:id="257"/>
      <w:bookmarkStart w:id="258" w:name="_Toc184314481"/>
      <w:bookmarkEnd w:id="258"/>
      <w:bookmarkStart w:id="259" w:name="_Toc184314445"/>
      <w:bookmarkEnd w:id="259"/>
      <w:bookmarkStart w:id="260" w:name="_Toc184314429"/>
      <w:bookmarkEnd w:id="260"/>
      <w:bookmarkStart w:id="261" w:name="_Toc184314421"/>
      <w:bookmarkEnd w:id="261"/>
      <w:bookmarkStart w:id="262" w:name="_Toc184312115"/>
      <w:bookmarkEnd w:id="262"/>
      <w:bookmarkStart w:id="263" w:name="_Toc184313284"/>
      <w:bookmarkEnd w:id="263"/>
      <w:bookmarkStart w:id="264" w:name="_Toc184310282"/>
      <w:bookmarkEnd w:id="264"/>
      <w:bookmarkStart w:id="265" w:name="_Toc184314414"/>
      <w:bookmarkEnd w:id="265"/>
      <w:bookmarkStart w:id="266" w:name="_Toc184314430"/>
      <w:bookmarkEnd w:id="266"/>
      <w:bookmarkStart w:id="267" w:name="_Toc184313268"/>
      <w:bookmarkEnd w:id="267"/>
      <w:bookmarkStart w:id="268" w:name="_Toc184308079"/>
      <w:bookmarkEnd w:id="268"/>
      <w:bookmarkStart w:id="269" w:name="_Toc184310300"/>
      <w:bookmarkEnd w:id="269"/>
      <w:bookmarkStart w:id="270" w:name="_Toc184308076"/>
      <w:bookmarkEnd w:id="270"/>
      <w:bookmarkStart w:id="271" w:name="_Toc184310298"/>
      <w:bookmarkEnd w:id="271"/>
      <w:bookmarkStart w:id="272" w:name="_Toc184312105"/>
      <w:bookmarkEnd w:id="272"/>
      <w:bookmarkStart w:id="273" w:name="_Toc184310284"/>
      <w:bookmarkEnd w:id="273"/>
      <w:bookmarkStart w:id="274" w:name="_Toc184313271"/>
      <w:bookmarkEnd w:id="274"/>
      <w:bookmarkStart w:id="275" w:name="_Toc184314413"/>
      <w:bookmarkEnd w:id="275"/>
      <w:bookmarkStart w:id="276" w:name="_Toc184310296"/>
      <w:bookmarkEnd w:id="276"/>
      <w:bookmarkStart w:id="277" w:name="_Toc184312091"/>
      <w:bookmarkEnd w:id="277"/>
      <w:bookmarkStart w:id="278" w:name="_Toc184308092"/>
      <w:bookmarkEnd w:id="278"/>
      <w:bookmarkStart w:id="279" w:name="_Toc184313292"/>
      <w:bookmarkEnd w:id="279"/>
      <w:bookmarkStart w:id="280" w:name="_Toc184313272"/>
      <w:bookmarkEnd w:id="280"/>
      <w:bookmarkStart w:id="281" w:name="_Toc184313280"/>
      <w:bookmarkEnd w:id="281"/>
      <w:bookmarkStart w:id="282" w:name="_Toc184312104"/>
      <w:bookmarkEnd w:id="282"/>
      <w:bookmarkStart w:id="283" w:name="_Toc184314460"/>
      <w:bookmarkEnd w:id="283"/>
      <w:bookmarkStart w:id="284" w:name="_Toc184312098"/>
      <w:bookmarkEnd w:id="284"/>
      <w:bookmarkStart w:id="285" w:name="_Toc184313305"/>
      <w:bookmarkEnd w:id="285"/>
      <w:bookmarkStart w:id="286" w:name="_Toc184312116"/>
      <w:bookmarkEnd w:id="286"/>
      <w:bookmarkStart w:id="287" w:name="_Toc184312086"/>
      <w:bookmarkEnd w:id="287"/>
      <w:bookmarkStart w:id="288" w:name="_Toc184312101"/>
      <w:bookmarkEnd w:id="288"/>
      <w:bookmarkStart w:id="289" w:name="_Toc184308071"/>
      <w:bookmarkEnd w:id="289"/>
      <w:bookmarkStart w:id="290" w:name="_Toc184312085"/>
      <w:bookmarkEnd w:id="290"/>
      <w:bookmarkStart w:id="291" w:name="_Toc184310315"/>
      <w:bookmarkEnd w:id="291"/>
      <w:bookmarkStart w:id="292" w:name="_Toc184310310"/>
      <w:bookmarkEnd w:id="292"/>
      <w:bookmarkStart w:id="293" w:name="_Toc184313283"/>
      <w:bookmarkEnd w:id="293"/>
      <w:bookmarkStart w:id="294" w:name="_Toc184313295"/>
      <w:bookmarkEnd w:id="294"/>
      <w:bookmarkStart w:id="295" w:name="_Toc184310281"/>
      <w:bookmarkEnd w:id="295"/>
      <w:bookmarkStart w:id="296" w:name="_Toc184313252"/>
      <w:bookmarkEnd w:id="296"/>
      <w:bookmarkStart w:id="297" w:name="_Toc184314410"/>
      <w:bookmarkEnd w:id="297"/>
      <w:bookmarkStart w:id="298" w:name="_Toc184313307"/>
      <w:bookmarkEnd w:id="298"/>
      <w:bookmarkStart w:id="299" w:name="_Toc184314448"/>
      <w:bookmarkEnd w:id="299"/>
      <w:bookmarkStart w:id="300" w:name="_Toc184308051"/>
      <w:bookmarkEnd w:id="300"/>
      <w:bookmarkStart w:id="301" w:name="_Toc184308070"/>
      <w:bookmarkEnd w:id="301"/>
      <w:bookmarkStart w:id="302" w:name="_Toc184308054"/>
      <w:bookmarkEnd w:id="302"/>
      <w:bookmarkStart w:id="303" w:name="_Toc184312114"/>
      <w:bookmarkEnd w:id="303"/>
      <w:bookmarkStart w:id="304" w:name="_Toc184313281"/>
      <w:bookmarkEnd w:id="304"/>
      <w:bookmarkStart w:id="305" w:name="_Toc184308037"/>
      <w:bookmarkEnd w:id="305"/>
      <w:bookmarkStart w:id="306" w:name="_Toc184313269"/>
      <w:bookmarkEnd w:id="306"/>
      <w:bookmarkStart w:id="307" w:name="_Toc184312134"/>
      <w:bookmarkEnd w:id="307"/>
      <w:bookmarkStart w:id="308" w:name="_Toc184313289"/>
      <w:bookmarkEnd w:id="308"/>
      <w:bookmarkStart w:id="309" w:name="_Toc184312080"/>
      <w:bookmarkEnd w:id="309"/>
      <w:bookmarkStart w:id="310" w:name="_Toc184314469"/>
      <w:bookmarkEnd w:id="310"/>
      <w:bookmarkStart w:id="311" w:name="_Toc184314456"/>
      <w:bookmarkEnd w:id="311"/>
      <w:bookmarkStart w:id="312" w:name="_Toc184310280"/>
      <w:bookmarkEnd w:id="312"/>
      <w:bookmarkStart w:id="313" w:name="_Toc184310286"/>
      <w:bookmarkEnd w:id="313"/>
      <w:bookmarkStart w:id="314" w:name="_Toc184312122"/>
      <w:bookmarkEnd w:id="314"/>
      <w:bookmarkStart w:id="315" w:name="_Toc184310306"/>
      <w:bookmarkEnd w:id="315"/>
      <w:bookmarkStart w:id="316" w:name="_Toc184314452"/>
      <w:bookmarkEnd w:id="316"/>
      <w:bookmarkStart w:id="317" w:name="_Toc184310325"/>
      <w:bookmarkEnd w:id="317"/>
      <w:bookmarkStart w:id="318" w:name="_Toc184310327"/>
      <w:bookmarkEnd w:id="318"/>
      <w:bookmarkStart w:id="319" w:name="_Toc184310331"/>
      <w:bookmarkEnd w:id="319"/>
      <w:bookmarkStart w:id="320" w:name="_Toc184308097"/>
      <w:bookmarkEnd w:id="320"/>
      <w:bookmarkStart w:id="321" w:name="_Toc184313293"/>
      <w:bookmarkEnd w:id="321"/>
      <w:bookmarkStart w:id="322" w:name="_Toc184310313"/>
      <w:bookmarkEnd w:id="322"/>
      <w:bookmarkStart w:id="323" w:name="_Toc184308099"/>
      <w:bookmarkEnd w:id="323"/>
      <w:bookmarkStart w:id="324" w:name="_Toc184310294"/>
      <w:bookmarkEnd w:id="324"/>
      <w:bookmarkStart w:id="325" w:name="_Toc184313302"/>
      <w:bookmarkEnd w:id="325"/>
      <w:bookmarkStart w:id="326" w:name="_Toc184308073"/>
      <w:bookmarkEnd w:id="326"/>
      <w:bookmarkStart w:id="327" w:name="_Toc184313264"/>
      <w:bookmarkEnd w:id="327"/>
      <w:bookmarkStart w:id="328" w:name="_Toc184308036"/>
      <w:bookmarkEnd w:id="328"/>
      <w:bookmarkStart w:id="329" w:name="_Toc184310320"/>
      <w:bookmarkEnd w:id="329"/>
      <w:bookmarkStart w:id="330" w:name="_Toc184314435"/>
      <w:bookmarkEnd w:id="330"/>
      <w:bookmarkStart w:id="331" w:name="_Toc184312109"/>
      <w:bookmarkEnd w:id="331"/>
      <w:bookmarkStart w:id="332" w:name="_Toc184312072"/>
      <w:bookmarkEnd w:id="332"/>
      <w:bookmarkStart w:id="333" w:name="_Toc184314425"/>
      <w:bookmarkEnd w:id="333"/>
      <w:bookmarkStart w:id="334" w:name="_Toc184312124"/>
      <w:bookmarkEnd w:id="334"/>
      <w:bookmarkStart w:id="335" w:name="_Toc184308093"/>
      <w:bookmarkEnd w:id="335"/>
      <w:bookmarkStart w:id="336" w:name="_Toc184314458"/>
      <w:bookmarkEnd w:id="336"/>
      <w:bookmarkStart w:id="337" w:name="_Toc184310295"/>
      <w:bookmarkEnd w:id="337"/>
      <w:bookmarkStart w:id="338" w:name="_Toc184308042"/>
      <w:bookmarkEnd w:id="338"/>
      <w:bookmarkStart w:id="339" w:name="_Toc184312118"/>
      <w:bookmarkEnd w:id="339"/>
      <w:bookmarkStart w:id="340" w:name="_Toc184310329"/>
      <w:bookmarkEnd w:id="340"/>
      <w:bookmarkStart w:id="341" w:name="_Toc184312068"/>
      <w:bookmarkEnd w:id="341"/>
      <w:bookmarkStart w:id="342" w:name="_Toc184310293"/>
      <w:bookmarkEnd w:id="342"/>
      <w:bookmarkStart w:id="343" w:name="_Toc184310273"/>
      <w:bookmarkEnd w:id="343"/>
      <w:bookmarkStart w:id="344" w:name="_Toc184313298"/>
      <w:bookmarkEnd w:id="344"/>
      <w:bookmarkStart w:id="345" w:name="_Toc184313263"/>
      <w:bookmarkEnd w:id="345"/>
      <w:bookmarkStart w:id="346" w:name="_Toc184312100"/>
      <w:bookmarkEnd w:id="346"/>
      <w:bookmarkStart w:id="347" w:name="_Toc184312097"/>
      <w:bookmarkEnd w:id="347"/>
      <w:bookmarkStart w:id="348" w:name="_Toc184313245"/>
      <w:bookmarkEnd w:id="348"/>
      <w:bookmarkStart w:id="349" w:name="_Toc184314451"/>
      <w:bookmarkEnd w:id="349"/>
      <w:bookmarkStart w:id="350" w:name="_Toc184308046"/>
      <w:bookmarkEnd w:id="350"/>
      <w:bookmarkStart w:id="351" w:name="_Toc184312130"/>
      <w:bookmarkEnd w:id="351"/>
      <w:bookmarkStart w:id="352" w:name="_Toc184312121"/>
      <w:bookmarkEnd w:id="352"/>
      <w:bookmarkStart w:id="353" w:name="_Toc184314427"/>
      <w:bookmarkEnd w:id="353"/>
      <w:bookmarkStart w:id="354" w:name="_Toc184310291"/>
      <w:bookmarkEnd w:id="354"/>
      <w:bookmarkStart w:id="355" w:name="_Toc184314479"/>
      <w:bookmarkEnd w:id="355"/>
      <w:bookmarkStart w:id="356" w:name="_Toc184310322"/>
      <w:bookmarkEnd w:id="356"/>
      <w:bookmarkStart w:id="357" w:name="_Toc184314439"/>
      <w:bookmarkEnd w:id="357"/>
      <w:bookmarkStart w:id="358" w:name="_Toc184313276"/>
      <w:bookmarkEnd w:id="358"/>
      <w:bookmarkStart w:id="359" w:name="_Toc184313299"/>
      <w:bookmarkEnd w:id="359"/>
      <w:bookmarkStart w:id="360" w:name="_Toc184310278"/>
      <w:bookmarkEnd w:id="360"/>
      <w:bookmarkStart w:id="361" w:name="_Toc184312139"/>
      <w:bookmarkEnd w:id="361"/>
      <w:bookmarkStart w:id="362" w:name="_Toc184310321"/>
      <w:bookmarkEnd w:id="362"/>
      <w:bookmarkStart w:id="363" w:name="_Toc184312120"/>
      <w:bookmarkEnd w:id="363"/>
      <w:bookmarkStart w:id="364" w:name="_Toc184314465"/>
      <w:bookmarkEnd w:id="364"/>
      <w:bookmarkStart w:id="365" w:name="_Toc184308068"/>
      <w:bookmarkEnd w:id="365"/>
      <w:bookmarkStart w:id="366" w:name="_Toc184308084"/>
      <w:bookmarkEnd w:id="366"/>
      <w:bookmarkStart w:id="367" w:name="_Toc184313303"/>
      <w:bookmarkEnd w:id="367"/>
      <w:bookmarkStart w:id="368" w:name="_Toc184314412"/>
      <w:bookmarkEnd w:id="368"/>
      <w:bookmarkStart w:id="369" w:name="_Toc184312077"/>
      <w:bookmarkEnd w:id="369"/>
      <w:bookmarkStart w:id="370" w:name="_Toc184308058"/>
      <w:bookmarkEnd w:id="370"/>
      <w:bookmarkStart w:id="371" w:name="_Toc184310343"/>
      <w:bookmarkEnd w:id="371"/>
      <w:bookmarkStart w:id="372" w:name="_Toc184314470"/>
      <w:bookmarkEnd w:id="372"/>
      <w:bookmarkStart w:id="373" w:name="_Toc184310326"/>
      <w:bookmarkEnd w:id="373"/>
      <w:bookmarkStart w:id="374" w:name="_Toc184308064"/>
      <w:bookmarkEnd w:id="374"/>
      <w:bookmarkStart w:id="375" w:name="_Toc184312071"/>
      <w:bookmarkEnd w:id="375"/>
      <w:bookmarkStart w:id="376" w:name="_Toc184312126"/>
      <w:bookmarkEnd w:id="376"/>
      <w:bookmarkStart w:id="377" w:name="_Toc184308047"/>
      <w:bookmarkEnd w:id="377"/>
      <w:bookmarkStart w:id="378" w:name="_Toc184314423"/>
      <w:bookmarkEnd w:id="378"/>
      <w:bookmarkStart w:id="379" w:name="_Toc184308075"/>
      <w:bookmarkEnd w:id="379"/>
      <w:bookmarkStart w:id="380" w:name="_Toc184313273"/>
      <w:bookmarkEnd w:id="380"/>
      <w:bookmarkStart w:id="381" w:name="_Toc184312093"/>
      <w:bookmarkEnd w:id="381"/>
      <w:bookmarkStart w:id="382" w:name="_Toc184313251"/>
      <w:bookmarkEnd w:id="382"/>
      <w:bookmarkStart w:id="383" w:name="_Toc184310276"/>
      <w:bookmarkEnd w:id="383"/>
      <w:bookmarkStart w:id="384" w:name="_Toc184308065"/>
      <w:bookmarkEnd w:id="384"/>
      <w:bookmarkStart w:id="385" w:name="_Toc184308050"/>
      <w:bookmarkEnd w:id="385"/>
      <w:r>
        <w:rPr>
          <w:rFonts w:hint="eastAsia" w:ascii="宋体" w:hAnsi="宋体" w:cs="宋体"/>
          <w:b/>
          <w:color w:val="000000" w:themeColor="text1"/>
          <w:sz w:val="36"/>
          <w:szCs w:val="36"/>
        </w:rPr>
        <w:t>交易办法</w:t>
      </w:r>
    </w:p>
    <w:p w14:paraId="1A59BD5D">
      <w:pPr>
        <w:snapToGrid w:val="0"/>
        <w:spacing w:line="560" w:lineRule="exact"/>
        <w:rPr>
          <w:rFonts w:ascii="宋体" w:hAnsi="宋体" w:cs="宋体"/>
          <w:b/>
          <w:color w:val="000000" w:themeColor="text1"/>
          <w:sz w:val="28"/>
          <w:szCs w:val="28"/>
        </w:rPr>
      </w:pPr>
      <w:r>
        <w:rPr>
          <w:rFonts w:hint="eastAsia" w:ascii="宋体" w:hAnsi="宋体" w:cs="宋体"/>
          <w:b/>
          <w:color w:val="000000" w:themeColor="text1"/>
          <w:sz w:val="32"/>
        </w:rPr>
        <w:t>一、交易方法</w:t>
      </w:r>
    </w:p>
    <w:p w14:paraId="09A3A6AE">
      <w:pPr>
        <w:adjustRightInd/>
        <w:spacing w:line="560" w:lineRule="exact"/>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1、本项目采用综合评分法。</w:t>
      </w:r>
      <w:r>
        <w:rPr>
          <w:rFonts w:hint="eastAsia" w:ascii="宋体" w:hAnsi="宋体" w:cs="宋体"/>
          <w:color w:val="000000" w:themeColor="text1"/>
          <w:kern w:val="0"/>
          <w:sz w:val="24"/>
        </w:rPr>
        <w:t>综合评分法，是指响应文件满足交易文件全部实质性要求，且按照评审因素的量化指标评审得分最高的供应商为成交候选人的评标方法。</w:t>
      </w:r>
    </w:p>
    <w:p w14:paraId="41E4F0E8">
      <w:pPr>
        <w:adjustRightInd/>
        <w:spacing w:line="560" w:lineRule="exact"/>
        <w:rPr>
          <w:rFonts w:ascii="宋体" w:hAnsi="宋体" w:cs="宋体"/>
          <w:color w:val="000000" w:themeColor="text1"/>
          <w:kern w:val="0"/>
          <w:sz w:val="24"/>
        </w:rPr>
      </w:pPr>
      <w:r>
        <w:rPr>
          <w:rFonts w:hint="eastAsia" w:ascii="宋体" w:hAnsi="宋体" w:cs="宋体"/>
          <w:b/>
          <w:color w:val="000000" w:themeColor="text1"/>
          <w:sz w:val="32"/>
        </w:rPr>
        <w:t>二、评标标准</w:t>
      </w:r>
    </w:p>
    <w:p w14:paraId="4F5EF83B">
      <w:pPr>
        <w:widowControl/>
        <w:spacing w:line="360" w:lineRule="auto"/>
        <w:jc w:val="left"/>
        <w:rPr>
          <w:rFonts w:ascii="宋体" w:hAnsi="宋体" w:cs="仿宋"/>
          <w:sz w:val="24"/>
        </w:rPr>
      </w:pPr>
      <w:r>
        <w:rPr>
          <w:rFonts w:hint="eastAsia" w:ascii="宋体" w:hAnsi="宋体" w:cs="仿宋"/>
          <w:sz w:val="24"/>
        </w:rPr>
        <w:t>1、商务资信部分（18分）</w:t>
      </w:r>
    </w:p>
    <w:tbl>
      <w:tblPr>
        <w:tblStyle w:val="62"/>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555"/>
        <w:gridCol w:w="6375"/>
        <w:gridCol w:w="750"/>
        <w:gridCol w:w="1011"/>
      </w:tblGrid>
      <w:tr w14:paraId="5587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14:paraId="553C4632">
            <w:pPr>
              <w:widowControl/>
              <w:jc w:val="center"/>
              <w:rPr>
                <w:rFonts w:ascii="宋体" w:hAnsi="宋体" w:cs="仿宋"/>
                <w:sz w:val="24"/>
              </w:rPr>
            </w:pPr>
            <w:r>
              <w:rPr>
                <w:rFonts w:hint="eastAsia" w:ascii="宋体" w:hAnsi="宋体" w:cs="仿宋"/>
                <w:sz w:val="24"/>
              </w:rPr>
              <w:t>序号</w:t>
            </w:r>
          </w:p>
        </w:tc>
        <w:tc>
          <w:tcPr>
            <w:tcW w:w="6930" w:type="dxa"/>
            <w:gridSpan w:val="2"/>
            <w:vAlign w:val="center"/>
          </w:tcPr>
          <w:p w14:paraId="040E7F79">
            <w:pPr>
              <w:widowControl/>
              <w:jc w:val="center"/>
              <w:rPr>
                <w:rFonts w:ascii="宋体" w:hAnsi="宋体" w:cs="仿宋"/>
                <w:sz w:val="24"/>
              </w:rPr>
            </w:pPr>
            <w:r>
              <w:rPr>
                <w:rFonts w:hint="eastAsia" w:ascii="宋体" w:hAnsi="宋体" w:cs="仿宋"/>
                <w:sz w:val="24"/>
              </w:rPr>
              <w:t>评分内容和标准</w:t>
            </w:r>
          </w:p>
        </w:tc>
        <w:tc>
          <w:tcPr>
            <w:tcW w:w="750" w:type="dxa"/>
            <w:vAlign w:val="center"/>
          </w:tcPr>
          <w:p w14:paraId="251215C6">
            <w:pPr>
              <w:widowControl/>
              <w:jc w:val="center"/>
              <w:rPr>
                <w:rFonts w:ascii="宋体" w:hAnsi="宋体" w:cs="仿宋"/>
                <w:sz w:val="24"/>
              </w:rPr>
            </w:pPr>
            <w:r>
              <w:rPr>
                <w:rFonts w:hint="eastAsia" w:ascii="宋体" w:hAnsi="宋体" w:cs="仿宋"/>
                <w:sz w:val="24"/>
              </w:rPr>
              <w:t>权重</w:t>
            </w:r>
          </w:p>
        </w:tc>
        <w:tc>
          <w:tcPr>
            <w:tcW w:w="1011" w:type="dxa"/>
            <w:vAlign w:val="center"/>
          </w:tcPr>
          <w:p w14:paraId="5ECEC84F">
            <w:pPr>
              <w:widowControl/>
              <w:jc w:val="center"/>
              <w:rPr>
                <w:rFonts w:ascii="宋体" w:hAnsi="宋体" w:cs="仿宋"/>
                <w:sz w:val="24"/>
              </w:rPr>
            </w:pPr>
            <w:r>
              <w:rPr>
                <w:rFonts w:hint="eastAsia" w:ascii="宋体" w:hAnsi="宋体" w:cs="仿宋"/>
                <w:sz w:val="24"/>
              </w:rPr>
              <w:t>主客观分</w:t>
            </w:r>
          </w:p>
        </w:tc>
      </w:tr>
      <w:tr w14:paraId="5C21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29" w:type="dxa"/>
            <w:vMerge w:val="restart"/>
            <w:vAlign w:val="center"/>
          </w:tcPr>
          <w:p w14:paraId="5FE7A729">
            <w:pPr>
              <w:widowControl/>
              <w:tabs>
                <w:tab w:val="left" w:pos="204"/>
              </w:tabs>
              <w:jc w:val="center"/>
              <w:rPr>
                <w:rFonts w:ascii="宋体" w:hAnsi="宋体" w:cs="仿宋"/>
                <w:sz w:val="24"/>
              </w:rPr>
            </w:pPr>
            <w:r>
              <w:rPr>
                <w:rFonts w:hint="eastAsia" w:ascii="宋体" w:hAnsi="宋体" w:cs="仿宋"/>
                <w:sz w:val="24"/>
              </w:rPr>
              <w:t>商务资信分</w:t>
            </w:r>
          </w:p>
        </w:tc>
        <w:tc>
          <w:tcPr>
            <w:tcW w:w="555" w:type="dxa"/>
            <w:vAlign w:val="center"/>
          </w:tcPr>
          <w:p w14:paraId="3C1E1596">
            <w:pPr>
              <w:widowControl/>
              <w:jc w:val="center"/>
              <w:rPr>
                <w:rFonts w:ascii="宋体" w:hAnsi="宋体" w:cs="仿宋"/>
                <w:sz w:val="24"/>
              </w:rPr>
            </w:pPr>
            <w:r>
              <w:rPr>
                <w:rFonts w:hint="eastAsia" w:ascii="宋体" w:hAnsi="宋体" w:cs="仿宋"/>
                <w:sz w:val="24"/>
              </w:rPr>
              <w:t>1</w:t>
            </w:r>
          </w:p>
        </w:tc>
        <w:tc>
          <w:tcPr>
            <w:tcW w:w="6375" w:type="dxa"/>
            <w:vAlign w:val="center"/>
          </w:tcPr>
          <w:p w14:paraId="0F5A9B9C">
            <w:pPr>
              <w:widowControl/>
              <w:jc w:val="left"/>
              <w:rPr>
                <w:rFonts w:ascii="宋体" w:hAnsi="宋体" w:cs="仿宋"/>
                <w:sz w:val="24"/>
              </w:rPr>
            </w:pPr>
            <w:r>
              <w:rPr>
                <w:rFonts w:hint="eastAsia" w:ascii="宋体" w:hAnsi="宋体" w:cs="仿宋"/>
                <w:sz w:val="24"/>
              </w:rPr>
              <w:t>投标人自2022年1月以来，承担类似本项目业绩，每个业绩得2分，最高10分，没有的不得分。</w:t>
            </w:r>
            <w:r>
              <w:rPr>
                <w:rFonts w:hint="eastAsia" w:ascii="宋体" w:hAnsi="宋体" w:cs="仿宋"/>
                <w:sz w:val="24"/>
                <w:lang w:val="zh-CN"/>
              </w:rPr>
              <w:t>（</w:t>
            </w:r>
            <w:r>
              <w:rPr>
                <w:rFonts w:hint="eastAsia" w:ascii="宋体" w:hAnsi="宋体" w:cs="仿宋"/>
                <w:sz w:val="24"/>
              </w:rPr>
              <w:t>响应文件中提供合同复印件加盖公章</w:t>
            </w:r>
            <w:r>
              <w:rPr>
                <w:rFonts w:hint="eastAsia" w:ascii="宋体" w:hAnsi="宋体" w:cs="仿宋"/>
                <w:sz w:val="24"/>
                <w:lang w:val="zh-CN"/>
              </w:rPr>
              <w:t>）</w:t>
            </w:r>
          </w:p>
        </w:tc>
        <w:tc>
          <w:tcPr>
            <w:tcW w:w="750" w:type="dxa"/>
            <w:vAlign w:val="center"/>
          </w:tcPr>
          <w:p w14:paraId="513ABF5F">
            <w:pPr>
              <w:widowControl/>
              <w:jc w:val="center"/>
              <w:rPr>
                <w:rFonts w:ascii="宋体" w:hAnsi="宋体" w:cs="仿宋"/>
                <w:sz w:val="24"/>
              </w:rPr>
            </w:pPr>
            <w:r>
              <w:rPr>
                <w:rFonts w:hint="eastAsia" w:ascii="宋体" w:hAnsi="宋体" w:cs="仿宋"/>
                <w:sz w:val="24"/>
              </w:rPr>
              <w:t>10分</w:t>
            </w:r>
          </w:p>
        </w:tc>
        <w:tc>
          <w:tcPr>
            <w:tcW w:w="1011" w:type="dxa"/>
            <w:vAlign w:val="center"/>
          </w:tcPr>
          <w:p w14:paraId="775700B8">
            <w:pPr>
              <w:widowControl/>
              <w:jc w:val="center"/>
              <w:rPr>
                <w:rFonts w:ascii="宋体" w:hAnsi="宋体" w:cs="仿宋"/>
                <w:sz w:val="24"/>
              </w:rPr>
            </w:pPr>
            <w:r>
              <w:rPr>
                <w:rFonts w:hint="eastAsia" w:ascii="宋体" w:hAnsi="宋体" w:cs="仿宋"/>
                <w:sz w:val="24"/>
              </w:rPr>
              <w:t>客观分</w:t>
            </w:r>
          </w:p>
        </w:tc>
      </w:tr>
      <w:tr w14:paraId="6445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29" w:type="dxa"/>
            <w:vMerge w:val="continue"/>
            <w:vAlign w:val="center"/>
          </w:tcPr>
          <w:p w14:paraId="34B5A2DC">
            <w:pPr>
              <w:widowControl/>
              <w:jc w:val="center"/>
              <w:rPr>
                <w:rFonts w:ascii="宋体" w:hAnsi="宋体" w:cs="仿宋"/>
                <w:sz w:val="24"/>
              </w:rPr>
            </w:pPr>
          </w:p>
        </w:tc>
        <w:tc>
          <w:tcPr>
            <w:tcW w:w="555" w:type="dxa"/>
            <w:vAlign w:val="center"/>
          </w:tcPr>
          <w:p w14:paraId="41AF92E4">
            <w:pPr>
              <w:widowControl/>
              <w:jc w:val="center"/>
              <w:rPr>
                <w:rFonts w:ascii="宋体" w:hAnsi="宋体" w:cs="仿宋"/>
                <w:sz w:val="24"/>
              </w:rPr>
            </w:pPr>
            <w:r>
              <w:rPr>
                <w:rFonts w:hint="eastAsia" w:ascii="宋体" w:hAnsi="宋体" w:cs="仿宋"/>
                <w:sz w:val="24"/>
              </w:rPr>
              <w:t>2</w:t>
            </w:r>
          </w:p>
        </w:tc>
        <w:tc>
          <w:tcPr>
            <w:tcW w:w="6375" w:type="dxa"/>
            <w:vAlign w:val="center"/>
          </w:tcPr>
          <w:p w14:paraId="40A2A7D7">
            <w:pPr>
              <w:widowControl/>
              <w:jc w:val="left"/>
              <w:rPr>
                <w:rFonts w:ascii="宋体" w:hAnsi="宋体" w:cs="仿宋"/>
                <w:sz w:val="24"/>
              </w:rPr>
            </w:pPr>
            <w:r>
              <w:rPr>
                <w:rFonts w:hint="eastAsia" w:ascii="宋体" w:hAnsi="宋体" w:cs="仿宋"/>
                <w:sz w:val="24"/>
              </w:rPr>
              <w:t>投标人具有质量管理体系认证、环境管理体系认证证书、职业健康安全管理体系认证证书，每一项得 1 分，最高得 3 分，没有的不得分。（证书须在有效期内，响应文件中提供证书复印件，并加盖供应商公章）。</w:t>
            </w:r>
          </w:p>
        </w:tc>
        <w:tc>
          <w:tcPr>
            <w:tcW w:w="750" w:type="dxa"/>
            <w:vAlign w:val="center"/>
          </w:tcPr>
          <w:p w14:paraId="5CE12E26">
            <w:pPr>
              <w:widowControl/>
              <w:jc w:val="center"/>
              <w:rPr>
                <w:rFonts w:ascii="宋体" w:hAnsi="宋体" w:cs="仿宋"/>
                <w:sz w:val="24"/>
              </w:rPr>
            </w:pPr>
            <w:r>
              <w:rPr>
                <w:rFonts w:hint="eastAsia" w:ascii="宋体" w:hAnsi="宋体" w:cs="仿宋"/>
                <w:sz w:val="24"/>
              </w:rPr>
              <w:t>3分</w:t>
            </w:r>
          </w:p>
        </w:tc>
        <w:tc>
          <w:tcPr>
            <w:tcW w:w="1011" w:type="dxa"/>
            <w:vAlign w:val="center"/>
          </w:tcPr>
          <w:p w14:paraId="0ED13771">
            <w:pPr>
              <w:widowControl/>
              <w:jc w:val="center"/>
              <w:rPr>
                <w:rFonts w:ascii="宋体" w:hAnsi="宋体" w:cs="仿宋"/>
                <w:sz w:val="24"/>
              </w:rPr>
            </w:pPr>
            <w:r>
              <w:rPr>
                <w:rFonts w:hint="eastAsia" w:ascii="宋体" w:hAnsi="宋体" w:cs="仿宋"/>
                <w:sz w:val="24"/>
              </w:rPr>
              <w:t>客观分</w:t>
            </w:r>
          </w:p>
        </w:tc>
      </w:tr>
      <w:tr w14:paraId="2C28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29" w:type="dxa"/>
            <w:vMerge w:val="continue"/>
            <w:vAlign w:val="center"/>
          </w:tcPr>
          <w:p w14:paraId="78CB3E66">
            <w:pPr>
              <w:widowControl/>
              <w:jc w:val="center"/>
              <w:rPr>
                <w:rFonts w:ascii="宋体" w:hAnsi="宋体" w:cs="仿宋"/>
                <w:sz w:val="24"/>
              </w:rPr>
            </w:pPr>
          </w:p>
        </w:tc>
        <w:tc>
          <w:tcPr>
            <w:tcW w:w="555" w:type="dxa"/>
            <w:vAlign w:val="center"/>
          </w:tcPr>
          <w:p w14:paraId="517B512F">
            <w:pPr>
              <w:widowControl/>
              <w:jc w:val="center"/>
              <w:rPr>
                <w:rFonts w:ascii="宋体" w:hAnsi="宋体" w:cs="仿宋"/>
                <w:sz w:val="24"/>
              </w:rPr>
            </w:pPr>
            <w:r>
              <w:rPr>
                <w:rFonts w:hint="eastAsia" w:ascii="宋体" w:hAnsi="宋体" w:cs="仿宋"/>
                <w:sz w:val="24"/>
              </w:rPr>
              <w:t>3</w:t>
            </w:r>
          </w:p>
        </w:tc>
        <w:tc>
          <w:tcPr>
            <w:tcW w:w="6375" w:type="dxa"/>
            <w:vAlign w:val="center"/>
          </w:tcPr>
          <w:p w14:paraId="21DD5493">
            <w:pPr>
              <w:widowControl/>
              <w:jc w:val="left"/>
              <w:rPr>
                <w:rFonts w:ascii="宋体" w:hAnsi="宋体" w:cs="仿宋"/>
                <w:sz w:val="24"/>
              </w:rPr>
            </w:pPr>
            <w:r>
              <w:rPr>
                <w:rFonts w:hint="eastAsia" w:ascii="宋体" w:hAnsi="宋体" w:cs="仿宋"/>
                <w:sz w:val="24"/>
              </w:rPr>
              <w:t>投标人被评为四星级及以上品质旅行社的得5分，被评为三星级品质旅行社的得2分，其它不得分。（提供当地旅游局等单位颁发的相关文件复印件并加盖公章）</w:t>
            </w:r>
          </w:p>
        </w:tc>
        <w:tc>
          <w:tcPr>
            <w:tcW w:w="750" w:type="dxa"/>
            <w:vAlign w:val="center"/>
          </w:tcPr>
          <w:p w14:paraId="74918D7E">
            <w:pPr>
              <w:widowControl/>
              <w:jc w:val="center"/>
              <w:rPr>
                <w:rFonts w:ascii="宋体" w:hAnsi="宋体" w:cs="仿宋"/>
                <w:sz w:val="24"/>
              </w:rPr>
            </w:pPr>
            <w:r>
              <w:rPr>
                <w:rFonts w:hint="eastAsia" w:ascii="宋体" w:hAnsi="宋体" w:cs="仿宋"/>
                <w:sz w:val="24"/>
              </w:rPr>
              <w:t>5分</w:t>
            </w:r>
          </w:p>
        </w:tc>
        <w:tc>
          <w:tcPr>
            <w:tcW w:w="1011" w:type="dxa"/>
            <w:vAlign w:val="center"/>
          </w:tcPr>
          <w:p w14:paraId="037D18D0">
            <w:pPr>
              <w:widowControl/>
              <w:jc w:val="center"/>
              <w:rPr>
                <w:rFonts w:ascii="宋体" w:hAnsi="宋体" w:cs="仿宋"/>
                <w:sz w:val="24"/>
              </w:rPr>
            </w:pPr>
            <w:r>
              <w:rPr>
                <w:rFonts w:hint="eastAsia" w:ascii="宋体" w:hAnsi="宋体" w:cs="仿宋"/>
                <w:sz w:val="24"/>
              </w:rPr>
              <w:t>客观分</w:t>
            </w:r>
          </w:p>
        </w:tc>
      </w:tr>
    </w:tbl>
    <w:p w14:paraId="3C4A7FA0">
      <w:pPr>
        <w:widowControl/>
        <w:jc w:val="left"/>
        <w:rPr>
          <w:rFonts w:ascii="宋体" w:hAnsi="宋体" w:cs="仿宋"/>
          <w:kern w:val="0"/>
          <w:sz w:val="24"/>
        </w:rPr>
      </w:pPr>
    </w:p>
    <w:p w14:paraId="269AFA31">
      <w:pPr>
        <w:widowControl/>
        <w:spacing w:line="360" w:lineRule="auto"/>
        <w:jc w:val="left"/>
        <w:rPr>
          <w:rFonts w:ascii="宋体" w:hAnsi="宋体" w:cs="仿宋"/>
          <w:sz w:val="24"/>
        </w:rPr>
      </w:pPr>
      <w:r>
        <w:rPr>
          <w:rFonts w:hint="eastAsia" w:ascii="宋体" w:hAnsi="宋体" w:cs="仿宋"/>
          <w:sz w:val="24"/>
        </w:rPr>
        <w:t>2、技术部分（72分）</w:t>
      </w:r>
      <w:r>
        <w:rPr>
          <w:rFonts w:hint="eastAsia" w:ascii="宋体" w:hAnsi="宋体" w:cs="仿宋"/>
          <w:sz w:val="24"/>
        </w:rPr>
        <w:tab/>
      </w:r>
    </w:p>
    <w:tbl>
      <w:tblPr>
        <w:tblStyle w:val="6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555"/>
        <w:gridCol w:w="1397"/>
        <w:gridCol w:w="4986"/>
        <w:gridCol w:w="803"/>
        <w:gridCol w:w="964"/>
      </w:tblGrid>
      <w:tr w14:paraId="2D8D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33" w:type="dxa"/>
            <w:vAlign w:val="center"/>
          </w:tcPr>
          <w:p w14:paraId="087117B0">
            <w:pPr>
              <w:widowControl/>
              <w:jc w:val="center"/>
              <w:rPr>
                <w:rFonts w:ascii="宋体" w:hAnsi="宋体" w:cs="仿宋"/>
                <w:sz w:val="24"/>
              </w:rPr>
            </w:pPr>
            <w:r>
              <w:rPr>
                <w:rFonts w:hint="eastAsia" w:ascii="宋体" w:hAnsi="宋体" w:cs="仿宋"/>
                <w:sz w:val="24"/>
              </w:rPr>
              <w:t>序号</w:t>
            </w:r>
          </w:p>
        </w:tc>
        <w:tc>
          <w:tcPr>
            <w:tcW w:w="1952" w:type="dxa"/>
            <w:gridSpan w:val="2"/>
            <w:vAlign w:val="center"/>
          </w:tcPr>
          <w:p w14:paraId="2777B271">
            <w:pPr>
              <w:widowControl/>
              <w:jc w:val="center"/>
              <w:rPr>
                <w:rFonts w:ascii="宋体" w:hAnsi="宋体" w:cs="仿宋"/>
                <w:sz w:val="24"/>
              </w:rPr>
            </w:pPr>
            <w:r>
              <w:rPr>
                <w:rFonts w:hint="eastAsia" w:ascii="宋体" w:hAnsi="宋体" w:cs="仿宋"/>
                <w:sz w:val="24"/>
              </w:rPr>
              <w:t>评分内容和标准</w:t>
            </w:r>
          </w:p>
        </w:tc>
        <w:tc>
          <w:tcPr>
            <w:tcW w:w="4986" w:type="dxa"/>
            <w:vAlign w:val="center"/>
          </w:tcPr>
          <w:p w14:paraId="2997898C">
            <w:pPr>
              <w:widowControl/>
              <w:jc w:val="center"/>
              <w:rPr>
                <w:rFonts w:ascii="宋体" w:hAnsi="宋体" w:cs="仿宋"/>
                <w:sz w:val="24"/>
              </w:rPr>
            </w:pPr>
            <w:r>
              <w:rPr>
                <w:rFonts w:hint="eastAsia" w:ascii="宋体" w:hAnsi="宋体" w:cs="仿宋"/>
                <w:sz w:val="24"/>
              </w:rPr>
              <w:t>具体描述</w:t>
            </w:r>
          </w:p>
        </w:tc>
        <w:tc>
          <w:tcPr>
            <w:tcW w:w="803" w:type="dxa"/>
            <w:vAlign w:val="center"/>
          </w:tcPr>
          <w:p w14:paraId="3909F078">
            <w:pPr>
              <w:widowControl/>
              <w:jc w:val="center"/>
              <w:rPr>
                <w:rFonts w:ascii="宋体" w:hAnsi="宋体" w:cs="仿宋"/>
                <w:sz w:val="24"/>
              </w:rPr>
            </w:pPr>
            <w:r>
              <w:rPr>
                <w:rFonts w:hint="eastAsia" w:ascii="宋体" w:hAnsi="宋体" w:cs="仿宋"/>
                <w:sz w:val="24"/>
              </w:rPr>
              <w:t>权重</w:t>
            </w:r>
          </w:p>
        </w:tc>
        <w:tc>
          <w:tcPr>
            <w:tcW w:w="964" w:type="dxa"/>
            <w:vAlign w:val="center"/>
          </w:tcPr>
          <w:p w14:paraId="7EAB5211">
            <w:pPr>
              <w:widowControl/>
              <w:jc w:val="center"/>
              <w:rPr>
                <w:rFonts w:ascii="宋体" w:hAnsi="宋体" w:cs="仿宋"/>
                <w:sz w:val="24"/>
              </w:rPr>
            </w:pPr>
            <w:r>
              <w:rPr>
                <w:rFonts w:hint="eastAsia" w:ascii="宋体" w:hAnsi="宋体" w:cs="仿宋"/>
                <w:sz w:val="24"/>
              </w:rPr>
              <w:t>主客观分</w:t>
            </w:r>
          </w:p>
        </w:tc>
      </w:tr>
      <w:tr w14:paraId="072D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restart"/>
            <w:vAlign w:val="center"/>
          </w:tcPr>
          <w:p w14:paraId="26B99EAC">
            <w:pPr>
              <w:widowControl/>
              <w:jc w:val="center"/>
              <w:rPr>
                <w:rFonts w:ascii="宋体" w:hAnsi="宋体" w:cs="仿宋"/>
                <w:sz w:val="24"/>
              </w:rPr>
            </w:pPr>
            <w:r>
              <w:rPr>
                <w:rFonts w:hint="eastAsia" w:ascii="宋体" w:hAnsi="宋体" w:cs="仿宋"/>
                <w:sz w:val="24"/>
              </w:rPr>
              <w:t>技术分</w:t>
            </w:r>
          </w:p>
        </w:tc>
        <w:tc>
          <w:tcPr>
            <w:tcW w:w="555" w:type="dxa"/>
            <w:vMerge w:val="restart"/>
            <w:vAlign w:val="center"/>
          </w:tcPr>
          <w:p w14:paraId="429F1DFC">
            <w:pPr>
              <w:widowControl/>
              <w:jc w:val="center"/>
              <w:rPr>
                <w:rFonts w:ascii="宋体" w:hAnsi="宋体" w:cs="仿宋"/>
                <w:sz w:val="24"/>
              </w:rPr>
            </w:pPr>
            <w:r>
              <w:rPr>
                <w:rFonts w:hint="eastAsia" w:ascii="宋体" w:hAnsi="宋体" w:cs="仿宋"/>
                <w:sz w:val="24"/>
              </w:rPr>
              <w:t>4</w:t>
            </w:r>
          </w:p>
        </w:tc>
        <w:tc>
          <w:tcPr>
            <w:tcW w:w="1397" w:type="dxa"/>
            <w:vMerge w:val="restart"/>
            <w:vAlign w:val="center"/>
          </w:tcPr>
          <w:p w14:paraId="09E6FDDF">
            <w:pPr>
              <w:widowControl/>
              <w:jc w:val="center"/>
              <w:rPr>
                <w:rFonts w:ascii="宋体" w:hAnsi="宋体" w:cs="仿宋"/>
                <w:sz w:val="24"/>
              </w:rPr>
            </w:pPr>
            <w:r>
              <w:rPr>
                <w:rFonts w:hint="eastAsia" w:ascii="宋体" w:hAnsi="宋体" w:cs="仿宋"/>
                <w:sz w:val="24"/>
              </w:rPr>
              <w:t>针对本项目线路安排（包括景点安排）</w:t>
            </w:r>
          </w:p>
        </w:tc>
        <w:tc>
          <w:tcPr>
            <w:tcW w:w="4986" w:type="dxa"/>
            <w:vAlign w:val="center"/>
          </w:tcPr>
          <w:p w14:paraId="502F4535">
            <w:pPr>
              <w:widowControl/>
              <w:jc w:val="left"/>
              <w:rPr>
                <w:rFonts w:ascii="宋体" w:hAnsi="宋体" w:cs="仿宋"/>
                <w:sz w:val="24"/>
              </w:rPr>
            </w:pPr>
            <w:r>
              <w:rPr>
                <w:rFonts w:hint="eastAsia" w:ascii="宋体" w:hAnsi="宋体" w:cs="仿宋"/>
                <w:sz w:val="24"/>
              </w:rPr>
              <w:t>根据本项目要求，提供每条线路必须提供详细的行程单，标明各景点特色等。</w:t>
            </w:r>
          </w:p>
          <w:p w14:paraId="318C565F">
            <w:pPr>
              <w:widowControl/>
              <w:jc w:val="left"/>
              <w:rPr>
                <w:rFonts w:ascii="宋体" w:hAnsi="宋体" w:cs="仿宋"/>
                <w:sz w:val="24"/>
              </w:rPr>
            </w:pPr>
            <w:r>
              <w:rPr>
                <w:rFonts w:hint="eastAsia" w:ascii="宋体" w:hAnsi="宋体" w:cs="仿宋"/>
                <w:sz w:val="24"/>
              </w:rPr>
              <w:t>方案可行条理清晰、内容丰富、安排合理6分，基本满足方案可行条理清晰、内容丰富、安排合理4分，方案一般可行条理清晰、内容丰富、安排合理的2分。</w:t>
            </w:r>
          </w:p>
        </w:tc>
        <w:tc>
          <w:tcPr>
            <w:tcW w:w="803" w:type="dxa"/>
            <w:vAlign w:val="center"/>
          </w:tcPr>
          <w:p w14:paraId="4D97C048">
            <w:pPr>
              <w:widowControl/>
              <w:jc w:val="center"/>
              <w:rPr>
                <w:rFonts w:ascii="宋体" w:hAnsi="宋体" w:cs="仿宋"/>
                <w:sz w:val="24"/>
              </w:rPr>
            </w:pPr>
            <w:r>
              <w:rPr>
                <w:rFonts w:hint="eastAsia" w:ascii="宋体" w:hAnsi="宋体" w:cs="仿宋"/>
                <w:sz w:val="24"/>
              </w:rPr>
              <w:t>6分</w:t>
            </w:r>
          </w:p>
        </w:tc>
        <w:tc>
          <w:tcPr>
            <w:tcW w:w="964" w:type="dxa"/>
            <w:vAlign w:val="center"/>
          </w:tcPr>
          <w:p w14:paraId="7974A72C">
            <w:pPr>
              <w:widowControl/>
              <w:jc w:val="center"/>
              <w:rPr>
                <w:rFonts w:ascii="宋体" w:hAnsi="宋体" w:cs="仿宋"/>
                <w:sz w:val="24"/>
              </w:rPr>
            </w:pPr>
            <w:r>
              <w:rPr>
                <w:rFonts w:hint="eastAsia" w:ascii="宋体" w:hAnsi="宋体" w:cs="仿宋"/>
                <w:sz w:val="24"/>
              </w:rPr>
              <w:t>主观分</w:t>
            </w:r>
          </w:p>
        </w:tc>
      </w:tr>
      <w:tr w14:paraId="63E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vAlign w:val="center"/>
          </w:tcPr>
          <w:p w14:paraId="08665807">
            <w:pPr>
              <w:widowControl/>
              <w:jc w:val="center"/>
              <w:rPr>
                <w:rFonts w:ascii="宋体" w:hAnsi="宋体" w:cs="仿宋"/>
                <w:sz w:val="24"/>
              </w:rPr>
            </w:pPr>
          </w:p>
        </w:tc>
        <w:tc>
          <w:tcPr>
            <w:tcW w:w="555" w:type="dxa"/>
            <w:vMerge w:val="continue"/>
            <w:vAlign w:val="center"/>
          </w:tcPr>
          <w:p w14:paraId="751E1DAB">
            <w:pPr>
              <w:widowControl/>
              <w:jc w:val="center"/>
              <w:rPr>
                <w:rFonts w:ascii="宋体" w:hAnsi="宋体" w:cs="仿宋"/>
                <w:sz w:val="24"/>
              </w:rPr>
            </w:pPr>
          </w:p>
        </w:tc>
        <w:tc>
          <w:tcPr>
            <w:tcW w:w="1397" w:type="dxa"/>
            <w:vMerge w:val="continue"/>
            <w:vAlign w:val="center"/>
          </w:tcPr>
          <w:p w14:paraId="1C67CA7B">
            <w:pPr>
              <w:widowControl/>
              <w:jc w:val="center"/>
              <w:rPr>
                <w:rFonts w:ascii="宋体" w:hAnsi="宋体" w:cs="仿宋"/>
                <w:sz w:val="24"/>
              </w:rPr>
            </w:pPr>
          </w:p>
        </w:tc>
        <w:tc>
          <w:tcPr>
            <w:tcW w:w="4986" w:type="dxa"/>
            <w:vAlign w:val="center"/>
          </w:tcPr>
          <w:p w14:paraId="5A9201DC">
            <w:pPr>
              <w:widowControl/>
              <w:jc w:val="left"/>
              <w:rPr>
                <w:rFonts w:ascii="宋体" w:hAnsi="宋体" w:cs="仿宋"/>
                <w:sz w:val="24"/>
              </w:rPr>
            </w:pPr>
            <w:r>
              <w:rPr>
                <w:rFonts w:hint="eastAsia" w:ascii="宋体" w:hAnsi="宋体" w:cs="仿宋"/>
                <w:sz w:val="24"/>
              </w:rPr>
              <w:t>根据本项目要求，提供景点与宾馆之间的车程时间安排及游玩时间安排。</w:t>
            </w:r>
          </w:p>
          <w:p w14:paraId="44E42BF8">
            <w:pPr>
              <w:widowControl/>
              <w:jc w:val="left"/>
              <w:rPr>
                <w:rFonts w:ascii="宋体" w:hAnsi="宋体" w:cs="仿宋"/>
                <w:sz w:val="24"/>
              </w:rPr>
            </w:pPr>
            <w:r>
              <w:rPr>
                <w:rFonts w:hint="eastAsia" w:ascii="宋体" w:hAnsi="宋体" w:cs="仿宋"/>
                <w:sz w:val="24"/>
              </w:rPr>
              <w:t>方案可行条理清晰、内容丰富、安排合理6分，基本满足方案可行条理清晰、内容丰富、安排合理4分，方案一般可行条理清晰、内容丰富、安排合理的2分。</w:t>
            </w:r>
          </w:p>
        </w:tc>
        <w:tc>
          <w:tcPr>
            <w:tcW w:w="803" w:type="dxa"/>
            <w:vAlign w:val="center"/>
          </w:tcPr>
          <w:p w14:paraId="4AC5BFF6">
            <w:pPr>
              <w:widowControl/>
              <w:jc w:val="center"/>
              <w:rPr>
                <w:rFonts w:ascii="宋体" w:hAnsi="宋体" w:cs="仿宋"/>
                <w:sz w:val="24"/>
              </w:rPr>
            </w:pPr>
            <w:r>
              <w:rPr>
                <w:rFonts w:hint="eastAsia" w:ascii="宋体" w:hAnsi="宋体" w:cs="仿宋"/>
                <w:sz w:val="24"/>
              </w:rPr>
              <w:t>6分</w:t>
            </w:r>
          </w:p>
        </w:tc>
        <w:tc>
          <w:tcPr>
            <w:tcW w:w="964" w:type="dxa"/>
            <w:vAlign w:val="center"/>
          </w:tcPr>
          <w:p w14:paraId="6A56A8B9">
            <w:pPr>
              <w:widowControl/>
              <w:jc w:val="center"/>
              <w:rPr>
                <w:rFonts w:ascii="宋体" w:hAnsi="宋体" w:cs="仿宋"/>
                <w:sz w:val="24"/>
              </w:rPr>
            </w:pPr>
            <w:r>
              <w:rPr>
                <w:rFonts w:hint="eastAsia" w:ascii="宋体" w:hAnsi="宋体" w:cs="仿宋"/>
                <w:sz w:val="24"/>
              </w:rPr>
              <w:t>主观分</w:t>
            </w:r>
          </w:p>
        </w:tc>
      </w:tr>
      <w:tr w14:paraId="643B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3" w:type="dxa"/>
            <w:vMerge w:val="continue"/>
            <w:vAlign w:val="center"/>
          </w:tcPr>
          <w:p w14:paraId="7F978B3E">
            <w:pPr>
              <w:widowControl/>
              <w:jc w:val="center"/>
              <w:rPr>
                <w:rFonts w:ascii="宋体" w:hAnsi="宋体" w:cs="仿宋"/>
                <w:sz w:val="24"/>
              </w:rPr>
            </w:pPr>
          </w:p>
        </w:tc>
        <w:tc>
          <w:tcPr>
            <w:tcW w:w="555" w:type="dxa"/>
            <w:vMerge w:val="restart"/>
            <w:vAlign w:val="center"/>
          </w:tcPr>
          <w:p w14:paraId="5F8B3E4D">
            <w:pPr>
              <w:widowControl/>
              <w:jc w:val="center"/>
              <w:rPr>
                <w:rFonts w:ascii="宋体" w:hAnsi="宋体" w:cs="仿宋"/>
                <w:sz w:val="24"/>
              </w:rPr>
            </w:pPr>
            <w:r>
              <w:rPr>
                <w:rFonts w:hint="eastAsia" w:ascii="宋体" w:hAnsi="宋体" w:cs="仿宋"/>
                <w:sz w:val="24"/>
              </w:rPr>
              <w:t>5</w:t>
            </w:r>
          </w:p>
        </w:tc>
        <w:tc>
          <w:tcPr>
            <w:tcW w:w="1397" w:type="dxa"/>
            <w:vMerge w:val="restart"/>
            <w:vAlign w:val="center"/>
          </w:tcPr>
          <w:p w14:paraId="77109AE8">
            <w:pPr>
              <w:widowControl/>
              <w:jc w:val="center"/>
              <w:rPr>
                <w:rFonts w:ascii="宋体" w:hAnsi="宋体" w:cs="仿宋"/>
                <w:sz w:val="24"/>
              </w:rPr>
            </w:pPr>
            <w:r>
              <w:rPr>
                <w:rFonts w:hint="eastAsia" w:ascii="宋体" w:hAnsi="宋体" w:cs="仿宋"/>
                <w:sz w:val="24"/>
              </w:rPr>
              <w:t>针对本项目酒店住宿安排</w:t>
            </w:r>
          </w:p>
        </w:tc>
        <w:tc>
          <w:tcPr>
            <w:tcW w:w="4986" w:type="dxa"/>
            <w:vAlign w:val="center"/>
          </w:tcPr>
          <w:p w14:paraId="74904FEC">
            <w:pPr>
              <w:widowControl/>
              <w:jc w:val="left"/>
              <w:rPr>
                <w:rFonts w:ascii="宋体" w:hAnsi="宋体" w:cs="仿宋"/>
                <w:sz w:val="24"/>
              </w:rPr>
            </w:pPr>
            <w:r>
              <w:rPr>
                <w:rFonts w:hint="eastAsia" w:ascii="宋体" w:hAnsi="宋体" w:cs="仿宋"/>
                <w:sz w:val="24"/>
              </w:rPr>
              <w:t>根据本项目要求，住宿酒店星级等。方案可行条理清晰、内容丰富、安排合理5分，基本满足方案可行条理清晰、内容丰富、安排合理3分，方案一般可行条理清晰、内容丰富、安排合理的1分。</w:t>
            </w:r>
          </w:p>
        </w:tc>
        <w:tc>
          <w:tcPr>
            <w:tcW w:w="803" w:type="dxa"/>
            <w:vAlign w:val="center"/>
          </w:tcPr>
          <w:p w14:paraId="1F34801D">
            <w:pPr>
              <w:widowControl/>
              <w:jc w:val="center"/>
              <w:rPr>
                <w:rFonts w:ascii="宋体" w:hAnsi="宋体" w:cs="仿宋"/>
                <w:sz w:val="24"/>
              </w:rPr>
            </w:pPr>
            <w:r>
              <w:rPr>
                <w:rFonts w:hint="eastAsia" w:ascii="宋体" w:hAnsi="宋体" w:cs="仿宋"/>
                <w:sz w:val="24"/>
              </w:rPr>
              <w:t>5分</w:t>
            </w:r>
          </w:p>
        </w:tc>
        <w:tc>
          <w:tcPr>
            <w:tcW w:w="964" w:type="dxa"/>
            <w:vAlign w:val="center"/>
          </w:tcPr>
          <w:p w14:paraId="4F732F31">
            <w:pPr>
              <w:widowControl/>
              <w:jc w:val="center"/>
              <w:rPr>
                <w:rFonts w:ascii="宋体" w:hAnsi="宋体" w:cs="仿宋"/>
                <w:sz w:val="24"/>
              </w:rPr>
            </w:pPr>
            <w:r>
              <w:rPr>
                <w:rFonts w:hint="eastAsia" w:ascii="宋体" w:hAnsi="宋体" w:cs="仿宋"/>
                <w:sz w:val="24"/>
              </w:rPr>
              <w:t>主观分</w:t>
            </w:r>
          </w:p>
        </w:tc>
      </w:tr>
      <w:tr w14:paraId="50AC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3" w:type="dxa"/>
            <w:vMerge w:val="continue"/>
            <w:vAlign w:val="center"/>
          </w:tcPr>
          <w:p w14:paraId="0690EC8E">
            <w:pPr>
              <w:widowControl/>
              <w:jc w:val="center"/>
              <w:rPr>
                <w:rFonts w:ascii="宋体" w:hAnsi="宋体" w:cs="仿宋"/>
                <w:sz w:val="24"/>
              </w:rPr>
            </w:pPr>
          </w:p>
        </w:tc>
        <w:tc>
          <w:tcPr>
            <w:tcW w:w="555" w:type="dxa"/>
            <w:vMerge w:val="continue"/>
            <w:vAlign w:val="center"/>
          </w:tcPr>
          <w:p w14:paraId="22AA0789">
            <w:pPr>
              <w:widowControl/>
              <w:jc w:val="center"/>
              <w:rPr>
                <w:rFonts w:ascii="宋体" w:hAnsi="宋体" w:cs="仿宋"/>
                <w:sz w:val="24"/>
              </w:rPr>
            </w:pPr>
          </w:p>
        </w:tc>
        <w:tc>
          <w:tcPr>
            <w:tcW w:w="1397" w:type="dxa"/>
            <w:vMerge w:val="continue"/>
            <w:vAlign w:val="center"/>
          </w:tcPr>
          <w:p w14:paraId="754D95E0">
            <w:pPr>
              <w:widowControl/>
              <w:jc w:val="center"/>
              <w:rPr>
                <w:rFonts w:ascii="宋体" w:hAnsi="宋体" w:cs="仿宋"/>
                <w:sz w:val="24"/>
              </w:rPr>
            </w:pPr>
          </w:p>
        </w:tc>
        <w:tc>
          <w:tcPr>
            <w:tcW w:w="4986" w:type="dxa"/>
            <w:vAlign w:val="center"/>
          </w:tcPr>
          <w:p w14:paraId="76A45168">
            <w:pPr>
              <w:widowControl/>
              <w:jc w:val="left"/>
              <w:rPr>
                <w:rFonts w:ascii="宋体" w:hAnsi="宋体" w:cs="仿宋"/>
                <w:sz w:val="24"/>
              </w:rPr>
            </w:pPr>
            <w:r>
              <w:rPr>
                <w:rFonts w:hint="eastAsia" w:ascii="宋体" w:hAnsi="宋体" w:cs="仿宋"/>
                <w:sz w:val="24"/>
              </w:rPr>
              <w:t>根据本项目要求，提供</w:t>
            </w:r>
            <w:r>
              <w:rPr>
                <w:rFonts w:hint="eastAsia" w:ascii="宋体" w:hAnsi="宋体" w:cs="仿宋"/>
                <w:sz w:val="24"/>
                <w:lang w:val="zh-CN"/>
              </w:rPr>
              <w:t>住宿条件情况</w:t>
            </w:r>
            <w:r>
              <w:rPr>
                <w:rFonts w:hint="eastAsia" w:ascii="宋体" w:hAnsi="宋体" w:cs="仿宋"/>
                <w:sz w:val="24"/>
              </w:rPr>
              <w:t>。方案可行条理清晰、内容丰富、安排合理5分，基本满足方案可行条理清晰、内容丰富、安排合理3分，方案一般可行条理清晰、内容丰富、安排合理的1分。</w:t>
            </w:r>
          </w:p>
        </w:tc>
        <w:tc>
          <w:tcPr>
            <w:tcW w:w="803" w:type="dxa"/>
            <w:vAlign w:val="center"/>
          </w:tcPr>
          <w:p w14:paraId="5E797561">
            <w:pPr>
              <w:widowControl/>
              <w:jc w:val="center"/>
              <w:rPr>
                <w:rFonts w:ascii="宋体" w:hAnsi="宋体" w:cs="仿宋"/>
                <w:sz w:val="24"/>
              </w:rPr>
            </w:pPr>
            <w:r>
              <w:rPr>
                <w:rFonts w:hint="eastAsia" w:ascii="宋体" w:hAnsi="宋体" w:cs="仿宋"/>
                <w:sz w:val="24"/>
              </w:rPr>
              <w:t>5分</w:t>
            </w:r>
          </w:p>
        </w:tc>
        <w:tc>
          <w:tcPr>
            <w:tcW w:w="964" w:type="dxa"/>
            <w:vAlign w:val="center"/>
          </w:tcPr>
          <w:p w14:paraId="5251EFAE">
            <w:pPr>
              <w:widowControl/>
              <w:jc w:val="center"/>
              <w:rPr>
                <w:rFonts w:ascii="宋体" w:hAnsi="宋体" w:cs="仿宋"/>
                <w:sz w:val="24"/>
              </w:rPr>
            </w:pPr>
            <w:r>
              <w:rPr>
                <w:rFonts w:hint="eastAsia" w:ascii="宋体" w:hAnsi="宋体" w:cs="仿宋"/>
                <w:sz w:val="24"/>
              </w:rPr>
              <w:t>主观分</w:t>
            </w:r>
          </w:p>
        </w:tc>
      </w:tr>
      <w:tr w14:paraId="1359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33" w:type="dxa"/>
            <w:vMerge w:val="continue"/>
            <w:vAlign w:val="center"/>
          </w:tcPr>
          <w:p w14:paraId="2E83EEEA">
            <w:pPr>
              <w:widowControl/>
              <w:jc w:val="center"/>
              <w:rPr>
                <w:rFonts w:ascii="宋体" w:hAnsi="宋体" w:cs="仿宋"/>
                <w:sz w:val="24"/>
              </w:rPr>
            </w:pPr>
          </w:p>
        </w:tc>
        <w:tc>
          <w:tcPr>
            <w:tcW w:w="555" w:type="dxa"/>
            <w:vMerge w:val="restart"/>
            <w:vAlign w:val="center"/>
          </w:tcPr>
          <w:p w14:paraId="4CA6E46E">
            <w:pPr>
              <w:widowControl/>
              <w:jc w:val="center"/>
              <w:rPr>
                <w:rFonts w:ascii="宋体" w:hAnsi="宋体" w:cs="仿宋"/>
                <w:sz w:val="24"/>
              </w:rPr>
            </w:pPr>
            <w:r>
              <w:rPr>
                <w:rFonts w:hint="eastAsia" w:ascii="宋体" w:hAnsi="宋体" w:cs="仿宋"/>
                <w:sz w:val="24"/>
              </w:rPr>
              <w:t>6</w:t>
            </w:r>
          </w:p>
        </w:tc>
        <w:tc>
          <w:tcPr>
            <w:tcW w:w="1397" w:type="dxa"/>
            <w:vMerge w:val="restart"/>
            <w:vAlign w:val="center"/>
          </w:tcPr>
          <w:p w14:paraId="21A8CA65">
            <w:pPr>
              <w:widowControl/>
              <w:jc w:val="center"/>
              <w:rPr>
                <w:rFonts w:ascii="宋体" w:hAnsi="宋体" w:cs="仿宋"/>
                <w:sz w:val="24"/>
              </w:rPr>
            </w:pPr>
            <w:r>
              <w:rPr>
                <w:rFonts w:hint="eastAsia" w:ascii="宋体" w:hAnsi="宋体" w:cs="仿宋"/>
                <w:sz w:val="24"/>
              </w:rPr>
              <w:t>针对本项目就餐及餐标安排</w:t>
            </w:r>
          </w:p>
        </w:tc>
        <w:tc>
          <w:tcPr>
            <w:tcW w:w="4986" w:type="dxa"/>
            <w:vAlign w:val="center"/>
          </w:tcPr>
          <w:p w14:paraId="001CDC4E">
            <w:pPr>
              <w:widowControl/>
              <w:jc w:val="left"/>
              <w:rPr>
                <w:rFonts w:ascii="宋体" w:hAnsi="宋体" w:cs="仿宋"/>
                <w:sz w:val="24"/>
              </w:rPr>
            </w:pPr>
            <w:r>
              <w:rPr>
                <w:rFonts w:hint="eastAsia" w:ascii="宋体" w:hAnsi="宋体" w:cs="仿宋"/>
                <w:sz w:val="24"/>
              </w:rPr>
              <w:t>根据本项目要求，就餐安排及就餐环境等。方案可行条理清晰、内容丰富、安排合理6分，基本满足方案可行条理清晰、内容丰富、安排合理4分，方案一般可行条理清晰、内容丰富、安排合理的2分。</w:t>
            </w:r>
          </w:p>
        </w:tc>
        <w:tc>
          <w:tcPr>
            <w:tcW w:w="803" w:type="dxa"/>
            <w:vAlign w:val="center"/>
          </w:tcPr>
          <w:p w14:paraId="1768A503">
            <w:pPr>
              <w:widowControl/>
              <w:jc w:val="center"/>
              <w:rPr>
                <w:rFonts w:ascii="宋体" w:hAnsi="宋体" w:cs="仿宋"/>
                <w:sz w:val="24"/>
              </w:rPr>
            </w:pPr>
            <w:r>
              <w:rPr>
                <w:rFonts w:hint="eastAsia" w:ascii="宋体" w:hAnsi="宋体" w:cs="仿宋"/>
                <w:sz w:val="24"/>
              </w:rPr>
              <w:t>6分</w:t>
            </w:r>
          </w:p>
        </w:tc>
        <w:tc>
          <w:tcPr>
            <w:tcW w:w="964" w:type="dxa"/>
            <w:vAlign w:val="center"/>
          </w:tcPr>
          <w:p w14:paraId="4CB5DD22">
            <w:pPr>
              <w:widowControl/>
              <w:jc w:val="center"/>
              <w:rPr>
                <w:rFonts w:ascii="宋体" w:hAnsi="宋体" w:cs="仿宋"/>
                <w:sz w:val="24"/>
              </w:rPr>
            </w:pPr>
            <w:r>
              <w:rPr>
                <w:rFonts w:hint="eastAsia" w:ascii="宋体" w:hAnsi="宋体" w:cs="仿宋"/>
                <w:sz w:val="24"/>
              </w:rPr>
              <w:t>主观分</w:t>
            </w:r>
          </w:p>
        </w:tc>
      </w:tr>
      <w:tr w14:paraId="748E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3" w:type="dxa"/>
            <w:vMerge w:val="continue"/>
            <w:vAlign w:val="center"/>
          </w:tcPr>
          <w:p w14:paraId="2C3CAB42">
            <w:pPr>
              <w:widowControl/>
              <w:jc w:val="center"/>
              <w:rPr>
                <w:rFonts w:ascii="宋体" w:hAnsi="宋体" w:cs="仿宋"/>
                <w:sz w:val="24"/>
              </w:rPr>
            </w:pPr>
          </w:p>
        </w:tc>
        <w:tc>
          <w:tcPr>
            <w:tcW w:w="555" w:type="dxa"/>
            <w:vMerge w:val="continue"/>
            <w:vAlign w:val="center"/>
          </w:tcPr>
          <w:p w14:paraId="2630ADC9">
            <w:pPr>
              <w:widowControl/>
              <w:jc w:val="center"/>
              <w:rPr>
                <w:rFonts w:ascii="宋体" w:hAnsi="宋体" w:cs="仿宋"/>
                <w:sz w:val="24"/>
              </w:rPr>
            </w:pPr>
          </w:p>
        </w:tc>
        <w:tc>
          <w:tcPr>
            <w:tcW w:w="1397" w:type="dxa"/>
            <w:vMerge w:val="continue"/>
            <w:vAlign w:val="center"/>
          </w:tcPr>
          <w:p w14:paraId="5DFEB24F">
            <w:pPr>
              <w:widowControl/>
              <w:jc w:val="center"/>
              <w:rPr>
                <w:rFonts w:ascii="宋体" w:hAnsi="宋体" w:cs="仿宋"/>
                <w:sz w:val="24"/>
              </w:rPr>
            </w:pPr>
          </w:p>
        </w:tc>
        <w:tc>
          <w:tcPr>
            <w:tcW w:w="4986" w:type="dxa"/>
            <w:vAlign w:val="center"/>
          </w:tcPr>
          <w:p w14:paraId="63731A40">
            <w:pPr>
              <w:widowControl/>
              <w:jc w:val="left"/>
              <w:rPr>
                <w:rFonts w:ascii="宋体" w:hAnsi="宋体" w:cs="仿宋"/>
                <w:sz w:val="24"/>
              </w:rPr>
            </w:pPr>
            <w:r>
              <w:rPr>
                <w:rFonts w:hint="eastAsia" w:ascii="宋体" w:hAnsi="宋体" w:cs="仿宋"/>
                <w:sz w:val="24"/>
                <w:lang w:val="zh-CN"/>
              </w:rPr>
              <w:t>餐饮优化服务：餐饮承诺采购人餐标的费用标准得</w:t>
            </w:r>
            <w:r>
              <w:rPr>
                <w:rFonts w:hint="eastAsia" w:ascii="宋体" w:hAnsi="宋体" w:cs="仿宋"/>
                <w:sz w:val="24"/>
              </w:rPr>
              <w:t>6</w:t>
            </w:r>
            <w:r>
              <w:rPr>
                <w:rFonts w:hint="eastAsia" w:ascii="宋体" w:hAnsi="宋体" w:cs="仿宋"/>
                <w:sz w:val="24"/>
                <w:lang w:val="zh-CN"/>
              </w:rPr>
              <w:t>分。</w:t>
            </w:r>
          </w:p>
        </w:tc>
        <w:tc>
          <w:tcPr>
            <w:tcW w:w="803" w:type="dxa"/>
            <w:vAlign w:val="center"/>
          </w:tcPr>
          <w:p w14:paraId="3E5A0258">
            <w:pPr>
              <w:widowControl/>
              <w:jc w:val="center"/>
              <w:rPr>
                <w:rFonts w:ascii="宋体" w:hAnsi="宋体" w:cs="仿宋"/>
                <w:sz w:val="24"/>
              </w:rPr>
            </w:pPr>
            <w:r>
              <w:rPr>
                <w:rFonts w:hint="eastAsia" w:ascii="宋体" w:hAnsi="宋体" w:cs="仿宋"/>
                <w:sz w:val="24"/>
              </w:rPr>
              <w:t>6分</w:t>
            </w:r>
          </w:p>
        </w:tc>
        <w:tc>
          <w:tcPr>
            <w:tcW w:w="964" w:type="dxa"/>
            <w:vAlign w:val="center"/>
          </w:tcPr>
          <w:p w14:paraId="3CBABA57">
            <w:pPr>
              <w:widowControl/>
              <w:jc w:val="center"/>
              <w:rPr>
                <w:rFonts w:ascii="宋体" w:hAnsi="宋体" w:cs="仿宋"/>
                <w:sz w:val="24"/>
              </w:rPr>
            </w:pPr>
            <w:r>
              <w:rPr>
                <w:rFonts w:hint="eastAsia" w:ascii="宋体" w:hAnsi="宋体" w:cs="仿宋"/>
                <w:sz w:val="24"/>
              </w:rPr>
              <w:t>客观分</w:t>
            </w:r>
          </w:p>
        </w:tc>
      </w:tr>
      <w:tr w14:paraId="76DD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dxa"/>
            <w:vMerge w:val="continue"/>
            <w:vAlign w:val="center"/>
          </w:tcPr>
          <w:p w14:paraId="3B9A87D9">
            <w:pPr>
              <w:widowControl/>
              <w:jc w:val="center"/>
              <w:rPr>
                <w:rFonts w:ascii="宋体" w:hAnsi="宋体" w:cs="仿宋"/>
                <w:sz w:val="24"/>
              </w:rPr>
            </w:pPr>
          </w:p>
        </w:tc>
        <w:tc>
          <w:tcPr>
            <w:tcW w:w="555" w:type="dxa"/>
            <w:vMerge w:val="restart"/>
            <w:vAlign w:val="center"/>
          </w:tcPr>
          <w:p w14:paraId="46A46BE8">
            <w:pPr>
              <w:widowControl/>
              <w:jc w:val="center"/>
              <w:rPr>
                <w:rFonts w:ascii="宋体" w:hAnsi="宋体" w:cs="仿宋"/>
                <w:sz w:val="24"/>
              </w:rPr>
            </w:pPr>
            <w:r>
              <w:rPr>
                <w:rFonts w:hint="eastAsia" w:ascii="宋体" w:hAnsi="宋体" w:cs="仿宋"/>
                <w:sz w:val="24"/>
              </w:rPr>
              <w:t>7</w:t>
            </w:r>
          </w:p>
        </w:tc>
        <w:tc>
          <w:tcPr>
            <w:tcW w:w="1397" w:type="dxa"/>
            <w:vMerge w:val="restart"/>
            <w:vAlign w:val="center"/>
          </w:tcPr>
          <w:p w14:paraId="4E48442E">
            <w:pPr>
              <w:widowControl/>
              <w:jc w:val="center"/>
              <w:rPr>
                <w:rFonts w:ascii="宋体" w:hAnsi="宋体" w:cs="仿宋"/>
                <w:sz w:val="24"/>
              </w:rPr>
            </w:pPr>
            <w:r>
              <w:rPr>
                <w:rFonts w:hint="eastAsia" w:ascii="宋体" w:hAnsi="宋体" w:cs="仿宋"/>
                <w:sz w:val="24"/>
              </w:rPr>
              <w:t>投标方案中提供或使用主要设备的优劣</w:t>
            </w:r>
          </w:p>
        </w:tc>
        <w:tc>
          <w:tcPr>
            <w:tcW w:w="4986" w:type="dxa"/>
            <w:vAlign w:val="center"/>
          </w:tcPr>
          <w:p w14:paraId="1277CD92">
            <w:pPr>
              <w:widowControl/>
              <w:jc w:val="left"/>
              <w:rPr>
                <w:rFonts w:ascii="宋体" w:hAnsi="宋体" w:cs="仿宋"/>
                <w:sz w:val="24"/>
              </w:rPr>
            </w:pPr>
            <w:r>
              <w:rPr>
                <w:rFonts w:hint="eastAsia" w:ascii="宋体" w:hAnsi="宋体" w:cs="仿宋"/>
                <w:sz w:val="24"/>
              </w:rPr>
              <w:t>根据投标文件中提供车型、车况、座位比较等情况综合评定。</w:t>
            </w:r>
          </w:p>
        </w:tc>
        <w:tc>
          <w:tcPr>
            <w:tcW w:w="803" w:type="dxa"/>
            <w:vAlign w:val="center"/>
          </w:tcPr>
          <w:p w14:paraId="0F5AFDD3">
            <w:pPr>
              <w:widowControl/>
              <w:jc w:val="center"/>
              <w:rPr>
                <w:rFonts w:ascii="宋体" w:hAnsi="宋体" w:cs="仿宋"/>
                <w:sz w:val="24"/>
              </w:rPr>
            </w:pPr>
            <w:r>
              <w:rPr>
                <w:rFonts w:hint="eastAsia" w:ascii="宋体" w:hAnsi="宋体" w:cs="仿宋"/>
                <w:sz w:val="24"/>
              </w:rPr>
              <w:t>2分</w:t>
            </w:r>
          </w:p>
        </w:tc>
        <w:tc>
          <w:tcPr>
            <w:tcW w:w="964" w:type="dxa"/>
            <w:vAlign w:val="center"/>
          </w:tcPr>
          <w:p w14:paraId="496B2DCC">
            <w:pPr>
              <w:widowControl/>
              <w:jc w:val="center"/>
              <w:rPr>
                <w:rFonts w:ascii="宋体" w:hAnsi="宋体" w:cs="仿宋"/>
                <w:sz w:val="24"/>
              </w:rPr>
            </w:pPr>
            <w:r>
              <w:rPr>
                <w:rFonts w:hint="eastAsia" w:ascii="宋体" w:hAnsi="宋体" w:cs="仿宋"/>
                <w:sz w:val="24"/>
              </w:rPr>
              <w:t>主观分</w:t>
            </w:r>
          </w:p>
        </w:tc>
      </w:tr>
      <w:tr w14:paraId="53AA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3" w:type="dxa"/>
            <w:vMerge w:val="continue"/>
            <w:vAlign w:val="center"/>
          </w:tcPr>
          <w:p w14:paraId="15D114EE">
            <w:pPr>
              <w:widowControl/>
              <w:jc w:val="center"/>
              <w:rPr>
                <w:rFonts w:ascii="宋体" w:hAnsi="宋体" w:cs="仿宋"/>
                <w:sz w:val="24"/>
              </w:rPr>
            </w:pPr>
          </w:p>
        </w:tc>
        <w:tc>
          <w:tcPr>
            <w:tcW w:w="555" w:type="dxa"/>
            <w:vMerge w:val="continue"/>
            <w:vAlign w:val="center"/>
          </w:tcPr>
          <w:p w14:paraId="49C9ED85">
            <w:pPr>
              <w:widowControl/>
              <w:jc w:val="center"/>
              <w:rPr>
                <w:rFonts w:ascii="宋体" w:hAnsi="宋体" w:cs="仿宋"/>
                <w:sz w:val="24"/>
              </w:rPr>
            </w:pPr>
          </w:p>
        </w:tc>
        <w:tc>
          <w:tcPr>
            <w:tcW w:w="1397" w:type="dxa"/>
            <w:vMerge w:val="continue"/>
            <w:vAlign w:val="center"/>
          </w:tcPr>
          <w:p w14:paraId="7DA412BF">
            <w:pPr>
              <w:widowControl/>
              <w:jc w:val="center"/>
              <w:rPr>
                <w:rFonts w:ascii="宋体" w:hAnsi="宋体" w:cs="仿宋"/>
                <w:sz w:val="24"/>
              </w:rPr>
            </w:pPr>
          </w:p>
        </w:tc>
        <w:tc>
          <w:tcPr>
            <w:tcW w:w="4986" w:type="dxa"/>
            <w:vAlign w:val="center"/>
          </w:tcPr>
          <w:p w14:paraId="79121112">
            <w:pPr>
              <w:widowControl/>
              <w:jc w:val="left"/>
              <w:rPr>
                <w:rFonts w:ascii="宋体" w:hAnsi="宋体" w:cs="仿宋"/>
                <w:sz w:val="24"/>
              </w:rPr>
            </w:pPr>
            <w:r>
              <w:rPr>
                <w:rFonts w:hint="eastAsia" w:ascii="宋体" w:hAnsi="宋体" w:cs="仿宋"/>
                <w:sz w:val="24"/>
              </w:rPr>
              <w:t>根据投标文件中提供的司机驾龄、当地用车情况综合评定。</w:t>
            </w:r>
          </w:p>
        </w:tc>
        <w:tc>
          <w:tcPr>
            <w:tcW w:w="803" w:type="dxa"/>
            <w:vAlign w:val="center"/>
          </w:tcPr>
          <w:p w14:paraId="11D1C70C">
            <w:pPr>
              <w:widowControl/>
              <w:jc w:val="center"/>
              <w:rPr>
                <w:rFonts w:ascii="宋体" w:hAnsi="宋体" w:cs="仿宋"/>
                <w:sz w:val="24"/>
              </w:rPr>
            </w:pPr>
            <w:r>
              <w:rPr>
                <w:rFonts w:hint="eastAsia" w:ascii="宋体" w:hAnsi="宋体" w:cs="仿宋"/>
                <w:sz w:val="24"/>
              </w:rPr>
              <w:t>2分</w:t>
            </w:r>
          </w:p>
        </w:tc>
        <w:tc>
          <w:tcPr>
            <w:tcW w:w="964" w:type="dxa"/>
            <w:vAlign w:val="center"/>
          </w:tcPr>
          <w:p w14:paraId="5DED135C">
            <w:pPr>
              <w:widowControl/>
              <w:jc w:val="center"/>
              <w:rPr>
                <w:rFonts w:ascii="宋体" w:hAnsi="宋体" w:cs="仿宋"/>
                <w:sz w:val="24"/>
              </w:rPr>
            </w:pPr>
            <w:r>
              <w:rPr>
                <w:rFonts w:hint="eastAsia" w:ascii="宋体" w:hAnsi="宋体" w:cs="仿宋"/>
                <w:sz w:val="24"/>
              </w:rPr>
              <w:t>主观分</w:t>
            </w:r>
          </w:p>
        </w:tc>
      </w:tr>
      <w:tr w14:paraId="578C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33" w:type="dxa"/>
            <w:vMerge w:val="continue"/>
            <w:vAlign w:val="center"/>
          </w:tcPr>
          <w:p w14:paraId="273D6DFF">
            <w:pPr>
              <w:widowControl/>
              <w:jc w:val="center"/>
              <w:rPr>
                <w:rFonts w:ascii="宋体" w:hAnsi="宋体" w:cs="仿宋"/>
                <w:sz w:val="24"/>
              </w:rPr>
            </w:pPr>
          </w:p>
        </w:tc>
        <w:tc>
          <w:tcPr>
            <w:tcW w:w="555" w:type="dxa"/>
            <w:vMerge w:val="continue"/>
            <w:vAlign w:val="center"/>
          </w:tcPr>
          <w:p w14:paraId="037A1CFA">
            <w:pPr>
              <w:widowControl/>
              <w:jc w:val="center"/>
              <w:rPr>
                <w:rFonts w:ascii="宋体" w:hAnsi="宋体" w:cs="仿宋"/>
                <w:sz w:val="24"/>
              </w:rPr>
            </w:pPr>
          </w:p>
        </w:tc>
        <w:tc>
          <w:tcPr>
            <w:tcW w:w="1397" w:type="dxa"/>
            <w:vMerge w:val="continue"/>
            <w:vAlign w:val="center"/>
          </w:tcPr>
          <w:p w14:paraId="03894898">
            <w:pPr>
              <w:widowControl/>
              <w:jc w:val="center"/>
              <w:rPr>
                <w:rFonts w:ascii="宋体" w:hAnsi="宋体" w:cs="仿宋"/>
                <w:sz w:val="24"/>
              </w:rPr>
            </w:pPr>
          </w:p>
        </w:tc>
        <w:tc>
          <w:tcPr>
            <w:tcW w:w="4986" w:type="dxa"/>
            <w:vAlign w:val="center"/>
          </w:tcPr>
          <w:p w14:paraId="72ACABFA">
            <w:pPr>
              <w:widowControl/>
              <w:jc w:val="left"/>
              <w:rPr>
                <w:rFonts w:ascii="宋体" w:hAnsi="宋体" w:cs="仿宋"/>
                <w:sz w:val="24"/>
              </w:rPr>
            </w:pPr>
            <w:r>
              <w:rPr>
                <w:rFonts w:hint="eastAsia" w:ascii="宋体" w:hAnsi="宋体" w:cs="仿宋"/>
                <w:sz w:val="24"/>
              </w:rPr>
              <w:t>根据车队综合服务能力综合评定。</w:t>
            </w:r>
          </w:p>
        </w:tc>
        <w:tc>
          <w:tcPr>
            <w:tcW w:w="803" w:type="dxa"/>
            <w:vAlign w:val="center"/>
          </w:tcPr>
          <w:p w14:paraId="56073094">
            <w:pPr>
              <w:widowControl/>
              <w:jc w:val="center"/>
              <w:rPr>
                <w:rFonts w:ascii="宋体" w:hAnsi="宋体" w:cs="仿宋"/>
                <w:sz w:val="24"/>
              </w:rPr>
            </w:pPr>
            <w:r>
              <w:rPr>
                <w:rFonts w:hint="eastAsia" w:ascii="宋体" w:hAnsi="宋体" w:cs="仿宋"/>
                <w:sz w:val="24"/>
              </w:rPr>
              <w:t>2分</w:t>
            </w:r>
          </w:p>
        </w:tc>
        <w:tc>
          <w:tcPr>
            <w:tcW w:w="964" w:type="dxa"/>
            <w:vAlign w:val="center"/>
          </w:tcPr>
          <w:p w14:paraId="5605835A">
            <w:pPr>
              <w:widowControl/>
              <w:jc w:val="center"/>
              <w:rPr>
                <w:rFonts w:ascii="宋体" w:hAnsi="宋体" w:cs="仿宋"/>
                <w:sz w:val="24"/>
              </w:rPr>
            </w:pPr>
            <w:r>
              <w:rPr>
                <w:rFonts w:hint="eastAsia" w:ascii="宋体" w:hAnsi="宋体" w:cs="仿宋"/>
                <w:sz w:val="24"/>
              </w:rPr>
              <w:t>主观分</w:t>
            </w:r>
          </w:p>
        </w:tc>
      </w:tr>
      <w:tr w14:paraId="443A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vAlign w:val="center"/>
          </w:tcPr>
          <w:p w14:paraId="757D26A5">
            <w:pPr>
              <w:widowControl/>
              <w:jc w:val="center"/>
              <w:rPr>
                <w:rFonts w:ascii="宋体" w:hAnsi="宋体" w:cs="仿宋"/>
                <w:sz w:val="24"/>
              </w:rPr>
            </w:pPr>
          </w:p>
        </w:tc>
        <w:tc>
          <w:tcPr>
            <w:tcW w:w="555" w:type="dxa"/>
            <w:vAlign w:val="center"/>
          </w:tcPr>
          <w:p w14:paraId="1D5C1C89">
            <w:pPr>
              <w:widowControl/>
              <w:jc w:val="center"/>
              <w:rPr>
                <w:rFonts w:ascii="宋体" w:hAnsi="宋体" w:cs="仿宋"/>
                <w:sz w:val="24"/>
              </w:rPr>
            </w:pPr>
            <w:r>
              <w:rPr>
                <w:rFonts w:hint="eastAsia" w:ascii="宋体" w:hAnsi="宋体" w:cs="仿宋"/>
                <w:sz w:val="24"/>
              </w:rPr>
              <w:t>8</w:t>
            </w:r>
          </w:p>
        </w:tc>
        <w:tc>
          <w:tcPr>
            <w:tcW w:w="1397" w:type="dxa"/>
            <w:vAlign w:val="center"/>
          </w:tcPr>
          <w:p w14:paraId="24642956">
            <w:pPr>
              <w:widowControl/>
              <w:jc w:val="center"/>
              <w:rPr>
                <w:rFonts w:ascii="宋体" w:hAnsi="宋体" w:cs="仿宋"/>
                <w:sz w:val="24"/>
              </w:rPr>
            </w:pPr>
            <w:r>
              <w:rPr>
                <w:rFonts w:hint="eastAsia" w:ascii="宋体" w:hAnsi="宋体" w:cs="仿宋"/>
                <w:sz w:val="24"/>
              </w:rPr>
              <w:t xml:space="preserve">保证进度和项目完成的方案和措施等 </w:t>
            </w:r>
          </w:p>
        </w:tc>
        <w:tc>
          <w:tcPr>
            <w:tcW w:w="4986" w:type="dxa"/>
            <w:vAlign w:val="center"/>
          </w:tcPr>
          <w:p w14:paraId="0A9CAAFB">
            <w:pPr>
              <w:widowControl/>
              <w:jc w:val="left"/>
              <w:rPr>
                <w:rFonts w:ascii="宋体" w:hAnsi="宋体" w:cs="仿宋"/>
                <w:sz w:val="24"/>
              </w:rPr>
            </w:pPr>
            <w:r>
              <w:rPr>
                <w:rFonts w:hint="eastAsia" w:ascii="宋体" w:hAnsi="宋体" w:cs="仿宋"/>
                <w:sz w:val="24"/>
              </w:rPr>
              <w:t>本次疗休养实施</w:t>
            </w:r>
            <w:r>
              <w:rPr>
                <w:rFonts w:hint="eastAsia" w:ascii="宋体" w:hAnsi="宋体" w:cs="仿宋"/>
                <w:sz w:val="24"/>
                <w:lang w:val="zh-CN"/>
              </w:rPr>
              <w:t>工作程序和步骤、管理和协调方法以及关键步骤和要点等。</w:t>
            </w:r>
            <w:r>
              <w:rPr>
                <w:rFonts w:hint="eastAsia" w:ascii="宋体" w:hAnsi="宋体" w:cs="仿宋"/>
                <w:sz w:val="24"/>
              </w:rPr>
              <w:t>方案可行条理清晰、内容丰富、安排合理5分，基本满足方案可行条理清晰、内容丰富、安排合理3分，方案一般可行条理清晰、内容丰富、安排合理的1分。</w:t>
            </w:r>
          </w:p>
        </w:tc>
        <w:tc>
          <w:tcPr>
            <w:tcW w:w="803" w:type="dxa"/>
            <w:vAlign w:val="center"/>
          </w:tcPr>
          <w:p w14:paraId="75C86516">
            <w:pPr>
              <w:widowControl/>
              <w:jc w:val="center"/>
              <w:rPr>
                <w:rFonts w:ascii="宋体" w:hAnsi="宋体" w:cs="仿宋"/>
                <w:sz w:val="24"/>
              </w:rPr>
            </w:pPr>
            <w:r>
              <w:rPr>
                <w:rFonts w:hint="eastAsia" w:ascii="宋体" w:hAnsi="宋体" w:cs="仿宋"/>
                <w:sz w:val="24"/>
              </w:rPr>
              <w:t>5分</w:t>
            </w:r>
          </w:p>
        </w:tc>
        <w:tc>
          <w:tcPr>
            <w:tcW w:w="964" w:type="dxa"/>
            <w:vAlign w:val="center"/>
          </w:tcPr>
          <w:p w14:paraId="35A85BED">
            <w:pPr>
              <w:widowControl/>
              <w:jc w:val="center"/>
              <w:rPr>
                <w:rFonts w:ascii="宋体" w:hAnsi="宋体" w:cs="仿宋"/>
                <w:sz w:val="24"/>
              </w:rPr>
            </w:pPr>
            <w:r>
              <w:rPr>
                <w:rFonts w:hint="eastAsia" w:ascii="宋体" w:hAnsi="宋体" w:cs="仿宋"/>
                <w:sz w:val="24"/>
              </w:rPr>
              <w:t>主观分</w:t>
            </w:r>
          </w:p>
        </w:tc>
      </w:tr>
      <w:tr w14:paraId="75DF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33" w:type="dxa"/>
            <w:vMerge w:val="continue"/>
            <w:vAlign w:val="center"/>
          </w:tcPr>
          <w:p w14:paraId="7B1272D7">
            <w:pPr>
              <w:widowControl/>
              <w:jc w:val="center"/>
              <w:rPr>
                <w:rFonts w:ascii="宋体" w:hAnsi="宋体" w:cs="仿宋"/>
                <w:sz w:val="24"/>
              </w:rPr>
            </w:pPr>
          </w:p>
        </w:tc>
        <w:tc>
          <w:tcPr>
            <w:tcW w:w="555" w:type="dxa"/>
            <w:vAlign w:val="center"/>
          </w:tcPr>
          <w:p w14:paraId="044D83BD">
            <w:pPr>
              <w:widowControl/>
              <w:jc w:val="center"/>
              <w:rPr>
                <w:rFonts w:ascii="宋体" w:hAnsi="宋体" w:cs="仿宋"/>
                <w:sz w:val="24"/>
              </w:rPr>
            </w:pPr>
            <w:r>
              <w:rPr>
                <w:rFonts w:hint="eastAsia" w:ascii="宋体" w:hAnsi="宋体" w:cs="仿宋"/>
                <w:sz w:val="24"/>
              </w:rPr>
              <w:t>9</w:t>
            </w:r>
          </w:p>
        </w:tc>
        <w:tc>
          <w:tcPr>
            <w:tcW w:w="1397" w:type="dxa"/>
            <w:vAlign w:val="center"/>
          </w:tcPr>
          <w:p w14:paraId="7FB97F37">
            <w:pPr>
              <w:widowControl/>
              <w:jc w:val="center"/>
              <w:rPr>
                <w:rFonts w:ascii="宋体" w:hAnsi="宋体" w:cs="仿宋"/>
                <w:sz w:val="24"/>
              </w:rPr>
            </w:pPr>
            <w:r>
              <w:rPr>
                <w:rFonts w:hint="eastAsia" w:ascii="宋体" w:hAnsi="宋体" w:cs="仿宋"/>
                <w:sz w:val="24"/>
              </w:rPr>
              <w:t>项目负责人及技术力量安排等</w:t>
            </w:r>
          </w:p>
        </w:tc>
        <w:tc>
          <w:tcPr>
            <w:tcW w:w="4986" w:type="dxa"/>
            <w:vAlign w:val="center"/>
          </w:tcPr>
          <w:p w14:paraId="6959C160">
            <w:pPr>
              <w:widowControl/>
              <w:jc w:val="left"/>
              <w:rPr>
                <w:rFonts w:ascii="宋体" w:hAnsi="宋体" w:cs="仿宋"/>
                <w:sz w:val="24"/>
              </w:rPr>
            </w:pPr>
            <w:r>
              <w:rPr>
                <w:rFonts w:hint="eastAsia" w:ascii="宋体" w:hAnsi="宋体" w:cs="仿宋"/>
                <w:sz w:val="24"/>
                <w:lang w:val="zh-CN"/>
              </w:rPr>
              <w:t>项目负责人的专业素质、经验等情况，是否具有类似项目经验，是否具有调动各项资源的能力等</w:t>
            </w:r>
            <w:r>
              <w:rPr>
                <w:rFonts w:hint="eastAsia" w:ascii="宋体" w:hAnsi="宋体" w:cs="仿宋"/>
                <w:sz w:val="24"/>
              </w:rPr>
              <w:t>。</w:t>
            </w:r>
          </w:p>
        </w:tc>
        <w:tc>
          <w:tcPr>
            <w:tcW w:w="803" w:type="dxa"/>
            <w:vAlign w:val="center"/>
          </w:tcPr>
          <w:p w14:paraId="42F157D9">
            <w:pPr>
              <w:widowControl/>
              <w:jc w:val="center"/>
              <w:rPr>
                <w:rFonts w:ascii="宋体" w:hAnsi="宋体" w:cs="仿宋"/>
                <w:sz w:val="24"/>
              </w:rPr>
            </w:pPr>
            <w:r>
              <w:rPr>
                <w:rFonts w:hint="eastAsia" w:ascii="宋体" w:hAnsi="宋体" w:cs="仿宋"/>
                <w:sz w:val="24"/>
              </w:rPr>
              <w:t>5分</w:t>
            </w:r>
          </w:p>
        </w:tc>
        <w:tc>
          <w:tcPr>
            <w:tcW w:w="964" w:type="dxa"/>
            <w:vAlign w:val="center"/>
          </w:tcPr>
          <w:p w14:paraId="6EBD8D60">
            <w:pPr>
              <w:widowControl/>
              <w:jc w:val="center"/>
              <w:rPr>
                <w:rFonts w:ascii="宋体" w:hAnsi="宋体" w:cs="仿宋"/>
                <w:sz w:val="24"/>
              </w:rPr>
            </w:pPr>
            <w:r>
              <w:rPr>
                <w:rFonts w:hint="eastAsia" w:ascii="宋体" w:hAnsi="宋体" w:cs="仿宋"/>
                <w:sz w:val="24"/>
              </w:rPr>
              <w:t>主观分</w:t>
            </w:r>
          </w:p>
        </w:tc>
      </w:tr>
      <w:tr w14:paraId="757B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vAlign w:val="center"/>
          </w:tcPr>
          <w:p w14:paraId="52379935">
            <w:pPr>
              <w:widowControl/>
              <w:jc w:val="center"/>
              <w:rPr>
                <w:rFonts w:ascii="宋体" w:hAnsi="宋体" w:cs="仿宋"/>
                <w:sz w:val="24"/>
              </w:rPr>
            </w:pPr>
          </w:p>
        </w:tc>
        <w:tc>
          <w:tcPr>
            <w:tcW w:w="555" w:type="dxa"/>
            <w:vAlign w:val="center"/>
          </w:tcPr>
          <w:p w14:paraId="644BFA56">
            <w:pPr>
              <w:widowControl/>
              <w:jc w:val="center"/>
              <w:rPr>
                <w:rFonts w:ascii="宋体" w:hAnsi="宋体" w:cs="仿宋"/>
                <w:sz w:val="24"/>
              </w:rPr>
            </w:pPr>
            <w:r>
              <w:rPr>
                <w:rFonts w:hint="eastAsia" w:ascii="宋体" w:hAnsi="宋体" w:cs="仿宋"/>
                <w:sz w:val="24"/>
              </w:rPr>
              <w:t>10</w:t>
            </w:r>
          </w:p>
        </w:tc>
        <w:tc>
          <w:tcPr>
            <w:tcW w:w="1397" w:type="dxa"/>
            <w:vAlign w:val="center"/>
          </w:tcPr>
          <w:p w14:paraId="6A1A340A">
            <w:pPr>
              <w:widowControl/>
              <w:jc w:val="center"/>
              <w:rPr>
                <w:rFonts w:ascii="宋体" w:hAnsi="宋体" w:cs="仿宋"/>
                <w:sz w:val="24"/>
              </w:rPr>
            </w:pPr>
            <w:r>
              <w:rPr>
                <w:rFonts w:hint="eastAsia" w:ascii="宋体" w:hAnsi="宋体" w:cs="仿宋"/>
                <w:sz w:val="24"/>
              </w:rPr>
              <w:t xml:space="preserve">对本项目的合理化建议  </w:t>
            </w:r>
          </w:p>
        </w:tc>
        <w:tc>
          <w:tcPr>
            <w:tcW w:w="4986" w:type="dxa"/>
            <w:vAlign w:val="center"/>
          </w:tcPr>
          <w:p w14:paraId="519D495E">
            <w:pPr>
              <w:widowControl/>
              <w:jc w:val="left"/>
              <w:rPr>
                <w:rFonts w:ascii="宋体" w:hAnsi="宋体" w:cs="仿宋"/>
                <w:sz w:val="24"/>
              </w:rPr>
            </w:pPr>
            <w:r>
              <w:rPr>
                <w:rFonts w:hint="eastAsia" w:ascii="宋体" w:hAnsi="宋体" w:cs="仿宋"/>
                <w:sz w:val="24"/>
              </w:rPr>
              <w:t>在标书中规定的线路标准的基础上，提出合理化建议。方案可行条理清晰、内容丰富、安排合理5分，基本满足方案可行条理清晰、内容丰富、安排合理3分，方案一般可行条理清晰、内容丰富、安排合理的1分。</w:t>
            </w:r>
          </w:p>
        </w:tc>
        <w:tc>
          <w:tcPr>
            <w:tcW w:w="803" w:type="dxa"/>
            <w:vAlign w:val="center"/>
          </w:tcPr>
          <w:p w14:paraId="6AE19787">
            <w:pPr>
              <w:widowControl/>
              <w:jc w:val="center"/>
              <w:rPr>
                <w:rFonts w:ascii="宋体" w:hAnsi="宋体" w:cs="仿宋"/>
                <w:sz w:val="24"/>
              </w:rPr>
            </w:pPr>
            <w:r>
              <w:rPr>
                <w:rFonts w:hint="eastAsia" w:ascii="宋体" w:hAnsi="宋体" w:cs="仿宋"/>
                <w:sz w:val="24"/>
              </w:rPr>
              <w:t>5分</w:t>
            </w:r>
          </w:p>
        </w:tc>
        <w:tc>
          <w:tcPr>
            <w:tcW w:w="964" w:type="dxa"/>
            <w:vAlign w:val="center"/>
          </w:tcPr>
          <w:p w14:paraId="06347292">
            <w:pPr>
              <w:widowControl/>
              <w:jc w:val="center"/>
              <w:rPr>
                <w:rFonts w:ascii="宋体" w:hAnsi="宋体" w:cs="仿宋"/>
                <w:sz w:val="24"/>
              </w:rPr>
            </w:pPr>
            <w:r>
              <w:rPr>
                <w:rFonts w:hint="eastAsia" w:ascii="宋体" w:hAnsi="宋体" w:cs="仿宋"/>
                <w:sz w:val="24"/>
              </w:rPr>
              <w:t>主观分</w:t>
            </w:r>
          </w:p>
        </w:tc>
      </w:tr>
      <w:tr w14:paraId="1D87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33" w:type="dxa"/>
            <w:vMerge w:val="continue"/>
            <w:vAlign w:val="center"/>
          </w:tcPr>
          <w:p w14:paraId="21161362">
            <w:pPr>
              <w:widowControl/>
              <w:jc w:val="center"/>
              <w:rPr>
                <w:rFonts w:ascii="宋体" w:hAnsi="宋体" w:cs="仿宋"/>
                <w:sz w:val="24"/>
              </w:rPr>
            </w:pPr>
          </w:p>
        </w:tc>
        <w:tc>
          <w:tcPr>
            <w:tcW w:w="555" w:type="dxa"/>
            <w:vAlign w:val="center"/>
          </w:tcPr>
          <w:p w14:paraId="153FD7BA">
            <w:pPr>
              <w:widowControl/>
              <w:jc w:val="center"/>
              <w:rPr>
                <w:rFonts w:ascii="宋体" w:hAnsi="宋体" w:cs="仿宋"/>
                <w:sz w:val="24"/>
              </w:rPr>
            </w:pPr>
            <w:r>
              <w:rPr>
                <w:rFonts w:hint="eastAsia" w:ascii="宋体" w:hAnsi="宋体" w:cs="仿宋"/>
                <w:sz w:val="24"/>
              </w:rPr>
              <w:t>11</w:t>
            </w:r>
          </w:p>
        </w:tc>
        <w:tc>
          <w:tcPr>
            <w:tcW w:w="1397" w:type="dxa"/>
            <w:vAlign w:val="center"/>
          </w:tcPr>
          <w:p w14:paraId="2FFF7A0A">
            <w:pPr>
              <w:widowControl/>
              <w:jc w:val="center"/>
              <w:rPr>
                <w:rFonts w:ascii="宋体" w:hAnsi="宋体" w:cs="仿宋"/>
                <w:sz w:val="24"/>
              </w:rPr>
            </w:pPr>
            <w:r>
              <w:rPr>
                <w:rFonts w:hint="eastAsia" w:ascii="宋体" w:hAnsi="宋体" w:cs="仿宋"/>
                <w:sz w:val="24"/>
                <w:lang w:val="zh-CN"/>
              </w:rPr>
              <w:t>服务承诺及本地化服务能力（综合评定）</w:t>
            </w:r>
          </w:p>
        </w:tc>
        <w:tc>
          <w:tcPr>
            <w:tcW w:w="4986" w:type="dxa"/>
            <w:vAlign w:val="center"/>
          </w:tcPr>
          <w:p w14:paraId="527828CC">
            <w:pPr>
              <w:widowControl/>
              <w:jc w:val="left"/>
              <w:rPr>
                <w:rFonts w:ascii="宋体" w:hAnsi="宋体" w:cs="仿宋"/>
                <w:sz w:val="24"/>
              </w:rPr>
            </w:pPr>
            <w:r>
              <w:rPr>
                <w:rFonts w:hint="eastAsia" w:ascii="宋体" w:hAnsi="宋体" w:cs="仿宋"/>
                <w:sz w:val="24"/>
                <w:lang w:val="zh-CN"/>
              </w:rPr>
              <w:t>提供后续服务计划及根据投标人注册地等，方便、快捷、优质提供服务等情况。</w:t>
            </w:r>
          </w:p>
        </w:tc>
        <w:tc>
          <w:tcPr>
            <w:tcW w:w="803" w:type="dxa"/>
            <w:vAlign w:val="center"/>
          </w:tcPr>
          <w:p w14:paraId="5144420F">
            <w:pPr>
              <w:widowControl/>
              <w:jc w:val="center"/>
              <w:rPr>
                <w:rFonts w:ascii="宋体" w:hAnsi="宋体" w:cs="仿宋"/>
                <w:sz w:val="24"/>
              </w:rPr>
            </w:pPr>
            <w:r>
              <w:rPr>
                <w:rFonts w:hint="eastAsia" w:ascii="宋体" w:hAnsi="宋体" w:cs="仿宋"/>
                <w:sz w:val="24"/>
              </w:rPr>
              <w:t>4分</w:t>
            </w:r>
          </w:p>
        </w:tc>
        <w:tc>
          <w:tcPr>
            <w:tcW w:w="964" w:type="dxa"/>
            <w:vAlign w:val="center"/>
          </w:tcPr>
          <w:p w14:paraId="4F91D15B">
            <w:pPr>
              <w:widowControl/>
              <w:jc w:val="center"/>
              <w:rPr>
                <w:rFonts w:ascii="宋体" w:hAnsi="宋体" w:cs="仿宋"/>
                <w:sz w:val="24"/>
              </w:rPr>
            </w:pPr>
            <w:r>
              <w:rPr>
                <w:rFonts w:hint="eastAsia" w:ascii="宋体" w:hAnsi="宋体" w:cs="仿宋"/>
                <w:sz w:val="24"/>
              </w:rPr>
              <w:t>主观分</w:t>
            </w:r>
          </w:p>
        </w:tc>
      </w:tr>
      <w:tr w14:paraId="44CE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33" w:type="dxa"/>
            <w:vMerge w:val="continue"/>
            <w:vAlign w:val="center"/>
          </w:tcPr>
          <w:p w14:paraId="5F26C3DC">
            <w:pPr>
              <w:widowControl/>
              <w:jc w:val="center"/>
              <w:rPr>
                <w:rFonts w:ascii="宋体" w:hAnsi="宋体" w:cs="仿宋"/>
                <w:sz w:val="24"/>
              </w:rPr>
            </w:pPr>
          </w:p>
        </w:tc>
        <w:tc>
          <w:tcPr>
            <w:tcW w:w="555" w:type="dxa"/>
            <w:vAlign w:val="center"/>
          </w:tcPr>
          <w:p w14:paraId="529A5D79">
            <w:pPr>
              <w:widowControl/>
              <w:jc w:val="center"/>
              <w:rPr>
                <w:rFonts w:ascii="宋体" w:hAnsi="宋体" w:cs="仿宋"/>
                <w:sz w:val="24"/>
              </w:rPr>
            </w:pPr>
            <w:r>
              <w:rPr>
                <w:rFonts w:hint="eastAsia" w:ascii="宋体" w:hAnsi="宋体" w:cs="仿宋"/>
                <w:sz w:val="24"/>
              </w:rPr>
              <w:t>12</w:t>
            </w:r>
          </w:p>
        </w:tc>
        <w:tc>
          <w:tcPr>
            <w:tcW w:w="1397" w:type="dxa"/>
            <w:vAlign w:val="center"/>
          </w:tcPr>
          <w:p w14:paraId="73A95FC4">
            <w:pPr>
              <w:widowControl/>
              <w:jc w:val="center"/>
              <w:rPr>
                <w:rFonts w:ascii="宋体" w:hAnsi="宋体" w:cs="仿宋"/>
                <w:sz w:val="24"/>
              </w:rPr>
            </w:pPr>
            <w:r>
              <w:rPr>
                <w:rFonts w:hint="eastAsia" w:ascii="宋体" w:hAnsi="宋体" w:cs="仿宋"/>
                <w:sz w:val="24"/>
              </w:rPr>
              <w:t>安全保障措施</w:t>
            </w:r>
          </w:p>
        </w:tc>
        <w:tc>
          <w:tcPr>
            <w:tcW w:w="4986" w:type="dxa"/>
            <w:vAlign w:val="center"/>
          </w:tcPr>
          <w:p w14:paraId="50CBEA1B">
            <w:pPr>
              <w:widowControl/>
              <w:jc w:val="left"/>
              <w:rPr>
                <w:rFonts w:ascii="宋体" w:hAnsi="宋体" w:cs="仿宋"/>
                <w:sz w:val="24"/>
              </w:rPr>
            </w:pPr>
            <w:r>
              <w:rPr>
                <w:rFonts w:hint="eastAsia" w:ascii="宋体" w:hAnsi="宋体" w:cs="仿宋"/>
                <w:sz w:val="24"/>
              </w:rPr>
              <w:t>投标人提供详细的突发事件处理方案、安防措施、投诉处理、纠纷处理方案。</w:t>
            </w:r>
          </w:p>
        </w:tc>
        <w:tc>
          <w:tcPr>
            <w:tcW w:w="803" w:type="dxa"/>
            <w:vAlign w:val="center"/>
          </w:tcPr>
          <w:p w14:paraId="000C030B">
            <w:pPr>
              <w:widowControl/>
              <w:jc w:val="center"/>
              <w:rPr>
                <w:rFonts w:ascii="宋体" w:hAnsi="宋体" w:cs="仿宋"/>
                <w:sz w:val="24"/>
              </w:rPr>
            </w:pPr>
            <w:r>
              <w:rPr>
                <w:rFonts w:hint="eastAsia" w:ascii="宋体" w:hAnsi="宋体" w:cs="仿宋"/>
                <w:sz w:val="24"/>
              </w:rPr>
              <w:t>4分</w:t>
            </w:r>
          </w:p>
        </w:tc>
        <w:tc>
          <w:tcPr>
            <w:tcW w:w="964" w:type="dxa"/>
            <w:vAlign w:val="center"/>
          </w:tcPr>
          <w:p w14:paraId="4F2C69BC">
            <w:pPr>
              <w:widowControl/>
              <w:jc w:val="center"/>
              <w:rPr>
                <w:rFonts w:ascii="宋体" w:hAnsi="宋体" w:cs="仿宋"/>
                <w:sz w:val="24"/>
              </w:rPr>
            </w:pPr>
            <w:r>
              <w:rPr>
                <w:rFonts w:hint="eastAsia" w:ascii="宋体" w:hAnsi="宋体" w:cs="仿宋"/>
                <w:sz w:val="24"/>
              </w:rPr>
              <w:t>主观分</w:t>
            </w:r>
          </w:p>
        </w:tc>
      </w:tr>
      <w:tr w14:paraId="335C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3" w:type="dxa"/>
            <w:vMerge w:val="continue"/>
            <w:vAlign w:val="center"/>
          </w:tcPr>
          <w:p w14:paraId="10C63F75">
            <w:pPr>
              <w:widowControl/>
              <w:jc w:val="center"/>
              <w:rPr>
                <w:rFonts w:ascii="宋体" w:hAnsi="宋体" w:cs="仿宋"/>
                <w:sz w:val="24"/>
              </w:rPr>
            </w:pPr>
          </w:p>
        </w:tc>
        <w:tc>
          <w:tcPr>
            <w:tcW w:w="555" w:type="dxa"/>
            <w:vAlign w:val="center"/>
          </w:tcPr>
          <w:p w14:paraId="5B49F4E1">
            <w:pPr>
              <w:widowControl/>
              <w:jc w:val="center"/>
              <w:rPr>
                <w:rFonts w:ascii="宋体" w:hAnsi="宋体" w:cs="仿宋"/>
                <w:sz w:val="24"/>
              </w:rPr>
            </w:pPr>
            <w:r>
              <w:rPr>
                <w:rFonts w:hint="eastAsia" w:ascii="宋体" w:hAnsi="宋体" w:cs="仿宋"/>
                <w:sz w:val="24"/>
              </w:rPr>
              <w:t>13</w:t>
            </w:r>
          </w:p>
        </w:tc>
        <w:tc>
          <w:tcPr>
            <w:tcW w:w="1397" w:type="dxa"/>
            <w:vAlign w:val="center"/>
          </w:tcPr>
          <w:p w14:paraId="6DEC3354">
            <w:pPr>
              <w:widowControl/>
              <w:jc w:val="center"/>
              <w:rPr>
                <w:rFonts w:ascii="宋体" w:hAnsi="宋体" w:cs="仿宋"/>
                <w:sz w:val="24"/>
              </w:rPr>
            </w:pPr>
            <w:r>
              <w:rPr>
                <w:rFonts w:hint="eastAsia" w:ascii="宋体" w:hAnsi="宋体" w:cs="仿宋"/>
                <w:sz w:val="24"/>
              </w:rPr>
              <w:t>增值服务（综合评定）</w:t>
            </w:r>
          </w:p>
        </w:tc>
        <w:tc>
          <w:tcPr>
            <w:tcW w:w="4986" w:type="dxa"/>
            <w:vAlign w:val="center"/>
          </w:tcPr>
          <w:p w14:paraId="7397A935">
            <w:pPr>
              <w:widowControl/>
              <w:jc w:val="left"/>
              <w:rPr>
                <w:rFonts w:ascii="宋体" w:hAnsi="宋体" w:cs="仿宋"/>
                <w:sz w:val="24"/>
              </w:rPr>
            </w:pPr>
            <w:r>
              <w:rPr>
                <w:rFonts w:hint="eastAsia" w:ascii="宋体" w:hAnsi="宋体" w:cs="仿宋"/>
                <w:sz w:val="24"/>
              </w:rPr>
              <w:t>增值（特色）服务等。</w:t>
            </w:r>
          </w:p>
        </w:tc>
        <w:tc>
          <w:tcPr>
            <w:tcW w:w="803" w:type="dxa"/>
            <w:vAlign w:val="center"/>
          </w:tcPr>
          <w:p w14:paraId="2A172BD9">
            <w:pPr>
              <w:widowControl/>
              <w:jc w:val="center"/>
              <w:rPr>
                <w:rFonts w:ascii="宋体" w:hAnsi="宋体" w:cs="仿宋"/>
                <w:sz w:val="24"/>
              </w:rPr>
            </w:pPr>
            <w:r>
              <w:rPr>
                <w:rFonts w:hint="eastAsia" w:ascii="宋体" w:hAnsi="宋体" w:cs="仿宋"/>
                <w:sz w:val="24"/>
              </w:rPr>
              <w:t>4分</w:t>
            </w:r>
          </w:p>
        </w:tc>
        <w:tc>
          <w:tcPr>
            <w:tcW w:w="964" w:type="dxa"/>
            <w:vAlign w:val="center"/>
          </w:tcPr>
          <w:p w14:paraId="372562BC">
            <w:pPr>
              <w:widowControl/>
              <w:jc w:val="center"/>
              <w:rPr>
                <w:rFonts w:ascii="宋体" w:hAnsi="宋体" w:cs="仿宋"/>
                <w:sz w:val="24"/>
              </w:rPr>
            </w:pPr>
            <w:r>
              <w:rPr>
                <w:rFonts w:hint="eastAsia" w:ascii="宋体" w:hAnsi="宋体" w:cs="仿宋"/>
                <w:sz w:val="24"/>
              </w:rPr>
              <w:t>主观分</w:t>
            </w:r>
          </w:p>
        </w:tc>
      </w:tr>
      <w:tr w14:paraId="4B38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633" w:type="dxa"/>
            <w:vMerge w:val="continue"/>
            <w:vAlign w:val="center"/>
          </w:tcPr>
          <w:p w14:paraId="48A5D86B">
            <w:pPr>
              <w:widowControl/>
              <w:jc w:val="center"/>
              <w:rPr>
                <w:rFonts w:ascii="宋体" w:hAnsi="宋体" w:cs="仿宋"/>
                <w:sz w:val="24"/>
              </w:rPr>
            </w:pPr>
          </w:p>
        </w:tc>
        <w:tc>
          <w:tcPr>
            <w:tcW w:w="555" w:type="dxa"/>
            <w:vAlign w:val="center"/>
          </w:tcPr>
          <w:p w14:paraId="3CF94B87">
            <w:pPr>
              <w:widowControl/>
              <w:jc w:val="center"/>
              <w:rPr>
                <w:rFonts w:ascii="宋体" w:hAnsi="宋体" w:cs="仿宋"/>
                <w:sz w:val="24"/>
              </w:rPr>
            </w:pPr>
            <w:r>
              <w:rPr>
                <w:rFonts w:hint="eastAsia" w:ascii="宋体" w:hAnsi="宋体" w:cs="仿宋"/>
                <w:sz w:val="24"/>
              </w:rPr>
              <w:t>14</w:t>
            </w:r>
          </w:p>
        </w:tc>
        <w:tc>
          <w:tcPr>
            <w:tcW w:w="1397" w:type="dxa"/>
            <w:vAlign w:val="center"/>
          </w:tcPr>
          <w:p w14:paraId="0FA2FD42">
            <w:pPr>
              <w:widowControl/>
              <w:jc w:val="center"/>
              <w:rPr>
                <w:rFonts w:ascii="宋体" w:hAnsi="宋体" w:cs="仿宋"/>
                <w:sz w:val="24"/>
              </w:rPr>
            </w:pPr>
            <w:r>
              <w:rPr>
                <w:rFonts w:hint="eastAsia" w:ascii="宋体" w:hAnsi="宋体" w:cs="仿宋"/>
                <w:sz w:val="24"/>
              </w:rPr>
              <w:t>旅行社责任险</w:t>
            </w:r>
          </w:p>
        </w:tc>
        <w:tc>
          <w:tcPr>
            <w:tcW w:w="4986" w:type="dxa"/>
            <w:vAlign w:val="center"/>
          </w:tcPr>
          <w:p w14:paraId="0F0A81C0">
            <w:pPr>
              <w:widowControl/>
              <w:jc w:val="left"/>
              <w:rPr>
                <w:rFonts w:ascii="宋体" w:hAnsi="宋体" w:cs="仿宋"/>
                <w:sz w:val="24"/>
              </w:rPr>
            </w:pPr>
            <w:r>
              <w:rPr>
                <w:rFonts w:hint="eastAsia" w:ascii="宋体" w:hAnsi="宋体" w:cs="仿宋"/>
                <w:sz w:val="24"/>
              </w:rPr>
              <w:t>责任险：每次事故累计责任限额2000万元及以上且每人责任限额150万/人及以上得5分；每次事故累计责任限额2000万（不含）-1500万元（含）且每人责任限额150万/人（不含）-100万元/人（含）得3分；每次事故累计责任限额1500（不含）万元以下且每人责任限额100万/人及以下得2分。</w:t>
            </w:r>
          </w:p>
        </w:tc>
        <w:tc>
          <w:tcPr>
            <w:tcW w:w="803" w:type="dxa"/>
            <w:vAlign w:val="center"/>
          </w:tcPr>
          <w:p w14:paraId="4D15B41D">
            <w:pPr>
              <w:widowControl/>
              <w:jc w:val="center"/>
              <w:rPr>
                <w:rFonts w:ascii="宋体" w:hAnsi="宋体" w:cs="仿宋"/>
                <w:sz w:val="24"/>
              </w:rPr>
            </w:pPr>
            <w:r>
              <w:rPr>
                <w:rFonts w:hint="eastAsia" w:ascii="宋体" w:hAnsi="宋体" w:cs="仿宋"/>
                <w:sz w:val="24"/>
              </w:rPr>
              <w:t>5分</w:t>
            </w:r>
          </w:p>
        </w:tc>
        <w:tc>
          <w:tcPr>
            <w:tcW w:w="964" w:type="dxa"/>
            <w:vAlign w:val="center"/>
          </w:tcPr>
          <w:p w14:paraId="3D002362">
            <w:pPr>
              <w:widowControl/>
              <w:jc w:val="center"/>
              <w:rPr>
                <w:rFonts w:ascii="宋体" w:hAnsi="宋体" w:cs="仿宋"/>
                <w:sz w:val="24"/>
              </w:rPr>
            </w:pPr>
            <w:r>
              <w:rPr>
                <w:rFonts w:hint="eastAsia" w:ascii="宋体" w:hAnsi="宋体" w:cs="仿宋"/>
                <w:sz w:val="24"/>
              </w:rPr>
              <w:t>客观分</w:t>
            </w:r>
          </w:p>
        </w:tc>
      </w:tr>
    </w:tbl>
    <w:p w14:paraId="69C43330">
      <w:pPr>
        <w:widowControl/>
        <w:spacing w:line="360" w:lineRule="auto"/>
        <w:jc w:val="left"/>
        <w:rPr>
          <w:rFonts w:ascii="宋体" w:hAnsi="宋体" w:cs="仿宋"/>
          <w:sz w:val="24"/>
        </w:rPr>
      </w:pPr>
      <w:r>
        <w:rPr>
          <w:rFonts w:hint="eastAsia" w:ascii="宋体" w:hAnsi="宋体" w:cs="仿宋"/>
          <w:sz w:val="24"/>
        </w:rPr>
        <w:t>价格分（10分）</w:t>
      </w:r>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55"/>
        <w:gridCol w:w="1395"/>
        <w:gridCol w:w="4980"/>
        <w:gridCol w:w="795"/>
        <w:gridCol w:w="977"/>
      </w:tblGrid>
      <w:tr w14:paraId="0767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39" w:type="dxa"/>
          </w:tcPr>
          <w:p w14:paraId="4C240EEA">
            <w:pPr>
              <w:widowControl/>
              <w:jc w:val="center"/>
              <w:rPr>
                <w:rFonts w:ascii="宋体" w:hAnsi="宋体" w:cs="仿宋"/>
                <w:sz w:val="24"/>
              </w:rPr>
            </w:pPr>
            <w:r>
              <w:rPr>
                <w:rFonts w:hint="eastAsia" w:ascii="宋体" w:hAnsi="宋体" w:cs="仿宋"/>
                <w:sz w:val="24"/>
              </w:rPr>
              <w:t>价格分</w:t>
            </w:r>
          </w:p>
        </w:tc>
        <w:tc>
          <w:tcPr>
            <w:tcW w:w="555" w:type="dxa"/>
            <w:vAlign w:val="center"/>
          </w:tcPr>
          <w:p w14:paraId="56B1A785">
            <w:pPr>
              <w:widowControl/>
              <w:jc w:val="center"/>
              <w:rPr>
                <w:rFonts w:ascii="宋体" w:hAnsi="宋体" w:cs="仿宋"/>
                <w:sz w:val="24"/>
              </w:rPr>
            </w:pPr>
            <w:r>
              <w:rPr>
                <w:rFonts w:hint="eastAsia" w:ascii="宋体" w:hAnsi="宋体" w:cs="仿宋"/>
                <w:sz w:val="24"/>
              </w:rPr>
              <w:t>1</w:t>
            </w:r>
          </w:p>
        </w:tc>
        <w:tc>
          <w:tcPr>
            <w:tcW w:w="1395" w:type="dxa"/>
            <w:vAlign w:val="center"/>
          </w:tcPr>
          <w:p w14:paraId="6FF53A37">
            <w:pPr>
              <w:widowControl/>
              <w:jc w:val="center"/>
              <w:rPr>
                <w:rFonts w:ascii="宋体" w:hAnsi="宋体" w:cs="仿宋"/>
                <w:sz w:val="24"/>
              </w:rPr>
            </w:pPr>
            <w:r>
              <w:rPr>
                <w:rFonts w:hint="eastAsia" w:ascii="宋体" w:hAnsi="宋体" w:cs="仿宋"/>
                <w:sz w:val="24"/>
              </w:rPr>
              <w:t>价格权值=0.10</w:t>
            </w:r>
          </w:p>
        </w:tc>
        <w:tc>
          <w:tcPr>
            <w:tcW w:w="4980" w:type="dxa"/>
          </w:tcPr>
          <w:p w14:paraId="062C0962">
            <w:pPr>
              <w:widowControl/>
              <w:jc w:val="left"/>
              <w:rPr>
                <w:rFonts w:ascii="宋体" w:hAnsi="宋体" w:cs="仿宋"/>
                <w:sz w:val="24"/>
              </w:rPr>
            </w:pPr>
            <w:r>
              <w:rPr>
                <w:rFonts w:hint="eastAsia" w:ascii="宋体" w:hAnsi="宋体" w:cs="仿宋"/>
                <w:sz w:val="24"/>
              </w:rPr>
              <w:t>最低有效投标价格为评标基准价</w:t>
            </w:r>
          </w:p>
          <w:p w14:paraId="339073A4">
            <w:pPr>
              <w:widowControl/>
              <w:jc w:val="left"/>
              <w:rPr>
                <w:rFonts w:ascii="宋体" w:hAnsi="宋体" w:cs="仿宋"/>
                <w:sz w:val="24"/>
              </w:rPr>
            </w:pPr>
            <w:r>
              <w:rPr>
                <w:rFonts w:hint="eastAsia" w:ascii="宋体" w:hAnsi="宋体" w:cs="仿宋"/>
                <w:sz w:val="24"/>
              </w:rPr>
              <w:t xml:space="preserve">投标报价得分=(评标基准价／投标报价)×价格权值×100 </w:t>
            </w:r>
          </w:p>
          <w:p w14:paraId="2099E7A3">
            <w:pPr>
              <w:widowControl/>
              <w:jc w:val="left"/>
              <w:rPr>
                <w:rFonts w:ascii="宋体" w:hAnsi="宋体" w:cs="仿宋"/>
                <w:sz w:val="24"/>
              </w:rPr>
            </w:pPr>
            <w:r>
              <w:rPr>
                <w:rFonts w:hint="eastAsia" w:ascii="宋体" w:hAnsi="宋体" w:cs="仿宋"/>
                <w:sz w:val="24"/>
              </w:rPr>
              <w:t>（计算得分保留小数点后2位）</w:t>
            </w:r>
          </w:p>
        </w:tc>
        <w:tc>
          <w:tcPr>
            <w:tcW w:w="795" w:type="dxa"/>
            <w:vAlign w:val="center"/>
          </w:tcPr>
          <w:p w14:paraId="4E6B59C3">
            <w:pPr>
              <w:widowControl/>
              <w:jc w:val="center"/>
              <w:rPr>
                <w:rFonts w:ascii="宋体" w:hAnsi="宋体" w:cs="仿宋"/>
                <w:sz w:val="24"/>
              </w:rPr>
            </w:pPr>
            <w:r>
              <w:rPr>
                <w:rFonts w:hint="eastAsia" w:ascii="宋体" w:hAnsi="宋体" w:cs="仿宋"/>
                <w:sz w:val="24"/>
              </w:rPr>
              <w:t>10分</w:t>
            </w:r>
          </w:p>
        </w:tc>
        <w:tc>
          <w:tcPr>
            <w:tcW w:w="977" w:type="dxa"/>
            <w:vAlign w:val="center"/>
          </w:tcPr>
          <w:p w14:paraId="50D744B5">
            <w:pPr>
              <w:widowControl/>
              <w:jc w:val="center"/>
              <w:rPr>
                <w:rFonts w:ascii="宋体" w:hAnsi="宋体" w:cs="仿宋"/>
                <w:sz w:val="24"/>
              </w:rPr>
            </w:pPr>
            <w:r>
              <w:rPr>
                <w:rFonts w:hint="eastAsia" w:ascii="宋体" w:hAnsi="宋体" w:cs="仿宋"/>
                <w:sz w:val="24"/>
              </w:rPr>
              <w:t>/</w:t>
            </w:r>
          </w:p>
        </w:tc>
      </w:tr>
    </w:tbl>
    <w:p w14:paraId="59A8F955">
      <w:pPr>
        <w:spacing w:line="360" w:lineRule="auto"/>
        <w:rPr>
          <w:rFonts w:ascii="宋体" w:hAnsi="宋体" w:cs="仿宋"/>
          <w:bCs/>
          <w:sz w:val="24"/>
        </w:rPr>
      </w:pPr>
      <w:r>
        <w:rPr>
          <w:rFonts w:hint="eastAsia" w:ascii="宋体" w:hAnsi="宋体" w:cs="仿宋"/>
          <w:b/>
          <w:sz w:val="24"/>
        </w:rPr>
        <w:t>备注：</w:t>
      </w:r>
      <w:r>
        <w:rPr>
          <w:rFonts w:hint="eastAsia" w:ascii="宋体" w:hAnsi="宋体" w:cs="仿宋"/>
          <w:bCs/>
          <w:sz w:val="24"/>
        </w:rPr>
        <w:t>1）评分条款中涉及的业绩等分公司均无效。</w:t>
      </w:r>
    </w:p>
    <w:p w14:paraId="6EF82741">
      <w:pPr>
        <w:spacing w:line="360" w:lineRule="auto"/>
        <w:rPr>
          <w:rFonts w:ascii="宋体" w:hAnsi="宋体" w:cs="仿宋"/>
          <w:bCs/>
          <w:sz w:val="24"/>
        </w:rPr>
      </w:pPr>
      <w:r>
        <w:rPr>
          <w:rFonts w:hint="eastAsia" w:ascii="宋体" w:hAnsi="宋体" w:cs="仿宋"/>
          <w:bCs/>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8081454">
      <w:pPr>
        <w:spacing w:line="560" w:lineRule="exact"/>
        <w:outlineLvl w:val="0"/>
        <w:rPr>
          <w:rFonts w:ascii="宋体" w:hAnsi="宋体" w:cs="宋体"/>
          <w:b/>
          <w:color w:val="000000" w:themeColor="text1"/>
          <w:sz w:val="36"/>
          <w:szCs w:val="36"/>
        </w:rPr>
      </w:pPr>
      <w:r>
        <w:rPr>
          <w:rFonts w:hint="eastAsia" w:ascii="宋体" w:hAnsi="宋体" w:cs="宋体"/>
          <w:b/>
          <w:color w:val="000000" w:themeColor="text1"/>
          <w:sz w:val="36"/>
          <w:szCs w:val="36"/>
        </w:rPr>
        <w:t>三、</w:t>
      </w:r>
      <w:r>
        <w:rPr>
          <w:rFonts w:hint="eastAsia" w:ascii="宋体" w:hAnsi="宋体" w:cs="宋体"/>
          <w:b/>
          <w:color w:val="000000" w:themeColor="text1"/>
          <w:sz w:val="32"/>
        </w:rPr>
        <w:t>交易程序</w:t>
      </w:r>
    </w:p>
    <w:bookmarkEnd w:id="19"/>
    <w:p w14:paraId="1CF85EC3">
      <w:pPr>
        <w:spacing w:line="560" w:lineRule="exact"/>
        <w:ind w:firstLine="472" w:firstLineChars="196"/>
        <w:rPr>
          <w:rFonts w:ascii="宋体" w:hAnsi="宋体" w:cs="宋体"/>
          <w:color w:val="000000" w:themeColor="text1"/>
          <w:kern w:val="0"/>
          <w:sz w:val="24"/>
        </w:rPr>
      </w:pPr>
      <w:bookmarkStart w:id="386" w:name="第五部分"/>
      <w:bookmarkStart w:id="387" w:name="_Toc86217003"/>
      <w:r>
        <w:rPr>
          <w:rFonts w:hint="eastAsia" w:ascii="宋体" w:hAnsi="宋体" w:cs="宋体"/>
          <w:b/>
          <w:color w:val="000000" w:themeColor="text1"/>
          <w:kern w:val="0"/>
          <w:sz w:val="24"/>
        </w:rPr>
        <w:t>1、符合性审查。</w:t>
      </w:r>
      <w:r>
        <w:rPr>
          <w:rFonts w:hint="eastAsia" w:ascii="宋体" w:hAnsi="宋体" w:cs="宋体"/>
          <w:color w:val="000000" w:themeColor="text1"/>
          <w:kern w:val="0"/>
          <w:sz w:val="24"/>
        </w:rPr>
        <w:t>评标委员会应当对符合资格的供应商的响应文件进行符合性审查，以确定其是否满足交易文件的实质性要求。不满足交易文件的实质性要求的，交易无效。</w:t>
      </w:r>
    </w:p>
    <w:p w14:paraId="72B205C6">
      <w:pPr>
        <w:spacing w:line="56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2、比较与评价。</w:t>
      </w:r>
      <w:r>
        <w:rPr>
          <w:rFonts w:hint="eastAsia" w:ascii="宋体" w:hAnsi="宋体" w:cs="宋体"/>
          <w:color w:val="000000" w:themeColor="text1"/>
          <w:kern w:val="0"/>
          <w:sz w:val="24"/>
        </w:rPr>
        <w:t>评标委员会应当按照交易文件中规定的评标方法和标准，对符合性审查合格的响应文件进行商务和技术评估，综合比较与评价。</w:t>
      </w:r>
    </w:p>
    <w:p w14:paraId="3493801C">
      <w:pPr>
        <w:spacing w:line="56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3、汇总商务技术得分。</w:t>
      </w:r>
      <w:r>
        <w:rPr>
          <w:rFonts w:hint="eastAsia" w:ascii="宋体" w:hAnsi="宋体" w:cs="宋体"/>
          <w:color w:val="000000" w:themeColor="text1"/>
          <w:kern w:val="0"/>
          <w:sz w:val="24"/>
        </w:rPr>
        <w:t>评标委员会各成员应当独立对每个供应商的商务和技术文件进行评价，并汇总商务技术得分情况。</w:t>
      </w:r>
    </w:p>
    <w:p w14:paraId="62E6ED9B">
      <w:pPr>
        <w:spacing w:line="560" w:lineRule="exact"/>
        <w:ind w:firstLine="472" w:firstLineChars="196"/>
        <w:rPr>
          <w:rFonts w:ascii="宋体" w:hAnsi="宋体" w:cs="宋体"/>
          <w:b/>
          <w:color w:val="000000" w:themeColor="text1"/>
          <w:kern w:val="0"/>
          <w:sz w:val="24"/>
        </w:rPr>
      </w:pPr>
      <w:r>
        <w:rPr>
          <w:rFonts w:hint="eastAsia" w:ascii="宋体" w:hAnsi="宋体" w:cs="宋体"/>
          <w:b/>
          <w:color w:val="000000" w:themeColor="text1"/>
          <w:kern w:val="0"/>
          <w:sz w:val="24"/>
        </w:rPr>
        <w:t>4、报价评审。</w:t>
      </w:r>
    </w:p>
    <w:p w14:paraId="38037445">
      <w:pPr>
        <w:pStyle w:val="129"/>
        <w:spacing w:before="0" w:line="560" w:lineRule="exact"/>
        <w:ind w:firstLine="508" w:firstLineChars="212"/>
        <w:rPr>
          <w:rFonts w:ascii="宋体" w:hAnsi="宋体" w:cs="宋体"/>
          <w:color w:val="000000" w:themeColor="text1"/>
          <w:kern w:val="0"/>
        </w:rPr>
      </w:pPr>
      <w:r>
        <w:rPr>
          <w:rFonts w:hint="eastAsia" w:ascii="宋体" w:hAnsi="宋体" w:cs="宋体"/>
          <w:color w:val="000000" w:themeColor="text1"/>
          <w:kern w:val="0"/>
        </w:rPr>
        <w:t>4.1响应文件报价出现前后不一致的，按照下列规定修正：</w:t>
      </w:r>
    </w:p>
    <w:p w14:paraId="64EC65CB">
      <w:pPr>
        <w:pStyle w:val="129"/>
        <w:spacing w:before="0" w:line="56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4.1.1响应文件中交易一览表(报价表)内容与响应文件中相应内容不一致的，以交易一览表(报价表)为准;</w:t>
      </w:r>
    </w:p>
    <w:p w14:paraId="049703B8">
      <w:pPr>
        <w:pStyle w:val="129"/>
        <w:spacing w:before="0" w:line="56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4.1.2大写金额和小写金额不一致的，以大写金额为准;</w:t>
      </w:r>
    </w:p>
    <w:p w14:paraId="37B79CC3">
      <w:pPr>
        <w:pStyle w:val="129"/>
        <w:spacing w:before="0" w:line="56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4.1.3单价金额小数点或者百分比有明显错位的，以交易一览表的总价为准，并修改单价;</w:t>
      </w:r>
    </w:p>
    <w:p w14:paraId="40205BFB">
      <w:pPr>
        <w:pStyle w:val="129"/>
        <w:spacing w:before="0" w:line="56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4.1.4总价金额与按单价汇总金额不一致的，以单价金额计算结果为准。</w:t>
      </w:r>
    </w:p>
    <w:p w14:paraId="59A56827">
      <w:pPr>
        <w:pStyle w:val="129"/>
        <w:spacing w:before="0" w:line="56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4.1.5同时出现两种以上不一致的，按照4.1规定的顺序修正。修正后的报价按照财政部第87号令《政府采购货物和服务招标投标管理办法》第五十一条第二款的规定经供应商确认后产生约束力。</w:t>
      </w:r>
    </w:p>
    <w:p w14:paraId="65A6DBD9">
      <w:pPr>
        <w:snapToGrid w:val="0"/>
        <w:spacing w:line="56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4.2响应文件出现不是唯一的、有选择性交易报价的，交易无效。</w:t>
      </w:r>
    </w:p>
    <w:p w14:paraId="319A4B1E">
      <w:pPr>
        <w:snapToGrid w:val="0"/>
        <w:spacing w:line="56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4.3交易报价超过交易文件中规定的预算金额或者最高限价的，交易无效。</w:t>
      </w:r>
    </w:p>
    <w:p w14:paraId="4C0C446C">
      <w:pPr>
        <w:pStyle w:val="129"/>
        <w:spacing w:before="0" w:line="56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3EEA9A6">
      <w:pPr>
        <w:spacing w:line="560" w:lineRule="exact"/>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5、排序与推荐。</w:t>
      </w:r>
      <w:r>
        <w:rPr>
          <w:rFonts w:hint="eastAsia" w:ascii="宋体" w:hAnsi="宋体" w:cs="宋体"/>
          <w:color w:val="000000" w:themeColor="text1"/>
          <w:kern w:val="0"/>
          <w:sz w:val="24"/>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0F8F6917">
      <w:pPr>
        <w:pStyle w:val="129"/>
        <w:spacing w:before="0" w:line="560" w:lineRule="exact"/>
        <w:ind w:firstLine="480"/>
        <w:rPr>
          <w:rFonts w:ascii="宋体" w:hAnsi="宋体" w:cs="宋体"/>
          <w:b/>
          <w:color w:val="000000" w:themeColor="text1"/>
          <w:kern w:val="0"/>
        </w:rPr>
      </w:pPr>
      <w:r>
        <w:rPr>
          <w:rFonts w:hint="eastAsia" w:ascii="宋体" w:hAnsi="宋体" w:cs="宋体"/>
          <w:color w:val="000000" w:themeColor="text1"/>
          <w:kern w:val="0"/>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5B4796EE">
      <w:pPr>
        <w:spacing w:line="56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6、编写评标报告。</w:t>
      </w:r>
      <w:r>
        <w:rPr>
          <w:rFonts w:hint="eastAsia" w:ascii="宋体" w:hAnsi="宋体"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CFAEA6">
      <w:pPr>
        <w:widowControl/>
        <w:shd w:val="clear" w:color="auto" w:fill="FFFFFF"/>
        <w:adjustRightInd/>
        <w:spacing w:line="560" w:lineRule="exact"/>
        <w:jc w:val="left"/>
        <w:rPr>
          <w:rFonts w:ascii="宋体" w:hAnsi="宋体" w:cs="宋体"/>
          <w:b/>
          <w:color w:val="000000" w:themeColor="text1"/>
          <w:sz w:val="32"/>
        </w:rPr>
      </w:pPr>
      <w:r>
        <w:rPr>
          <w:rFonts w:hint="eastAsia" w:ascii="宋体" w:hAnsi="宋体" w:cs="宋体"/>
          <w:b/>
          <w:color w:val="000000" w:themeColor="text1"/>
          <w:sz w:val="32"/>
        </w:rPr>
        <w:t>四、评标中的其他事项</w:t>
      </w:r>
    </w:p>
    <w:p w14:paraId="29953F2D">
      <w:pPr>
        <w:pStyle w:val="129"/>
        <w:spacing w:before="0" w:line="560" w:lineRule="exact"/>
        <w:ind w:firstLine="472" w:firstLineChars="196"/>
        <w:rPr>
          <w:rFonts w:ascii="宋体" w:hAnsi="宋体" w:cs="宋体"/>
          <w:color w:val="000000" w:themeColor="text1"/>
          <w:kern w:val="0"/>
          <w:szCs w:val="24"/>
        </w:rPr>
      </w:pPr>
      <w:r>
        <w:rPr>
          <w:rFonts w:hint="eastAsia" w:ascii="宋体" w:hAnsi="宋体" w:cs="宋体"/>
          <w:b/>
          <w:color w:val="000000" w:themeColor="text1"/>
          <w:kern w:val="0"/>
          <w:szCs w:val="24"/>
        </w:rPr>
        <w:t>1、供应商澄清、说明或者补正。</w:t>
      </w:r>
      <w:r>
        <w:rPr>
          <w:rFonts w:hint="eastAsia" w:ascii="宋体" w:hAnsi="宋体" w:cs="宋体"/>
          <w:color w:val="000000" w:themeColor="text1"/>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0C9ABD">
      <w:pPr>
        <w:pStyle w:val="24"/>
        <w:spacing w:line="560" w:lineRule="exact"/>
        <w:ind w:left="954" w:leftChars="226" w:hanging="479" w:firstLineChars="0"/>
        <w:rPr>
          <w:rFonts w:cs="宋体"/>
          <w:color w:val="000000" w:themeColor="text1"/>
          <w:szCs w:val="21"/>
        </w:rPr>
      </w:pPr>
      <w:r>
        <w:rPr>
          <w:rFonts w:hint="eastAsia" w:cs="宋体"/>
          <w:b/>
          <w:color w:val="000000" w:themeColor="text1"/>
          <w:kern w:val="0"/>
        </w:rPr>
        <w:t>2、交易无效。</w:t>
      </w:r>
      <w:r>
        <w:rPr>
          <w:rFonts w:hint="eastAsia" w:cs="宋体"/>
          <w:color w:val="000000" w:themeColor="text1"/>
          <w:szCs w:val="21"/>
        </w:rPr>
        <w:t>有下列情形之一的，交易无效：</w:t>
      </w:r>
    </w:p>
    <w:p w14:paraId="680796F6">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2.1供应商不具备交易文件中规定的资格要求的（供应商未提供有效的资格文件的，视为供应商不具备交易文件中规定的资格要求）；</w:t>
      </w:r>
    </w:p>
    <w:p w14:paraId="0EBCCB99">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2.2响应文件未按照交易文件要求签署、盖章的；</w:t>
      </w:r>
    </w:p>
    <w:p w14:paraId="5467A1AE">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2.3交易人拟采购的产品属于政府强制采购的节能产品品目清单范围的，供应商未按交易文件要求提供国家确定的认证机构出具的、处于有效期之内的节能产品认证证书的；</w:t>
      </w:r>
    </w:p>
    <w:p w14:paraId="1E0041F6">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2.4响应文件含有交易人不能接受的附加条件的；</w:t>
      </w:r>
    </w:p>
    <w:p w14:paraId="29F3C29F">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2.5响应文件中承诺的交易有效期少于交易文件中载明的交易有效期的；</w:t>
      </w:r>
    </w:p>
    <w:p w14:paraId="087D0099">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2.6响应文件出现不是唯一的、有选择性交易报价的;</w:t>
      </w:r>
    </w:p>
    <w:p w14:paraId="294AAB46">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2.7交易报价未按交易文件要求进行报价的;</w:t>
      </w:r>
    </w:p>
    <w:p w14:paraId="38E7046F">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2.8供应商提供虚假材料投标的；</w:t>
      </w:r>
    </w:p>
    <w:p w14:paraId="1AAB75C9">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2.9供应商有恶意串通、妨碍其他供应商的竞争行为、损害交易人或者其他供应商的合法权益情形的；</w:t>
      </w:r>
    </w:p>
    <w:p w14:paraId="425F8E5D">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2.10供应商仅提交备份响应文件，未在电子交易平台传输递交响应文件的，交易无效；</w:t>
      </w:r>
    </w:p>
    <w:p w14:paraId="75BB73C9">
      <w:pPr>
        <w:spacing w:line="560" w:lineRule="exact"/>
        <w:ind w:firstLine="480" w:firstLineChars="200"/>
        <w:rPr>
          <w:rFonts w:ascii="宋体" w:hAnsi="宋体" w:cs="宋体"/>
          <w:b/>
          <w:bCs/>
          <w:color w:val="000000" w:themeColor="text1"/>
          <w:kern w:val="0"/>
          <w:sz w:val="24"/>
        </w:rPr>
      </w:pPr>
      <w:r>
        <w:rPr>
          <w:rFonts w:hint="eastAsia" w:ascii="宋体" w:hAnsi="宋体" w:cs="宋体"/>
          <w:color w:val="000000" w:themeColor="text1"/>
          <w:kern w:val="0"/>
          <w:sz w:val="24"/>
        </w:rPr>
        <w:t>2.11响应文件不满足交易文件的其它实质性要求的；</w:t>
      </w:r>
    </w:p>
    <w:p w14:paraId="0B8C6A69">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2.12法律、法规、规章（适用本市的）及省级以上规范性文件（适用本市的）规定的其他无效情形。</w:t>
      </w:r>
    </w:p>
    <w:p w14:paraId="187A99D4">
      <w:pPr>
        <w:pStyle w:val="24"/>
        <w:snapToGrid w:val="0"/>
        <w:spacing w:line="560" w:lineRule="exact"/>
        <w:ind w:firstLine="472" w:firstLineChars="196"/>
        <w:rPr>
          <w:rFonts w:cs="宋体"/>
          <w:color w:val="000000" w:themeColor="text1"/>
        </w:rPr>
      </w:pPr>
      <w:r>
        <w:rPr>
          <w:rFonts w:hint="eastAsia" w:cs="宋体"/>
          <w:b/>
          <w:color w:val="000000" w:themeColor="text1"/>
        </w:rPr>
        <w:t>3、废标。</w:t>
      </w:r>
      <w:r>
        <w:rPr>
          <w:rFonts w:hint="eastAsia" w:cs="宋体"/>
          <w:color w:val="000000" w:themeColor="text1"/>
        </w:rPr>
        <w:t>根据《中华人民共和国政府采购法》第三十六条之规定，在采购中，出现下列情形之一的，应予废标：</w:t>
      </w:r>
    </w:p>
    <w:p w14:paraId="3EF0F4FB">
      <w:pPr>
        <w:pStyle w:val="24"/>
        <w:snapToGrid w:val="0"/>
        <w:spacing w:line="560" w:lineRule="exact"/>
        <w:rPr>
          <w:rFonts w:cs="宋体"/>
          <w:color w:val="000000" w:themeColor="text1"/>
        </w:rPr>
      </w:pPr>
      <w:r>
        <w:rPr>
          <w:rFonts w:hint="eastAsia" w:cs="宋体"/>
          <w:color w:val="000000" w:themeColor="text1"/>
        </w:rPr>
        <w:t>3.1符合专业条件的供应商或者对交易文件作实质响应的供应商不足3家的；</w:t>
      </w:r>
    </w:p>
    <w:p w14:paraId="64893690">
      <w:pPr>
        <w:pStyle w:val="24"/>
        <w:snapToGrid w:val="0"/>
        <w:spacing w:line="560" w:lineRule="exact"/>
        <w:rPr>
          <w:rFonts w:cs="宋体"/>
          <w:color w:val="000000" w:themeColor="text1"/>
        </w:rPr>
      </w:pPr>
      <w:r>
        <w:rPr>
          <w:rFonts w:hint="eastAsia" w:cs="宋体"/>
          <w:color w:val="000000" w:themeColor="text1"/>
        </w:rPr>
        <w:t>3.2出现影响采购公正的违法、违规行为的；</w:t>
      </w:r>
    </w:p>
    <w:p w14:paraId="19C33B29">
      <w:pPr>
        <w:pStyle w:val="24"/>
        <w:snapToGrid w:val="0"/>
        <w:spacing w:line="560" w:lineRule="exact"/>
        <w:rPr>
          <w:rFonts w:cs="宋体"/>
          <w:color w:val="000000" w:themeColor="text1"/>
        </w:rPr>
      </w:pPr>
      <w:r>
        <w:rPr>
          <w:rFonts w:hint="eastAsia" w:cs="宋体"/>
          <w:color w:val="000000" w:themeColor="text1"/>
        </w:rPr>
        <w:t>3.3供应商的报价均超过了采购预算，交易人不能支付的；</w:t>
      </w:r>
    </w:p>
    <w:p w14:paraId="073E05FA">
      <w:pPr>
        <w:pStyle w:val="24"/>
        <w:snapToGrid w:val="0"/>
        <w:spacing w:line="560" w:lineRule="exact"/>
        <w:rPr>
          <w:rFonts w:cs="宋体"/>
          <w:color w:val="000000" w:themeColor="text1"/>
        </w:rPr>
      </w:pPr>
      <w:r>
        <w:rPr>
          <w:rFonts w:hint="eastAsia" w:cs="宋体"/>
          <w:color w:val="000000" w:themeColor="text1"/>
        </w:rPr>
        <w:t>3.4因重大变故，采购任务取消的。</w:t>
      </w:r>
    </w:p>
    <w:p w14:paraId="3405A3D1">
      <w:pPr>
        <w:pStyle w:val="24"/>
        <w:snapToGrid w:val="0"/>
        <w:spacing w:line="560" w:lineRule="exact"/>
        <w:rPr>
          <w:rFonts w:cs="宋体"/>
          <w:color w:val="000000" w:themeColor="text1"/>
        </w:rPr>
      </w:pPr>
      <w:r>
        <w:rPr>
          <w:rFonts w:hint="eastAsia" w:cs="宋体"/>
          <w:color w:val="000000" w:themeColor="text1"/>
        </w:rPr>
        <w:t>废标后，采购机构应当将废标理由通知所有供应商。</w:t>
      </w:r>
    </w:p>
    <w:p w14:paraId="5B6B997E">
      <w:pPr>
        <w:pStyle w:val="24"/>
        <w:snapToGrid w:val="0"/>
        <w:spacing w:line="560" w:lineRule="exact"/>
        <w:ind w:firstLine="590" w:firstLineChars="245"/>
        <w:rPr>
          <w:rFonts w:cs="宋体"/>
          <w:color w:val="000000" w:themeColor="text1"/>
        </w:rPr>
      </w:pPr>
      <w:r>
        <w:rPr>
          <w:rFonts w:hint="eastAsia" w:cs="宋体"/>
          <w:b/>
          <w:color w:val="000000" w:themeColor="text1"/>
        </w:rPr>
        <w:t>4、修改交易文件，重新组织采购活动。</w:t>
      </w:r>
      <w:r>
        <w:rPr>
          <w:rFonts w:hint="eastAsia" w:cs="宋体"/>
          <w:color w:val="000000" w:themeColor="text1"/>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32F999F5">
      <w:pPr>
        <w:pStyle w:val="24"/>
        <w:snapToGrid w:val="0"/>
        <w:spacing w:line="560" w:lineRule="exact"/>
        <w:ind w:firstLine="590" w:firstLineChars="245"/>
        <w:rPr>
          <w:rFonts w:cs="宋体"/>
          <w:color w:val="000000" w:themeColor="text1"/>
        </w:rPr>
      </w:pPr>
      <w:r>
        <w:rPr>
          <w:rFonts w:hint="eastAsia" w:cs="宋体"/>
          <w:b/>
          <w:color w:val="000000" w:themeColor="text1"/>
          <w:kern w:val="0"/>
        </w:rPr>
        <w:t>5、重新开展交易。</w:t>
      </w:r>
      <w:r>
        <w:rPr>
          <w:rFonts w:hint="eastAsia" w:cs="宋体"/>
          <w:color w:val="000000" w:themeColor="text1"/>
        </w:rPr>
        <w:t>影响或者可能影响</w:t>
      </w:r>
      <w:r>
        <w:rPr>
          <w:rFonts w:hint="eastAsia" w:cs="宋体"/>
          <w:color w:val="000000" w:themeColor="text1"/>
          <w:kern w:val="0"/>
        </w:rPr>
        <w:t>成交</w:t>
      </w:r>
      <w:r>
        <w:rPr>
          <w:rFonts w:hint="eastAsia" w:cs="宋体"/>
          <w:color w:val="000000" w:themeColor="text1"/>
        </w:rPr>
        <w:t>、成交结果的，依照下列规定处理：</w:t>
      </w:r>
    </w:p>
    <w:p w14:paraId="6933480E">
      <w:pPr>
        <w:pStyle w:val="24"/>
        <w:snapToGrid w:val="0"/>
        <w:spacing w:line="560" w:lineRule="exact"/>
        <w:ind w:firstLine="600" w:firstLineChars="250"/>
        <w:rPr>
          <w:rFonts w:cs="宋体"/>
          <w:color w:val="000000" w:themeColor="text1"/>
        </w:rPr>
      </w:pPr>
      <w:r>
        <w:rPr>
          <w:rFonts w:hint="eastAsia" w:cs="宋体"/>
          <w:color w:val="000000" w:themeColor="text1"/>
        </w:rPr>
        <w:t>5.1未确定</w:t>
      </w:r>
      <w:r>
        <w:rPr>
          <w:rFonts w:hint="eastAsia" w:cs="宋体"/>
          <w:color w:val="000000" w:themeColor="text1"/>
          <w:kern w:val="0"/>
        </w:rPr>
        <w:t>成交</w:t>
      </w:r>
      <w:r>
        <w:rPr>
          <w:rFonts w:hint="eastAsia" w:cs="宋体"/>
          <w:color w:val="000000" w:themeColor="text1"/>
        </w:rPr>
        <w:t>或者成交人的，终止本次交易活动，重新开展交易活动。</w:t>
      </w:r>
    </w:p>
    <w:p w14:paraId="49ACD66C">
      <w:pPr>
        <w:pStyle w:val="24"/>
        <w:snapToGrid w:val="0"/>
        <w:spacing w:line="560" w:lineRule="exact"/>
        <w:ind w:firstLine="600" w:firstLineChars="250"/>
        <w:rPr>
          <w:rFonts w:cs="宋体"/>
          <w:color w:val="000000" w:themeColor="text1"/>
        </w:rPr>
      </w:pPr>
      <w:r>
        <w:rPr>
          <w:rFonts w:hint="eastAsia" w:cs="宋体"/>
          <w:color w:val="000000" w:themeColor="text1"/>
        </w:rPr>
        <w:t>5.2已确定</w:t>
      </w:r>
      <w:r>
        <w:rPr>
          <w:rFonts w:hint="eastAsia" w:cs="宋体"/>
          <w:color w:val="000000" w:themeColor="text1"/>
          <w:kern w:val="0"/>
        </w:rPr>
        <w:t>成交</w:t>
      </w:r>
      <w:r>
        <w:rPr>
          <w:rFonts w:hint="eastAsia" w:cs="宋体"/>
          <w:color w:val="000000" w:themeColor="text1"/>
        </w:rPr>
        <w:t>或者成交人但尚未签订合同的，</w:t>
      </w:r>
      <w:r>
        <w:rPr>
          <w:rFonts w:hint="eastAsia" w:cs="宋体"/>
          <w:color w:val="000000" w:themeColor="text1"/>
          <w:kern w:val="0"/>
        </w:rPr>
        <w:t>成交</w:t>
      </w:r>
      <w:r>
        <w:rPr>
          <w:rFonts w:hint="eastAsia" w:cs="宋体"/>
          <w:color w:val="000000" w:themeColor="text1"/>
        </w:rPr>
        <w:t>或者成交结果无效，从合格的</w:t>
      </w:r>
      <w:r>
        <w:rPr>
          <w:rFonts w:hint="eastAsia" w:cs="宋体"/>
          <w:color w:val="000000" w:themeColor="text1"/>
          <w:kern w:val="0"/>
        </w:rPr>
        <w:t>成交</w:t>
      </w:r>
      <w:r>
        <w:rPr>
          <w:rFonts w:hint="eastAsia" w:cs="宋体"/>
          <w:color w:val="000000" w:themeColor="text1"/>
        </w:rPr>
        <w:t>或者成交候选人中另行确定</w:t>
      </w:r>
      <w:r>
        <w:rPr>
          <w:rFonts w:hint="eastAsia" w:cs="宋体"/>
          <w:color w:val="000000" w:themeColor="text1"/>
          <w:kern w:val="0"/>
        </w:rPr>
        <w:t>成交</w:t>
      </w:r>
      <w:r>
        <w:rPr>
          <w:rFonts w:hint="eastAsia" w:cs="宋体"/>
          <w:color w:val="000000" w:themeColor="text1"/>
        </w:rPr>
        <w:t>或者成交人；没有合格的</w:t>
      </w:r>
      <w:r>
        <w:rPr>
          <w:rFonts w:hint="eastAsia" w:cs="宋体"/>
          <w:color w:val="000000" w:themeColor="text1"/>
          <w:kern w:val="0"/>
        </w:rPr>
        <w:t>成交</w:t>
      </w:r>
      <w:r>
        <w:rPr>
          <w:rFonts w:hint="eastAsia" w:cs="宋体"/>
          <w:color w:val="000000" w:themeColor="text1"/>
        </w:rPr>
        <w:t>或者成交候选人的，重新开展交易活动。</w:t>
      </w:r>
    </w:p>
    <w:p w14:paraId="686C0110">
      <w:pPr>
        <w:pStyle w:val="24"/>
        <w:snapToGrid w:val="0"/>
        <w:spacing w:line="560" w:lineRule="exact"/>
        <w:ind w:firstLine="600" w:firstLineChars="250"/>
        <w:rPr>
          <w:rFonts w:cs="宋体"/>
          <w:color w:val="000000" w:themeColor="text1"/>
        </w:rPr>
      </w:pPr>
      <w:r>
        <w:rPr>
          <w:rFonts w:hint="eastAsia" w:cs="宋体"/>
          <w:color w:val="000000" w:themeColor="text1"/>
        </w:rPr>
        <w:t>5.3采购合同已签订但尚未履行的，撤销合同，从合格的</w:t>
      </w:r>
      <w:r>
        <w:rPr>
          <w:rFonts w:hint="eastAsia" w:cs="宋体"/>
          <w:color w:val="000000" w:themeColor="text1"/>
          <w:kern w:val="0"/>
        </w:rPr>
        <w:t>成交</w:t>
      </w:r>
      <w:r>
        <w:rPr>
          <w:rFonts w:hint="eastAsia" w:cs="宋体"/>
          <w:color w:val="000000" w:themeColor="text1"/>
        </w:rPr>
        <w:t>或者成交候选人中另行确定</w:t>
      </w:r>
      <w:r>
        <w:rPr>
          <w:rFonts w:hint="eastAsia" w:cs="宋体"/>
          <w:color w:val="000000" w:themeColor="text1"/>
          <w:kern w:val="0"/>
        </w:rPr>
        <w:t>成交</w:t>
      </w:r>
      <w:r>
        <w:rPr>
          <w:rFonts w:hint="eastAsia" w:cs="宋体"/>
          <w:color w:val="000000" w:themeColor="text1"/>
        </w:rPr>
        <w:t>或者成交人；没有合格的</w:t>
      </w:r>
      <w:r>
        <w:rPr>
          <w:rFonts w:hint="eastAsia" w:cs="宋体"/>
          <w:color w:val="000000" w:themeColor="text1"/>
          <w:kern w:val="0"/>
        </w:rPr>
        <w:t>成交</w:t>
      </w:r>
      <w:r>
        <w:rPr>
          <w:rFonts w:hint="eastAsia" w:cs="宋体"/>
          <w:color w:val="000000" w:themeColor="text1"/>
        </w:rPr>
        <w:t>或者成交候选人的，重新开展交易活动。</w:t>
      </w:r>
    </w:p>
    <w:p w14:paraId="22979B24">
      <w:pPr>
        <w:pStyle w:val="24"/>
        <w:snapToGrid w:val="0"/>
        <w:spacing w:line="560" w:lineRule="exact"/>
        <w:rPr>
          <w:rFonts w:cs="宋体"/>
          <w:color w:val="000000" w:themeColor="text1"/>
        </w:rPr>
      </w:pPr>
      <w:r>
        <w:rPr>
          <w:rFonts w:hint="eastAsia" w:cs="宋体"/>
          <w:color w:val="000000" w:themeColor="text1"/>
        </w:rPr>
        <w:t>5.4采购合同已经履行，给交易人、供应商造成损失的，由责任人承担赔偿责任。</w:t>
      </w:r>
    </w:p>
    <w:p w14:paraId="4483FDF0">
      <w:pPr>
        <w:pStyle w:val="24"/>
        <w:snapToGrid w:val="0"/>
        <w:spacing w:line="560" w:lineRule="exact"/>
        <w:rPr>
          <w:rFonts w:ascii="仿宋" w:hAnsi="仿宋" w:eastAsia="仿宋" w:cs="仿宋"/>
          <w:color w:val="000000" w:themeColor="text1"/>
        </w:rPr>
      </w:pPr>
      <w:r>
        <w:rPr>
          <w:rFonts w:hint="eastAsia" w:cs="宋体"/>
          <w:color w:val="000000" w:themeColor="text1"/>
        </w:rPr>
        <w:t>5.5采购当事人有其他违反政府采购法</w:t>
      </w:r>
      <w:r>
        <w:rPr>
          <w:rFonts w:hint="eastAsia" w:cs="宋体"/>
          <w:color w:val="000000" w:themeColor="text1"/>
          <w:kern w:val="0"/>
        </w:rPr>
        <w:t>或者政府采购法实施条例等法律法规规定</w:t>
      </w:r>
      <w:r>
        <w:rPr>
          <w:rFonts w:hint="eastAsia" w:cs="宋体"/>
          <w:color w:val="000000" w:themeColor="text1"/>
        </w:rPr>
        <w:t>的行为，经改正后仍然影响或者可能影响</w:t>
      </w:r>
      <w:r>
        <w:rPr>
          <w:rFonts w:hint="eastAsia" w:cs="宋体"/>
          <w:color w:val="000000" w:themeColor="text1"/>
          <w:kern w:val="0"/>
        </w:rPr>
        <w:t>成交</w:t>
      </w:r>
      <w:r>
        <w:rPr>
          <w:rFonts w:hint="eastAsia" w:cs="宋体"/>
          <w:color w:val="000000" w:themeColor="text1"/>
        </w:rPr>
        <w:t>、成交结果或者依法被认定为</w:t>
      </w:r>
      <w:r>
        <w:rPr>
          <w:rFonts w:hint="eastAsia" w:cs="宋体"/>
          <w:color w:val="000000" w:themeColor="text1"/>
          <w:kern w:val="0"/>
        </w:rPr>
        <w:t>成交</w:t>
      </w:r>
      <w:r>
        <w:rPr>
          <w:rFonts w:hint="eastAsia" w:cs="宋体"/>
          <w:color w:val="000000" w:themeColor="text1"/>
        </w:rPr>
        <w:t>、成交无效的，依照7.1-7.4规定处理。</w:t>
      </w:r>
    </w:p>
    <w:p w14:paraId="697BD8AC">
      <w:pPr>
        <w:rPr>
          <w:rFonts w:ascii="宋体" w:hAnsi="宋体" w:cs="宋体"/>
          <w:b/>
          <w:color w:val="000000" w:themeColor="text1"/>
          <w:sz w:val="36"/>
          <w:szCs w:val="36"/>
        </w:rPr>
      </w:pPr>
      <w:r>
        <w:rPr>
          <w:rFonts w:hint="eastAsia" w:ascii="宋体" w:hAnsi="宋体" w:cs="宋体"/>
          <w:b/>
          <w:color w:val="000000" w:themeColor="text1"/>
          <w:sz w:val="36"/>
          <w:szCs w:val="36"/>
        </w:rPr>
        <w:br w:type="page"/>
      </w:r>
    </w:p>
    <w:p w14:paraId="3193044C">
      <w:pPr>
        <w:spacing w:line="360" w:lineRule="auto"/>
        <w:ind w:left="718" w:leftChars="342" w:firstLine="119" w:firstLineChars="33"/>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第五部分 拟签订的合同文本</w:t>
      </w:r>
    </w:p>
    <w:p w14:paraId="6A2B1D07">
      <w:pPr>
        <w:spacing w:line="360" w:lineRule="auto"/>
        <w:ind w:firstLine="480" w:firstLineChars="200"/>
        <w:rPr>
          <w:rFonts w:ascii="宋体" w:hAnsi="宋体" w:cs="宋体"/>
          <w:sz w:val="24"/>
        </w:rPr>
      </w:pPr>
      <w:r>
        <w:rPr>
          <w:rFonts w:hint="eastAsia" w:ascii="宋体" w:hAnsi="宋体" w:cs="宋体"/>
          <w:sz w:val="24"/>
        </w:rPr>
        <w:t>合同编号：</w:t>
      </w:r>
    </w:p>
    <w:p w14:paraId="01B7F7F1">
      <w:pPr>
        <w:spacing w:line="360" w:lineRule="auto"/>
        <w:ind w:firstLine="480" w:firstLineChars="200"/>
        <w:rPr>
          <w:rFonts w:ascii="宋体" w:hAnsi="宋体" w:cs="宋体"/>
          <w:sz w:val="24"/>
        </w:rPr>
      </w:pPr>
      <w:r>
        <w:rPr>
          <w:rFonts w:hint="eastAsia" w:ascii="宋体" w:hAnsi="宋体" w:cs="宋体"/>
          <w:sz w:val="24"/>
        </w:rPr>
        <w:t>签订地点：                                 签订时间：20</w:t>
      </w:r>
      <w:r>
        <w:rPr>
          <w:rFonts w:hint="eastAsia" w:ascii="宋体" w:hAnsi="宋体" w:cs="宋体"/>
          <w:sz w:val="24"/>
          <w:u w:val="single"/>
        </w:rPr>
        <w:t xml:space="preserve">* </w:t>
      </w:r>
      <w:r>
        <w:rPr>
          <w:rFonts w:hint="eastAsia" w:ascii="宋体" w:hAnsi="宋体" w:cs="宋体"/>
          <w:sz w:val="24"/>
        </w:rPr>
        <w:t>年月日</w:t>
      </w:r>
    </w:p>
    <w:p w14:paraId="5CAFE9CF">
      <w:pPr>
        <w:spacing w:line="360" w:lineRule="auto"/>
        <w:ind w:firstLine="480" w:firstLineChars="200"/>
        <w:rPr>
          <w:rFonts w:ascii="宋体" w:hAnsi="宋体" w:cs="宋体"/>
          <w:sz w:val="24"/>
        </w:rPr>
      </w:pPr>
      <w:r>
        <w:rPr>
          <w:rFonts w:hint="eastAsia" w:ascii="宋体" w:hAnsi="宋体" w:cs="宋体"/>
          <w:sz w:val="24"/>
        </w:rPr>
        <w:t>项目名称：</w:t>
      </w:r>
    </w:p>
    <w:p w14:paraId="6C53938E">
      <w:pPr>
        <w:spacing w:line="360" w:lineRule="auto"/>
        <w:ind w:firstLine="480" w:firstLineChars="200"/>
        <w:rPr>
          <w:rFonts w:ascii="宋体" w:hAnsi="宋体" w:cs="宋体"/>
          <w:sz w:val="24"/>
        </w:rPr>
      </w:pPr>
      <w:r>
        <w:rPr>
          <w:rFonts w:hint="eastAsia" w:ascii="宋体" w:hAnsi="宋体" w:cs="宋体"/>
          <w:sz w:val="24"/>
        </w:rPr>
        <w:t xml:space="preserve">甲方（需方）：                                     </w:t>
      </w:r>
    </w:p>
    <w:p w14:paraId="7E2DFE2F">
      <w:pPr>
        <w:spacing w:line="360" w:lineRule="auto"/>
        <w:ind w:firstLine="480" w:firstLineChars="200"/>
        <w:rPr>
          <w:rFonts w:ascii="宋体" w:hAnsi="宋体" w:cs="宋体"/>
          <w:sz w:val="24"/>
        </w:rPr>
      </w:pPr>
      <w:r>
        <w:rPr>
          <w:rFonts w:hint="eastAsia" w:ascii="宋体" w:hAnsi="宋体" w:cs="宋体"/>
          <w:sz w:val="24"/>
        </w:rPr>
        <w:t xml:space="preserve">乙方（供方）：                                     </w:t>
      </w:r>
    </w:p>
    <w:p w14:paraId="09F94F25">
      <w:pPr>
        <w:spacing w:line="360" w:lineRule="auto"/>
        <w:ind w:firstLine="480" w:firstLineChars="200"/>
        <w:rPr>
          <w:rFonts w:ascii="宋体" w:hAnsi="宋体" w:cs="宋体"/>
          <w:sz w:val="24"/>
        </w:rPr>
      </w:pPr>
      <w:r>
        <w:rPr>
          <w:rFonts w:hint="eastAsia" w:ascii="宋体" w:hAnsi="宋体" w:cs="宋体"/>
          <w:sz w:val="24"/>
        </w:rPr>
        <w:t>供、需双方根据</w:t>
      </w:r>
      <w:r>
        <w:rPr>
          <w:rFonts w:hint="eastAsia" w:ascii="宋体" w:hAnsi="宋体" w:cs="宋体"/>
          <w:sz w:val="24"/>
          <w:u w:val="single"/>
        </w:rPr>
        <w:t xml:space="preserve">                      项目</w:t>
      </w:r>
      <w:r>
        <w:rPr>
          <w:rFonts w:hint="eastAsia" w:ascii="宋体" w:hAnsi="宋体" w:cs="宋体"/>
          <w:sz w:val="24"/>
        </w:rPr>
        <w:t>（编号：      ）交易结果和交易文件的要求，并经双方协调一致，订立本合同。</w:t>
      </w:r>
    </w:p>
    <w:p w14:paraId="0939DE5E">
      <w:pPr>
        <w:spacing w:line="360" w:lineRule="auto"/>
        <w:ind w:firstLine="480" w:firstLineChars="200"/>
        <w:rPr>
          <w:rFonts w:ascii="宋体" w:hAnsi="宋体" w:cs="宋体"/>
          <w:sz w:val="24"/>
        </w:rPr>
      </w:pPr>
      <w:r>
        <w:rPr>
          <w:rFonts w:hint="eastAsia" w:ascii="宋体" w:hAnsi="宋体" w:cs="宋体"/>
          <w:sz w:val="24"/>
        </w:rPr>
        <w:t>一、合同文件：</w:t>
      </w:r>
    </w:p>
    <w:p w14:paraId="1B8BF5E2">
      <w:pPr>
        <w:spacing w:line="360" w:lineRule="auto"/>
        <w:ind w:firstLine="480" w:firstLineChars="200"/>
        <w:rPr>
          <w:rFonts w:ascii="宋体" w:hAnsi="宋体" w:cs="宋体"/>
          <w:sz w:val="24"/>
        </w:rPr>
      </w:pPr>
      <w:r>
        <w:rPr>
          <w:rFonts w:hint="eastAsia" w:ascii="宋体" w:hAnsi="宋体" w:cs="宋体"/>
          <w:sz w:val="24"/>
        </w:rPr>
        <w:t>1、合同条款。</w:t>
      </w:r>
    </w:p>
    <w:p w14:paraId="6F69AF33">
      <w:pPr>
        <w:spacing w:line="360" w:lineRule="auto"/>
        <w:ind w:firstLine="480" w:firstLineChars="200"/>
        <w:rPr>
          <w:rFonts w:ascii="宋体" w:hAnsi="宋体" w:cs="宋体"/>
          <w:sz w:val="24"/>
        </w:rPr>
      </w:pPr>
      <w:r>
        <w:rPr>
          <w:rFonts w:hint="eastAsia" w:ascii="宋体" w:hAnsi="宋体" w:cs="宋体"/>
          <w:sz w:val="24"/>
        </w:rPr>
        <w:t>2、成交通知书。</w:t>
      </w:r>
    </w:p>
    <w:p w14:paraId="5ECFBE4B">
      <w:pPr>
        <w:spacing w:line="360" w:lineRule="auto"/>
        <w:ind w:firstLine="480" w:firstLineChars="200"/>
        <w:rPr>
          <w:rFonts w:ascii="宋体" w:hAnsi="宋体" w:cs="宋体"/>
          <w:sz w:val="24"/>
        </w:rPr>
      </w:pPr>
      <w:r>
        <w:rPr>
          <w:rFonts w:hint="eastAsia" w:ascii="宋体" w:hAnsi="宋体" w:cs="宋体"/>
          <w:sz w:val="24"/>
        </w:rPr>
        <w:t>3、交易文件。</w:t>
      </w:r>
    </w:p>
    <w:p w14:paraId="21D4C90F">
      <w:pPr>
        <w:spacing w:line="360" w:lineRule="auto"/>
        <w:ind w:firstLine="480" w:firstLineChars="200"/>
        <w:rPr>
          <w:rFonts w:ascii="宋体" w:hAnsi="宋体" w:cs="宋体"/>
          <w:sz w:val="24"/>
        </w:rPr>
      </w:pPr>
      <w:r>
        <w:rPr>
          <w:rFonts w:hint="eastAsia" w:ascii="宋体" w:hAnsi="宋体" w:cs="宋体"/>
          <w:sz w:val="24"/>
        </w:rPr>
        <w:t>4、更正公告。</w:t>
      </w:r>
    </w:p>
    <w:p w14:paraId="24F7E7B0">
      <w:pPr>
        <w:spacing w:line="360" w:lineRule="auto"/>
        <w:ind w:firstLine="480" w:firstLineChars="200"/>
        <w:rPr>
          <w:rFonts w:ascii="宋体" w:hAnsi="宋体" w:cs="宋体"/>
          <w:sz w:val="24"/>
        </w:rPr>
      </w:pPr>
      <w:r>
        <w:rPr>
          <w:rFonts w:hint="eastAsia" w:ascii="宋体" w:hAnsi="宋体" w:cs="宋体"/>
          <w:sz w:val="24"/>
        </w:rPr>
        <w:t>5、成交单位响应文件。</w:t>
      </w:r>
    </w:p>
    <w:p w14:paraId="2EC2C39B">
      <w:pPr>
        <w:spacing w:line="360" w:lineRule="auto"/>
        <w:ind w:firstLine="480" w:firstLineChars="200"/>
        <w:rPr>
          <w:rFonts w:ascii="宋体" w:hAnsi="宋体" w:cs="宋体"/>
          <w:sz w:val="24"/>
        </w:rPr>
      </w:pPr>
      <w:r>
        <w:rPr>
          <w:rFonts w:hint="eastAsia" w:ascii="宋体" w:hAnsi="宋体" w:cs="宋体"/>
          <w:sz w:val="24"/>
        </w:rPr>
        <w:t>6、其他。</w:t>
      </w:r>
    </w:p>
    <w:p w14:paraId="0AF45476">
      <w:pPr>
        <w:spacing w:line="360" w:lineRule="auto"/>
        <w:ind w:left="479" w:leftChars="228"/>
        <w:rPr>
          <w:rFonts w:ascii="宋体" w:hAnsi="宋体" w:cs="宋体"/>
          <w:sz w:val="24"/>
        </w:rPr>
      </w:pPr>
      <w:r>
        <w:rPr>
          <w:rFonts w:hint="eastAsia" w:ascii="宋体" w:hAnsi="宋体" w:cs="宋体"/>
          <w:sz w:val="24"/>
        </w:rPr>
        <w:t>二、合同金额: 本合同金额为(大写)_________________元（￥</w:t>
      </w:r>
      <w:r>
        <w:rPr>
          <w:rFonts w:hint="eastAsia" w:ascii="宋体" w:hAnsi="宋体" w:cs="宋体"/>
          <w:sz w:val="24"/>
          <w:u w:val="single"/>
        </w:rPr>
        <w:t>　　　　</w:t>
      </w:r>
      <w:r>
        <w:rPr>
          <w:rFonts w:hint="eastAsia" w:ascii="宋体" w:hAnsi="宋体" w:cs="宋体"/>
          <w:sz w:val="24"/>
        </w:rPr>
        <w:t>元）人民币附：</w:t>
      </w:r>
    </w:p>
    <w:p w14:paraId="2065A3AF">
      <w:pPr>
        <w:spacing w:line="360" w:lineRule="auto"/>
        <w:jc w:val="center"/>
        <w:rPr>
          <w:rFonts w:ascii="宋体" w:hAnsi="宋体" w:cs="宋体"/>
          <w:sz w:val="24"/>
        </w:rPr>
      </w:pPr>
      <w:r>
        <w:rPr>
          <w:rFonts w:hint="eastAsia" w:ascii="宋体" w:hAnsi="宋体" w:cs="宋体"/>
          <w:sz w:val="24"/>
        </w:rPr>
        <w:t>《项目清单内容》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BE6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5A4186F0">
            <w:pPr>
              <w:jc w:val="center"/>
              <w:rPr>
                <w:rFonts w:ascii="宋体" w:hAnsi="宋体" w:cs="宋体"/>
                <w:sz w:val="24"/>
              </w:rPr>
            </w:pPr>
            <w:r>
              <w:rPr>
                <w:rFonts w:hint="eastAsia" w:ascii="宋体" w:hAnsi="宋体" w:cs="宋体"/>
                <w:sz w:val="24"/>
              </w:rPr>
              <w:t>序号</w:t>
            </w:r>
          </w:p>
        </w:tc>
        <w:tc>
          <w:tcPr>
            <w:tcW w:w="1692" w:type="dxa"/>
            <w:tcBorders>
              <w:top w:val="single" w:color="auto" w:sz="4" w:space="0"/>
              <w:left w:val="single" w:color="auto" w:sz="4" w:space="0"/>
              <w:bottom w:val="single" w:color="auto" w:sz="4" w:space="0"/>
              <w:right w:val="single" w:color="auto" w:sz="4" w:space="0"/>
            </w:tcBorders>
            <w:noWrap/>
            <w:vAlign w:val="center"/>
          </w:tcPr>
          <w:p w14:paraId="19EF7F25">
            <w:pPr>
              <w:jc w:val="center"/>
              <w:rPr>
                <w:rFonts w:ascii="宋体" w:hAnsi="宋体" w:cs="宋体"/>
                <w:sz w:val="24"/>
              </w:rPr>
            </w:pPr>
            <w:r>
              <w:rPr>
                <w:rFonts w:hint="eastAsia" w:ascii="宋体" w:hAnsi="宋体" w:cs="宋体"/>
                <w:sz w:val="24"/>
              </w:rPr>
              <w:t>项目</w:t>
            </w:r>
          </w:p>
        </w:tc>
        <w:tc>
          <w:tcPr>
            <w:tcW w:w="1800" w:type="dxa"/>
            <w:tcBorders>
              <w:top w:val="single" w:color="auto" w:sz="4" w:space="0"/>
              <w:left w:val="single" w:color="auto" w:sz="4" w:space="0"/>
              <w:bottom w:val="single" w:color="auto" w:sz="4" w:space="0"/>
              <w:right w:val="single" w:color="auto" w:sz="4" w:space="0"/>
            </w:tcBorders>
            <w:noWrap/>
            <w:vAlign w:val="center"/>
          </w:tcPr>
          <w:p w14:paraId="3DE6C343">
            <w:pPr>
              <w:jc w:val="center"/>
              <w:rPr>
                <w:rFonts w:ascii="宋体" w:hAnsi="宋体" w:cs="宋体"/>
                <w:sz w:val="24"/>
              </w:rPr>
            </w:pPr>
            <w:r>
              <w:rPr>
                <w:rFonts w:hint="eastAsia" w:ascii="宋体" w:hAnsi="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noWrap/>
            <w:vAlign w:val="center"/>
          </w:tcPr>
          <w:p w14:paraId="5873AA37">
            <w:pPr>
              <w:jc w:val="center"/>
              <w:rPr>
                <w:rFonts w:ascii="宋体" w:hAnsi="宋体" w:cs="宋体"/>
                <w:sz w:val="24"/>
              </w:rPr>
            </w:pPr>
            <w:r>
              <w:rPr>
                <w:rFonts w:hint="eastAsia" w:ascii="宋体" w:hAnsi="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noWrap/>
            <w:vAlign w:val="center"/>
          </w:tcPr>
          <w:p w14:paraId="3FB2D9D2">
            <w:pPr>
              <w:jc w:val="center"/>
              <w:rPr>
                <w:rFonts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noWrap/>
            <w:vAlign w:val="center"/>
          </w:tcPr>
          <w:p w14:paraId="70FE57DF">
            <w:pPr>
              <w:jc w:val="center"/>
              <w:rPr>
                <w:rFonts w:ascii="宋体" w:hAnsi="宋体" w:cs="宋体"/>
                <w:sz w:val="24"/>
              </w:rPr>
            </w:pPr>
            <w:r>
              <w:rPr>
                <w:rFonts w:hint="eastAsia" w:ascii="宋体" w:hAnsi="宋体" w:cs="宋体"/>
                <w:sz w:val="24"/>
              </w:rPr>
              <w:t>成交总价（元）</w:t>
            </w:r>
          </w:p>
        </w:tc>
      </w:tr>
      <w:tr w14:paraId="6E3C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507ADA28">
            <w:pPr>
              <w:jc w:val="center"/>
              <w:rPr>
                <w:rFonts w:ascii="宋体" w:hAnsi="宋体" w:cs="宋体"/>
                <w:sz w:val="24"/>
              </w:rPr>
            </w:pPr>
            <w:r>
              <w:rPr>
                <w:rFonts w:hint="eastAsia" w:ascii="宋体" w:hAnsi="宋体" w:cs="宋体"/>
                <w:sz w:val="24"/>
              </w:rPr>
              <w:t>1</w:t>
            </w:r>
          </w:p>
        </w:tc>
        <w:tc>
          <w:tcPr>
            <w:tcW w:w="1692" w:type="dxa"/>
            <w:tcBorders>
              <w:top w:val="single" w:color="auto" w:sz="4" w:space="0"/>
              <w:left w:val="single" w:color="auto" w:sz="4" w:space="0"/>
              <w:bottom w:val="single" w:color="auto" w:sz="4" w:space="0"/>
              <w:right w:val="single" w:color="auto" w:sz="4" w:space="0"/>
            </w:tcBorders>
            <w:noWrap/>
            <w:vAlign w:val="center"/>
          </w:tcPr>
          <w:p w14:paraId="5D727B61">
            <w:pPr>
              <w:jc w:val="cente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2E03732">
            <w:pPr>
              <w:jc w:val="center"/>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086F1BE7">
            <w:pPr>
              <w:jc w:val="center"/>
              <w:rPr>
                <w:rFonts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799CC609">
            <w:pPr>
              <w:jc w:val="center"/>
              <w:rPr>
                <w:rFonts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2B05CD7D">
            <w:pPr>
              <w:jc w:val="center"/>
              <w:rPr>
                <w:rFonts w:ascii="宋体" w:hAnsi="宋体" w:cs="宋体"/>
                <w:sz w:val="24"/>
              </w:rPr>
            </w:pPr>
          </w:p>
        </w:tc>
      </w:tr>
      <w:tr w14:paraId="4C38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14:paraId="50002151">
            <w:pPr>
              <w:jc w:val="center"/>
              <w:rPr>
                <w:rFonts w:ascii="宋体" w:hAnsi="宋体" w:cs="宋体"/>
                <w:sz w:val="24"/>
              </w:rPr>
            </w:pPr>
            <w:r>
              <w:rPr>
                <w:rFonts w:hint="eastAsia" w:ascii="宋体" w:hAnsi="宋体" w:cs="宋体"/>
                <w:sz w:val="24"/>
              </w:rPr>
              <w:t>2</w:t>
            </w:r>
          </w:p>
        </w:tc>
        <w:tc>
          <w:tcPr>
            <w:tcW w:w="1692" w:type="dxa"/>
            <w:tcBorders>
              <w:top w:val="single" w:color="auto" w:sz="4" w:space="0"/>
              <w:left w:val="single" w:color="auto" w:sz="4" w:space="0"/>
              <w:bottom w:val="single" w:color="auto" w:sz="4" w:space="0"/>
              <w:right w:val="single" w:color="auto" w:sz="4" w:space="0"/>
            </w:tcBorders>
            <w:noWrap/>
            <w:vAlign w:val="center"/>
          </w:tcPr>
          <w:p w14:paraId="32DEBBF3">
            <w:pPr>
              <w:jc w:val="cente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46586A90">
            <w:pPr>
              <w:jc w:val="center"/>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3A4AE08C">
            <w:pPr>
              <w:jc w:val="center"/>
              <w:rPr>
                <w:rFonts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47871E98">
            <w:pPr>
              <w:jc w:val="center"/>
              <w:rPr>
                <w:rFonts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6030B497">
            <w:pPr>
              <w:jc w:val="center"/>
              <w:rPr>
                <w:rFonts w:ascii="宋体" w:hAnsi="宋体" w:cs="宋体"/>
                <w:sz w:val="24"/>
              </w:rPr>
            </w:pPr>
          </w:p>
        </w:tc>
      </w:tr>
    </w:tbl>
    <w:p w14:paraId="6EDC511B">
      <w:pPr>
        <w:spacing w:line="360" w:lineRule="auto"/>
        <w:ind w:firstLine="480" w:firstLineChars="200"/>
        <w:rPr>
          <w:rFonts w:ascii="宋体" w:hAnsi="宋体" w:cs="宋体"/>
          <w:sz w:val="24"/>
        </w:rPr>
      </w:pPr>
      <w:r>
        <w:rPr>
          <w:rFonts w:hint="eastAsia" w:ascii="宋体" w:hAnsi="宋体" w:cs="宋体"/>
          <w:sz w:val="24"/>
        </w:rPr>
        <w:t>三、技术资料</w:t>
      </w:r>
    </w:p>
    <w:p w14:paraId="49B324E1">
      <w:pPr>
        <w:spacing w:line="360" w:lineRule="auto"/>
        <w:ind w:firstLine="480" w:firstLineChars="200"/>
        <w:rPr>
          <w:rFonts w:ascii="宋体" w:hAnsi="宋体" w:cs="宋体"/>
          <w:sz w:val="24"/>
        </w:rPr>
      </w:pPr>
      <w:r>
        <w:rPr>
          <w:rFonts w:hint="eastAsia" w:ascii="宋体" w:hAnsi="宋体" w:cs="宋体"/>
          <w:sz w:val="24"/>
        </w:rPr>
        <w:t>1.乙方应按交易文件规定的时间向甲方提供有关技术资料。</w:t>
      </w:r>
    </w:p>
    <w:p w14:paraId="1FFF643C">
      <w:pPr>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FA56F3">
      <w:pPr>
        <w:spacing w:line="360" w:lineRule="auto"/>
        <w:ind w:firstLine="480" w:firstLineChars="200"/>
        <w:rPr>
          <w:rFonts w:ascii="宋体" w:hAnsi="宋体" w:cs="宋体"/>
          <w:sz w:val="24"/>
        </w:rPr>
      </w:pPr>
      <w:r>
        <w:rPr>
          <w:rFonts w:hint="eastAsia" w:ascii="宋体" w:hAnsi="宋体" w:cs="宋体"/>
          <w:sz w:val="24"/>
        </w:rPr>
        <w:t>四、知识产权</w:t>
      </w:r>
    </w:p>
    <w:p w14:paraId="32CF04E8">
      <w:pPr>
        <w:spacing w:line="360" w:lineRule="auto"/>
        <w:ind w:firstLine="480" w:firstLineChars="200"/>
        <w:rPr>
          <w:rFonts w:ascii="宋体" w:hAnsi="宋体" w:cs="宋体"/>
          <w:sz w:val="24"/>
        </w:rPr>
      </w:pPr>
      <w:r>
        <w:rPr>
          <w:rFonts w:hint="eastAsia" w:ascii="宋体" w:hAnsi="宋体" w:cs="宋体"/>
          <w:sz w:val="24"/>
        </w:rPr>
        <w:t>乙方应保证提供服务过程中不会侵犯任何第三方的知识产权。</w:t>
      </w:r>
    </w:p>
    <w:p w14:paraId="4E412B68">
      <w:pPr>
        <w:spacing w:line="360" w:lineRule="auto"/>
        <w:ind w:firstLine="480" w:firstLineChars="200"/>
        <w:rPr>
          <w:rFonts w:ascii="宋体" w:hAnsi="宋体" w:cs="宋体"/>
          <w:sz w:val="24"/>
        </w:rPr>
      </w:pPr>
      <w:r>
        <w:rPr>
          <w:rFonts w:hint="eastAsia" w:ascii="宋体" w:hAnsi="宋体" w:cs="宋体"/>
          <w:sz w:val="24"/>
        </w:rPr>
        <w:t>五、履约保证金</w:t>
      </w:r>
    </w:p>
    <w:p w14:paraId="62BEDABB">
      <w:pPr>
        <w:spacing w:line="360" w:lineRule="auto"/>
        <w:ind w:firstLine="480" w:firstLineChars="200"/>
        <w:rPr>
          <w:rFonts w:ascii="宋体" w:hAnsi="宋体" w:cs="宋体"/>
          <w:sz w:val="24"/>
        </w:rPr>
      </w:pPr>
      <w:r>
        <w:rPr>
          <w:rFonts w:hint="eastAsia" w:ascii="宋体" w:hAnsi="宋体" w:cs="宋体"/>
          <w:sz w:val="24"/>
        </w:rPr>
        <w:t>本项目不收取。</w:t>
      </w:r>
    </w:p>
    <w:p w14:paraId="2521B5B9">
      <w:pPr>
        <w:spacing w:line="360" w:lineRule="auto"/>
        <w:ind w:firstLine="480" w:firstLineChars="200"/>
        <w:rPr>
          <w:rFonts w:ascii="宋体" w:hAnsi="宋体" w:cs="宋体"/>
          <w:sz w:val="24"/>
        </w:rPr>
      </w:pPr>
      <w:r>
        <w:rPr>
          <w:rFonts w:hint="eastAsia" w:ascii="宋体" w:hAnsi="宋体" w:cs="宋体"/>
          <w:sz w:val="24"/>
        </w:rPr>
        <w:t>六、转包或分包</w:t>
      </w:r>
    </w:p>
    <w:p w14:paraId="69A65DDE">
      <w:pPr>
        <w:spacing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14:paraId="45B1E3CC">
      <w:pPr>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32B77CDF">
      <w:pPr>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0D610DE4">
      <w:pPr>
        <w:spacing w:line="360" w:lineRule="auto"/>
        <w:ind w:firstLine="480" w:firstLineChars="200"/>
        <w:rPr>
          <w:rFonts w:ascii="宋体" w:hAnsi="宋体" w:cs="宋体"/>
          <w:sz w:val="24"/>
        </w:rPr>
      </w:pPr>
      <w:r>
        <w:rPr>
          <w:rFonts w:hint="eastAsia" w:ascii="宋体" w:hAnsi="宋体" w:cs="宋体"/>
          <w:sz w:val="24"/>
        </w:rPr>
        <w:t>七、服务质量保证期和服务质量保证金(选用)</w:t>
      </w:r>
    </w:p>
    <w:p w14:paraId="23BA40A6">
      <w:pPr>
        <w:spacing w:line="360" w:lineRule="auto"/>
        <w:ind w:firstLine="480" w:firstLineChars="200"/>
        <w:rPr>
          <w:rFonts w:ascii="宋体" w:hAnsi="宋体" w:cs="宋体"/>
          <w:sz w:val="24"/>
        </w:rPr>
      </w:pPr>
      <w:r>
        <w:rPr>
          <w:rFonts w:hint="eastAsia" w:ascii="宋体" w:hAnsi="宋体" w:cs="宋体"/>
          <w:sz w:val="24"/>
        </w:rPr>
        <w:t>1. 服务质量保证期年。（自验收合格之日起计）</w:t>
      </w:r>
    </w:p>
    <w:p w14:paraId="6F1E6F88">
      <w:pPr>
        <w:spacing w:line="360" w:lineRule="auto"/>
        <w:ind w:firstLine="480" w:firstLineChars="200"/>
        <w:rPr>
          <w:rFonts w:ascii="宋体" w:hAnsi="宋体" w:cs="宋体"/>
          <w:sz w:val="24"/>
        </w:rPr>
      </w:pPr>
      <w:r>
        <w:rPr>
          <w:rFonts w:hint="eastAsia" w:ascii="宋体" w:hAnsi="宋体" w:cs="宋体"/>
          <w:sz w:val="24"/>
        </w:rPr>
        <w:t>2. 服务质量保证金元。</w:t>
      </w:r>
    </w:p>
    <w:p w14:paraId="21F6A64C">
      <w:pPr>
        <w:spacing w:line="360" w:lineRule="auto"/>
        <w:ind w:firstLine="480" w:firstLineChars="200"/>
        <w:rPr>
          <w:rFonts w:ascii="宋体" w:hAnsi="宋体" w:cs="宋体"/>
          <w:sz w:val="24"/>
        </w:rPr>
      </w:pPr>
      <w:r>
        <w:rPr>
          <w:rFonts w:hint="eastAsia" w:ascii="宋体" w:hAnsi="宋体" w:cs="宋体"/>
          <w:sz w:val="24"/>
        </w:rPr>
        <w:t>八、合同履行时间、履行方式及履行地点</w:t>
      </w:r>
    </w:p>
    <w:p w14:paraId="0FCB6C66">
      <w:pPr>
        <w:spacing w:line="360" w:lineRule="auto"/>
        <w:ind w:firstLine="480" w:firstLineChars="200"/>
        <w:rPr>
          <w:rFonts w:ascii="宋体" w:hAnsi="宋体" w:cs="宋体"/>
          <w:sz w:val="24"/>
        </w:rPr>
      </w:pPr>
      <w:r>
        <w:rPr>
          <w:rFonts w:hint="eastAsia" w:ascii="宋体" w:hAnsi="宋体" w:cs="宋体"/>
          <w:sz w:val="24"/>
        </w:rPr>
        <w:t>1. 履行时间：</w:t>
      </w:r>
    </w:p>
    <w:p w14:paraId="68D1B6F0">
      <w:pPr>
        <w:spacing w:line="360" w:lineRule="auto"/>
        <w:ind w:firstLine="480" w:firstLineChars="200"/>
        <w:rPr>
          <w:rFonts w:ascii="宋体" w:hAnsi="宋体" w:cs="宋体"/>
          <w:sz w:val="24"/>
        </w:rPr>
      </w:pPr>
      <w:r>
        <w:rPr>
          <w:rFonts w:hint="eastAsia" w:ascii="宋体" w:hAnsi="宋体" w:cs="宋体"/>
          <w:sz w:val="24"/>
        </w:rPr>
        <w:t>2. 履行方式：</w:t>
      </w:r>
    </w:p>
    <w:p w14:paraId="05AA9BA4">
      <w:pPr>
        <w:spacing w:line="360" w:lineRule="auto"/>
        <w:ind w:firstLine="480" w:firstLineChars="200"/>
        <w:rPr>
          <w:rFonts w:ascii="宋体" w:hAnsi="宋体" w:cs="宋体"/>
          <w:sz w:val="24"/>
        </w:rPr>
      </w:pPr>
      <w:r>
        <w:rPr>
          <w:rFonts w:hint="eastAsia" w:ascii="宋体" w:hAnsi="宋体" w:cs="宋体"/>
          <w:sz w:val="24"/>
        </w:rPr>
        <w:t>3. 履行地点：</w:t>
      </w:r>
    </w:p>
    <w:p w14:paraId="34B8D4A3">
      <w:pPr>
        <w:spacing w:line="360" w:lineRule="auto"/>
        <w:ind w:firstLine="480" w:firstLineChars="200"/>
        <w:rPr>
          <w:rFonts w:ascii="宋体" w:hAnsi="宋体" w:cs="宋体"/>
          <w:sz w:val="24"/>
        </w:rPr>
      </w:pPr>
      <w:r>
        <w:rPr>
          <w:rFonts w:hint="eastAsia" w:ascii="宋体" w:hAnsi="宋体" w:cs="宋体"/>
          <w:sz w:val="24"/>
        </w:rPr>
        <w:t>九、款项支付</w:t>
      </w:r>
    </w:p>
    <w:p w14:paraId="0117A662">
      <w:pPr>
        <w:spacing w:line="360" w:lineRule="auto"/>
        <w:ind w:firstLine="480" w:firstLineChars="200"/>
        <w:rPr>
          <w:rFonts w:ascii="宋体" w:hAnsi="宋体" w:cs="宋体"/>
          <w:sz w:val="24"/>
        </w:rPr>
      </w:pPr>
      <w:r>
        <w:rPr>
          <w:rFonts w:hint="eastAsia" w:ascii="宋体" w:hAnsi="宋体" w:cs="宋体"/>
          <w:sz w:val="24"/>
        </w:rPr>
        <w:t>1.付款方式：</w:t>
      </w:r>
    </w:p>
    <w:p w14:paraId="3D982201">
      <w:pPr>
        <w:spacing w:line="360" w:lineRule="auto"/>
        <w:ind w:firstLine="480" w:firstLineChars="200"/>
        <w:rPr>
          <w:rFonts w:ascii="宋体" w:hAnsi="宋体" w:cs="宋体"/>
          <w:sz w:val="24"/>
        </w:rPr>
      </w:pPr>
      <w:r>
        <w:rPr>
          <w:rFonts w:hint="eastAsia" w:ascii="宋体" w:hAnsi="宋体" w:cs="宋体"/>
          <w:sz w:val="24"/>
        </w:rPr>
        <w:t>2.合同履行完毕，需方根据合同进行验收，验收合格后供应商按结算要求办理货款结算手续。</w:t>
      </w:r>
    </w:p>
    <w:p w14:paraId="2F6574D6">
      <w:pPr>
        <w:spacing w:line="360" w:lineRule="auto"/>
        <w:ind w:firstLine="480" w:firstLineChars="200"/>
        <w:rPr>
          <w:rFonts w:ascii="宋体" w:hAnsi="宋体" w:cs="宋体"/>
          <w:sz w:val="24"/>
        </w:rPr>
      </w:pPr>
      <w:r>
        <w:rPr>
          <w:rFonts w:hint="eastAsia" w:ascii="宋体" w:hAnsi="宋体" w:cs="宋体"/>
          <w:sz w:val="24"/>
        </w:rPr>
        <w:t>十、税费</w:t>
      </w:r>
    </w:p>
    <w:p w14:paraId="6FFC3248">
      <w:pPr>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14:paraId="28A04071">
      <w:pPr>
        <w:spacing w:line="360" w:lineRule="auto"/>
        <w:ind w:firstLine="480" w:firstLineChars="200"/>
        <w:rPr>
          <w:rFonts w:ascii="宋体" w:hAnsi="宋体" w:cs="宋体"/>
          <w:sz w:val="24"/>
        </w:rPr>
      </w:pPr>
      <w:r>
        <w:rPr>
          <w:rFonts w:hint="eastAsia" w:ascii="宋体" w:hAnsi="宋体" w:cs="宋体"/>
          <w:sz w:val="24"/>
        </w:rPr>
        <w:t>十一、质量保证及后续服务</w:t>
      </w:r>
    </w:p>
    <w:p w14:paraId="18CC2512">
      <w:pPr>
        <w:spacing w:line="360" w:lineRule="auto"/>
        <w:ind w:firstLine="480" w:firstLineChars="200"/>
        <w:rPr>
          <w:rFonts w:ascii="宋体" w:hAnsi="宋体" w:cs="宋体"/>
          <w:sz w:val="24"/>
        </w:rPr>
      </w:pPr>
      <w:r>
        <w:rPr>
          <w:rFonts w:hint="eastAsia" w:ascii="宋体" w:hAnsi="宋体" w:cs="宋体"/>
          <w:sz w:val="24"/>
        </w:rPr>
        <w:t>1. 乙方应按交易文件规定向甲方提供服务。</w:t>
      </w:r>
    </w:p>
    <w:p w14:paraId="2993F1C9">
      <w:pPr>
        <w:spacing w:line="360" w:lineRule="auto"/>
        <w:ind w:firstLine="480" w:firstLineChars="200"/>
        <w:rPr>
          <w:rFonts w:ascii="宋体" w:hAnsi="宋体" w:cs="宋体"/>
          <w:sz w:val="24"/>
        </w:rPr>
      </w:pPr>
      <w:r>
        <w:rPr>
          <w:rFonts w:hint="eastAsia" w:ascii="宋体" w:hAnsi="宋体" w:cs="宋体"/>
          <w:sz w:val="24"/>
        </w:rPr>
        <w:t>2. 乙方提供的服务成果在服务质量保证期内发生故障，乙方应负责免费提供后续服务。对达不到要求者，根据实际情况，经双方协商，可按以下办法处理：</w:t>
      </w:r>
    </w:p>
    <w:p w14:paraId="352F1476">
      <w:pPr>
        <w:spacing w:line="360" w:lineRule="auto"/>
        <w:ind w:firstLine="480" w:firstLineChars="200"/>
        <w:rPr>
          <w:rFonts w:ascii="宋体" w:hAnsi="宋体" w:cs="宋体"/>
          <w:sz w:val="24"/>
        </w:rPr>
      </w:pPr>
      <w:r>
        <w:rPr>
          <w:rFonts w:hint="eastAsia" w:ascii="宋体" w:hAnsi="宋体" w:cs="宋体"/>
          <w:sz w:val="24"/>
        </w:rPr>
        <w:t>⑴重做：由乙方承担所发生的全部费用。</w:t>
      </w:r>
    </w:p>
    <w:p w14:paraId="4C17EAE4">
      <w:pPr>
        <w:spacing w:line="360" w:lineRule="auto"/>
        <w:ind w:firstLine="480" w:firstLineChars="200"/>
        <w:rPr>
          <w:rFonts w:ascii="宋体" w:hAnsi="宋体" w:cs="宋体"/>
          <w:sz w:val="24"/>
        </w:rPr>
      </w:pPr>
      <w:r>
        <w:rPr>
          <w:rFonts w:hint="eastAsia" w:ascii="宋体" w:hAnsi="宋体" w:cs="宋体"/>
          <w:sz w:val="24"/>
        </w:rPr>
        <w:t>⑵贬值处理：由甲乙双方合议定价。</w:t>
      </w:r>
    </w:p>
    <w:p w14:paraId="0069C98A">
      <w:pPr>
        <w:spacing w:line="360" w:lineRule="auto"/>
        <w:ind w:firstLine="480" w:firstLineChars="200"/>
        <w:rPr>
          <w:rFonts w:ascii="宋体" w:hAnsi="宋体" w:cs="宋体"/>
          <w:sz w:val="24"/>
        </w:rPr>
      </w:pPr>
      <w:r>
        <w:rPr>
          <w:rFonts w:hint="eastAsia" w:ascii="宋体" w:hAnsi="宋体" w:cs="宋体"/>
          <w:sz w:val="24"/>
        </w:rPr>
        <w:t>⑶解除合同。</w:t>
      </w:r>
    </w:p>
    <w:p w14:paraId="68D16406">
      <w:pPr>
        <w:spacing w:line="360" w:lineRule="auto"/>
        <w:ind w:firstLine="480" w:firstLineChars="200"/>
        <w:rPr>
          <w:rFonts w:ascii="宋体" w:hAnsi="宋体" w:cs="宋体"/>
          <w:sz w:val="24"/>
        </w:rPr>
      </w:pPr>
      <w:r>
        <w:rPr>
          <w:rFonts w:hint="eastAsia" w:ascii="宋体" w:hAnsi="宋体" w:cs="宋体"/>
          <w:sz w:val="24"/>
        </w:rPr>
        <w:t>3. 如在使用过程中发生问题，乙方在接到甲方通知后在小时内到达甲方现场。</w:t>
      </w:r>
    </w:p>
    <w:p w14:paraId="2E29962D">
      <w:pPr>
        <w:spacing w:line="360" w:lineRule="auto"/>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415635F3">
      <w:pPr>
        <w:spacing w:line="360" w:lineRule="auto"/>
        <w:ind w:firstLine="480" w:firstLineChars="200"/>
        <w:rPr>
          <w:rFonts w:ascii="宋体" w:hAnsi="宋体" w:cs="宋体"/>
          <w:sz w:val="24"/>
        </w:rPr>
      </w:pPr>
      <w:r>
        <w:rPr>
          <w:rFonts w:hint="eastAsia" w:ascii="宋体" w:hAnsi="宋体" w:cs="宋体"/>
          <w:sz w:val="24"/>
        </w:rPr>
        <w:t>十二、违约责任</w:t>
      </w:r>
    </w:p>
    <w:p w14:paraId="7ABF672B">
      <w:pPr>
        <w:spacing w:line="360" w:lineRule="auto"/>
        <w:ind w:firstLine="480" w:firstLineChars="200"/>
        <w:rPr>
          <w:rFonts w:ascii="宋体" w:hAnsi="宋体" w:cs="宋体"/>
          <w:sz w:val="24"/>
        </w:rPr>
      </w:pPr>
      <w:r>
        <w:rPr>
          <w:rFonts w:hint="eastAsia" w:ascii="宋体" w:hAnsi="宋体" w:cs="宋体"/>
          <w:sz w:val="24"/>
        </w:rPr>
        <w:t>1.甲方无正当理由拒绝接收服务的，甲方向乙方偿付合同款项百分之作为违约金。</w:t>
      </w:r>
    </w:p>
    <w:p w14:paraId="7C29161A">
      <w:pPr>
        <w:spacing w:line="360" w:lineRule="auto"/>
        <w:ind w:firstLine="480" w:firstLineChars="200"/>
        <w:rPr>
          <w:rFonts w:ascii="宋体" w:hAnsi="宋体" w:cs="宋体"/>
          <w:sz w:val="24"/>
        </w:rPr>
      </w:pPr>
      <w:r>
        <w:rPr>
          <w:rFonts w:hint="eastAsia" w:ascii="宋体" w:hAnsi="宋体" w:cs="宋体"/>
          <w:sz w:val="24"/>
        </w:rPr>
        <w:t>2.甲方无故逾期验收和办理款项支付手续的，甲方应按逾期付款总额每日万分之向乙方支付违约金。</w:t>
      </w:r>
    </w:p>
    <w:p w14:paraId="767AE1A6">
      <w:pPr>
        <w:spacing w:line="360" w:lineRule="auto"/>
        <w:ind w:firstLine="480" w:firstLineChars="200"/>
        <w:rPr>
          <w:rFonts w:ascii="宋体" w:hAnsi="宋体" w:cs="宋体"/>
          <w:sz w:val="24"/>
        </w:rPr>
      </w:pPr>
      <w:r>
        <w:rPr>
          <w:rFonts w:hint="eastAsia" w:ascii="宋体" w:hAnsi="宋体" w:cs="宋体"/>
          <w:sz w:val="24"/>
        </w:rPr>
        <w:t>3.乙方未能如期提供服务的，每日向甲方支付合同款项的千分之作为违约金。乙方超过约定日期10个工作日仍不能提供服务的，甲方可解除本合同，不予退还履约保证金，如造成甲方损失超过履约保证金的，超出部分由乙方继续承担赔偿责任。</w:t>
      </w:r>
    </w:p>
    <w:p w14:paraId="6E02D33B">
      <w:pPr>
        <w:spacing w:line="360" w:lineRule="auto"/>
        <w:ind w:firstLine="480" w:firstLineChars="200"/>
        <w:rPr>
          <w:rFonts w:ascii="宋体" w:hAnsi="宋体" w:cs="宋体"/>
          <w:sz w:val="24"/>
        </w:rPr>
      </w:pPr>
      <w:r>
        <w:rPr>
          <w:rFonts w:hint="eastAsia" w:ascii="宋体" w:hAnsi="宋体" w:cs="宋体"/>
          <w:sz w:val="24"/>
        </w:rPr>
        <w:t>4.供方在服务项目验收合格之日起保修期内违反本合同有关承诺保证的，需方将有权不予退还质量保证金，损失赔偿不足部分，由乙方承担赔偿。</w:t>
      </w:r>
    </w:p>
    <w:p w14:paraId="51B9AEAB">
      <w:pPr>
        <w:spacing w:line="360" w:lineRule="auto"/>
        <w:ind w:firstLine="480" w:firstLineChars="200"/>
        <w:rPr>
          <w:rFonts w:ascii="宋体" w:hAnsi="宋体" w:cs="宋体"/>
          <w:sz w:val="24"/>
        </w:rPr>
      </w:pPr>
      <w:r>
        <w:rPr>
          <w:rFonts w:hint="eastAsia" w:ascii="宋体" w:hAnsi="宋体" w:cs="宋体"/>
          <w:sz w:val="24"/>
        </w:rPr>
        <w:t>5．如发现乙方违反交易文件和合同的有关规定，甲方有权根据约定对乙方进行处罚，并有权提前终止合同。</w:t>
      </w:r>
    </w:p>
    <w:p w14:paraId="4E3C648D">
      <w:pPr>
        <w:spacing w:line="360" w:lineRule="auto"/>
        <w:ind w:firstLine="360" w:firstLineChars="150"/>
        <w:rPr>
          <w:rFonts w:ascii="宋体" w:hAnsi="宋体" w:cs="宋体"/>
          <w:sz w:val="24"/>
        </w:rPr>
      </w:pPr>
      <w:r>
        <w:rPr>
          <w:rFonts w:hint="eastAsia" w:ascii="宋体" w:hAnsi="宋体" w:cs="宋体"/>
          <w:sz w:val="24"/>
        </w:rPr>
        <w:t>十三、争议的解决</w:t>
      </w:r>
    </w:p>
    <w:p w14:paraId="05C4812C">
      <w:pPr>
        <w:spacing w:line="360" w:lineRule="auto"/>
        <w:ind w:firstLine="480" w:firstLineChars="200"/>
        <w:rPr>
          <w:rFonts w:ascii="宋体" w:hAnsi="宋体" w:cs="宋体"/>
          <w:sz w:val="24"/>
        </w:rPr>
      </w:pPr>
      <w:r>
        <w:rPr>
          <w:rFonts w:hint="eastAsia" w:ascii="宋体" w:hAnsi="宋体" w:cs="宋体"/>
          <w:sz w:val="24"/>
        </w:rPr>
        <w:t>因本合同引起的或与本合同有关的任何争议，合同双方应首先通过协商解决，达成书面协议，如协商不成，可选择下列第种方式解决。</w:t>
      </w:r>
    </w:p>
    <w:p w14:paraId="41116B53">
      <w:pPr>
        <w:spacing w:line="360" w:lineRule="auto"/>
        <w:ind w:firstLine="480" w:firstLineChars="200"/>
        <w:rPr>
          <w:rFonts w:ascii="宋体" w:hAnsi="宋体" w:cs="宋体"/>
          <w:sz w:val="24"/>
        </w:rPr>
      </w:pPr>
      <w:r>
        <w:rPr>
          <w:rFonts w:hint="eastAsia" w:ascii="宋体" w:hAnsi="宋体" w:cs="宋体"/>
          <w:sz w:val="24"/>
        </w:rPr>
        <w:t>（1）提请杭州仲裁委员会按照该会仲裁规则进行仲裁，仲裁裁决是终局的，对合同双方均有约束力。</w:t>
      </w:r>
    </w:p>
    <w:p w14:paraId="6FFB94D9">
      <w:pPr>
        <w:spacing w:line="360" w:lineRule="auto"/>
        <w:ind w:firstLine="480" w:firstLineChars="200"/>
        <w:rPr>
          <w:rFonts w:ascii="宋体" w:hAnsi="宋体" w:cs="宋体"/>
          <w:sz w:val="24"/>
        </w:rPr>
      </w:pPr>
      <w:r>
        <w:rPr>
          <w:rFonts w:hint="eastAsia" w:ascii="宋体" w:hAnsi="宋体" w:cs="宋体"/>
          <w:sz w:val="24"/>
        </w:rPr>
        <w:t>（2）向有管辖权的人民法院提起诉讼。</w:t>
      </w:r>
    </w:p>
    <w:p w14:paraId="2306492A">
      <w:pPr>
        <w:spacing w:line="360" w:lineRule="auto"/>
        <w:ind w:firstLine="480" w:firstLineChars="200"/>
        <w:rPr>
          <w:rFonts w:ascii="宋体" w:hAnsi="宋体" w:cs="宋体"/>
          <w:sz w:val="24"/>
        </w:rPr>
      </w:pPr>
      <w:r>
        <w:rPr>
          <w:rFonts w:hint="eastAsia" w:ascii="宋体" w:hAnsi="宋体" w:cs="宋体"/>
          <w:sz w:val="24"/>
        </w:rPr>
        <w:t>十四、合同生效</w:t>
      </w:r>
    </w:p>
    <w:p w14:paraId="744177C8">
      <w:pPr>
        <w:spacing w:line="360" w:lineRule="auto"/>
        <w:ind w:firstLine="480" w:firstLineChars="200"/>
        <w:rPr>
          <w:rFonts w:ascii="宋体" w:hAnsi="宋体" w:cs="宋体"/>
          <w:sz w:val="24"/>
        </w:rPr>
      </w:pPr>
      <w:r>
        <w:rPr>
          <w:rFonts w:hint="eastAsia" w:ascii="宋体" w:hAnsi="宋体" w:cs="宋体"/>
          <w:sz w:val="24"/>
        </w:rPr>
        <w:t>1.成交供应商持成交通知书作为与需方签订合同的凭证。</w:t>
      </w:r>
    </w:p>
    <w:p w14:paraId="23D88228">
      <w:pPr>
        <w:spacing w:line="360" w:lineRule="auto"/>
        <w:ind w:firstLine="480" w:firstLineChars="200"/>
        <w:rPr>
          <w:rFonts w:ascii="宋体" w:hAnsi="宋体" w:cs="宋体"/>
          <w:sz w:val="24"/>
        </w:rPr>
      </w:pPr>
      <w:r>
        <w:rPr>
          <w:rFonts w:hint="eastAsia" w:ascii="宋体" w:hAnsi="宋体" w:cs="宋体"/>
          <w:sz w:val="24"/>
        </w:rPr>
        <w:t>2.本合同经需、供双方法定代表人或其授权委托人签字并加盖单位公章后生效。</w:t>
      </w:r>
    </w:p>
    <w:p w14:paraId="6345235A">
      <w:pPr>
        <w:spacing w:line="360" w:lineRule="auto"/>
        <w:ind w:firstLine="480" w:firstLineChars="200"/>
        <w:rPr>
          <w:rFonts w:ascii="宋体" w:hAnsi="宋体" w:cs="宋体"/>
          <w:sz w:val="24"/>
        </w:rPr>
      </w:pPr>
      <w:r>
        <w:rPr>
          <w:rFonts w:hint="eastAsia" w:ascii="宋体" w:hAnsi="宋体" w:cs="宋体"/>
          <w:sz w:val="24"/>
        </w:rPr>
        <w:t>3.本合同一式四份，需、供双方各执二份。</w:t>
      </w:r>
    </w:p>
    <w:p w14:paraId="76C16B81">
      <w:pPr>
        <w:spacing w:line="360" w:lineRule="auto"/>
        <w:ind w:firstLine="480" w:firstLineChars="200"/>
        <w:rPr>
          <w:rFonts w:ascii="宋体" w:hAnsi="宋体" w:cs="宋体"/>
          <w:sz w:val="24"/>
        </w:rPr>
      </w:pPr>
      <w:r>
        <w:rPr>
          <w:rFonts w:hint="eastAsia" w:ascii="宋体" w:hAnsi="宋体" w:cs="宋体"/>
          <w:sz w:val="24"/>
        </w:rPr>
        <w:t>需方（盖章）：                     供方（盖章）：</w:t>
      </w:r>
    </w:p>
    <w:p w14:paraId="29602890">
      <w:pPr>
        <w:spacing w:line="360" w:lineRule="auto"/>
        <w:ind w:firstLine="480" w:firstLineChars="200"/>
        <w:rPr>
          <w:rFonts w:ascii="宋体" w:hAnsi="宋体" w:cs="宋体"/>
          <w:sz w:val="24"/>
        </w:rPr>
      </w:pPr>
      <w:r>
        <w:rPr>
          <w:rFonts w:hint="eastAsia" w:ascii="宋体" w:hAnsi="宋体" w:cs="宋体"/>
          <w:sz w:val="24"/>
        </w:rPr>
        <w:t>地址：                             地址：</w:t>
      </w:r>
    </w:p>
    <w:p w14:paraId="2DD42A2E">
      <w:pPr>
        <w:spacing w:line="360" w:lineRule="auto"/>
        <w:ind w:firstLine="480" w:firstLineChars="200"/>
        <w:rPr>
          <w:rFonts w:ascii="宋体" w:hAnsi="宋体" w:cs="宋体"/>
          <w:sz w:val="24"/>
        </w:rPr>
      </w:pPr>
      <w:r>
        <w:rPr>
          <w:rFonts w:hint="eastAsia" w:ascii="宋体" w:hAnsi="宋体" w:cs="宋体"/>
          <w:sz w:val="24"/>
        </w:rPr>
        <w:t>法定代表人（或委托代理人）签名：   法定代表人（或委托代理人）签名：</w:t>
      </w:r>
    </w:p>
    <w:p w14:paraId="2AFA29E5">
      <w:pPr>
        <w:spacing w:line="360" w:lineRule="auto"/>
        <w:ind w:firstLine="480" w:firstLineChars="200"/>
        <w:rPr>
          <w:rFonts w:ascii="宋体" w:hAnsi="宋体" w:cs="宋体"/>
          <w:sz w:val="24"/>
        </w:rPr>
      </w:pPr>
      <w:r>
        <w:rPr>
          <w:rFonts w:hint="eastAsia" w:ascii="宋体" w:hAnsi="宋体" w:cs="宋体"/>
          <w:sz w:val="24"/>
        </w:rPr>
        <w:t>联系电话：                         联系电话：</w:t>
      </w:r>
    </w:p>
    <w:p w14:paraId="73EF34B0">
      <w:pPr>
        <w:spacing w:line="360" w:lineRule="auto"/>
        <w:ind w:firstLine="480" w:firstLineChars="200"/>
        <w:rPr>
          <w:rFonts w:ascii="宋体" w:hAnsi="宋体" w:cs="宋体"/>
          <w:sz w:val="24"/>
        </w:rPr>
      </w:pPr>
      <w:r>
        <w:rPr>
          <w:rFonts w:hint="eastAsia" w:ascii="宋体" w:hAnsi="宋体" w:cs="宋体"/>
          <w:sz w:val="24"/>
        </w:rPr>
        <w:t>邮政编码：                         邮政编码：</w:t>
      </w:r>
    </w:p>
    <w:p w14:paraId="42F04547">
      <w:pPr>
        <w:spacing w:line="360" w:lineRule="auto"/>
        <w:ind w:firstLine="480" w:firstLineChars="200"/>
        <w:rPr>
          <w:rFonts w:ascii="宋体" w:hAnsi="宋体" w:cs="宋体"/>
          <w:sz w:val="24"/>
        </w:rPr>
      </w:pPr>
      <w:r>
        <w:rPr>
          <w:rFonts w:hint="eastAsia" w:ascii="宋体" w:hAnsi="宋体" w:cs="宋体"/>
          <w:sz w:val="24"/>
        </w:rPr>
        <w:t>开户银行：                         开户银行：</w:t>
      </w:r>
    </w:p>
    <w:p w14:paraId="5FA929FC">
      <w:pPr>
        <w:spacing w:line="360" w:lineRule="auto"/>
        <w:ind w:firstLine="480" w:firstLineChars="200"/>
        <w:rPr>
          <w:rFonts w:ascii="宋体" w:hAnsi="宋体" w:cs="宋体"/>
          <w:sz w:val="24"/>
        </w:rPr>
      </w:pPr>
      <w:r>
        <w:rPr>
          <w:rFonts w:hint="eastAsia" w:ascii="宋体" w:hAnsi="宋体" w:cs="宋体"/>
          <w:sz w:val="24"/>
        </w:rPr>
        <w:t>帐号：                             帐号：</w:t>
      </w:r>
    </w:p>
    <w:p w14:paraId="2C554995">
      <w:pPr>
        <w:spacing w:line="360" w:lineRule="auto"/>
        <w:rPr>
          <w:rFonts w:ascii="宋体" w:hAnsi="宋体" w:cs="宋体"/>
          <w:sz w:val="24"/>
        </w:rPr>
        <w:sectPr>
          <w:headerReference r:id="rId3" w:type="default"/>
          <w:footerReference r:id="rId4" w:type="default"/>
          <w:pgSz w:w="11906" w:h="16838"/>
          <w:pgMar w:top="1418" w:right="1286" w:bottom="935" w:left="1418" w:header="851" w:footer="992" w:gutter="0"/>
          <w:pgNumType w:start="0"/>
          <w:cols w:space="720" w:num="1"/>
          <w:titlePg/>
          <w:docGrid w:linePitch="312" w:charSpace="0"/>
        </w:sectPr>
      </w:pPr>
    </w:p>
    <w:p w14:paraId="37991E91">
      <w:pPr>
        <w:pStyle w:val="50"/>
        <w:rPr>
          <w:rFonts w:ascii="宋体" w:hAnsi="宋体" w:cs="宋体"/>
          <w:color w:val="000000" w:themeColor="text1"/>
          <w:sz w:val="24"/>
        </w:rPr>
      </w:pPr>
    </w:p>
    <w:p w14:paraId="26BD5F62">
      <w:pPr>
        <w:spacing w:line="360" w:lineRule="auto"/>
        <w:ind w:left="720" w:firstLine="723" w:firstLineChars="200"/>
        <w:outlineLvl w:val="0"/>
        <w:rPr>
          <w:rFonts w:ascii="宋体" w:hAnsi="宋体" w:cs="宋体"/>
          <w:b/>
          <w:color w:val="000000" w:themeColor="text1"/>
          <w:sz w:val="36"/>
          <w:szCs w:val="20"/>
        </w:rPr>
      </w:pPr>
    </w:p>
    <w:p w14:paraId="564FB451">
      <w:pPr>
        <w:spacing w:line="360" w:lineRule="auto"/>
        <w:ind w:left="720" w:firstLine="723" w:firstLineChars="200"/>
        <w:outlineLvl w:val="0"/>
        <w:rPr>
          <w:rFonts w:ascii="宋体" w:hAnsi="宋体" w:cs="宋体"/>
          <w:b/>
          <w:color w:val="000000" w:themeColor="text1"/>
          <w:sz w:val="36"/>
          <w:szCs w:val="20"/>
        </w:rPr>
      </w:pPr>
      <w:r>
        <w:rPr>
          <w:rFonts w:hint="eastAsia" w:ascii="宋体" w:hAnsi="宋体" w:cs="宋体"/>
          <w:b/>
          <w:color w:val="000000" w:themeColor="text1"/>
          <w:sz w:val="36"/>
          <w:szCs w:val="20"/>
        </w:rPr>
        <w:t>第六部分</w:t>
      </w:r>
      <w:bookmarkEnd w:id="386"/>
      <w:bookmarkEnd w:id="387"/>
      <w:r>
        <w:rPr>
          <w:rFonts w:hint="eastAsia" w:ascii="宋体" w:hAnsi="宋体" w:cs="宋体"/>
          <w:b/>
          <w:color w:val="000000" w:themeColor="text1"/>
          <w:sz w:val="36"/>
          <w:szCs w:val="20"/>
        </w:rPr>
        <w:t>应提交的有关格式范例</w:t>
      </w:r>
    </w:p>
    <w:p w14:paraId="55E3EE90">
      <w:pPr>
        <w:spacing w:line="360" w:lineRule="auto"/>
        <w:jc w:val="center"/>
        <w:outlineLvl w:val="0"/>
        <w:rPr>
          <w:rFonts w:ascii="宋体" w:hAnsi="宋体" w:cs="宋体"/>
          <w:b/>
          <w:color w:val="000000" w:themeColor="text1"/>
          <w:kern w:val="0"/>
          <w:sz w:val="36"/>
          <w:szCs w:val="36"/>
        </w:rPr>
      </w:pPr>
    </w:p>
    <w:p w14:paraId="69CA725F">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资格文件部分</w:t>
      </w:r>
    </w:p>
    <w:p w14:paraId="5ECAFDA2">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目录</w:t>
      </w:r>
    </w:p>
    <w:p w14:paraId="29F79647">
      <w:pPr>
        <w:spacing w:line="360" w:lineRule="auto"/>
        <w:jc w:val="center"/>
        <w:outlineLvl w:val="0"/>
        <w:rPr>
          <w:rFonts w:ascii="宋体" w:hAnsi="宋体" w:cs="宋体"/>
          <w:b/>
          <w:color w:val="000000" w:themeColor="text1"/>
          <w:kern w:val="0"/>
          <w:sz w:val="36"/>
          <w:szCs w:val="36"/>
        </w:rPr>
      </w:pPr>
    </w:p>
    <w:p w14:paraId="2A844468">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（1）符合参加交易活动应当具备的一般条件的承诺函………………（页码）</w:t>
      </w:r>
    </w:p>
    <w:p w14:paraId="50F0FE85">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（2）落实政府采购政策需满足的资格要求………………………………（页码）</w:t>
      </w:r>
    </w:p>
    <w:p w14:paraId="51E97EF1">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（3）本项目的特定资格要求………………………………………………（页码）</w:t>
      </w:r>
    </w:p>
    <w:p w14:paraId="7B3122A2">
      <w:pPr>
        <w:snapToGrid w:val="0"/>
        <w:spacing w:line="360" w:lineRule="auto"/>
        <w:ind w:firstLine="480" w:firstLineChars="200"/>
        <w:rPr>
          <w:rFonts w:ascii="宋体" w:hAnsi="宋体" w:cs="宋体"/>
          <w:color w:val="000000" w:themeColor="text1"/>
          <w:sz w:val="24"/>
        </w:rPr>
      </w:pPr>
    </w:p>
    <w:p w14:paraId="446C0BB0">
      <w:pPr>
        <w:spacing w:line="360" w:lineRule="auto"/>
        <w:ind w:firstLine="480" w:firstLineChars="200"/>
        <w:rPr>
          <w:rFonts w:ascii="宋体" w:hAnsi="宋体" w:cs="宋体"/>
          <w:color w:val="000000" w:themeColor="text1"/>
          <w:sz w:val="24"/>
        </w:rPr>
      </w:pPr>
    </w:p>
    <w:p w14:paraId="384A5CF6">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color w:val="000000" w:themeColor="text1"/>
          <w:kern w:val="0"/>
          <w:sz w:val="24"/>
        </w:rPr>
        <w:br w:type="page"/>
      </w:r>
      <w:r>
        <w:rPr>
          <w:rFonts w:hint="eastAsia" w:ascii="宋体" w:hAnsi="宋体" w:cs="宋体"/>
          <w:b/>
          <w:color w:val="000000" w:themeColor="text1"/>
          <w:kern w:val="0"/>
          <w:sz w:val="32"/>
          <w:szCs w:val="32"/>
        </w:rPr>
        <w:t xml:space="preserve">  一、 符合参加交易活动应当具备的一般条件的承诺函</w:t>
      </w:r>
    </w:p>
    <w:p w14:paraId="2527AB40">
      <w:pPr>
        <w:snapToGrid w:val="0"/>
        <w:spacing w:line="360" w:lineRule="auto"/>
        <w:rPr>
          <w:rFonts w:ascii="宋体" w:hAnsi="宋体" w:cs="宋体"/>
          <w:color w:val="000000" w:themeColor="text1"/>
          <w:sz w:val="24"/>
        </w:rPr>
      </w:pPr>
    </w:p>
    <w:p w14:paraId="5BCB1598">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u w:val="single"/>
        </w:rPr>
        <w:t>萧山区衙前镇第二小学：</w:t>
      </w:r>
    </w:p>
    <w:p w14:paraId="5231734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我方参与</w:t>
      </w:r>
      <w:r>
        <w:rPr>
          <w:rFonts w:hint="eastAsia" w:ascii="宋体" w:hAnsi="宋体" w:cs="宋体"/>
          <w:color w:val="000000" w:themeColor="text1"/>
          <w:sz w:val="24"/>
          <w:u w:val="single"/>
        </w:rPr>
        <w:t>萧山区衙前镇第二小学2025年暑期教师疗休养采购项目【交易编号： ZJZL-HZ2025-30 】</w:t>
      </w:r>
      <w:r>
        <w:rPr>
          <w:rFonts w:hint="eastAsia" w:ascii="宋体" w:hAnsi="宋体" w:cs="宋体"/>
          <w:color w:val="000000" w:themeColor="text1"/>
          <w:sz w:val="24"/>
        </w:rPr>
        <w:t>交易活动，郑重承诺：</w:t>
      </w:r>
    </w:p>
    <w:p w14:paraId="1A5857FC">
      <w:pPr>
        <w:snapToGrid w:val="0"/>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rPr>
        <w:t>（一）具备以下条件：</w:t>
      </w:r>
    </w:p>
    <w:p w14:paraId="6804979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1、具有独立承担民事责任的能力；</w:t>
      </w:r>
    </w:p>
    <w:p w14:paraId="45987732">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2、具有良好的商业信誉和健全的财务会计制度； </w:t>
      </w:r>
    </w:p>
    <w:p w14:paraId="346DBA3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3、具有履行合同所必需的设备和专业技术能力；</w:t>
      </w:r>
    </w:p>
    <w:p w14:paraId="0BF30CE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4、有依法缴纳税收和社会保障资金的良好记录；</w:t>
      </w:r>
    </w:p>
    <w:p w14:paraId="05C26A38">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5、参加采购活动前三年内，在经营活动中没有重大违法记录；</w:t>
      </w:r>
    </w:p>
    <w:p w14:paraId="349769D0">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6、具有法律、行政法规规定的其他条件。</w:t>
      </w:r>
    </w:p>
    <w:p w14:paraId="21DB657B">
      <w:pPr>
        <w:snapToGrid w:val="0"/>
        <w:spacing w:line="360" w:lineRule="auto"/>
        <w:ind w:firstLine="5520" w:firstLineChars="2300"/>
        <w:rPr>
          <w:rFonts w:ascii="宋体" w:hAnsi="宋体" w:cs="宋体"/>
          <w:color w:val="000000" w:themeColor="text1"/>
          <w:kern w:val="0"/>
          <w:sz w:val="24"/>
          <w:lang w:val="zh-CN"/>
        </w:rPr>
      </w:pPr>
    </w:p>
    <w:p w14:paraId="7C09B8A1">
      <w:pPr>
        <w:snapToGrid w:val="0"/>
        <w:spacing w:line="360" w:lineRule="auto"/>
        <w:ind w:firstLine="5520" w:firstLineChars="2300"/>
        <w:rPr>
          <w:rFonts w:ascii="宋体" w:hAnsi="宋体" w:cs="宋体"/>
          <w:color w:val="000000" w:themeColor="text1"/>
          <w:kern w:val="0"/>
          <w:sz w:val="24"/>
          <w:lang w:val="zh-CN"/>
        </w:rPr>
      </w:pPr>
    </w:p>
    <w:p w14:paraId="5062B38B">
      <w:pPr>
        <w:snapToGrid w:val="0"/>
        <w:spacing w:line="360" w:lineRule="auto"/>
        <w:ind w:firstLine="5520" w:firstLineChars="2300"/>
        <w:rPr>
          <w:rFonts w:ascii="宋体" w:hAnsi="宋体" w:cs="宋体"/>
          <w:color w:val="000000" w:themeColor="text1"/>
          <w:kern w:val="0"/>
          <w:sz w:val="24"/>
          <w:lang w:val="zh-CN"/>
        </w:rPr>
      </w:pPr>
    </w:p>
    <w:p w14:paraId="53906D61">
      <w:pPr>
        <w:snapToGrid w:val="0"/>
        <w:spacing w:line="360" w:lineRule="auto"/>
        <w:ind w:firstLine="5520" w:firstLineChars="2300"/>
        <w:rPr>
          <w:rFonts w:ascii="宋体" w:hAnsi="宋体" w:cs="宋体"/>
          <w:color w:val="000000" w:themeColor="text1"/>
          <w:kern w:val="0"/>
          <w:sz w:val="24"/>
        </w:rPr>
      </w:pPr>
      <w:r>
        <w:rPr>
          <w:rFonts w:hint="eastAsia" w:ascii="宋体" w:hAnsi="宋体" w:cs="宋体"/>
          <w:color w:val="000000" w:themeColor="text1"/>
          <w:kern w:val="0"/>
          <w:sz w:val="24"/>
          <w:lang w:val="zh-CN"/>
        </w:rPr>
        <w:t>供应商名称(电子签名)：</w:t>
      </w:r>
    </w:p>
    <w:p w14:paraId="1B870F34">
      <w:pPr>
        <w:snapToGrid w:val="0"/>
        <w:spacing w:line="360" w:lineRule="auto"/>
        <w:ind w:firstLine="5520" w:firstLineChars="2300"/>
        <w:rPr>
          <w:rFonts w:ascii="宋体" w:hAnsi="宋体" w:cs="宋体"/>
          <w:color w:val="000000" w:themeColor="text1"/>
          <w:kern w:val="0"/>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  日</w:t>
      </w:r>
    </w:p>
    <w:p w14:paraId="7292096A">
      <w:pPr>
        <w:snapToGrid w:val="0"/>
        <w:spacing w:line="360" w:lineRule="auto"/>
        <w:ind w:right="480"/>
        <w:jc w:val="center"/>
        <w:rPr>
          <w:rFonts w:ascii="宋体" w:hAnsi="宋体" w:cs="宋体"/>
          <w:b/>
          <w:color w:val="000000" w:themeColor="text1"/>
          <w:kern w:val="0"/>
          <w:sz w:val="32"/>
          <w:szCs w:val="32"/>
        </w:rPr>
      </w:pPr>
    </w:p>
    <w:p w14:paraId="00C62D6F">
      <w:pPr>
        <w:snapToGrid w:val="0"/>
        <w:spacing w:line="360" w:lineRule="auto"/>
        <w:ind w:right="480"/>
        <w:jc w:val="center"/>
        <w:rPr>
          <w:rFonts w:ascii="宋体" w:hAnsi="宋体" w:cs="宋体"/>
          <w:b/>
          <w:color w:val="000000" w:themeColor="text1"/>
          <w:kern w:val="0"/>
          <w:sz w:val="32"/>
          <w:szCs w:val="32"/>
        </w:rPr>
      </w:pPr>
    </w:p>
    <w:p w14:paraId="70A85A4C">
      <w:pPr>
        <w:snapToGrid w:val="0"/>
        <w:spacing w:line="360" w:lineRule="auto"/>
        <w:ind w:right="480"/>
        <w:jc w:val="center"/>
        <w:rPr>
          <w:rFonts w:ascii="宋体" w:hAnsi="宋体" w:cs="宋体"/>
          <w:b/>
          <w:color w:val="000000" w:themeColor="text1"/>
          <w:kern w:val="0"/>
          <w:sz w:val="32"/>
          <w:szCs w:val="32"/>
        </w:rPr>
      </w:pPr>
    </w:p>
    <w:p w14:paraId="7B304575">
      <w:pPr>
        <w:autoSpaceDE w:val="0"/>
        <w:autoSpaceDN w:val="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77D18D3F">
      <w:pPr>
        <w:autoSpaceDE w:val="0"/>
        <w:autoSpaceDN w:val="0"/>
        <w:jc w:val="center"/>
        <w:rPr>
          <w:rFonts w:ascii="宋体" w:hAnsi="宋体" w:cs="宋体"/>
          <w:b/>
          <w:color w:val="000000" w:themeColor="text1"/>
          <w:kern w:val="0"/>
          <w:sz w:val="32"/>
          <w:szCs w:val="32"/>
        </w:rPr>
      </w:pPr>
    </w:p>
    <w:p w14:paraId="61423CFF">
      <w:pPr>
        <w:autoSpaceDE w:val="0"/>
        <w:autoSpaceDN w:val="0"/>
        <w:jc w:val="center"/>
        <w:rPr>
          <w:rFonts w:ascii="宋体" w:hAnsi="宋体" w:cs="宋体"/>
          <w:b/>
          <w:bCs/>
          <w:color w:val="000000" w:themeColor="text1"/>
          <w:sz w:val="32"/>
          <w:szCs w:val="32"/>
        </w:rPr>
      </w:pPr>
      <w:r>
        <w:rPr>
          <w:rFonts w:hint="eastAsia" w:ascii="宋体" w:hAnsi="宋体" w:cs="宋体"/>
          <w:b/>
          <w:color w:val="000000" w:themeColor="text1"/>
          <w:kern w:val="0"/>
          <w:sz w:val="32"/>
          <w:szCs w:val="32"/>
        </w:rPr>
        <w:t>二、</w:t>
      </w:r>
      <w:r>
        <w:rPr>
          <w:rFonts w:hint="eastAsia" w:ascii="宋体" w:hAnsi="宋体" w:cs="宋体"/>
          <w:b/>
          <w:color w:val="000000" w:themeColor="text1"/>
          <w:sz w:val="32"/>
          <w:szCs w:val="32"/>
        </w:rPr>
        <w:t>落实政府采购政策需满足的资格要求</w:t>
      </w:r>
    </w:p>
    <w:p w14:paraId="6FBEDBDD">
      <w:pPr>
        <w:spacing w:line="360" w:lineRule="auto"/>
        <w:jc w:val="center"/>
        <w:rPr>
          <w:rFonts w:ascii="宋体" w:hAnsi="宋体" w:cs="宋体"/>
          <w:color w:val="000000" w:themeColor="text1"/>
          <w:sz w:val="24"/>
          <w:u w:val="single"/>
        </w:rPr>
      </w:pPr>
    </w:p>
    <w:p w14:paraId="0C957C60">
      <w:pPr>
        <w:rPr>
          <w:rFonts w:ascii="宋体" w:hAnsi="宋体" w:cs="宋体"/>
          <w:b/>
          <w:color w:val="000000" w:themeColor="text1"/>
          <w:kern w:val="0"/>
          <w:sz w:val="32"/>
          <w:szCs w:val="32"/>
        </w:rPr>
      </w:pPr>
    </w:p>
    <w:p w14:paraId="18C30E11">
      <w:pPr>
        <w:pStyle w:val="79"/>
        <w:ind w:firstLine="643"/>
        <w:rPr>
          <w:rFonts w:ascii="宋体" w:hAnsi="宋体" w:eastAsia="宋体" w:cs="宋体"/>
          <w:b/>
          <w:color w:val="000000" w:themeColor="text1"/>
          <w:kern w:val="0"/>
          <w:sz w:val="32"/>
          <w:szCs w:val="32"/>
        </w:rPr>
      </w:pPr>
    </w:p>
    <w:p w14:paraId="78E5385B">
      <w:pPr>
        <w:pStyle w:val="79"/>
        <w:ind w:firstLine="643"/>
        <w:rPr>
          <w:rFonts w:ascii="宋体" w:hAnsi="宋体" w:eastAsia="宋体" w:cs="宋体"/>
          <w:b/>
          <w:color w:val="000000" w:themeColor="text1"/>
          <w:kern w:val="0"/>
          <w:sz w:val="32"/>
          <w:szCs w:val="32"/>
        </w:rPr>
      </w:pPr>
    </w:p>
    <w:p w14:paraId="49A30F51">
      <w:pPr>
        <w:pStyle w:val="79"/>
        <w:ind w:firstLine="643"/>
        <w:rPr>
          <w:rFonts w:ascii="宋体" w:hAnsi="宋体" w:eastAsia="宋体" w:cs="宋体"/>
          <w:b/>
          <w:color w:val="000000" w:themeColor="text1"/>
          <w:kern w:val="0"/>
          <w:sz w:val="32"/>
          <w:szCs w:val="32"/>
        </w:rPr>
      </w:pPr>
    </w:p>
    <w:p w14:paraId="753AEB7E">
      <w:pPr>
        <w:widowControl/>
        <w:spacing w:line="360" w:lineRule="auto"/>
        <w:ind w:left="15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三、本项目的特定资格要求</w:t>
      </w:r>
    </w:p>
    <w:p w14:paraId="610F9FAE">
      <w:pPr>
        <w:spacing w:line="360" w:lineRule="auto"/>
        <w:jc w:val="center"/>
        <w:rPr>
          <w:rFonts w:ascii="宋体" w:hAnsi="宋体" w:cs="宋体"/>
          <w:color w:val="000000" w:themeColor="text1"/>
          <w:sz w:val="24"/>
        </w:rPr>
      </w:pPr>
      <w:r>
        <w:rPr>
          <w:rFonts w:hint="eastAsia" w:ascii="宋体" w:hAnsi="宋体" w:cs="宋体"/>
          <w:color w:val="000000" w:themeColor="text1"/>
          <w:sz w:val="24"/>
        </w:rPr>
        <w:t>（根据交易公告本项目的特定资格要求提供相应的材料；未要求的，无需提供）</w:t>
      </w:r>
    </w:p>
    <w:p w14:paraId="0C530466">
      <w:pPr>
        <w:spacing w:line="360" w:lineRule="auto"/>
        <w:jc w:val="center"/>
        <w:rPr>
          <w:rFonts w:ascii="宋体" w:hAnsi="宋体" w:cs="宋体"/>
          <w:color w:val="000000" w:themeColor="text1"/>
          <w:kern w:val="0"/>
          <w:sz w:val="24"/>
          <w:lang w:val="zh-CN"/>
        </w:rPr>
      </w:pPr>
    </w:p>
    <w:p w14:paraId="690B4236">
      <w:pPr>
        <w:widowControl/>
        <w:spacing w:line="360" w:lineRule="auto"/>
        <w:ind w:left="150"/>
        <w:jc w:val="center"/>
        <w:rPr>
          <w:rFonts w:ascii="宋体" w:hAnsi="宋体" w:cs="宋体"/>
          <w:b/>
          <w:color w:val="000000" w:themeColor="text1"/>
          <w:kern w:val="0"/>
          <w:sz w:val="32"/>
          <w:szCs w:val="32"/>
        </w:rPr>
      </w:pPr>
    </w:p>
    <w:p w14:paraId="51CACE48">
      <w:pPr>
        <w:rPr>
          <w:rFonts w:ascii="宋体" w:hAnsi="宋体" w:cs="宋体"/>
          <w:color w:val="000000" w:themeColor="text1"/>
        </w:rPr>
      </w:pPr>
    </w:p>
    <w:p w14:paraId="5D8DBB42">
      <w:pPr>
        <w:snapToGrid w:val="0"/>
        <w:spacing w:line="360" w:lineRule="auto"/>
        <w:ind w:right="480"/>
        <w:jc w:val="center"/>
        <w:rPr>
          <w:rFonts w:ascii="宋体" w:hAnsi="宋体" w:cs="宋体"/>
          <w:b/>
          <w:color w:val="000000" w:themeColor="text1"/>
          <w:kern w:val="0"/>
          <w:sz w:val="32"/>
          <w:szCs w:val="32"/>
        </w:rPr>
      </w:pPr>
    </w:p>
    <w:p w14:paraId="3AEDB0C3">
      <w:pPr>
        <w:widowControl/>
        <w:adjustRightInd/>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14:paraId="346E8EAB">
      <w:pPr>
        <w:rPr>
          <w:rFonts w:ascii="宋体" w:hAnsi="宋体" w:cs="宋体"/>
          <w:b/>
          <w:color w:val="000000" w:themeColor="text1"/>
          <w:kern w:val="0"/>
          <w:sz w:val="36"/>
          <w:szCs w:val="36"/>
        </w:rPr>
      </w:pPr>
    </w:p>
    <w:p w14:paraId="2A0933CA">
      <w:pPr>
        <w:spacing w:line="360" w:lineRule="auto"/>
        <w:ind w:right="420" w:firstLine="3614" w:firstLineChars="10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商务技术文件部分</w:t>
      </w:r>
    </w:p>
    <w:p w14:paraId="4737CF26">
      <w:pPr>
        <w:spacing w:line="360" w:lineRule="auto"/>
        <w:jc w:val="center"/>
        <w:outlineLvl w:val="0"/>
        <w:rPr>
          <w:rFonts w:ascii="宋体" w:hAnsi="宋体" w:cs="宋体"/>
          <w:b/>
          <w:color w:val="000000" w:themeColor="text1"/>
          <w:kern w:val="0"/>
          <w:sz w:val="24"/>
        </w:rPr>
      </w:pPr>
    </w:p>
    <w:p w14:paraId="05FAB299">
      <w:pPr>
        <w:spacing w:line="360" w:lineRule="auto"/>
        <w:jc w:val="center"/>
        <w:outlineLvl w:val="0"/>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目录</w:t>
      </w:r>
    </w:p>
    <w:p w14:paraId="714BA126">
      <w:pPr>
        <w:snapToGrid w:val="0"/>
        <w:spacing w:line="360" w:lineRule="auto"/>
        <w:ind w:left="479" w:leftChars="228"/>
        <w:rPr>
          <w:rFonts w:ascii="宋体" w:hAnsi="宋体" w:cs="宋体"/>
          <w:color w:val="000000" w:themeColor="text1"/>
        </w:rPr>
      </w:pPr>
      <w:r>
        <w:rPr>
          <w:rFonts w:hint="eastAsia" w:ascii="宋体" w:hAnsi="宋体" w:cs="宋体"/>
          <w:color w:val="000000" w:themeColor="text1"/>
          <w:sz w:val="24"/>
        </w:rPr>
        <w:t>（1）交易函</w:t>
      </w:r>
      <w:r>
        <w:rPr>
          <w:rFonts w:hint="eastAsia" w:ascii="宋体" w:hAnsi="宋体" w:cs="宋体"/>
          <w:color w:val="000000" w:themeColor="text1"/>
        </w:rPr>
        <w:t>…………………………………………………………………………………（页码）</w:t>
      </w:r>
      <w:r>
        <w:rPr>
          <w:rFonts w:hint="eastAsia" w:ascii="宋体" w:hAnsi="宋体" w:cs="宋体"/>
          <w:color w:val="000000" w:themeColor="text1"/>
          <w:sz w:val="24"/>
        </w:rPr>
        <w:t>（2）授权委托书或法定代表人（单位负责人、自然人本人）身份证明</w:t>
      </w:r>
      <w:r>
        <w:rPr>
          <w:rFonts w:hint="eastAsia" w:ascii="宋体" w:hAnsi="宋体" w:cs="宋体"/>
          <w:color w:val="000000" w:themeColor="text1"/>
        </w:rPr>
        <w:t>………（页码）</w:t>
      </w:r>
    </w:p>
    <w:p w14:paraId="582266DF">
      <w:pPr>
        <w:snapToGrid w:val="0"/>
        <w:spacing w:line="360" w:lineRule="auto"/>
        <w:ind w:firstLine="480" w:firstLineChars="200"/>
        <w:rPr>
          <w:color w:val="000000" w:themeColor="text1"/>
        </w:rPr>
      </w:pPr>
      <w:r>
        <w:rPr>
          <w:rFonts w:hint="eastAsia" w:ascii="宋体" w:hAnsi="宋体" w:cs="宋体"/>
          <w:color w:val="000000" w:themeColor="text1"/>
          <w:sz w:val="24"/>
        </w:rPr>
        <w:t>（3）符合性审查资料</w:t>
      </w:r>
      <w:r>
        <w:rPr>
          <w:rFonts w:hint="eastAsia" w:ascii="宋体" w:hAnsi="宋体" w:cs="宋体"/>
          <w:color w:val="000000" w:themeColor="text1"/>
        </w:rPr>
        <w:t>………………………………………………………………………（页码）</w:t>
      </w:r>
    </w:p>
    <w:p w14:paraId="70AF2A4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（4）评标标准相应的商务技术资料</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w:t>
      </w:r>
      <w:r>
        <w:rPr>
          <w:rFonts w:hint="eastAsia" w:ascii="宋体" w:hAnsi="宋体" w:cs="宋体"/>
          <w:color w:val="000000" w:themeColor="text1"/>
          <w:sz w:val="24"/>
        </w:rPr>
        <w:t>…</w:t>
      </w:r>
      <w:r>
        <w:rPr>
          <w:rFonts w:hint="eastAsia" w:ascii="宋体" w:hAnsi="宋体" w:cs="宋体"/>
          <w:color w:val="000000" w:themeColor="text1"/>
        </w:rPr>
        <w:t>……………（页码）</w:t>
      </w:r>
    </w:p>
    <w:p w14:paraId="4977B01E">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（5）商务技术偏离表</w:t>
      </w:r>
      <w:r>
        <w:rPr>
          <w:rFonts w:hint="eastAsia" w:ascii="宋体" w:hAnsi="宋体" w:cs="宋体"/>
          <w:color w:val="000000" w:themeColor="text1"/>
        </w:rPr>
        <w:t>………………………………………………………………………（页码）</w:t>
      </w:r>
    </w:p>
    <w:p w14:paraId="5320A984">
      <w:pPr>
        <w:snapToGrid w:val="0"/>
        <w:spacing w:line="360" w:lineRule="auto"/>
        <w:ind w:left="479" w:leftChars="228"/>
        <w:rPr>
          <w:rFonts w:ascii="宋体" w:hAnsi="宋体" w:cs="宋体"/>
          <w:color w:val="000000" w:themeColor="text1"/>
          <w:sz w:val="24"/>
        </w:rPr>
      </w:pPr>
      <w:r>
        <w:rPr>
          <w:rFonts w:hint="eastAsia" w:ascii="宋体" w:hAnsi="宋体" w:cs="宋体"/>
          <w:color w:val="000000" w:themeColor="text1"/>
          <w:sz w:val="24"/>
        </w:rPr>
        <w:t>（6）</w:t>
      </w:r>
      <w:r>
        <w:rPr>
          <w:rFonts w:hint="eastAsia" w:ascii="宋体" w:hAnsi="宋体" w:cs="宋体"/>
          <w:color w:val="000000" w:themeColor="text1"/>
          <w:sz w:val="24"/>
          <w:lang w:val="zh-CN"/>
        </w:rPr>
        <w:t>供应商廉洁自律承诺书</w:t>
      </w:r>
      <w:r>
        <w:rPr>
          <w:rFonts w:hint="eastAsia" w:ascii="宋体" w:hAnsi="宋体" w:cs="宋体"/>
          <w:color w:val="000000" w:themeColor="text1"/>
        </w:rPr>
        <w:t>……………………………………………………………（页码）</w:t>
      </w:r>
    </w:p>
    <w:p w14:paraId="279E10AF">
      <w:pPr>
        <w:snapToGrid w:val="0"/>
        <w:spacing w:line="360" w:lineRule="auto"/>
        <w:jc w:val="center"/>
        <w:rPr>
          <w:rFonts w:ascii="宋体" w:hAnsi="宋体" w:cs="宋体"/>
          <w:b/>
          <w:color w:val="000000" w:themeColor="text1"/>
          <w:kern w:val="0"/>
          <w:sz w:val="32"/>
          <w:szCs w:val="32"/>
          <w:lang w:val="zh-CN"/>
        </w:rPr>
      </w:pPr>
    </w:p>
    <w:p w14:paraId="53DB4E9F">
      <w:pPr>
        <w:snapToGrid w:val="0"/>
        <w:spacing w:line="360" w:lineRule="auto"/>
        <w:jc w:val="center"/>
        <w:rPr>
          <w:rFonts w:ascii="宋体" w:hAnsi="宋体" w:cs="宋体"/>
          <w:b/>
          <w:color w:val="000000" w:themeColor="text1"/>
          <w:kern w:val="0"/>
          <w:sz w:val="32"/>
          <w:szCs w:val="32"/>
          <w:lang w:val="zh-CN"/>
        </w:rPr>
      </w:pPr>
    </w:p>
    <w:p w14:paraId="242873BE">
      <w:pPr>
        <w:snapToGrid w:val="0"/>
        <w:spacing w:line="360" w:lineRule="auto"/>
        <w:jc w:val="center"/>
        <w:rPr>
          <w:rFonts w:ascii="宋体" w:hAnsi="宋体" w:cs="宋体"/>
          <w:b/>
          <w:color w:val="000000" w:themeColor="text1"/>
          <w:kern w:val="0"/>
          <w:sz w:val="32"/>
          <w:szCs w:val="32"/>
          <w:lang w:val="zh-CN"/>
        </w:rPr>
      </w:pPr>
    </w:p>
    <w:p w14:paraId="3444E2D7">
      <w:pPr>
        <w:snapToGrid w:val="0"/>
        <w:spacing w:line="360" w:lineRule="auto"/>
        <w:jc w:val="center"/>
        <w:rPr>
          <w:rFonts w:ascii="宋体" w:hAnsi="宋体" w:cs="宋体"/>
          <w:b/>
          <w:color w:val="000000" w:themeColor="text1"/>
          <w:kern w:val="0"/>
          <w:sz w:val="32"/>
          <w:szCs w:val="32"/>
          <w:lang w:val="zh-CN"/>
        </w:rPr>
      </w:pPr>
    </w:p>
    <w:p w14:paraId="6CDF30DA">
      <w:pPr>
        <w:snapToGrid w:val="0"/>
        <w:spacing w:line="360" w:lineRule="auto"/>
        <w:jc w:val="center"/>
        <w:outlineLvl w:val="0"/>
        <w:rPr>
          <w:rFonts w:ascii="宋体" w:hAnsi="宋体" w:cs="宋体"/>
          <w:b/>
          <w:color w:val="000000" w:themeColor="text1"/>
          <w:kern w:val="0"/>
          <w:sz w:val="32"/>
          <w:szCs w:val="32"/>
        </w:rPr>
      </w:pPr>
    </w:p>
    <w:p w14:paraId="6AB5E6CC">
      <w:pPr>
        <w:snapToGrid w:val="0"/>
        <w:spacing w:line="360" w:lineRule="auto"/>
        <w:jc w:val="center"/>
        <w:outlineLvl w:val="0"/>
        <w:rPr>
          <w:rFonts w:ascii="宋体" w:hAnsi="宋体" w:cs="宋体"/>
          <w:b/>
          <w:color w:val="000000" w:themeColor="text1"/>
          <w:kern w:val="0"/>
          <w:sz w:val="32"/>
          <w:szCs w:val="32"/>
        </w:rPr>
      </w:pPr>
    </w:p>
    <w:p w14:paraId="10A845C3">
      <w:pPr>
        <w:snapToGrid w:val="0"/>
        <w:spacing w:line="360" w:lineRule="auto"/>
        <w:jc w:val="center"/>
        <w:outlineLvl w:val="0"/>
        <w:rPr>
          <w:rFonts w:ascii="宋体" w:hAnsi="宋体" w:cs="宋体"/>
          <w:b/>
          <w:color w:val="000000" w:themeColor="text1"/>
          <w:kern w:val="0"/>
          <w:sz w:val="32"/>
          <w:szCs w:val="32"/>
        </w:rPr>
      </w:pPr>
    </w:p>
    <w:p w14:paraId="5180E3E7">
      <w:pPr>
        <w:snapToGrid w:val="0"/>
        <w:spacing w:line="360" w:lineRule="auto"/>
        <w:jc w:val="center"/>
        <w:outlineLvl w:val="0"/>
        <w:rPr>
          <w:rFonts w:ascii="宋体" w:hAnsi="宋体" w:cs="宋体"/>
          <w:b/>
          <w:color w:val="000000" w:themeColor="text1"/>
          <w:kern w:val="0"/>
          <w:sz w:val="32"/>
          <w:szCs w:val="32"/>
        </w:rPr>
      </w:pPr>
    </w:p>
    <w:p w14:paraId="1CE639E0">
      <w:pPr>
        <w:snapToGrid w:val="0"/>
        <w:spacing w:line="360" w:lineRule="auto"/>
        <w:jc w:val="center"/>
        <w:outlineLvl w:val="0"/>
        <w:rPr>
          <w:rFonts w:ascii="宋体" w:hAnsi="宋体" w:cs="宋体"/>
          <w:b/>
          <w:color w:val="000000" w:themeColor="text1"/>
          <w:kern w:val="0"/>
          <w:sz w:val="32"/>
          <w:szCs w:val="32"/>
        </w:rPr>
      </w:pPr>
    </w:p>
    <w:p w14:paraId="0A7E79E0">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56AA1FAD">
      <w:pPr>
        <w:snapToGrid w:val="0"/>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kern w:val="0"/>
          <w:sz w:val="32"/>
          <w:szCs w:val="32"/>
        </w:rPr>
        <w:t>一、交易函</w:t>
      </w:r>
    </w:p>
    <w:p w14:paraId="06CC2027">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u w:val="single"/>
        </w:rPr>
        <w:t>萧山区衙前镇第二小学：</w:t>
      </w:r>
    </w:p>
    <w:p w14:paraId="4CB35315">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我方参加你方组织的</w:t>
      </w:r>
      <w:r>
        <w:rPr>
          <w:rFonts w:hint="eastAsia" w:ascii="宋体" w:hAnsi="宋体" w:cs="宋体"/>
          <w:color w:val="000000" w:themeColor="text1"/>
          <w:sz w:val="24"/>
          <w:u w:val="single"/>
        </w:rPr>
        <w:t>萧山区衙前镇第二小学2025年暑期教师疗休养采购项目【交易编号： ZJZL-HZ2025-30 】</w:t>
      </w:r>
      <w:r>
        <w:rPr>
          <w:rFonts w:hint="eastAsia" w:ascii="宋体" w:hAnsi="宋体" w:cs="宋体"/>
          <w:color w:val="000000" w:themeColor="text1"/>
          <w:sz w:val="24"/>
        </w:rPr>
        <w:t>招标的有关活动，并对此项目进行投标。为此：</w:t>
      </w:r>
    </w:p>
    <w:p w14:paraId="6133FF8B">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1、我方承诺交易有效期从提交响应文件的截止之日起</w:t>
      </w:r>
      <w:r>
        <w:rPr>
          <w:rFonts w:hint="eastAsia" w:ascii="宋体" w:hAnsi="宋体" w:cs="宋体"/>
          <w:color w:val="000000" w:themeColor="text1"/>
          <w:sz w:val="24"/>
          <w:u w:val="single"/>
        </w:rPr>
        <w:t xml:space="preserve"> 90 </w:t>
      </w:r>
      <w:r>
        <w:rPr>
          <w:rFonts w:hint="eastAsia" w:ascii="宋体" w:hAnsi="宋体" w:cs="宋体"/>
          <w:color w:val="000000" w:themeColor="text1"/>
          <w:sz w:val="24"/>
        </w:rPr>
        <w:t>天（不少于90天）</w:t>
      </w:r>
      <w:r>
        <w:rPr>
          <w:rFonts w:hint="eastAsia" w:ascii="宋体" w:hAnsi="宋体" w:cs="宋体"/>
          <w:color w:val="000000" w:themeColor="text1"/>
        </w:rPr>
        <w:t>，</w:t>
      </w:r>
      <w:r>
        <w:rPr>
          <w:rFonts w:hint="eastAsia" w:ascii="宋体" w:hAnsi="宋体" w:cs="宋体"/>
          <w:color w:val="000000" w:themeColor="text1"/>
          <w:sz w:val="24"/>
        </w:rPr>
        <w:t>本响应文件在交易有效期满之前均具有约束力。</w:t>
      </w:r>
    </w:p>
    <w:p w14:paraId="61FCD905">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2、我方的响应文件包括以下内容：</w:t>
      </w:r>
    </w:p>
    <w:p w14:paraId="120E5293">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2.1资格文件：</w:t>
      </w:r>
    </w:p>
    <w:p w14:paraId="2DF73E3B">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2.1.1承诺函；</w:t>
      </w:r>
    </w:p>
    <w:p w14:paraId="630B672C">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2.1.2本项目的特定资格要求（如果有）。</w:t>
      </w:r>
    </w:p>
    <w:p w14:paraId="0EE94E6D">
      <w:pPr>
        <w:snapToGrid w:val="0"/>
        <w:spacing w:line="440" w:lineRule="exact"/>
        <w:ind w:left="210" w:leftChars="1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2商务技术</w:t>
      </w:r>
      <w:r>
        <w:rPr>
          <w:rFonts w:hint="eastAsia" w:ascii="宋体" w:hAnsi="宋体" w:cs="宋体"/>
          <w:color w:val="000000" w:themeColor="text1"/>
          <w:sz w:val="24"/>
          <w:lang w:val="zh-CN"/>
        </w:rPr>
        <w:t>文件：</w:t>
      </w:r>
    </w:p>
    <w:p w14:paraId="5F1CD489">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2.2.1交易函；</w:t>
      </w:r>
    </w:p>
    <w:p w14:paraId="4D1056B6">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2.2.2授权委托书或法定代表人（单位负责人）身份证明；</w:t>
      </w:r>
    </w:p>
    <w:p w14:paraId="33EF245A">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2.2.3符合性审查资料；</w:t>
      </w:r>
    </w:p>
    <w:p w14:paraId="219D9744">
      <w:pPr>
        <w:snapToGrid w:val="0"/>
        <w:spacing w:line="440" w:lineRule="exact"/>
        <w:ind w:left="420" w:leftChars="200" w:firstLine="480" w:firstLineChars="200"/>
        <w:rPr>
          <w:color w:val="000000" w:themeColor="text1"/>
        </w:rPr>
      </w:pPr>
      <w:r>
        <w:rPr>
          <w:rFonts w:hint="eastAsia" w:ascii="宋体" w:hAnsi="宋体" w:cs="宋体"/>
          <w:color w:val="000000" w:themeColor="text1"/>
          <w:sz w:val="24"/>
        </w:rPr>
        <w:t>2.2.4评标标准相应的商务技术资料；</w:t>
      </w:r>
    </w:p>
    <w:p w14:paraId="3C3BF05B">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2.2.5响应标的清单；</w:t>
      </w:r>
    </w:p>
    <w:p w14:paraId="39FA3F04">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2.2.6商务技术偏离表；</w:t>
      </w:r>
    </w:p>
    <w:p w14:paraId="1E04500F">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2.2.7</w:t>
      </w:r>
      <w:r>
        <w:rPr>
          <w:rFonts w:hint="eastAsia" w:ascii="宋体" w:hAnsi="宋体" w:cs="宋体"/>
          <w:color w:val="000000" w:themeColor="text1"/>
          <w:sz w:val="24"/>
          <w:lang w:val="zh-CN"/>
        </w:rPr>
        <w:t>供应商廉洁自律承诺书</w:t>
      </w:r>
    </w:p>
    <w:p w14:paraId="6674D43E">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3报价文件</w:t>
      </w:r>
    </w:p>
    <w:p w14:paraId="4A79391B">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2.3.1交易一览表（报价表）；</w:t>
      </w:r>
    </w:p>
    <w:p w14:paraId="63526041">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3、我方承诺除商务技术偏离表列出的偏离外，我方响应交易文件的全部要求。</w:t>
      </w:r>
    </w:p>
    <w:p w14:paraId="6746A7CA">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4、如我方成交，我方承诺：</w:t>
      </w:r>
    </w:p>
    <w:p w14:paraId="0B59BD66">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4.1在收到成交通知书后，在成交通知书规定的期限内与你方签订合同； </w:t>
      </w:r>
    </w:p>
    <w:p w14:paraId="607D39A8">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4.2在签订合同时不向你方提出附加条件； </w:t>
      </w:r>
    </w:p>
    <w:p w14:paraId="5E5B0A5F">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4.3按照交易文件要求提交履约保证金； </w:t>
      </w:r>
    </w:p>
    <w:p w14:paraId="61540C4F">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4.4在合同约定的期限内完成合同规定的全部义务。 </w:t>
      </w:r>
    </w:p>
    <w:p w14:paraId="0685846E">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5、其他补充说明:。</w:t>
      </w:r>
    </w:p>
    <w:p w14:paraId="5AB8A59B">
      <w:pPr>
        <w:spacing w:line="440" w:lineRule="exact"/>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供应商名称（电子签名）：                          </w:t>
      </w:r>
    </w:p>
    <w:p w14:paraId="5D008568">
      <w:pPr>
        <w:spacing w:line="440" w:lineRule="exact"/>
        <w:jc w:val="center"/>
        <w:rPr>
          <w:rFonts w:ascii="宋体" w:hAnsi="宋体" w:cs="宋体"/>
          <w:color w:val="000000" w:themeColor="text1"/>
          <w:kern w:val="0"/>
          <w:sz w:val="24"/>
          <w:u w:val="single"/>
        </w:rPr>
      </w:pPr>
      <w:r>
        <w:rPr>
          <w:rFonts w:hint="eastAsia" w:ascii="宋体" w:hAnsi="宋体" w:cs="宋体"/>
          <w:color w:val="000000" w:themeColor="text1"/>
          <w:sz w:val="24"/>
        </w:rPr>
        <w:t xml:space="preserve">  </w:t>
      </w: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w:t>
      </w:r>
    </w:p>
    <w:p w14:paraId="38D4F271">
      <w:pPr>
        <w:rPr>
          <w:rFonts w:ascii="宋体" w:hAnsi="宋体" w:cs="宋体"/>
          <w:color w:val="000000" w:themeColor="text1"/>
          <w:sz w:val="24"/>
        </w:rPr>
      </w:pPr>
      <w:r>
        <w:rPr>
          <w:rFonts w:hint="eastAsia" w:ascii="宋体" w:hAnsi="宋体" w:cs="宋体"/>
          <w:color w:val="000000" w:themeColor="text1"/>
          <w:sz w:val="24"/>
        </w:rPr>
        <w:t>注：按本格式和要求提供。</w:t>
      </w:r>
    </w:p>
    <w:p w14:paraId="308777EA">
      <w:pPr>
        <w:pStyle w:val="23"/>
        <w:rPr>
          <w:color w:val="000000" w:themeColor="text1"/>
          <w:lang w:val="en-US"/>
        </w:rPr>
      </w:pPr>
    </w:p>
    <w:p w14:paraId="52B3B355">
      <w:pPr>
        <w:jc w:val="center"/>
        <w:rPr>
          <w:rFonts w:ascii="宋体" w:hAnsi="宋体" w:cs="宋体"/>
          <w:b/>
          <w:color w:val="000000" w:themeColor="text1"/>
          <w:kern w:val="0"/>
          <w:sz w:val="32"/>
          <w:szCs w:val="32"/>
        </w:rPr>
      </w:pPr>
    </w:p>
    <w:p w14:paraId="3A1DA3B6">
      <w:pPr>
        <w:jc w:val="center"/>
        <w:rPr>
          <w:rFonts w:ascii="宋体" w:hAnsi="宋体" w:cs="宋体"/>
          <w:b/>
          <w:color w:val="000000" w:themeColor="text1"/>
          <w:kern w:val="0"/>
          <w:sz w:val="32"/>
          <w:szCs w:val="32"/>
          <w:lang w:val="zh-CN"/>
        </w:rPr>
      </w:pPr>
      <w:r>
        <w:rPr>
          <w:rFonts w:hint="eastAsia" w:ascii="宋体" w:hAnsi="宋体" w:cs="宋体"/>
          <w:b/>
          <w:color w:val="000000" w:themeColor="text1"/>
          <w:kern w:val="0"/>
          <w:sz w:val="32"/>
          <w:szCs w:val="32"/>
          <w:lang w:val="zh-CN"/>
        </w:rPr>
        <w:t>二、授权委托书或法定代表人（单位负责人、自然人本人）身份证明</w:t>
      </w:r>
    </w:p>
    <w:p w14:paraId="3F3FF727">
      <w:pPr>
        <w:snapToGrid w:val="0"/>
        <w:spacing w:line="360" w:lineRule="auto"/>
        <w:rPr>
          <w:rFonts w:ascii="宋体" w:hAnsi="宋体" w:cs="宋体"/>
          <w:color w:val="000000" w:themeColor="text1"/>
          <w:sz w:val="24"/>
        </w:rPr>
      </w:pPr>
    </w:p>
    <w:p w14:paraId="5EE3A497">
      <w:pPr>
        <w:snapToGrid w:val="0"/>
        <w:spacing w:line="360" w:lineRule="auto"/>
        <w:ind w:firstLine="2872" w:firstLineChars="894"/>
        <w:rPr>
          <w:rFonts w:ascii="宋体" w:hAnsi="宋体" w:cs="宋体"/>
          <w:color w:val="000000" w:themeColor="text1"/>
        </w:rPr>
      </w:pPr>
      <w:r>
        <w:rPr>
          <w:rFonts w:hint="eastAsia" w:ascii="宋体" w:hAnsi="宋体" w:cs="宋体"/>
          <w:b/>
          <w:color w:val="000000" w:themeColor="text1"/>
          <w:kern w:val="0"/>
          <w:sz w:val="32"/>
          <w:szCs w:val="32"/>
          <w:lang w:val="zh-CN"/>
        </w:rPr>
        <w:t>授权委托书</w:t>
      </w:r>
    </w:p>
    <w:p w14:paraId="6BF25763">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萧山区衙前镇第二小学</w:t>
      </w:r>
      <w:r>
        <w:rPr>
          <w:rFonts w:hint="eastAsia" w:ascii="宋体" w:hAnsi="宋体" w:cs="宋体"/>
          <w:color w:val="000000" w:themeColor="text1"/>
          <w:kern w:val="0"/>
          <w:sz w:val="24"/>
          <w:lang w:val="zh-CN"/>
        </w:rPr>
        <w:t>：</w:t>
      </w:r>
    </w:p>
    <w:p w14:paraId="0EFF0843">
      <w:pPr>
        <w:snapToGrid w:val="0"/>
        <w:spacing w:line="360" w:lineRule="auto"/>
        <w:ind w:firstLine="576"/>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w:t>
      </w:r>
      <w:r>
        <w:rPr>
          <w:rFonts w:hint="eastAsia" w:ascii="宋体" w:hAnsi="宋体" w:cs="宋体"/>
          <w:color w:val="000000" w:themeColor="text1"/>
          <w:kern w:val="0"/>
          <w:sz w:val="24"/>
          <w:u w:val="single"/>
          <w:lang w:val="zh-CN"/>
        </w:rPr>
        <w:t>（姓名）</w:t>
      </w:r>
      <w:r>
        <w:rPr>
          <w:rFonts w:hint="eastAsia" w:ascii="宋体" w:hAnsi="宋体" w:cs="宋体"/>
          <w:color w:val="000000" w:themeColor="text1"/>
          <w:kern w:val="0"/>
          <w:sz w:val="24"/>
          <w:lang w:val="zh-CN"/>
        </w:rPr>
        <w:t>为我方代理人（身份证号码：</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，手机：</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），以我方名义处理</w:t>
      </w:r>
      <w:r>
        <w:rPr>
          <w:rFonts w:hint="eastAsia" w:ascii="宋体" w:hAnsi="宋体" w:cs="宋体"/>
          <w:color w:val="000000" w:themeColor="text1"/>
          <w:sz w:val="24"/>
          <w:u w:val="single"/>
        </w:rPr>
        <w:t>萧山区衙前镇第二小学2025年暑期教师疗休养采购项目【交易编号： ZJZL-HZ2025-30 】</w:t>
      </w:r>
      <w:r>
        <w:rPr>
          <w:rFonts w:hint="eastAsia" w:ascii="宋体" w:hAnsi="宋体" w:cs="宋体"/>
          <w:color w:val="000000" w:themeColor="text1"/>
          <w:kern w:val="0"/>
          <w:sz w:val="24"/>
          <w:lang w:val="zh-CN"/>
        </w:rPr>
        <w:t>采购投标的一切事项，其法律后果由我方承担。</w:t>
      </w:r>
    </w:p>
    <w:p w14:paraId="0E23512F">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自</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日起至</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lang w:val="zh-CN"/>
        </w:rPr>
        <w:t>日止。</w:t>
      </w:r>
    </w:p>
    <w:p w14:paraId="23BEEAAD">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特此告知。</w:t>
      </w:r>
    </w:p>
    <w:p w14:paraId="077472F6">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供应商名称(电子签名)：</w:t>
      </w:r>
    </w:p>
    <w:p w14:paraId="0BD02BAF">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签发日期：    年  月  日</w:t>
      </w:r>
    </w:p>
    <w:p w14:paraId="015EF22F">
      <w:pPr>
        <w:snapToGrid w:val="0"/>
        <w:spacing w:line="360" w:lineRule="auto"/>
        <w:rPr>
          <w:rFonts w:ascii="宋体" w:hAnsi="宋体" w:cs="宋体"/>
          <w:color w:val="000000" w:themeColor="text1"/>
          <w:sz w:val="24"/>
        </w:rPr>
      </w:pPr>
    </w:p>
    <w:p w14:paraId="70A355DE">
      <w:pPr>
        <w:snapToGrid w:val="0"/>
        <w:spacing w:line="360" w:lineRule="auto"/>
        <w:rPr>
          <w:rFonts w:ascii="宋体" w:hAnsi="宋体" w:cs="宋体"/>
          <w:color w:val="000000" w:themeColor="text1"/>
          <w:kern w:val="0"/>
          <w:sz w:val="24"/>
          <w:lang w:val="zh-CN"/>
        </w:rPr>
      </w:pPr>
    </w:p>
    <w:p w14:paraId="1BB0C63C">
      <w:pPr>
        <w:autoSpaceDE w:val="0"/>
        <w:autoSpaceDN w:val="0"/>
        <w:spacing w:line="360" w:lineRule="auto"/>
        <w:jc w:val="center"/>
        <w:rPr>
          <w:rFonts w:ascii="宋体" w:hAnsi="宋体" w:cs="宋体"/>
          <w:b/>
          <w:color w:val="000000" w:themeColor="text1"/>
          <w:sz w:val="24"/>
        </w:rPr>
      </w:pPr>
      <w:r>
        <w:rPr>
          <w:rFonts w:hint="eastAsia" w:ascii="宋体" w:hAnsi="宋体" w:cs="宋体"/>
          <w:b/>
          <w:color w:val="000000" w:themeColor="text1"/>
          <w:kern w:val="0"/>
          <w:sz w:val="32"/>
          <w:szCs w:val="32"/>
          <w:lang w:val="zh-CN"/>
        </w:rPr>
        <w:t>法定代表人、单位负责人或自然人本人</w:t>
      </w:r>
      <w:r>
        <w:rPr>
          <w:rFonts w:hint="eastAsia" w:ascii="宋体" w:hAnsi="宋体" w:cs="宋体"/>
          <w:b/>
          <w:color w:val="000000" w:themeColor="text1"/>
          <w:sz w:val="30"/>
          <w:szCs w:val="30"/>
        </w:rPr>
        <w:t>的身份证明（适用于法定代表人、单位负责人或者自然人本人代表供应商参加投标）</w:t>
      </w:r>
    </w:p>
    <w:p w14:paraId="48DC9EC6">
      <w:pPr>
        <w:pStyle w:val="147"/>
        <w:spacing w:line="360" w:lineRule="auto"/>
        <w:rPr>
          <w:rFonts w:hAnsi="宋体" w:cs="宋体"/>
          <w:bCs/>
          <w:color w:val="000000" w:themeColor="text1"/>
          <w:sz w:val="24"/>
        </w:rPr>
      </w:pPr>
      <w:r>
        <w:rPr>
          <w:rFonts w:hint="eastAsia" w:hAnsi="宋体" w:cs="宋体"/>
          <w:bCs/>
          <w:color w:val="000000" w:themeColor="text1"/>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3E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4B6617F">
            <w:pPr>
              <w:pStyle w:val="147"/>
              <w:adjustRightInd w:val="0"/>
              <w:spacing w:line="360" w:lineRule="auto"/>
              <w:rPr>
                <w:rFonts w:hAnsi="宋体" w:cs="宋体"/>
                <w:bCs/>
                <w:color w:val="000000" w:themeColor="text1"/>
                <w:sz w:val="24"/>
              </w:rPr>
            </w:pPr>
            <w:r>
              <w:rPr>
                <w:rFonts w:hint="eastAsia" w:hAnsi="宋体" w:cs="宋体"/>
                <w:bCs/>
                <w:color w:val="000000" w:themeColor="text1"/>
                <w:sz w:val="24"/>
              </w:rPr>
              <w:t>正面：                                 反面：</w:t>
            </w:r>
          </w:p>
          <w:p w14:paraId="373E1B7A">
            <w:pPr>
              <w:pStyle w:val="147"/>
              <w:adjustRightInd w:val="0"/>
              <w:spacing w:line="360" w:lineRule="auto"/>
              <w:rPr>
                <w:rFonts w:hAnsi="宋体" w:cs="宋体"/>
                <w:bCs/>
                <w:color w:val="000000" w:themeColor="text1"/>
                <w:sz w:val="24"/>
              </w:rPr>
            </w:pPr>
          </w:p>
        </w:tc>
      </w:tr>
    </w:tbl>
    <w:p w14:paraId="18202B81">
      <w:pPr>
        <w:snapToGrid w:val="0"/>
        <w:spacing w:line="360" w:lineRule="auto"/>
        <w:ind w:firstLine="576"/>
        <w:jc w:val="center"/>
        <w:rPr>
          <w:rFonts w:ascii="宋体" w:hAnsi="宋体" w:cs="宋体"/>
          <w:color w:val="000000" w:themeColor="text1"/>
          <w:kern w:val="0"/>
          <w:sz w:val="24"/>
          <w:lang w:val="zh-CN"/>
        </w:rPr>
      </w:pPr>
    </w:p>
    <w:p w14:paraId="09114A5E">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供应商名称(电子签名)：                              </w:t>
      </w:r>
    </w:p>
    <w:p w14:paraId="46490195">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6FBB4EAE">
      <w:pPr>
        <w:jc w:val="center"/>
        <w:rPr>
          <w:rFonts w:ascii="宋体" w:hAnsi="宋体" w:cs="宋体"/>
          <w:b/>
          <w:color w:val="000000" w:themeColor="text1"/>
          <w:kern w:val="0"/>
          <w:sz w:val="32"/>
          <w:szCs w:val="32"/>
        </w:rPr>
      </w:pPr>
    </w:p>
    <w:p w14:paraId="4EA95841">
      <w:pPr>
        <w:jc w:val="center"/>
        <w:rPr>
          <w:rFonts w:ascii="宋体" w:hAnsi="宋体" w:cs="宋体"/>
          <w:b/>
          <w:color w:val="000000" w:themeColor="text1"/>
          <w:kern w:val="0"/>
          <w:sz w:val="32"/>
          <w:szCs w:val="32"/>
        </w:rPr>
      </w:pPr>
    </w:p>
    <w:p w14:paraId="5FC04DFD">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三、符合性审查资料</w:t>
      </w:r>
    </w:p>
    <w:p w14:paraId="714741CA">
      <w:pPr>
        <w:jc w:val="center"/>
        <w:rPr>
          <w:rFonts w:ascii="宋体" w:hAnsi="宋体" w:cs="宋体"/>
          <w:b/>
          <w:color w:val="000000" w:themeColor="text1"/>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8BA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B644D5">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3976" w:type="dxa"/>
            <w:vAlign w:val="center"/>
          </w:tcPr>
          <w:p w14:paraId="235A0F80">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实质性要求</w:t>
            </w:r>
          </w:p>
        </w:tc>
        <w:tc>
          <w:tcPr>
            <w:tcW w:w="3566" w:type="dxa"/>
            <w:vAlign w:val="center"/>
          </w:tcPr>
          <w:p w14:paraId="004A36D2">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需要提供的符合性审查资料</w:t>
            </w:r>
          </w:p>
        </w:tc>
        <w:tc>
          <w:tcPr>
            <w:tcW w:w="1418" w:type="dxa"/>
            <w:vAlign w:val="center"/>
          </w:tcPr>
          <w:p w14:paraId="5F34E8C5">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响应文件中的</w:t>
            </w:r>
          </w:p>
          <w:p w14:paraId="5BFF00E0">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页码位置</w:t>
            </w:r>
          </w:p>
        </w:tc>
      </w:tr>
      <w:tr w14:paraId="7D9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A10877A">
            <w:pPr>
              <w:jc w:val="center"/>
              <w:rPr>
                <w:rFonts w:ascii="宋体" w:hAnsi="宋体" w:cs="宋体"/>
                <w:color w:val="000000" w:themeColor="text1"/>
                <w:sz w:val="24"/>
              </w:rPr>
            </w:pPr>
            <w:r>
              <w:rPr>
                <w:rFonts w:hint="eastAsia" w:ascii="宋体" w:hAnsi="宋体" w:cs="宋体"/>
                <w:color w:val="000000" w:themeColor="text1"/>
                <w:sz w:val="24"/>
              </w:rPr>
              <w:t>1</w:t>
            </w:r>
          </w:p>
        </w:tc>
        <w:tc>
          <w:tcPr>
            <w:tcW w:w="3976" w:type="dxa"/>
            <w:vAlign w:val="center"/>
          </w:tcPr>
          <w:p w14:paraId="439D1CE3">
            <w:pPr>
              <w:spacing w:line="360" w:lineRule="auto"/>
              <w:jc w:val="center"/>
              <w:rPr>
                <w:rFonts w:ascii="宋体" w:hAnsi="宋体" w:cs="宋体"/>
                <w:color w:val="000000" w:themeColor="text1"/>
                <w:sz w:val="24"/>
              </w:rPr>
            </w:pPr>
            <w:r>
              <w:rPr>
                <w:rFonts w:hint="eastAsia" w:ascii="宋体" w:hAnsi="宋体" w:cs="宋体"/>
                <w:color w:val="000000" w:themeColor="text1"/>
                <w:sz w:val="24"/>
              </w:rPr>
              <w:t>响应文件按照交易文件要求签署、盖章。</w:t>
            </w:r>
          </w:p>
        </w:tc>
        <w:tc>
          <w:tcPr>
            <w:tcW w:w="3566" w:type="dxa"/>
            <w:vAlign w:val="center"/>
          </w:tcPr>
          <w:p w14:paraId="649ED0EB">
            <w:pPr>
              <w:jc w:val="center"/>
              <w:rPr>
                <w:rFonts w:ascii="宋体" w:hAnsi="宋体" w:cs="宋体"/>
                <w:color w:val="000000" w:themeColor="text1"/>
                <w:sz w:val="24"/>
              </w:rPr>
            </w:pPr>
            <w:r>
              <w:rPr>
                <w:rFonts w:hint="eastAsia" w:ascii="宋体" w:hAnsi="宋体" w:cs="宋体"/>
                <w:color w:val="000000" w:themeColor="text1"/>
                <w:sz w:val="24"/>
              </w:rPr>
              <w:t>需要使用电子签名或者签字盖章的响应文件的组成部分</w:t>
            </w:r>
          </w:p>
        </w:tc>
        <w:tc>
          <w:tcPr>
            <w:tcW w:w="1418" w:type="dxa"/>
            <w:vAlign w:val="center"/>
          </w:tcPr>
          <w:p w14:paraId="250F4884">
            <w:pPr>
              <w:jc w:val="center"/>
              <w:rPr>
                <w:rFonts w:ascii="宋体" w:hAnsi="宋体" w:cs="宋体"/>
                <w:color w:val="000000" w:themeColor="text1"/>
                <w:sz w:val="24"/>
              </w:rPr>
            </w:pPr>
            <w:r>
              <w:rPr>
                <w:rFonts w:hint="eastAsia" w:ascii="宋体" w:hAnsi="宋体" w:cs="宋体"/>
                <w:color w:val="000000" w:themeColor="text1"/>
                <w:sz w:val="24"/>
              </w:rPr>
              <w:t>见响应文件</w:t>
            </w:r>
          </w:p>
          <w:p w14:paraId="1E5E0A3C">
            <w:pPr>
              <w:jc w:val="center"/>
              <w:rPr>
                <w:rFonts w:ascii="宋体" w:hAnsi="宋体" w:cs="宋体"/>
                <w:color w:val="000000" w:themeColor="text1"/>
              </w:rPr>
            </w:pPr>
            <w:r>
              <w:rPr>
                <w:rFonts w:hint="eastAsia" w:ascii="宋体" w:hAnsi="宋体" w:cs="宋体"/>
                <w:color w:val="000000" w:themeColor="text1"/>
                <w:sz w:val="24"/>
              </w:rPr>
              <w:t>第   页</w:t>
            </w:r>
          </w:p>
        </w:tc>
      </w:tr>
      <w:tr w14:paraId="0DF6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25E4A1">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3976" w:type="dxa"/>
            <w:vAlign w:val="center"/>
          </w:tcPr>
          <w:p w14:paraId="6E6D1A36">
            <w:pPr>
              <w:spacing w:line="360" w:lineRule="auto"/>
              <w:jc w:val="center"/>
              <w:rPr>
                <w:rFonts w:ascii="宋体" w:hAnsi="宋体" w:cs="宋体"/>
                <w:color w:val="000000" w:themeColor="text1"/>
                <w:sz w:val="24"/>
              </w:rPr>
            </w:pPr>
            <w:r>
              <w:rPr>
                <w:rFonts w:hint="eastAsia" w:ascii="宋体" w:hAnsi="宋体" w:cs="宋体"/>
                <w:color w:val="000000" w:themeColor="text1"/>
                <w:sz w:val="24"/>
              </w:rPr>
              <w:t>响应文件中承诺的交易有效期不少于交易文件中载明的交易有效期。</w:t>
            </w:r>
          </w:p>
        </w:tc>
        <w:tc>
          <w:tcPr>
            <w:tcW w:w="3566" w:type="dxa"/>
            <w:vAlign w:val="center"/>
          </w:tcPr>
          <w:p w14:paraId="38D5116E">
            <w:pPr>
              <w:jc w:val="center"/>
              <w:rPr>
                <w:rFonts w:ascii="宋体" w:hAnsi="宋体" w:cs="宋体"/>
                <w:color w:val="000000" w:themeColor="text1"/>
                <w:sz w:val="24"/>
              </w:rPr>
            </w:pPr>
            <w:r>
              <w:rPr>
                <w:rFonts w:hint="eastAsia" w:ascii="宋体" w:hAnsi="宋体" w:cs="宋体"/>
                <w:color w:val="000000" w:themeColor="text1"/>
                <w:sz w:val="24"/>
              </w:rPr>
              <w:t>交易函</w:t>
            </w:r>
          </w:p>
        </w:tc>
        <w:tc>
          <w:tcPr>
            <w:tcW w:w="1418" w:type="dxa"/>
            <w:vAlign w:val="center"/>
          </w:tcPr>
          <w:p w14:paraId="15FADA15">
            <w:pPr>
              <w:jc w:val="center"/>
              <w:rPr>
                <w:rFonts w:ascii="宋体" w:hAnsi="宋体" w:cs="宋体"/>
                <w:color w:val="000000" w:themeColor="text1"/>
              </w:rPr>
            </w:pPr>
            <w:r>
              <w:rPr>
                <w:rFonts w:hint="eastAsia" w:ascii="宋体" w:hAnsi="宋体" w:cs="宋体"/>
                <w:color w:val="000000" w:themeColor="text1"/>
                <w:sz w:val="24"/>
              </w:rPr>
              <w:t>见响应文件第   页</w:t>
            </w:r>
          </w:p>
        </w:tc>
      </w:tr>
      <w:tr w14:paraId="4EBE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6534F9B">
            <w:pPr>
              <w:jc w:val="center"/>
              <w:rPr>
                <w:rFonts w:ascii="宋体" w:hAnsi="宋体" w:cs="宋体"/>
                <w:color w:val="000000" w:themeColor="text1"/>
                <w:sz w:val="24"/>
              </w:rPr>
            </w:pPr>
            <w:r>
              <w:rPr>
                <w:rFonts w:hint="eastAsia" w:ascii="宋体" w:hAnsi="宋体" w:cs="宋体"/>
                <w:color w:val="000000" w:themeColor="text1"/>
                <w:sz w:val="24"/>
              </w:rPr>
              <w:t>3</w:t>
            </w:r>
          </w:p>
        </w:tc>
        <w:tc>
          <w:tcPr>
            <w:tcW w:w="3976" w:type="dxa"/>
            <w:vAlign w:val="center"/>
          </w:tcPr>
          <w:p w14:paraId="27C1A90B">
            <w:pPr>
              <w:spacing w:line="360" w:lineRule="auto"/>
              <w:jc w:val="center"/>
              <w:rPr>
                <w:rFonts w:ascii="宋体" w:hAnsi="宋体" w:cs="宋体"/>
                <w:color w:val="000000" w:themeColor="text1"/>
                <w:sz w:val="24"/>
              </w:rPr>
            </w:pPr>
            <w:r>
              <w:rPr>
                <w:rFonts w:hint="eastAsia" w:ascii="宋体" w:hAnsi="宋体" w:cs="宋体"/>
                <w:color w:val="000000" w:themeColor="text1"/>
                <w:sz w:val="24"/>
              </w:rPr>
              <w:t>响应文件满足交易文件的其它实质性要求。</w:t>
            </w:r>
          </w:p>
        </w:tc>
        <w:tc>
          <w:tcPr>
            <w:tcW w:w="3566" w:type="dxa"/>
            <w:vAlign w:val="center"/>
          </w:tcPr>
          <w:p w14:paraId="3AA497A5">
            <w:pPr>
              <w:jc w:val="center"/>
              <w:rPr>
                <w:rFonts w:ascii="宋体" w:hAnsi="宋体" w:cs="宋体"/>
                <w:color w:val="000000" w:themeColor="text1"/>
                <w:sz w:val="24"/>
              </w:rPr>
            </w:pPr>
            <w:r>
              <w:rPr>
                <w:rFonts w:hint="eastAsia" w:ascii="宋体" w:hAnsi="宋体" w:cs="宋体"/>
                <w:color w:val="000000" w:themeColor="text1"/>
                <w:kern w:val="0"/>
                <w:sz w:val="24"/>
              </w:rPr>
              <w:t>交易文件其它实质性要求相应的材料（“▲”系指实质性要求条款，交易文件无其它实质性要求的，无需提供）</w:t>
            </w:r>
          </w:p>
        </w:tc>
        <w:tc>
          <w:tcPr>
            <w:tcW w:w="1418" w:type="dxa"/>
            <w:vAlign w:val="center"/>
          </w:tcPr>
          <w:p w14:paraId="2CB6DCC7">
            <w:pPr>
              <w:jc w:val="center"/>
              <w:rPr>
                <w:rFonts w:ascii="宋体" w:hAnsi="宋体" w:cs="宋体"/>
                <w:color w:val="000000" w:themeColor="text1"/>
              </w:rPr>
            </w:pPr>
            <w:r>
              <w:rPr>
                <w:rFonts w:hint="eastAsia" w:ascii="宋体" w:hAnsi="宋体" w:cs="宋体"/>
                <w:color w:val="000000" w:themeColor="text1"/>
                <w:sz w:val="24"/>
              </w:rPr>
              <w:t>见响应文件第   页</w:t>
            </w:r>
          </w:p>
        </w:tc>
      </w:tr>
    </w:tbl>
    <w:p w14:paraId="72352C47">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787CCCDE">
      <w:pPr>
        <w:jc w:val="center"/>
        <w:rPr>
          <w:rFonts w:ascii="宋体" w:hAnsi="宋体" w:cs="宋体"/>
          <w:b/>
          <w:color w:val="000000" w:themeColor="text1"/>
          <w:kern w:val="0"/>
          <w:sz w:val="32"/>
          <w:szCs w:val="32"/>
        </w:rPr>
      </w:pPr>
    </w:p>
    <w:p w14:paraId="6587127D">
      <w:pPr>
        <w:jc w:val="center"/>
        <w:rPr>
          <w:rFonts w:ascii="宋体" w:hAnsi="宋体" w:cs="宋体"/>
          <w:b/>
          <w:color w:val="000000" w:themeColor="text1"/>
          <w:kern w:val="0"/>
          <w:sz w:val="32"/>
          <w:szCs w:val="32"/>
        </w:rPr>
      </w:pPr>
    </w:p>
    <w:p w14:paraId="4DE74F76">
      <w:pPr>
        <w:jc w:val="center"/>
        <w:rPr>
          <w:rFonts w:ascii="宋体" w:hAnsi="宋体" w:cs="宋体"/>
          <w:b/>
          <w:color w:val="000000" w:themeColor="text1"/>
          <w:kern w:val="0"/>
          <w:sz w:val="32"/>
          <w:szCs w:val="32"/>
        </w:rPr>
      </w:pPr>
    </w:p>
    <w:p w14:paraId="413BA812">
      <w:pPr>
        <w:jc w:val="center"/>
        <w:rPr>
          <w:rFonts w:ascii="宋体" w:hAnsi="宋体" w:cs="宋体"/>
          <w:b/>
          <w:color w:val="000000" w:themeColor="text1"/>
          <w:kern w:val="0"/>
          <w:sz w:val="32"/>
          <w:szCs w:val="32"/>
        </w:rPr>
      </w:pPr>
    </w:p>
    <w:p w14:paraId="6D1969E4">
      <w:pPr>
        <w:jc w:val="center"/>
        <w:rPr>
          <w:rFonts w:ascii="宋体" w:hAnsi="宋体" w:cs="宋体"/>
          <w:b/>
          <w:color w:val="000000" w:themeColor="text1"/>
          <w:kern w:val="0"/>
          <w:sz w:val="32"/>
          <w:szCs w:val="32"/>
        </w:rPr>
      </w:pPr>
    </w:p>
    <w:p w14:paraId="3FB10AB3">
      <w:pPr>
        <w:jc w:val="center"/>
        <w:rPr>
          <w:rFonts w:ascii="宋体" w:hAnsi="宋体" w:cs="宋体"/>
          <w:color w:val="000000" w:themeColor="text1"/>
        </w:rPr>
      </w:pPr>
      <w:r>
        <w:rPr>
          <w:rFonts w:hint="eastAsia" w:ascii="宋体" w:hAnsi="宋体" w:cs="宋体"/>
          <w:b/>
          <w:color w:val="000000" w:themeColor="text1"/>
          <w:kern w:val="0"/>
          <w:sz w:val="32"/>
          <w:szCs w:val="32"/>
        </w:rPr>
        <w:t>四、评标标准相应的商务技术资料</w:t>
      </w:r>
    </w:p>
    <w:p w14:paraId="095E1088">
      <w:pPr>
        <w:snapToGrid w:val="0"/>
        <w:spacing w:line="360" w:lineRule="auto"/>
        <w:jc w:val="left"/>
        <w:rPr>
          <w:rFonts w:ascii="宋体" w:hAnsi="宋体" w:cs="宋体"/>
          <w:b/>
          <w:color w:val="000000" w:themeColor="text1"/>
          <w:sz w:val="24"/>
        </w:rPr>
      </w:pPr>
      <w:r>
        <w:rPr>
          <w:rFonts w:hint="eastAsia" w:ascii="宋体" w:hAnsi="宋体" w:cs="宋体"/>
          <w:b/>
          <w:color w:val="000000" w:themeColor="text1"/>
          <w:sz w:val="24"/>
        </w:rPr>
        <w:t>（按交易文件第四部分交易办法前附表中“响应文件中评标标准相应的商务技术资料目录”提供资料。）</w:t>
      </w:r>
    </w:p>
    <w:p w14:paraId="60648F7A">
      <w:pPr>
        <w:jc w:val="center"/>
        <w:rPr>
          <w:rFonts w:ascii="宋体" w:hAnsi="宋体" w:cs="宋体"/>
          <w:b/>
          <w:color w:val="000000" w:themeColor="text1"/>
          <w:kern w:val="0"/>
          <w:sz w:val="32"/>
          <w:szCs w:val="32"/>
        </w:rPr>
      </w:pPr>
    </w:p>
    <w:p w14:paraId="1A40043E">
      <w:pPr>
        <w:jc w:val="center"/>
        <w:rPr>
          <w:rFonts w:ascii="宋体" w:hAnsi="宋体" w:cs="宋体"/>
          <w:b/>
          <w:color w:val="000000" w:themeColor="text1"/>
          <w:kern w:val="0"/>
          <w:sz w:val="32"/>
          <w:szCs w:val="32"/>
        </w:rPr>
      </w:pPr>
    </w:p>
    <w:p w14:paraId="7B9C4EB2">
      <w:pPr>
        <w:pStyle w:val="50"/>
        <w:rPr>
          <w:color w:val="000000" w:themeColor="text1"/>
        </w:rPr>
      </w:pPr>
    </w:p>
    <w:p w14:paraId="01780682">
      <w:pPr>
        <w:jc w:val="center"/>
        <w:rPr>
          <w:rFonts w:ascii="宋体" w:hAnsi="宋体" w:cs="宋体"/>
          <w:b/>
          <w:color w:val="000000" w:themeColor="text1"/>
          <w:kern w:val="0"/>
          <w:sz w:val="32"/>
          <w:szCs w:val="32"/>
        </w:rPr>
      </w:pPr>
    </w:p>
    <w:p w14:paraId="70CDC70F">
      <w:pPr>
        <w:jc w:val="center"/>
        <w:rPr>
          <w:rFonts w:ascii="宋体" w:hAnsi="宋体" w:cs="宋体"/>
          <w:b/>
          <w:color w:val="000000" w:themeColor="text1"/>
          <w:kern w:val="0"/>
          <w:sz w:val="32"/>
          <w:szCs w:val="32"/>
        </w:rPr>
      </w:pPr>
    </w:p>
    <w:p w14:paraId="15C1F4B4">
      <w:pPr>
        <w:jc w:val="center"/>
        <w:rPr>
          <w:rFonts w:ascii="宋体" w:hAnsi="宋体" w:cs="宋体"/>
          <w:b/>
          <w:color w:val="000000" w:themeColor="text1"/>
          <w:kern w:val="0"/>
          <w:sz w:val="32"/>
          <w:szCs w:val="32"/>
        </w:rPr>
      </w:pPr>
    </w:p>
    <w:p w14:paraId="7EF0E54C">
      <w:pPr>
        <w:widowControl/>
        <w:adjustRightInd/>
        <w:jc w:val="left"/>
        <w:rPr>
          <w:rFonts w:eastAsia="楷体_GB2312" w:cs="Lucida Sans"/>
          <w:sz w:val="24"/>
        </w:rPr>
      </w:pPr>
      <w:r>
        <w:rPr>
          <w:rFonts w:eastAsia="楷体_GB2312" w:cs="Lucida Sans"/>
          <w:sz w:val="24"/>
        </w:rPr>
        <w:br w:type="page"/>
      </w:r>
    </w:p>
    <w:p w14:paraId="065008BE">
      <w:pPr>
        <w:spacing w:line="360" w:lineRule="auto"/>
        <w:ind w:right="42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1EA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AE4DBD">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3683" w:type="dxa"/>
          </w:tcPr>
          <w:p w14:paraId="6FE4A820">
            <w:pPr>
              <w:jc w:val="center"/>
              <w:rPr>
                <w:rFonts w:ascii="宋体" w:hAnsi="宋体" w:cs="宋体"/>
                <w:b/>
                <w:bCs/>
                <w:color w:val="000000" w:themeColor="text1"/>
                <w:sz w:val="24"/>
              </w:rPr>
            </w:pPr>
            <w:r>
              <w:rPr>
                <w:rFonts w:hint="eastAsia" w:ascii="宋体" w:hAnsi="宋体" w:cs="宋体"/>
                <w:b/>
                <w:bCs/>
                <w:color w:val="000000" w:themeColor="text1"/>
                <w:sz w:val="24"/>
              </w:rPr>
              <w:t>交易文件章节及具体内容</w:t>
            </w:r>
          </w:p>
        </w:tc>
        <w:tc>
          <w:tcPr>
            <w:tcW w:w="3546" w:type="dxa"/>
          </w:tcPr>
          <w:p w14:paraId="386BA387">
            <w:pPr>
              <w:jc w:val="center"/>
              <w:rPr>
                <w:rFonts w:ascii="宋体" w:hAnsi="宋体" w:cs="宋体"/>
                <w:b/>
                <w:bCs/>
                <w:color w:val="000000" w:themeColor="text1"/>
                <w:sz w:val="24"/>
              </w:rPr>
            </w:pPr>
            <w:r>
              <w:rPr>
                <w:rFonts w:hint="eastAsia" w:ascii="宋体" w:hAnsi="宋体" w:cs="宋体"/>
                <w:b/>
                <w:bCs/>
                <w:color w:val="000000" w:themeColor="text1"/>
                <w:sz w:val="24"/>
              </w:rPr>
              <w:t>响应文件章节及具体内容</w:t>
            </w:r>
          </w:p>
        </w:tc>
        <w:tc>
          <w:tcPr>
            <w:tcW w:w="1276" w:type="dxa"/>
          </w:tcPr>
          <w:p w14:paraId="3A542A12">
            <w:pPr>
              <w:jc w:val="center"/>
              <w:rPr>
                <w:rFonts w:ascii="宋体" w:hAnsi="宋体" w:cs="宋体"/>
                <w:b/>
                <w:bCs/>
                <w:color w:val="000000" w:themeColor="text1"/>
                <w:sz w:val="24"/>
              </w:rPr>
            </w:pPr>
            <w:r>
              <w:rPr>
                <w:rFonts w:hint="eastAsia" w:ascii="宋体" w:hAnsi="宋体" w:cs="宋体"/>
                <w:b/>
                <w:bCs/>
                <w:color w:val="000000" w:themeColor="text1"/>
                <w:sz w:val="24"/>
              </w:rPr>
              <w:t>偏离说明</w:t>
            </w:r>
          </w:p>
        </w:tc>
      </w:tr>
      <w:tr w14:paraId="1C0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112D2F">
            <w:pPr>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683" w:type="dxa"/>
          </w:tcPr>
          <w:p w14:paraId="3ED4C96A">
            <w:pPr>
              <w:jc w:val="center"/>
              <w:rPr>
                <w:rFonts w:ascii="宋体" w:hAnsi="宋体" w:cs="宋体"/>
                <w:b/>
                <w:color w:val="000000" w:themeColor="text1"/>
                <w:kern w:val="0"/>
                <w:sz w:val="32"/>
                <w:szCs w:val="32"/>
              </w:rPr>
            </w:pPr>
          </w:p>
        </w:tc>
        <w:tc>
          <w:tcPr>
            <w:tcW w:w="3546" w:type="dxa"/>
          </w:tcPr>
          <w:p w14:paraId="242DB047">
            <w:pPr>
              <w:jc w:val="center"/>
              <w:rPr>
                <w:rFonts w:ascii="宋体" w:hAnsi="宋体" w:cs="宋体"/>
                <w:b/>
                <w:color w:val="000000" w:themeColor="text1"/>
                <w:kern w:val="0"/>
                <w:sz w:val="32"/>
                <w:szCs w:val="32"/>
              </w:rPr>
            </w:pPr>
          </w:p>
        </w:tc>
        <w:tc>
          <w:tcPr>
            <w:tcW w:w="1276" w:type="dxa"/>
          </w:tcPr>
          <w:p w14:paraId="740F60A3">
            <w:pPr>
              <w:jc w:val="center"/>
              <w:rPr>
                <w:rFonts w:ascii="宋体" w:hAnsi="宋体" w:cs="宋体"/>
                <w:b/>
                <w:color w:val="000000" w:themeColor="text1"/>
                <w:kern w:val="0"/>
                <w:sz w:val="32"/>
                <w:szCs w:val="32"/>
              </w:rPr>
            </w:pPr>
          </w:p>
        </w:tc>
      </w:tr>
      <w:tr w14:paraId="4ACD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229CD">
            <w:pPr>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683" w:type="dxa"/>
          </w:tcPr>
          <w:p w14:paraId="0C4E777A">
            <w:pPr>
              <w:jc w:val="center"/>
              <w:rPr>
                <w:rFonts w:ascii="宋体" w:hAnsi="宋体" w:cs="宋体"/>
                <w:b/>
                <w:color w:val="000000" w:themeColor="text1"/>
                <w:kern w:val="0"/>
                <w:sz w:val="32"/>
                <w:szCs w:val="32"/>
              </w:rPr>
            </w:pPr>
          </w:p>
        </w:tc>
        <w:tc>
          <w:tcPr>
            <w:tcW w:w="3546" w:type="dxa"/>
          </w:tcPr>
          <w:p w14:paraId="67C23409">
            <w:pPr>
              <w:jc w:val="center"/>
              <w:rPr>
                <w:rFonts w:ascii="宋体" w:hAnsi="宋体" w:cs="宋体"/>
                <w:b/>
                <w:color w:val="000000" w:themeColor="text1"/>
                <w:kern w:val="0"/>
                <w:sz w:val="32"/>
                <w:szCs w:val="32"/>
              </w:rPr>
            </w:pPr>
          </w:p>
        </w:tc>
        <w:tc>
          <w:tcPr>
            <w:tcW w:w="1276" w:type="dxa"/>
          </w:tcPr>
          <w:p w14:paraId="57B8CBAB">
            <w:pPr>
              <w:jc w:val="center"/>
              <w:rPr>
                <w:rFonts w:ascii="宋体" w:hAnsi="宋体" w:cs="宋体"/>
                <w:b/>
                <w:color w:val="000000" w:themeColor="text1"/>
                <w:kern w:val="0"/>
                <w:sz w:val="32"/>
                <w:szCs w:val="32"/>
              </w:rPr>
            </w:pPr>
          </w:p>
        </w:tc>
      </w:tr>
      <w:tr w14:paraId="2916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0CD9A">
            <w:pPr>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3683" w:type="dxa"/>
          </w:tcPr>
          <w:p w14:paraId="6576C521">
            <w:pPr>
              <w:jc w:val="center"/>
              <w:rPr>
                <w:rFonts w:ascii="宋体" w:hAnsi="宋体" w:cs="宋体"/>
                <w:b/>
                <w:color w:val="000000" w:themeColor="text1"/>
                <w:kern w:val="0"/>
                <w:sz w:val="32"/>
                <w:szCs w:val="32"/>
              </w:rPr>
            </w:pPr>
          </w:p>
        </w:tc>
        <w:tc>
          <w:tcPr>
            <w:tcW w:w="3546" w:type="dxa"/>
          </w:tcPr>
          <w:p w14:paraId="7AF150C0">
            <w:pPr>
              <w:jc w:val="center"/>
              <w:rPr>
                <w:rFonts w:ascii="宋体" w:hAnsi="宋体" w:cs="宋体"/>
                <w:b/>
                <w:color w:val="000000" w:themeColor="text1"/>
                <w:kern w:val="0"/>
                <w:sz w:val="32"/>
                <w:szCs w:val="32"/>
              </w:rPr>
            </w:pPr>
          </w:p>
        </w:tc>
        <w:tc>
          <w:tcPr>
            <w:tcW w:w="1276" w:type="dxa"/>
          </w:tcPr>
          <w:p w14:paraId="2156AC72">
            <w:pPr>
              <w:jc w:val="center"/>
              <w:rPr>
                <w:rFonts w:ascii="宋体" w:hAnsi="宋体" w:cs="宋体"/>
                <w:b/>
                <w:color w:val="000000" w:themeColor="text1"/>
                <w:kern w:val="0"/>
                <w:sz w:val="32"/>
                <w:szCs w:val="32"/>
              </w:rPr>
            </w:pPr>
          </w:p>
        </w:tc>
      </w:tr>
    </w:tbl>
    <w:p w14:paraId="050C2A0B">
      <w:pPr>
        <w:jc w:val="left"/>
        <w:rPr>
          <w:rFonts w:ascii="宋体" w:hAnsi="宋体" w:cs="宋体"/>
          <w:color w:val="000000" w:themeColor="text1"/>
          <w:kern w:val="0"/>
          <w:sz w:val="24"/>
        </w:rPr>
      </w:pPr>
      <w:r>
        <w:rPr>
          <w:rFonts w:hint="eastAsia" w:ascii="宋体" w:hAnsi="宋体" w:cs="宋体"/>
          <w:color w:val="000000" w:themeColor="text1"/>
          <w:kern w:val="0"/>
          <w:sz w:val="24"/>
        </w:rPr>
        <w:t>供应商保证：除商务技术偏离表列出的偏离外，供应商响应交易文件的全部要求</w:t>
      </w:r>
    </w:p>
    <w:p w14:paraId="72104848">
      <w:pPr>
        <w:jc w:val="center"/>
        <w:rPr>
          <w:rFonts w:ascii="宋体" w:hAnsi="宋体" w:cs="宋体"/>
          <w:b/>
          <w:color w:val="000000" w:themeColor="text1"/>
          <w:kern w:val="0"/>
          <w:sz w:val="32"/>
          <w:szCs w:val="32"/>
        </w:rPr>
      </w:pPr>
    </w:p>
    <w:p w14:paraId="202CE819">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778B7C53">
      <w:pPr>
        <w:jc w:val="center"/>
        <w:rPr>
          <w:rFonts w:ascii="宋体" w:hAnsi="宋体" w:cs="宋体"/>
          <w:b/>
          <w:color w:val="000000" w:themeColor="text1"/>
          <w:kern w:val="0"/>
          <w:sz w:val="32"/>
          <w:szCs w:val="32"/>
        </w:rPr>
      </w:pPr>
    </w:p>
    <w:p w14:paraId="5989826D">
      <w:pPr>
        <w:rPr>
          <w:rFonts w:ascii="宋体" w:hAnsi="宋体" w:cs="宋体"/>
          <w:b/>
          <w:bCs/>
          <w:color w:val="000000" w:themeColor="text1"/>
          <w:sz w:val="32"/>
          <w:szCs w:val="32"/>
        </w:rPr>
      </w:pPr>
      <w:r>
        <w:rPr>
          <w:rFonts w:hint="eastAsia" w:ascii="宋体" w:hAnsi="宋体" w:cs="宋体"/>
          <w:b/>
          <w:bCs/>
          <w:color w:val="000000" w:themeColor="text1"/>
          <w:sz w:val="32"/>
          <w:szCs w:val="32"/>
        </w:rPr>
        <w:br w:type="page"/>
      </w:r>
    </w:p>
    <w:p w14:paraId="7855E16C">
      <w:pPr>
        <w:jc w:val="center"/>
        <w:rPr>
          <w:rFonts w:ascii="宋体" w:hAnsi="宋体" w:cs="宋体"/>
          <w:b/>
          <w:color w:val="000000" w:themeColor="text1"/>
          <w:kern w:val="0"/>
          <w:sz w:val="32"/>
          <w:szCs w:val="32"/>
        </w:rPr>
      </w:pPr>
      <w:r>
        <w:rPr>
          <w:rFonts w:hint="eastAsia" w:ascii="宋体" w:hAnsi="宋体" w:cs="宋体"/>
          <w:b/>
          <w:bCs/>
          <w:color w:val="000000" w:themeColor="text1"/>
          <w:sz w:val="32"/>
          <w:szCs w:val="32"/>
        </w:rPr>
        <w:t>六</w:t>
      </w:r>
      <w:r>
        <w:rPr>
          <w:rFonts w:hint="eastAsia" w:ascii="宋体" w:hAnsi="宋体" w:cs="宋体"/>
          <w:b/>
          <w:color w:val="000000" w:themeColor="text1"/>
          <w:kern w:val="0"/>
          <w:sz w:val="32"/>
          <w:szCs w:val="32"/>
        </w:rPr>
        <w:t>、</w:t>
      </w:r>
      <w:r>
        <w:rPr>
          <w:rFonts w:hint="eastAsia" w:ascii="宋体" w:hAnsi="宋体" w:cs="宋体"/>
          <w:b/>
          <w:color w:val="000000" w:themeColor="text1"/>
          <w:kern w:val="0"/>
          <w:sz w:val="32"/>
          <w:szCs w:val="32"/>
          <w:lang w:val="zh-CN"/>
        </w:rPr>
        <w:t>供应商廉洁自律承诺书</w:t>
      </w:r>
    </w:p>
    <w:p w14:paraId="6253ECAC">
      <w:pPr>
        <w:snapToGrid w:val="0"/>
        <w:spacing w:line="360" w:lineRule="auto"/>
        <w:rPr>
          <w:rFonts w:ascii="宋体" w:hAnsi="宋体" w:cs="宋体"/>
          <w:color w:val="000000" w:themeColor="text1"/>
          <w:sz w:val="24"/>
        </w:rPr>
      </w:pPr>
    </w:p>
    <w:p w14:paraId="5269AE16">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（交易人）、（采购代理机构）</w:t>
      </w:r>
      <w:r>
        <w:rPr>
          <w:rFonts w:hint="eastAsia" w:ascii="宋体" w:hAnsi="宋体" w:cs="宋体"/>
          <w:color w:val="000000" w:themeColor="text1"/>
          <w:kern w:val="0"/>
          <w:sz w:val="24"/>
          <w:lang w:val="zh-CN"/>
        </w:rPr>
        <w:t>：</w:t>
      </w:r>
    </w:p>
    <w:p w14:paraId="5998C50B">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我单位响应你</w:t>
      </w:r>
      <w:r>
        <w:rPr>
          <w:rFonts w:hint="eastAsia" w:ascii="宋体" w:hAnsi="宋体" w:cs="宋体"/>
          <w:color w:val="000000" w:themeColor="text1"/>
          <w:sz w:val="24"/>
        </w:rPr>
        <w:t>单位</w:t>
      </w:r>
      <w:r>
        <w:rPr>
          <w:rFonts w:hint="eastAsia" w:ascii="宋体" w:hAnsi="宋体" w:cs="宋体"/>
          <w:color w:val="000000" w:themeColor="text1"/>
          <w:sz w:val="24"/>
          <w:u w:val="single"/>
        </w:rPr>
        <w:t>萧山区衙前镇第二小学2025年暑期教师疗休养采购项目</w:t>
      </w:r>
      <w:r>
        <w:rPr>
          <w:rFonts w:hint="eastAsia" w:ascii="宋体" w:hAnsi="宋体" w:cs="宋体"/>
          <w:color w:val="000000" w:themeColor="text1"/>
          <w:kern w:val="0"/>
          <w:sz w:val="24"/>
          <w:lang w:val="zh-CN"/>
        </w:rPr>
        <w:t>招标要求参加投标。在这次投标过程中和</w:t>
      </w:r>
      <w:r>
        <w:rPr>
          <w:rFonts w:hint="eastAsia" w:ascii="宋体" w:hAnsi="宋体" w:cs="宋体"/>
          <w:color w:val="000000" w:themeColor="text1"/>
          <w:kern w:val="0"/>
          <w:sz w:val="24"/>
        </w:rPr>
        <w:t>成交</w:t>
      </w:r>
      <w:r>
        <w:rPr>
          <w:rFonts w:hint="eastAsia" w:ascii="宋体" w:hAnsi="宋体" w:cs="宋体"/>
          <w:color w:val="000000" w:themeColor="text1"/>
          <w:kern w:val="0"/>
          <w:sz w:val="24"/>
          <w:lang w:val="zh-CN"/>
        </w:rPr>
        <w:t>后，我们将严格遵守国家法律法规要求，并郑重承诺：</w:t>
      </w:r>
    </w:p>
    <w:p w14:paraId="35415F51">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一、不向项目有关人员及部门赠送礼金礼物、有价证券、回扣以及中介费、介绍费、咨询费等好处费； </w:t>
      </w:r>
    </w:p>
    <w:p w14:paraId="1CB34EE6">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二、不为项目有关人员及部门报销应由你方单位或个人支付的费用； </w:t>
      </w:r>
    </w:p>
    <w:p w14:paraId="5F4E67EE">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三、不向项目有关人员及部门提供有可能影响公正的宴请和健身娱乐等活动； </w:t>
      </w:r>
    </w:p>
    <w:p w14:paraId="5B124DAC">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四、不为项目有关人员及部门出国（境）、旅游等提供方便；</w:t>
      </w:r>
    </w:p>
    <w:p w14:paraId="2454263E">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五、不为项目有关人员个人装修住房、婚丧嫁娶、配偶子女工作安排等提供</w:t>
      </w:r>
    </w:p>
    <w:p w14:paraId="32D715E6">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好处；</w:t>
      </w:r>
    </w:p>
    <w:p w14:paraId="7C1E6999">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六、严格遵守相关法律法规，诚实守信，合法经营，坚决抵制各种违法违纪行为。 </w:t>
      </w:r>
    </w:p>
    <w:p w14:paraId="7A536F2A">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如违反上述承诺，你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有权立即取消我单位投标、</w:t>
      </w:r>
      <w:r>
        <w:rPr>
          <w:rFonts w:hint="eastAsia" w:ascii="宋体" w:hAnsi="宋体" w:cs="宋体"/>
          <w:color w:val="000000" w:themeColor="text1"/>
          <w:kern w:val="0"/>
          <w:sz w:val="24"/>
        </w:rPr>
        <w:t>成交</w:t>
      </w:r>
      <w:r>
        <w:rPr>
          <w:rFonts w:hint="eastAsia" w:ascii="宋体" w:hAnsi="宋体" w:cs="宋体"/>
          <w:color w:val="000000" w:themeColor="text1"/>
          <w:kern w:val="0"/>
          <w:sz w:val="24"/>
          <w:lang w:val="zh-CN"/>
        </w:rPr>
        <w:t>或在建项目的建设资格，有权拒绝我单位在一定时期内进入你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进行项目建设或其他经营活动，并通报市财政局。由此引起的相应损失均由我单位承担。</w:t>
      </w:r>
    </w:p>
    <w:p w14:paraId="17A572BD">
      <w:pPr>
        <w:autoSpaceDE w:val="0"/>
        <w:autoSpaceDN w:val="0"/>
        <w:spacing w:line="360" w:lineRule="auto"/>
        <w:ind w:left="2"/>
        <w:jc w:val="left"/>
        <w:rPr>
          <w:rFonts w:ascii="宋体" w:hAnsi="宋体" w:cs="宋体"/>
          <w:color w:val="000000" w:themeColor="text1"/>
          <w:kern w:val="0"/>
          <w:sz w:val="24"/>
          <w:lang w:val="zh-CN"/>
        </w:rPr>
      </w:pPr>
    </w:p>
    <w:p w14:paraId="56F69B39">
      <w:pPr>
        <w:autoSpaceDE w:val="0"/>
        <w:autoSpaceDN w:val="0"/>
        <w:spacing w:line="360" w:lineRule="auto"/>
        <w:ind w:left="2"/>
        <w:jc w:val="left"/>
        <w:rPr>
          <w:rFonts w:ascii="宋体" w:hAnsi="宋体" w:cs="宋体"/>
          <w:color w:val="000000" w:themeColor="text1"/>
          <w:kern w:val="0"/>
          <w:sz w:val="24"/>
          <w:lang w:val="zh-CN"/>
        </w:rPr>
      </w:pPr>
    </w:p>
    <w:p w14:paraId="0EFF6089">
      <w:pPr>
        <w:autoSpaceDE w:val="0"/>
        <w:autoSpaceDN w:val="0"/>
        <w:spacing w:line="360" w:lineRule="auto"/>
        <w:ind w:left="2"/>
        <w:jc w:val="left"/>
        <w:rPr>
          <w:rFonts w:ascii="宋体" w:hAnsi="宋体" w:cs="宋体"/>
          <w:color w:val="000000" w:themeColor="text1"/>
          <w:kern w:val="0"/>
          <w:sz w:val="24"/>
          <w:lang w:val="zh-CN"/>
        </w:rPr>
      </w:pPr>
    </w:p>
    <w:p w14:paraId="574829FA">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供应商名称（</w:t>
      </w:r>
      <w:r>
        <w:rPr>
          <w:rFonts w:hint="eastAsia" w:ascii="宋体" w:hAnsi="宋体" w:cs="宋体"/>
          <w:color w:val="000000" w:themeColor="text1"/>
          <w:sz w:val="24"/>
        </w:rPr>
        <w:t>电子签名</w:t>
      </w:r>
      <w:r>
        <w:rPr>
          <w:rFonts w:hint="eastAsia" w:ascii="宋体" w:hAnsi="宋体" w:cs="宋体"/>
          <w:color w:val="000000" w:themeColor="text1"/>
          <w:kern w:val="0"/>
          <w:sz w:val="24"/>
          <w:lang w:val="zh-CN"/>
        </w:rPr>
        <w:t xml:space="preserve">）：                                                                                                                                                                                                               </w:t>
      </w:r>
    </w:p>
    <w:p w14:paraId="2F43CC36">
      <w:pPr>
        <w:spacing w:line="360" w:lineRule="auto"/>
        <w:ind w:left="4620" w:leftChars="2200"/>
        <w:rPr>
          <w:rFonts w:ascii="宋体" w:hAnsi="宋体" w:cs="宋体"/>
          <w:color w:val="000000" w:themeColor="text1"/>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 xml:space="preserve">     年  月  日</w:t>
      </w:r>
    </w:p>
    <w:p w14:paraId="36E31575">
      <w:pPr>
        <w:spacing w:line="360" w:lineRule="auto"/>
        <w:jc w:val="center"/>
        <w:rPr>
          <w:rFonts w:ascii="宋体" w:hAnsi="宋体" w:cs="宋体"/>
          <w:b/>
          <w:bCs/>
          <w:color w:val="000000" w:themeColor="text1"/>
          <w:sz w:val="24"/>
        </w:rPr>
      </w:pPr>
    </w:p>
    <w:p w14:paraId="6A157CCD">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4D3DB9EC">
      <w:pPr>
        <w:spacing w:line="360" w:lineRule="auto"/>
        <w:jc w:val="center"/>
        <w:rPr>
          <w:rFonts w:ascii="宋体" w:hAnsi="宋体" w:cs="宋体"/>
          <w:b/>
          <w:bCs/>
          <w:color w:val="000000" w:themeColor="text1"/>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4425C205">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报价文件部分</w:t>
      </w:r>
    </w:p>
    <w:p w14:paraId="7853F221">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目录</w:t>
      </w:r>
    </w:p>
    <w:p w14:paraId="2E938B55">
      <w:pPr>
        <w:spacing w:line="360" w:lineRule="auto"/>
        <w:jc w:val="center"/>
        <w:outlineLvl w:val="0"/>
        <w:rPr>
          <w:rFonts w:ascii="宋体" w:hAnsi="宋体" w:cs="宋体"/>
          <w:b/>
          <w:color w:val="000000" w:themeColor="text1"/>
          <w:kern w:val="0"/>
          <w:sz w:val="36"/>
          <w:szCs w:val="36"/>
        </w:rPr>
      </w:pPr>
    </w:p>
    <w:p w14:paraId="76AE73DB">
      <w:pPr>
        <w:snapToGrid w:val="0"/>
        <w:spacing w:line="360" w:lineRule="auto"/>
        <w:rPr>
          <w:rFonts w:ascii="宋体" w:hAnsi="宋体" w:cs="宋体"/>
          <w:b/>
          <w:color w:val="000000" w:themeColor="text1"/>
          <w:kern w:val="0"/>
          <w:sz w:val="32"/>
          <w:szCs w:val="32"/>
        </w:rPr>
      </w:pPr>
      <w:r>
        <w:rPr>
          <w:rFonts w:hint="eastAsia" w:ascii="宋体" w:hAnsi="宋体" w:cs="宋体"/>
          <w:color w:val="000000" w:themeColor="text1"/>
          <w:sz w:val="24"/>
        </w:rPr>
        <w:t>（1）交易一览表（报价表）………………………………………………………（页码）</w:t>
      </w:r>
    </w:p>
    <w:p w14:paraId="734E4EF1">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color w:val="000000" w:themeColor="text1"/>
          <w:sz w:val="24"/>
        </w:rPr>
        <w:t>（2）中小企业声明函……………………………………………………………（页码）</w:t>
      </w:r>
    </w:p>
    <w:p w14:paraId="0496020E">
      <w:pPr>
        <w:snapToGrid w:val="0"/>
        <w:spacing w:line="360" w:lineRule="auto"/>
        <w:ind w:right="480"/>
        <w:jc w:val="center"/>
        <w:rPr>
          <w:rFonts w:ascii="宋体" w:hAnsi="宋体" w:cs="宋体"/>
          <w:b/>
          <w:color w:val="000000" w:themeColor="text1"/>
          <w:kern w:val="0"/>
          <w:sz w:val="32"/>
          <w:szCs w:val="32"/>
        </w:rPr>
      </w:pPr>
    </w:p>
    <w:p w14:paraId="6032AE10">
      <w:pPr>
        <w:snapToGrid w:val="0"/>
        <w:spacing w:line="360" w:lineRule="auto"/>
        <w:ind w:right="480"/>
        <w:jc w:val="center"/>
        <w:rPr>
          <w:rFonts w:ascii="宋体" w:hAnsi="宋体" w:cs="宋体"/>
          <w:b/>
          <w:color w:val="000000" w:themeColor="text1"/>
          <w:kern w:val="0"/>
          <w:sz w:val="32"/>
          <w:szCs w:val="32"/>
        </w:rPr>
      </w:pPr>
    </w:p>
    <w:p w14:paraId="7EAE2B70">
      <w:pPr>
        <w:snapToGrid w:val="0"/>
        <w:spacing w:line="360" w:lineRule="auto"/>
        <w:ind w:right="480"/>
        <w:jc w:val="center"/>
        <w:rPr>
          <w:rFonts w:ascii="宋体" w:hAnsi="宋体" w:cs="宋体"/>
          <w:b/>
          <w:color w:val="000000" w:themeColor="text1"/>
          <w:kern w:val="0"/>
          <w:sz w:val="32"/>
          <w:szCs w:val="32"/>
        </w:rPr>
      </w:pPr>
    </w:p>
    <w:p w14:paraId="3DB6AC2E">
      <w:pPr>
        <w:snapToGrid w:val="0"/>
        <w:spacing w:line="360" w:lineRule="auto"/>
        <w:ind w:right="480"/>
        <w:jc w:val="center"/>
        <w:rPr>
          <w:rFonts w:ascii="宋体" w:hAnsi="宋体" w:cs="宋体"/>
          <w:b/>
          <w:color w:val="000000" w:themeColor="text1"/>
          <w:kern w:val="0"/>
          <w:sz w:val="32"/>
          <w:szCs w:val="32"/>
        </w:rPr>
      </w:pPr>
    </w:p>
    <w:p w14:paraId="7E7E1CAD">
      <w:pPr>
        <w:snapToGrid w:val="0"/>
        <w:spacing w:line="360" w:lineRule="auto"/>
        <w:ind w:right="480"/>
        <w:jc w:val="center"/>
        <w:rPr>
          <w:rFonts w:ascii="宋体" w:hAnsi="宋体" w:cs="宋体"/>
          <w:b/>
          <w:color w:val="000000" w:themeColor="text1"/>
          <w:kern w:val="0"/>
          <w:sz w:val="32"/>
          <w:szCs w:val="32"/>
        </w:rPr>
      </w:pPr>
    </w:p>
    <w:p w14:paraId="2A0D68D0">
      <w:pPr>
        <w:snapToGrid w:val="0"/>
        <w:spacing w:line="360" w:lineRule="auto"/>
        <w:ind w:right="480"/>
        <w:jc w:val="center"/>
        <w:rPr>
          <w:rFonts w:ascii="宋体" w:hAnsi="宋体" w:cs="宋体"/>
          <w:b/>
          <w:color w:val="000000" w:themeColor="text1"/>
          <w:kern w:val="0"/>
          <w:sz w:val="32"/>
          <w:szCs w:val="32"/>
        </w:rPr>
      </w:pPr>
    </w:p>
    <w:p w14:paraId="4BFFE926">
      <w:pPr>
        <w:snapToGrid w:val="0"/>
        <w:spacing w:line="360" w:lineRule="auto"/>
        <w:ind w:right="480"/>
        <w:jc w:val="center"/>
        <w:rPr>
          <w:rFonts w:ascii="宋体" w:hAnsi="宋体" w:cs="宋体"/>
          <w:b/>
          <w:color w:val="000000" w:themeColor="text1"/>
          <w:kern w:val="0"/>
          <w:sz w:val="32"/>
          <w:szCs w:val="32"/>
        </w:rPr>
      </w:pPr>
    </w:p>
    <w:p w14:paraId="041853A6">
      <w:pPr>
        <w:snapToGrid w:val="0"/>
        <w:spacing w:line="360" w:lineRule="auto"/>
        <w:ind w:right="480"/>
        <w:jc w:val="center"/>
        <w:rPr>
          <w:rFonts w:ascii="宋体" w:hAnsi="宋体" w:cs="宋体"/>
          <w:b/>
          <w:color w:val="000000" w:themeColor="text1"/>
          <w:kern w:val="0"/>
          <w:sz w:val="32"/>
          <w:szCs w:val="32"/>
        </w:rPr>
      </w:pPr>
    </w:p>
    <w:p w14:paraId="16BF113E">
      <w:pPr>
        <w:snapToGrid w:val="0"/>
        <w:spacing w:line="360" w:lineRule="auto"/>
        <w:ind w:right="480"/>
        <w:jc w:val="center"/>
        <w:rPr>
          <w:rFonts w:ascii="宋体" w:hAnsi="宋体" w:cs="宋体"/>
          <w:b/>
          <w:color w:val="000000" w:themeColor="text1"/>
          <w:kern w:val="0"/>
          <w:sz w:val="32"/>
          <w:szCs w:val="32"/>
        </w:rPr>
      </w:pPr>
    </w:p>
    <w:p w14:paraId="115E3DC8">
      <w:pPr>
        <w:snapToGrid w:val="0"/>
        <w:spacing w:line="360" w:lineRule="auto"/>
        <w:ind w:right="480"/>
        <w:jc w:val="center"/>
        <w:rPr>
          <w:rFonts w:ascii="宋体" w:hAnsi="宋体" w:cs="宋体"/>
          <w:b/>
          <w:color w:val="000000" w:themeColor="text1"/>
          <w:kern w:val="0"/>
          <w:sz w:val="32"/>
          <w:szCs w:val="32"/>
        </w:rPr>
      </w:pPr>
    </w:p>
    <w:p w14:paraId="79F1E145">
      <w:pPr>
        <w:snapToGrid w:val="0"/>
        <w:spacing w:line="360" w:lineRule="auto"/>
        <w:ind w:right="480"/>
        <w:jc w:val="center"/>
        <w:rPr>
          <w:rFonts w:ascii="宋体" w:hAnsi="宋体" w:cs="宋体"/>
          <w:b/>
          <w:color w:val="000000" w:themeColor="text1"/>
          <w:kern w:val="0"/>
          <w:sz w:val="32"/>
          <w:szCs w:val="32"/>
        </w:rPr>
      </w:pPr>
    </w:p>
    <w:p w14:paraId="630EB2CB">
      <w:pPr>
        <w:snapToGrid w:val="0"/>
        <w:spacing w:line="360" w:lineRule="auto"/>
        <w:ind w:right="480"/>
        <w:jc w:val="center"/>
        <w:rPr>
          <w:rFonts w:ascii="宋体" w:hAnsi="宋体" w:cs="宋体"/>
          <w:b/>
          <w:color w:val="000000" w:themeColor="text1"/>
          <w:kern w:val="0"/>
          <w:sz w:val="32"/>
          <w:szCs w:val="32"/>
        </w:rPr>
      </w:pPr>
    </w:p>
    <w:p w14:paraId="086CC0C7">
      <w:pPr>
        <w:snapToGrid w:val="0"/>
        <w:spacing w:line="360" w:lineRule="auto"/>
        <w:ind w:right="480"/>
        <w:jc w:val="center"/>
        <w:rPr>
          <w:rFonts w:ascii="宋体" w:hAnsi="宋体" w:cs="宋体"/>
          <w:b/>
          <w:color w:val="000000" w:themeColor="text1"/>
          <w:kern w:val="0"/>
          <w:sz w:val="32"/>
          <w:szCs w:val="32"/>
        </w:rPr>
      </w:pPr>
    </w:p>
    <w:p w14:paraId="678B5DE5">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5CC83F3">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rPr>
      </w:pPr>
      <w:r>
        <w:rPr>
          <w:rFonts w:hint="eastAsia" w:ascii="宋体" w:hAnsi="宋体" w:eastAsia="宋体" w:cs="宋体"/>
          <w:color w:val="000000" w:themeColor="text1"/>
          <w:kern w:val="2"/>
          <w:sz w:val="32"/>
          <w:szCs w:val="32"/>
        </w:rPr>
        <w:t>一、交易一览表（报价表）</w:t>
      </w:r>
    </w:p>
    <w:p w14:paraId="5601682F">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萧山区衙前镇第二小学</w:t>
      </w:r>
      <w:r>
        <w:rPr>
          <w:rFonts w:hint="eastAsia" w:ascii="宋体" w:hAnsi="宋体" w:cs="宋体"/>
          <w:color w:val="000000" w:themeColor="text1"/>
          <w:kern w:val="0"/>
          <w:sz w:val="24"/>
          <w:lang w:val="zh-CN"/>
        </w:rPr>
        <w:t>：</w:t>
      </w:r>
    </w:p>
    <w:p w14:paraId="316F2E61">
      <w:pPr>
        <w:snapToGrid w:val="0"/>
        <w:spacing w:line="360" w:lineRule="auto"/>
        <w:ind w:firstLine="482"/>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按你方交易文件要求，我们，本响应文件签字方，谨此向你方发出要约如下：如你方接受本投标，我方承诺按照如下交易一览表（报价表）的价格完成</w:t>
      </w:r>
      <w:r>
        <w:rPr>
          <w:rFonts w:hint="eastAsia" w:ascii="宋体" w:hAnsi="宋体" w:cs="宋体"/>
          <w:color w:val="000000" w:themeColor="text1"/>
          <w:sz w:val="24"/>
          <w:u w:val="single"/>
        </w:rPr>
        <w:t>萧山区衙前镇第二小学2025年暑期教师疗休养采购项目【交易编号： ZJZL-HZ2025-30 】</w:t>
      </w:r>
      <w:r>
        <w:rPr>
          <w:rFonts w:hint="eastAsia" w:ascii="宋体" w:hAnsi="宋体" w:cs="宋体"/>
          <w:color w:val="000000" w:themeColor="text1"/>
          <w:sz w:val="24"/>
        </w:rPr>
        <w:t>的实施</w:t>
      </w:r>
      <w:r>
        <w:rPr>
          <w:rFonts w:hint="eastAsia" w:ascii="宋体" w:hAnsi="宋体" w:cs="宋体"/>
          <w:color w:val="000000" w:themeColor="text1"/>
          <w:kern w:val="0"/>
          <w:sz w:val="24"/>
          <w:lang w:val="zh-CN"/>
        </w:rPr>
        <w:t>。</w:t>
      </w:r>
    </w:p>
    <w:p w14:paraId="52720739">
      <w:pPr>
        <w:spacing w:line="360" w:lineRule="auto"/>
        <w:jc w:val="center"/>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交易一览表（报价表）(单位均为人民币元)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68"/>
        <w:gridCol w:w="1843"/>
        <w:gridCol w:w="3118"/>
        <w:gridCol w:w="993"/>
        <w:gridCol w:w="1559"/>
        <w:gridCol w:w="1984"/>
        <w:gridCol w:w="3119"/>
      </w:tblGrid>
      <w:tr w14:paraId="07FD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3" w:type="dxa"/>
            <w:vAlign w:val="center"/>
          </w:tcPr>
          <w:p w14:paraId="0A02B3B1">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168" w:type="dxa"/>
            <w:vAlign w:val="center"/>
          </w:tcPr>
          <w:p w14:paraId="7CC84ACF">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1843" w:type="dxa"/>
          </w:tcPr>
          <w:p w14:paraId="51917940">
            <w:pPr>
              <w:spacing w:line="360" w:lineRule="auto"/>
              <w:jc w:val="center"/>
              <w:rPr>
                <w:rFonts w:ascii="宋体" w:hAnsi="宋体" w:cs="宋体"/>
                <w:b/>
                <w:color w:val="000000" w:themeColor="text1"/>
                <w:sz w:val="24"/>
              </w:rPr>
            </w:pPr>
          </w:p>
          <w:p w14:paraId="5CC13A06">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品牌</w:t>
            </w:r>
          </w:p>
        </w:tc>
        <w:tc>
          <w:tcPr>
            <w:tcW w:w="3118" w:type="dxa"/>
            <w:vAlign w:val="center"/>
          </w:tcPr>
          <w:p w14:paraId="04BF9E21">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规格型号（或具体服务）</w:t>
            </w:r>
          </w:p>
        </w:tc>
        <w:tc>
          <w:tcPr>
            <w:tcW w:w="993" w:type="dxa"/>
            <w:vAlign w:val="center"/>
          </w:tcPr>
          <w:p w14:paraId="272105F4">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数量</w:t>
            </w:r>
          </w:p>
        </w:tc>
        <w:tc>
          <w:tcPr>
            <w:tcW w:w="1559" w:type="dxa"/>
            <w:vAlign w:val="center"/>
          </w:tcPr>
          <w:p w14:paraId="5765669C">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单价</w:t>
            </w:r>
          </w:p>
        </w:tc>
        <w:tc>
          <w:tcPr>
            <w:tcW w:w="1984" w:type="dxa"/>
            <w:vAlign w:val="center"/>
          </w:tcPr>
          <w:p w14:paraId="064734E5">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总价</w:t>
            </w:r>
          </w:p>
        </w:tc>
        <w:tc>
          <w:tcPr>
            <w:tcW w:w="3119" w:type="dxa"/>
            <w:vAlign w:val="center"/>
          </w:tcPr>
          <w:p w14:paraId="23515DD5">
            <w:pPr>
              <w:spacing w:line="360" w:lineRule="auto"/>
              <w:jc w:val="center"/>
              <w:rPr>
                <w:rFonts w:ascii="宋体" w:hAnsi="宋体" w:cs="宋体"/>
                <w:b/>
                <w:color w:val="000000" w:themeColor="text1"/>
                <w:sz w:val="24"/>
              </w:rPr>
            </w:pPr>
          </w:p>
          <w:p w14:paraId="36CD8834">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质保期（年限）</w:t>
            </w:r>
          </w:p>
          <w:p w14:paraId="7F19972F">
            <w:pPr>
              <w:spacing w:line="360" w:lineRule="auto"/>
              <w:jc w:val="center"/>
              <w:rPr>
                <w:rFonts w:ascii="宋体" w:hAnsi="宋体" w:cs="宋体"/>
                <w:b/>
                <w:color w:val="000000" w:themeColor="text1"/>
                <w:sz w:val="24"/>
              </w:rPr>
            </w:pPr>
          </w:p>
        </w:tc>
      </w:tr>
      <w:tr w14:paraId="2432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3" w:type="dxa"/>
            <w:vAlign w:val="center"/>
          </w:tcPr>
          <w:p w14:paraId="30996966">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168" w:type="dxa"/>
            <w:vAlign w:val="center"/>
          </w:tcPr>
          <w:p w14:paraId="6D617BFE">
            <w:pPr>
              <w:snapToGrid w:val="0"/>
              <w:spacing w:line="360" w:lineRule="auto"/>
              <w:jc w:val="center"/>
              <w:rPr>
                <w:rFonts w:ascii="宋体" w:hAnsi="宋体" w:cs="宋体"/>
                <w:color w:val="000000" w:themeColor="text1"/>
                <w:sz w:val="24"/>
              </w:rPr>
            </w:pPr>
          </w:p>
        </w:tc>
        <w:tc>
          <w:tcPr>
            <w:tcW w:w="1843" w:type="dxa"/>
            <w:vAlign w:val="center"/>
          </w:tcPr>
          <w:p w14:paraId="1A41F165">
            <w:pPr>
              <w:snapToGrid w:val="0"/>
              <w:spacing w:line="360" w:lineRule="auto"/>
              <w:jc w:val="center"/>
              <w:rPr>
                <w:rFonts w:ascii="宋体" w:hAnsi="宋体" w:cs="宋体"/>
                <w:color w:val="000000" w:themeColor="text1"/>
                <w:sz w:val="24"/>
              </w:rPr>
            </w:pPr>
          </w:p>
        </w:tc>
        <w:tc>
          <w:tcPr>
            <w:tcW w:w="3118" w:type="dxa"/>
            <w:vAlign w:val="center"/>
          </w:tcPr>
          <w:p w14:paraId="2DCBAA25">
            <w:pPr>
              <w:snapToGrid w:val="0"/>
              <w:spacing w:line="360" w:lineRule="auto"/>
              <w:jc w:val="center"/>
              <w:rPr>
                <w:rFonts w:ascii="宋体" w:hAnsi="宋体" w:cs="宋体"/>
                <w:color w:val="000000" w:themeColor="text1"/>
                <w:sz w:val="24"/>
              </w:rPr>
            </w:pPr>
          </w:p>
        </w:tc>
        <w:tc>
          <w:tcPr>
            <w:tcW w:w="993" w:type="dxa"/>
            <w:vAlign w:val="center"/>
          </w:tcPr>
          <w:p w14:paraId="595C5B75">
            <w:pPr>
              <w:snapToGrid w:val="0"/>
              <w:spacing w:line="360" w:lineRule="auto"/>
              <w:jc w:val="center"/>
              <w:rPr>
                <w:rFonts w:ascii="宋体" w:hAnsi="宋体" w:cs="宋体"/>
                <w:color w:val="000000" w:themeColor="text1"/>
                <w:sz w:val="24"/>
              </w:rPr>
            </w:pPr>
          </w:p>
        </w:tc>
        <w:tc>
          <w:tcPr>
            <w:tcW w:w="1559" w:type="dxa"/>
            <w:vAlign w:val="center"/>
          </w:tcPr>
          <w:p w14:paraId="71248E90">
            <w:pPr>
              <w:spacing w:line="360" w:lineRule="auto"/>
              <w:jc w:val="center"/>
              <w:rPr>
                <w:rFonts w:ascii="宋体" w:hAnsi="宋体" w:cs="宋体"/>
                <w:color w:val="000000" w:themeColor="text1"/>
                <w:sz w:val="24"/>
              </w:rPr>
            </w:pPr>
          </w:p>
        </w:tc>
        <w:tc>
          <w:tcPr>
            <w:tcW w:w="1984" w:type="dxa"/>
            <w:vAlign w:val="center"/>
          </w:tcPr>
          <w:p w14:paraId="5E569937">
            <w:pPr>
              <w:spacing w:line="360" w:lineRule="auto"/>
              <w:jc w:val="center"/>
              <w:rPr>
                <w:rFonts w:ascii="宋体" w:hAnsi="宋体" w:cs="宋体"/>
                <w:color w:val="000000" w:themeColor="text1"/>
                <w:sz w:val="24"/>
              </w:rPr>
            </w:pPr>
          </w:p>
        </w:tc>
        <w:tc>
          <w:tcPr>
            <w:tcW w:w="3119" w:type="dxa"/>
            <w:vAlign w:val="center"/>
          </w:tcPr>
          <w:p w14:paraId="4C843DF1">
            <w:pPr>
              <w:spacing w:line="360" w:lineRule="auto"/>
              <w:jc w:val="center"/>
              <w:rPr>
                <w:rFonts w:ascii="宋体" w:hAnsi="宋体" w:cs="宋体"/>
                <w:color w:val="000000" w:themeColor="text1"/>
                <w:sz w:val="24"/>
              </w:rPr>
            </w:pPr>
          </w:p>
        </w:tc>
      </w:tr>
      <w:tr w14:paraId="47A8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14:paraId="58BD7AD0">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168" w:type="dxa"/>
            <w:vAlign w:val="center"/>
          </w:tcPr>
          <w:p w14:paraId="04AB797F">
            <w:pPr>
              <w:snapToGrid w:val="0"/>
              <w:spacing w:line="360" w:lineRule="auto"/>
              <w:jc w:val="center"/>
              <w:rPr>
                <w:rFonts w:ascii="宋体" w:hAnsi="宋体" w:cs="宋体"/>
                <w:color w:val="000000" w:themeColor="text1"/>
                <w:sz w:val="24"/>
              </w:rPr>
            </w:pPr>
          </w:p>
        </w:tc>
        <w:tc>
          <w:tcPr>
            <w:tcW w:w="1843" w:type="dxa"/>
            <w:vAlign w:val="center"/>
          </w:tcPr>
          <w:p w14:paraId="0526204F">
            <w:pPr>
              <w:snapToGrid w:val="0"/>
              <w:spacing w:line="360" w:lineRule="auto"/>
              <w:jc w:val="center"/>
              <w:rPr>
                <w:rFonts w:ascii="宋体" w:hAnsi="宋体" w:cs="宋体"/>
                <w:color w:val="000000" w:themeColor="text1"/>
                <w:sz w:val="24"/>
              </w:rPr>
            </w:pPr>
          </w:p>
        </w:tc>
        <w:tc>
          <w:tcPr>
            <w:tcW w:w="3118" w:type="dxa"/>
            <w:vAlign w:val="center"/>
          </w:tcPr>
          <w:p w14:paraId="792D41A3">
            <w:pPr>
              <w:snapToGrid w:val="0"/>
              <w:spacing w:line="360" w:lineRule="auto"/>
              <w:jc w:val="center"/>
              <w:rPr>
                <w:rFonts w:ascii="宋体" w:hAnsi="宋体" w:cs="宋体"/>
                <w:color w:val="000000" w:themeColor="text1"/>
                <w:sz w:val="24"/>
              </w:rPr>
            </w:pPr>
          </w:p>
        </w:tc>
        <w:tc>
          <w:tcPr>
            <w:tcW w:w="993" w:type="dxa"/>
            <w:vAlign w:val="center"/>
          </w:tcPr>
          <w:p w14:paraId="057961E2">
            <w:pPr>
              <w:snapToGrid w:val="0"/>
              <w:spacing w:line="360" w:lineRule="auto"/>
              <w:jc w:val="center"/>
              <w:rPr>
                <w:rFonts w:ascii="宋体" w:hAnsi="宋体" w:cs="宋体"/>
                <w:color w:val="000000" w:themeColor="text1"/>
                <w:sz w:val="24"/>
              </w:rPr>
            </w:pPr>
          </w:p>
        </w:tc>
        <w:tc>
          <w:tcPr>
            <w:tcW w:w="1559" w:type="dxa"/>
            <w:vAlign w:val="center"/>
          </w:tcPr>
          <w:p w14:paraId="40D3D6B4">
            <w:pPr>
              <w:spacing w:line="360" w:lineRule="auto"/>
              <w:jc w:val="center"/>
              <w:rPr>
                <w:rFonts w:ascii="宋体" w:hAnsi="宋体" w:cs="宋体"/>
                <w:color w:val="000000" w:themeColor="text1"/>
                <w:sz w:val="24"/>
              </w:rPr>
            </w:pPr>
          </w:p>
        </w:tc>
        <w:tc>
          <w:tcPr>
            <w:tcW w:w="1984" w:type="dxa"/>
            <w:vAlign w:val="center"/>
          </w:tcPr>
          <w:p w14:paraId="3DE83D9F">
            <w:pPr>
              <w:spacing w:line="360" w:lineRule="auto"/>
              <w:jc w:val="center"/>
              <w:rPr>
                <w:rFonts w:ascii="宋体" w:hAnsi="宋体" w:cs="宋体"/>
                <w:color w:val="000000" w:themeColor="text1"/>
                <w:sz w:val="24"/>
              </w:rPr>
            </w:pPr>
          </w:p>
        </w:tc>
        <w:tc>
          <w:tcPr>
            <w:tcW w:w="3119" w:type="dxa"/>
            <w:vAlign w:val="center"/>
          </w:tcPr>
          <w:p w14:paraId="479576D9">
            <w:pPr>
              <w:spacing w:line="360" w:lineRule="auto"/>
              <w:jc w:val="center"/>
              <w:rPr>
                <w:rFonts w:ascii="宋体" w:hAnsi="宋体" w:cs="宋体"/>
                <w:color w:val="000000" w:themeColor="text1"/>
                <w:sz w:val="24"/>
              </w:rPr>
            </w:pPr>
          </w:p>
        </w:tc>
      </w:tr>
      <w:tr w14:paraId="20FC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14:paraId="19E25F3D">
            <w:pPr>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1168" w:type="dxa"/>
            <w:vAlign w:val="center"/>
          </w:tcPr>
          <w:p w14:paraId="0C73D49A">
            <w:pPr>
              <w:snapToGrid w:val="0"/>
              <w:spacing w:line="360" w:lineRule="auto"/>
              <w:jc w:val="center"/>
              <w:rPr>
                <w:rFonts w:ascii="宋体" w:hAnsi="宋体" w:cs="宋体"/>
                <w:color w:val="000000" w:themeColor="text1"/>
                <w:sz w:val="24"/>
              </w:rPr>
            </w:pPr>
          </w:p>
        </w:tc>
        <w:tc>
          <w:tcPr>
            <w:tcW w:w="1843" w:type="dxa"/>
            <w:vAlign w:val="center"/>
          </w:tcPr>
          <w:p w14:paraId="2AEA09C7">
            <w:pPr>
              <w:snapToGrid w:val="0"/>
              <w:spacing w:line="360" w:lineRule="auto"/>
              <w:jc w:val="center"/>
              <w:rPr>
                <w:rFonts w:ascii="宋体" w:hAnsi="宋体" w:cs="宋体"/>
                <w:color w:val="000000" w:themeColor="text1"/>
                <w:sz w:val="24"/>
              </w:rPr>
            </w:pPr>
          </w:p>
        </w:tc>
        <w:tc>
          <w:tcPr>
            <w:tcW w:w="3118" w:type="dxa"/>
            <w:vAlign w:val="center"/>
          </w:tcPr>
          <w:p w14:paraId="30CD2DE5">
            <w:pPr>
              <w:snapToGrid w:val="0"/>
              <w:spacing w:line="360" w:lineRule="auto"/>
              <w:jc w:val="center"/>
              <w:rPr>
                <w:rFonts w:ascii="宋体" w:hAnsi="宋体" w:cs="宋体"/>
                <w:color w:val="000000" w:themeColor="text1"/>
                <w:sz w:val="24"/>
              </w:rPr>
            </w:pPr>
          </w:p>
        </w:tc>
        <w:tc>
          <w:tcPr>
            <w:tcW w:w="993" w:type="dxa"/>
            <w:vAlign w:val="center"/>
          </w:tcPr>
          <w:p w14:paraId="65F4DA91">
            <w:pPr>
              <w:snapToGrid w:val="0"/>
              <w:spacing w:line="360" w:lineRule="auto"/>
              <w:jc w:val="center"/>
              <w:rPr>
                <w:rFonts w:ascii="宋体" w:hAnsi="宋体" w:cs="宋体"/>
                <w:color w:val="000000" w:themeColor="text1"/>
                <w:sz w:val="24"/>
              </w:rPr>
            </w:pPr>
          </w:p>
        </w:tc>
        <w:tc>
          <w:tcPr>
            <w:tcW w:w="1559" w:type="dxa"/>
            <w:vAlign w:val="center"/>
          </w:tcPr>
          <w:p w14:paraId="22EF9A9A">
            <w:pPr>
              <w:spacing w:line="360" w:lineRule="auto"/>
              <w:jc w:val="center"/>
              <w:rPr>
                <w:rFonts w:ascii="宋体" w:hAnsi="宋体" w:cs="宋体"/>
                <w:color w:val="000000" w:themeColor="text1"/>
                <w:sz w:val="24"/>
              </w:rPr>
            </w:pPr>
          </w:p>
        </w:tc>
        <w:tc>
          <w:tcPr>
            <w:tcW w:w="1984" w:type="dxa"/>
            <w:vAlign w:val="center"/>
          </w:tcPr>
          <w:p w14:paraId="3C9DAE99">
            <w:pPr>
              <w:spacing w:line="360" w:lineRule="auto"/>
              <w:jc w:val="center"/>
              <w:rPr>
                <w:rFonts w:ascii="宋体" w:hAnsi="宋体" w:cs="宋体"/>
                <w:color w:val="000000" w:themeColor="text1"/>
                <w:sz w:val="24"/>
              </w:rPr>
            </w:pPr>
          </w:p>
        </w:tc>
        <w:tc>
          <w:tcPr>
            <w:tcW w:w="3119" w:type="dxa"/>
            <w:vAlign w:val="center"/>
          </w:tcPr>
          <w:p w14:paraId="4CE5E940">
            <w:pPr>
              <w:spacing w:line="360" w:lineRule="auto"/>
              <w:jc w:val="center"/>
              <w:rPr>
                <w:rFonts w:ascii="宋体" w:hAnsi="宋体" w:cs="宋体"/>
                <w:color w:val="000000" w:themeColor="text1"/>
                <w:sz w:val="24"/>
              </w:rPr>
            </w:pPr>
          </w:p>
        </w:tc>
      </w:tr>
      <w:tr w14:paraId="66E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14:paraId="45F43E56">
            <w:pPr>
              <w:spacing w:line="360" w:lineRule="auto"/>
              <w:jc w:val="center"/>
              <w:rPr>
                <w:rFonts w:ascii="宋体" w:hAnsi="宋体" w:cs="宋体"/>
                <w:color w:val="000000" w:themeColor="text1"/>
                <w:sz w:val="24"/>
              </w:rPr>
            </w:pPr>
          </w:p>
        </w:tc>
        <w:tc>
          <w:tcPr>
            <w:tcW w:w="1168" w:type="dxa"/>
            <w:vAlign w:val="center"/>
          </w:tcPr>
          <w:p w14:paraId="7616BCC5">
            <w:pPr>
              <w:snapToGrid w:val="0"/>
              <w:spacing w:line="360" w:lineRule="auto"/>
              <w:jc w:val="center"/>
              <w:rPr>
                <w:rFonts w:ascii="宋体" w:hAnsi="宋体" w:cs="宋体"/>
                <w:color w:val="000000" w:themeColor="text1"/>
                <w:sz w:val="24"/>
              </w:rPr>
            </w:pPr>
          </w:p>
        </w:tc>
        <w:tc>
          <w:tcPr>
            <w:tcW w:w="1843" w:type="dxa"/>
            <w:vAlign w:val="center"/>
          </w:tcPr>
          <w:p w14:paraId="77BF7079">
            <w:pPr>
              <w:snapToGrid w:val="0"/>
              <w:spacing w:line="360" w:lineRule="auto"/>
              <w:jc w:val="center"/>
              <w:rPr>
                <w:rFonts w:ascii="宋体" w:hAnsi="宋体" w:cs="宋体"/>
                <w:color w:val="000000" w:themeColor="text1"/>
                <w:sz w:val="24"/>
              </w:rPr>
            </w:pPr>
          </w:p>
        </w:tc>
        <w:tc>
          <w:tcPr>
            <w:tcW w:w="3118" w:type="dxa"/>
            <w:vAlign w:val="center"/>
          </w:tcPr>
          <w:p w14:paraId="7DB7DBD5">
            <w:pPr>
              <w:snapToGrid w:val="0"/>
              <w:spacing w:line="360" w:lineRule="auto"/>
              <w:jc w:val="center"/>
              <w:rPr>
                <w:rFonts w:ascii="宋体" w:hAnsi="宋体" w:cs="宋体"/>
                <w:color w:val="000000" w:themeColor="text1"/>
                <w:sz w:val="24"/>
              </w:rPr>
            </w:pPr>
          </w:p>
        </w:tc>
        <w:tc>
          <w:tcPr>
            <w:tcW w:w="993" w:type="dxa"/>
            <w:vAlign w:val="center"/>
          </w:tcPr>
          <w:p w14:paraId="05BB3A71">
            <w:pPr>
              <w:snapToGrid w:val="0"/>
              <w:spacing w:line="360" w:lineRule="auto"/>
              <w:jc w:val="center"/>
              <w:rPr>
                <w:rFonts w:ascii="宋体" w:hAnsi="宋体" w:cs="宋体"/>
                <w:color w:val="000000" w:themeColor="text1"/>
                <w:sz w:val="24"/>
              </w:rPr>
            </w:pPr>
          </w:p>
        </w:tc>
        <w:tc>
          <w:tcPr>
            <w:tcW w:w="1559" w:type="dxa"/>
            <w:vAlign w:val="center"/>
          </w:tcPr>
          <w:p w14:paraId="2F257CAF">
            <w:pPr>
              <w:spacing w:line="360" w:lineRule="auto"/>
              <w:jc w:val="center"/>
              <w:rPr>
                <w:rFonts w:ascii="宋体" w:hAnsi="宋体" w:cs="宋体"/>
                <w:color w:val="000000" w:themeColor="text1"/>
                <w:sz w:val="24"/>
              </w:rPr>
            </w:pPr>
          </w:p>
        </w:tc>
        <w:tc>
          <w:tcPr>
            <w:tcW w:w="1984" w:type="dxa"/>
            <w:vAlign w:val="center"/>
          </w:tcPr>
          <w:p w14:paraId="6252AF1A">
            <w:pPr>
              <w:spacing w:line="360" w:lineRule="auto"/>
              <w:jc w:val="center"/>
              <w:rPr>
                <w:rFonts w:ascii="宋体" w:hAnsi="宋体" w:cs="宋体"/>
                <w:color w:val="000000" w:themeColor="text1"/>
                <w:sz w:val="24"/>
              </w:rPr>
            </w:pPr>
          </w:p>
        </w:tc>
        <w:tc>
          <w:tcPr>
            <w:tcW w:w="3119" w:type="dxa"/>
            <w:vAlign w:val="center"/>
          </w:tcPr>
          <w:p w14:paraId="39187C37">
            <w:pPr>
              <w:spacing w:line="360" w:lineRule="auto"/>
              <w:jc w:val="center"/>
              <w:rPr>
                <w:rFonts w:ascii="宋体" w:hAnsi="宋体" w:cs="宋体"/>
                <w:color w:val="000000" w:themeColor="text1"/>
                <w:sz w:val="24"/>
              </w:rPr>
            </w:pPr>
          </w:p>
        </w:tc>
      </w:tr>
      <w:tr w14:paraId="64C6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3" w:type="dxa"/>
            <w:vAlign w:val="center"/>
          </w:tcPr>
          <w:p w14:paraId="312C3170">
            <w:pPr>
              <w:spacing w:line="360" w:lineRule="auto"/>
              <w:jc w:val="center"/>
              <w:rPr>
                <w:rFonts w:ascii="宋体" w:hAnsi="宋体" w:cs="宋体"/>
                <w:color w:val="000000" w:themeColor="text1"/>
                <w:sz w:val="24"/>
              </w:rPr>
            </w:pPr>
          </w:p>
        </w:tc>
        <w:tc>
          <w:tcPr>
            <w:tcW w:w="1168" w:type="dxa"/>
            <w:vAlign w:val="center"/>
          </w:tcPr>
          <w:p w14:paraId="4D04ABCA">
            <w:pPr>
              <w:snapToGrid w:val="0"/>
              <w:spacing w:line="360" w:lineRule="auto"/>
              <w:jc w:val="center"/>
              <w:rPr>
                <w:rFonts w:ascii="宋体" w:hAnsi="宋体" w:cs="宋体"/>
                <w:color w:val="000000" w:themeColor="text1"/>
                <w:sz w:val="24"/>
              </w:rPr>
            </w:pPr>
          </w:p>
        </w:tc>
        <w:tc>
          <w:tcPr>
            <w:tcW w:w="1843" w:type="dxa"/>
            <w:vAlign w:val="center"/>
          </w:tcPr>
          <w:p w14:paraId="4E1D49EC">
            <w:pPr>
              <w:snapToGrid w:val="0"/>
              <w:spacing w:line="360" w:lineRule="auto"/>
              <w:jc w:val="center"/>
              <w:rPr>
                <w:rFonts w:ascii="宋体" w:hAnsi="宋体" w:cs="宋体"/>
                <w:color w:val="000000" w:themeColor="text1"/>
                <w:sz w:val="24"/>
              </w:rPr>
            </w:pPr>
          </w:p>
        </w:tc>
        <w:tc>
          <w:tcPr>
            <w:tcW w:w="3118" w:type="dxa"/>
            <w:vAlign w:val="center"/>
          </w:tcPr>
          <w:p w14:paraId="4D95AD89">
            <w:pPr>
              <w:snapToGrid w:val="0"/>
              <w:spacing w:line="360" w:lineRule="auto"/>
              <w:jc w:val="center"/>
              <w:rPr>
                <w:rFonts w:ascii="宋体" w:hAnsi="宋体" w:cs="宋体"/>
                <w:color w:val="000000" w:themeColor="text1"/>
                <w:sz w:val="24"/>
              </w:rPr>
            </w:pPr>
          </w:p>
        </w:tc>
        <w:tc>
          <w:tcPr>
            <w:tcW w:w="993" w:type="dxa"/>
            <w:vAlign w:val="center"/>
          </w:tcPr>
          <w:p w14:paraId="39BFA38F">
            <w:pPr>
              <w:snapToGrid w:val="0"/>
              <w:spacing w:line="360" w:lineRule="auto"/>
              <w:jc w:val="center"/>
              <w:rPr>
                <w:rFonts w:ascii="宋体" w:hAnsi="宋体" w:cs="宋体"/>
                <w:color w:val="000000" w:themeColor="text1"/>
                <w:sz w:val="24"/>
              </w:rPr>
            </w:pPr>
          </w:p>
        </w:tc>
        <w:tc>
          <w:tcPr>
            <w:tcW w:w="1559" w:type="dxa"/>
            <w:vAlign w:val="center"/>
          </w:tcPr>
          <w:p w14:paraId="6E012363">
            <w:pPr>
              <w:spacing w:line="360" w:lineRule="auto"/>
              <w:jc w:val="center"/>
              <w:rPr>
                <w:rFonts w:ascii="宋体" w:hAnsi="宋体" w:cs="宋体"/>
                <w:color w:val="000000" w:themeColor="text1"/>
                <w:sz w:val="24"/>
              </w:rPr>
            </w:pPr>
          </w:p>
        </w:tc>
        <w:tc>
          <w:tcPr>
            <w:tcW w:w="1984" w:type="dxa"/>
            <w:vAlign w:val="center"/>
          </w:tcPr>
          <w:p w14:paraId="6EBCB915">
            <w:pPr>
              <w:spacing w:line="360" w:lineRule="auto"/>
              <w:jc w:val="center"/>
              <w:rPr>
                <w:rFonts w:ascii="宋体" w:hAnsi="宋体" w:cs="宋体"/>
                <w:color w:val="000000" w:themeColor="text1"/>
                <w:sz w:val="24"/>
              </w:rPr>
            </w:pPr>
          </w:p>
        </w:tc>
        <w:tc>
          <w:tcPr>
            <w:tcW w:w="3119" w:type="dxa"/>
            <w:vAlign w:val="center"/>
          </w:tcPr>
          <w:p w14:paraId="3CE1948A">
            <w:pPr>
              <w:spacing w:line="360" w:lineRule="auto"/>
              <w:jc w:val="center"/>
              <w:rPr>
                <w:rFonts w:ascii="宋体" w:hAnsi="宋体" w:cs="宋体"/>
                <w:color w:val="000000" w:themeColor="text1"/>
                <w:sz w:val="24"/>
              </w:rPr>
            </w:pPr>
          </w:p>
        </w:tc>
      </w:tr>
      <w:tr w14:paraId="799C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9B10B5">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交易报价（小写）</w:t>
            </w:r>
          </w:p>
        </w:tc>
        <w:tc>
          <w:tcPr>
            <w:tcW w:w="7655" w:type="dxa"/>
            <w:gridSpan w:val="4"/>
            <w:vAlign w:val="center"/>
          </w:tcPr>
          <w:p w14:paraId="7FCA9C94">
            <w:pPr>
              <w:spacing w:line="360" w:lineRule="auto"/>
              <w:jc w:val="center"/>
              <w:rPr>
                <w:rFonts w:ascii="宋体" w:hAnsi="宋体" w:cs="宋体"/>
                <w:color w:val="000000" w:themeColor="text1"/>
                <w:sz w:val="24"/>
              </w:rPr>
            </w:pPr>
          </w:p>
        </w:tc>
      </w:tr>
      <w:tr w14:paraId="02AD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B640F2">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交易报价（大写）</w:t>
            </w:r>
          </w:p>
        </w:tc>
        <w:tc>
          <w:tcPr>
            <w:tcW w:w="7655" w:type="dxa"/>
            <w:gridSpan w:val="4"/>
            <w:vAlign w:val="center"/>
          </w:tcPr>
          <w:p w14:paraId="4B514E5F">
            <w:pPr>
              <w:spacing w:line="360" w:lineRule="auto"/>
              <w:jc w:val="center"/>
              <w:rPr>
                <w:rFonts w:ascii="宋体" w:hAnsi="宋体" w:cs="宋体"/>
                <w:color w:val="000000" w:themeColor="text1"/>
                <w:sz w:val="24"/>
              </w:rPr>
            </w:pPr>
          </w:p>
        </w:tc>
      </w:tr>
    </w:tbl>
    <w:p w14:paraId="727EF704">
      <w:pPr>
        <w:snapToGrid w:val="0"/>
        <w:spacing w:line="360" w:lineRule="auto"/>
        <w:ind w:left="480"/>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注：</w:t>
      </w:r>
    </w:p>
    <w:p w14:paraId="0B45E67B">
      <w:pPr>
        <w:spacing w:line="360" w:lineRule="auto"/>
        <w:ind w:left="-2" w:leftChars="-1"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1、供应商需按本表格式填写，不得自行更改。</w:t>
      </w:r>
    </w:p>
    <w:p w14:paraId="7391AAD1">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lang w:val="zh-CN"/>
        </w:rPr>
        <w:t>2、有关本项目实施所涉及的一切费用均计入报价。</w:t>
      </w:r>
      <w:r>
        <w:rPr>
          <w:rFonts w:hint="eastAsia" w:ascii="宋体" w:hAnsi="宋体" w:cs="宋体"/>
          <w:b/>
          <w:color w:val="000000" w:themeColor="text1"/>
          <w:kern w:val="0"/>
          <w:sz w:val="24"/>
          <w:lang w:val="zh-CN"/>
        </w:rPr>
        <w:t>交易人将以合同形式有偿取得货物或服务，不接受供应商给予的赠品、回扣或者与采购无关的其他商品、服务</w:t>
      </w:r>
      <w:r>
        <w:rPr>
          <w:rFonts w:hint="eastAsia" w:ascii="宋体" w:hAnsi="宋体" w:cs="宋体"/>
          <w:color w:val="000000" w:themeColor="text1"/>
          <w:kern w:val="0"/>
          <w:sz w:val="24"/>
          <w:lang w:val="zh-CN"/>
        </w:rPr>
        <w:t>，</w:t>
      </w:r>
      <w:r>
        <w:rPr>
          <w:rFonts w:hint="eastAsia" w:ascii="宋体" w:hAnsi="宋体" w:cs="宋体"/>
          <w:b/>
          <w:color w:val="000000" w:themeColor="text1"/>
          <w:kern w:val="0"/>
          <w:sz w:val="24"/>
          <w:lang w:val="zh-CN"/>
        </w:rPr>
        <w:t>不得出现“0元”“免费赠送”等形式的无偿报价，</w:t>
      </w:r>
      <w:r>
        <w:rPr>
          <w:rFonts w:hint="eastAsia" w:ascii="宋体" w:hAnsi="宋体" w:cs="宋体"/>
          <w:b/>
          <w:color w:val="000000" w:themeColor="text1"/>
          <w:kern w:val="0"/>
          <w:sz w:val="24"/>
        </w:rPr>
        <w:t>否则视为</w:t>
      </w:r>
      <w:r>
        <w:rPr>
          <w:rFonts w:hint="eastAsia" w:ascii="宋体" w:hAnsi="宋体" w:cs="宋体"/>
          <w:b/>
          <w:color w:val="000000" w:themeColor="text1"/>
          <w:sz w:val="24"/>
        </w:rPr>
        <w:t>响应文件含有交易人不能接受的附加条件的，交易无效</w:t>
      </w:r>
      <w:r>
        <w:rPr>
          <w:rFonts w:hint="eastAsia" w:ascii="宋体" w:hAnsi="宋体" w:cs="宋体"/>
          <w:b/>
          <w:color w:val="000000" w:themeColor="text1"/>
          <w:kern w:val="0"/>
          <w:sz w:val="24"/>
          <w:lang w:val="zh-CN"/>
        </w:rPr>
        <w:t>；采购内容未包含在《交易一览表（报价表）》名称栏中，供应商不能作出合理解释的，</w:t>
      </w:r>
      <w:r>
        <w:rPr>
          <w:rFonts w:hint="eastAsia" w:ascii="宋体" w:hAnsi="宋体" w:cs="宋体"/>
          <w:b/>
          <w:color w:val="000000" w:themeColor="text1"/>
          <w:kern w:val="0"/>
          <w:sz w:val="24"/>
        </w:rPr>
        <w:t>视为</w:t>
      </w:r>
      <w:r>
        <w:rPr>
          <w:rFonts w:hint="eastAsia" w:ascii="宋体" w:hAnsi="宋体" w:cs="宋体"/>
          <w:b/>
          <w:color w:val="000000" w:themeColor="text1"/>
          <w:sz w:val="24"/>
        </w:rPr>
        <w:t>响应文件含有交易人不能接受的附加条件的，交易无效。</w:t>
      </w:r>
    </w:p>
    <w:p w14:paraId="4DC9187B">
      <w:pPr>
        <w:snapToGrid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3、以上表格要求细分项目及报价，在“规格型号（或具体服务）”一栏中，货物类项目填写规格型号，服务类项目填写具体服务。</w:t>
      </w:r>
    </w:p>
    <w:p w14:paraId="208E81C2">
      <w:pPr>
        <w:snapToGrid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4、特别提示：采购机构将对项目名称和项目编号，成交供应商名称、地址和</w:t>
      </w:r>
      <w:r>
        <w:rPr>
          <w:rFonts w:hint="eastAsia" w:ascii="宋体" w:hAnsi="宋体" w:cs="宋体"/>
          <w:color w:val="000000" w:themeColor="text1"/>
          <w:kern w:val="0"/>
          <w:sz w:val="24"/>
        </w:rPr>
        <w:t>成交</w:t>
      </w:r>
      <w:r>
        <w:rPr>
          <w:rFonts w:hint="eastAsia" w:ascii="宋体" w:hAnsi="宋体" w:cs="宋体"/>
          <w:color w:val="000000" w:themeColor="text1"/>
          <w:kern w:val="0"/>
          <w:sz w:val="24"/>
          <w:lang w:val="zh-CN"/>
        </w:rPr>
        <w:t>金额等予以公示。</w:t>
      </w:r>
    </w:p>
    <w:p w14:paraId="5649F807">
      <w:pPr>
        <w:spacing w:line="360" w:lineRule="auto"/>
        <w:ind w:firstLine="482" w:firstLineChars="200"/>
        <w:rPr>
          <w:rFonts w:ascii="宋体" w:hAnsi="宋体" w:cs="宋体"/>
          <w:b/>
          <w:color w:val="000000" w:themeColor="text1"/>
          <w:kern w:val="0"/>
          <w:sz w:val="24"/>
        </w:rPr>
      </w:pPr>
    </w:p>
    <w:p w14:paraId="6DFDCBFC">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rPr>
      </w:pPr>
    </w:p>
    <w:p w14:paraId="3F023C81">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rPr>
        <w:sectPr>
          <w:pgSz w:w="16838" w:h="11906" w:orient="landscape"/>
          <w:pgMar w:top="1418" w:right="1247" w:bottom="1418" w:left="1276" w:header="851" w:footer="992" w:gutter="0"/>
          <w:cols w:space="720" w:num="1"/>
          <w:titlePg/>
          <w:docGrid w:linePitch="312" w:charSpace="0"/>
        </w:sectPr>
      </w:pPr>
    </w:p>
    <w:p w14:paraId="722532BC">
      <w:pPr>
        <w:spacing w:line="360" w:lineRule="auto"/>
        <w:rPr>
          <w:rFonts w:ascii="宋体" w:hAnsi="宋体" w:cs="宋体"/>
          <w:b/>
          <w:color w:val="000000" w:themeColor="text1"/>
          <w:sz w:val="24"/>
        </w:rPr>
      </w:pPr>
    </w:p>
    <w:p w14:paraId="28FAC0DF">
      <w:pPr>
        <w:autoSpaceDE w:val="0"/>
        <w:autoSpaceDN w:val="0"/>
        <w:jc w:val="center"/>
        <w:rPr>
          <w:rFonts w:ascii="宋体" w:hAnsi="宋体" w:cs="宋体"/>
          <w:b/>
          <w:bCs/>
          <w:color w:val="000000" w:themeColor="text1"/>
          <w:sz w:val="32"/>
          <w:szCs w:val="32"/>
        </w:rPr>
      </w:pPr>
      <w:r>
        <w:rPr>
          <w:rFonts w:hint="eastAsia" w:ascii="宋体" w:hAnsi="宋体" w:cs="宋体"/>
          <w:b/>
          <w:color w:val="000000" w:themeColor="text1"/>
          <w:kern w:val="0"/>
          <w:sz w:val="32"/>
          <w:szCs w:val="32"/>
        </w:rPr>
        <w:t>二、</w:t>
      </w:r>
      <w:r>
        <w:rPr>
          <w:rFonts w:hint="eastAsia" w:ascii="宋体" w:hAnsi="宋体" w:cs="宋体"/>
          <w:b/>
          <w:color w:val="000000" w:themeColor="text1"/>
          <w:sz w:val="32"/>
          <w:szCs w:val="32"/>
        </w:rPr>
        <w:t>中小企业声明函</w:t>
      </w:r>
    </w:p>
    <w:p w14:paraId="4E039B9C">
      <w:pPr>
        <w:spacing w:line="360" w:lineRule="auto"/>
        <w:jc w:val="center"/>
        <w:rPr>
          <w:rFonts w:ascii="宋体" w:hAnsi="宋体" w:cs="宋体"/>
          <w:color w:val="000000" w:themeColor="text1"/>
          <w:sz w:val="24"/>
          <w:u w:val="single"/>
        </w:rPr>
      </w:pPr>
    </w:p>
    <w:p w14:paraId="04E16239">
      <w:pPr>
        <w:spacing w:line="360" w:lineRule="auto"/>
        <w:jc w:val="center"/>
        <w:rPr>
          <w:rFonts w:ascii="宋体" w:hAnsi="宋体" w:cs="宋体"/>
          <w:b/>
          <w:color w:val="000000" w:themeColor="text1"/>
          <w:sz w:val="32"/>
          <w:szCs w:val="32"/>
        </w:rPr>
      </w:pPr>
      <w:r>
        <w:rPr>
          <w:rFonts w:hint="eastAsia" w:ascii="宋体" w:hAnsi="宋体" w:cs="宋体"/>
          <w:b/>
          <w:color w:val="000000" w:themeColor="text1"/>
          <w:sz w:val="32"/>
          <w:szCs w:val="32"/>
        </w:rPr>
        <w:t>中小企业声明函（货物）</w:t>
      </w:r>
    </w:p>
    <w:p w14:paraId="2C99659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本公司（联合体）郑重声明，根据《政府采购促进中小企业发展管理办法》（财库﹝2020﹞46 号）的规定，本公司（联合体）参加</w:t>
      </w:r>
      <w:r>
        <w:rPr>
          <w:rFonts w:hint="eastAsia" w:ascii="宋体" w:hAnsi="宋体" w:cs="宋体"/>
          <w:color w:val="000000" w:themeColor="text1"/>
          <w:sz w:val="24"/>
          <w:u w:val="single"/>
        </w:rPr>
        <w:t>萧山区衙前镇第二小学</w:t>
      </w:r>
      <w:r>
        <w:rPr>
          <w:rFonts w:hint="eastAsia" w:ascii="宋体" w:hAnsi="宋体" w:cs="宋体"/>
          <w:color w:val="000000" w:themeColor="text1"/>
          <w:sz w:val="24"/>
        </w:rPr>
        <w:t>的</w:t>
      </w:r>
      <w:r>
        <w:rPr>
          <w:rFonts w:hint="eastAsia" w:ascii="宋体" w:hAnsi="宋体" w:cs="宋体"/>
          <w:color w:val="000000" w:themeColor="text1"/>
          <w:sz w:val="24"/>
          <w:u w:val="single"/>
        </w:rPr>
        <w:t>萧山区衙前镇第二小学2025年暑期教师疗休养采购项目</w:t>
      </w:r>
      <w:r>
        <w:rPr>
          <w:rFonts w:hint="eastAsia" w:ascii="宋体" w:hAnsi="宋体" w:cs="宋体"/>
          <w:color w:val="000000" w:themeColor="text1"/>
          <w:sz w:val="24"/>
        </w:rPr>
        <w:t>采购活动，提供的货物全部由符合政策要求的中小企业制造。相关企业（含联合体中的中小企业、签订分包意向协议的中小企业）的具体情况如下：</w:t>
      </w:r>
    </w:p>
    <w:p w14:paraId="2F1173F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u w:val="single"/>
        </w:rPr>
        <w:t>（标的名称）</w:t>
      </w:r>
      <w:r>
        <w:rPr>
          <w:rFonts w:hint="eastAsia" w:ascii="宋体" w:hAnsi="宋体" w:cs="宋体"/>
          <w:color w:val="000000" w:themeColor="text1"/>
          <w:sz w:val="24"/>
        </w:rPr>
        <w:t xml:space="preserve"> ，属于 </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行业 ；制造商为</w:t>
      </w:r>
      <w:r>
        <w:rPr>
          <w:rFonts w:hint="eastAsia" w:ascii="宋体" w:hAnsi="宋体" w:cs="宋体"/>
          <w:color w:val="000000" w:themeColor="text1"/>
          <w:sz w:val="24"/>
          <w:u w:val="single"/>
        </w:rPr>
        <w:t xml:space="preserve"> （企业名称）</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w:t>
      </w:r>
      <w:r>
        <w:rPr>
          <w:rFonts w:hint="eastAsia" w:ascii="宋体" w:hAnsi="宋体" w:cs="宋体"/>
          <w:color w:val="000000" w:themeColor="text1"/>
          <w:sz w:val="24"/>
          <w:u w:val="single"/>
        </w:rPr>
        <w:t xml:space="preserve"> （中型企业、小型企业、微型企业）</w:t>
      </w:r>
      <w:r>
        <w:rPr>
          <w:rFonts w:hint="eastAsia" w:ascii="宋体" w:hAnsi="宋体" w:cs="宋体"/>
          <w:color w:val="000000" w:themeColor="text1"/>
          <w:sz w:val="24"/>
        </w:rPr>
        <w:t xml:space="preserve"> ；</w:t>
      </w:r>
    </w:p>
    <w:p w14:paraId="7A516A3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u w:val="single"/>
        </w:rPr>
        <w:t>（标的名称）</w:t>
      </w:r>
      <w:r>
        <w:rPr>
          <w:rFonts w:hint="eastAsia" w:ascii="宋体" w:hAnsi="宋体" w:cs="宋体"/>
          <w:color w:val="000000" w:themeColor="text1"/>
          <w:sz w:val="24"/>
        </w:rPr>
        <w:t xml:space="preserve"> ，属于 </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行业 ；制造商为</w:t>
      </w:r>
      <w:r>
        <w:rPr>
          <w:rFonts w:hint="eastAsia" w:ascii="宋体" w:hAnsi="宋体" w:cs="宋体"/>
          <w:color w:val="000000" w:themeColor="text1"/>
          <w:sz w:val="24"/>
          <w:u w:val="single"/>
        </w:rPr>
        <w:t xml:space="preserve"> （企业名称）</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w:t>
      </w:r>
      <w:r>
        <w:rPr>
          <w:rFonts w:hint="eastAsia" w:ascii="宋体" w:hAnsi="宋体" w:cs="宋体"/>
          <w:color w:val="000000" w:themeColor="text1"/>
          <w:sz w:val="24"/>
          <w:u w:val="single"/>
        </w:rPr>
        <w:t xml:space="preserve"> （中型企业、小型企业、微型企业）</w:t>
      </w:r>
      <w:r>
        <w:rPr>
          <w:rFonts w:hint="eastAsia" w:ascii="宋体" w:hAnsi="宋体" w:cs="宋体"/>
          <w:color w:val="000000" w:themeColor="text1"/>
          <w:sz w:val="24"/>
        </w:rPr>
        <w:t xml:space="preserve"> ；</w:t>
      </w:r>
    </w:p>
    <w:p w14:paraId="0285F19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w:t>
      </w:r>
    </w:p>
    <w:p w14:paraId="322858C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以上企业，不属于大企业的分支机构，不存在控股股东为大企业的情形，也不存在与大企业的负责人为同一人的情形。</w:t>
      </w:r>
    </w:p>
    <w:p w14:paraId="5DC0133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本企业对上述声明内容的真实性负责。如有虚假，将依法承担相应责任。</w:t>
      </w:r>
    </w:p>
    <w:p w14:paraId="34298556">
      <w:pPr>
        <w:snapToGrid w:val="0"/>
        <w:spacing w:line="360" w:lineRule="auto"/>
        <w:ind w:firstLine="5160" w:firstLineChars="2150"/>
        <w:rPr>
          <w:rFonts w:ascii="宋体" w:hAnsi="宋体" w:cs="宋体"/>
          <w:color w:val="000000" w:themeColor="text1"/>
          <w:kern w:val="0"/>
          <w:sz w:val="24"/>
        </w:rPr>
      </w:pPr>
      <w:r>
        <w:rPr>
          <w:rFonts w:hint="eastAsia" w:ascii="宋体" w:hAnsi="宋体" w:cs="宋体"/>
          <w:color w:val="000000" w:themeColor="text1"/>
          <w:kern w:val="0"/>
          <w:sz w:val="24"/>
          <w:lang w:val="zh-CN"/>
        </w:rPr>
        <w:t>响应人名称(电子签名)：</w:t>
      </w:r>
    </w:p>
    <w:p w14:paraId="7B91AF70">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  日</w:t>
      </w:r>
    </w:p>
    <w:p w14:paraId="554360C3">
      <w:pPr>
        <w:spacing w:line="360" w:lineRule="auto"/>
        <w:jc w:val="left"/>
        <w:rPr>
          <w:rFonts w:ascii="宋体" w:hAnsi="宋体" w:cs="宋体"/>
          <w:color w:val="000000" w:themeColor="text1"/>
          <w:sz w:val="18"/>
          <w:szCs w:val="18"/>
        </w:rPr>
      </w:pPr>
      <w:r>
        <w:rPr>
          <w:rFonts w:hint="eastAsia" w:ascii="宋体" w:hAnsi="宋体" w:cs="宋体"/>
          <w:color w:val="000000" w:themeColor="text1"/>
          <w:sz w:val="18"/>
          <w:szCs w:val="18"/>
        </w:rPr>
        <w:t>从业人员、营业收入、资产总额填报上一年度数据，无上一年度数据的新成立企业可不填报。</w:t>
      </w:r>
    </w:p>
    <w:p w14:paraId="5E2EF274">
      <w:pPr>
        <w:spacing w:line="360" w:lineRule="auto"/>
        <w:ind w:right="420" w:firstLine="480" w:firstLineChars="200"/>
        <w:rPr>
          <w:rFonts w:ascii="宋体" w:hAnsi="宋体" w:cs="宋体"/>
          <w:color w:val="000000" w:themeColor="text1"/>
          <w:sz w:val="24"/>
        </w:rPr>
      </w:pPr>
      <w:r>
        <w:rPr>
          <w:rFonts w:hint="eastAsia" w:ascii="宋体" w:hAnsi="宋体" w:cs="宋体"/>
          <w:color w:val="000000" w:themeColor="text1"/>
          <w:sz w:val="24"/>
        </w:rPr>
        <w:t>注：1、填写要求：①“标的名称”、“采购文件中明确的所属行业”依据招标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291A52E7">
      <w:pPr>
        <w:spacing w:line="360" w:lineRule="auto"/>
        <w:ind w:right="420" w:firstLine="480" w:firstLineChars="200"/>
        <w:rPr>
          <w:rFonts w:ascii="宋体" w:hAnsi="宋体" w:cs="宋体"/>
          <w:color w:val="000000" w:themeColor="text1"/>
          <w:sz w:val="24"/>
        </w:rPr>
      </w:pPr>
      <w:r>
        <w:rPr>
          <w:rFonts w:hint="eastAsia" w:ascii="宋体" w:hAnsi="宋体" w:cs="宋体"/>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71B25B70">
      <w:pPr>
        <w:spacing w:line="360" w:lineRule="auto"/>
        <w:jc w:val="center"/>
        <w:rPr>
          <w:rFonts w:ascii="宋体" w:hAnsi="宋体" w:cs="宋体"/>
          <w:b/>
          <w:color w:val="000000" w:themeColor="text1"/>
          <w:sz w:val="32"/>
          <w:szCs w:val="32"/>
        </w:rPr>
      </w:pPr>
    </w:p>
    <w:p w14:paraId="7B3429DC">
      <w:pPr>
        <w:spacing w:line="360" w:lineRule="auto"/>
        <w:jc w:val="center"/>
        <w:rPr>
          <w:rFonts w:ascii="宋体" w:hAnsi="宋体" w:cs="宋体"/>
          <w:b/>
          <w:color w:val="000000" w:themeColor="text1"/>
          <w:sz w:val="32"/>
          <w:szCs w:val="32"/>
        </w:rPr>
      </w:pPr>
    </w:p>
    <w:p w14:paraId="32EF8D31">
      <w:pPr>
        <w:spacing w:line="360" w:lineRule="auto"/>
        <w:jc w:val="center"/>
        <w:rPr>
          <w:rFonts w:ascii="宋体" w:hAnsi="宋体" w:cs="宋体"/>
          <w:b/>
          <w:color w:val="000000" w:themeColor="text1"/>
          <w:sz w:val="32"/>
          <w:szCs w:val="32"/>
        </w:rPr>
      </w:pPr>
    </w:p>
    <w:p w14:paraId="13B13423">
      <w:pPr>
        <w:spacing w:line="360" w:lineRule="auto"/>
        <w:jc w:val="center"/>
        <w:rPr>
          <w:rFonts w:ascii="宋体" w:hAnsi="宋体" w:cs="宋体"/>
          <w:b/>
          <w:color w:val="000000" w:themeColor="text1"/>
          <w:sz w:val="32"/>
          <w:szCs w:val="32"/>
        </w:rPr>
      </w:pPr>
    </w:p>
    <w:p w14:paraId="4AF9C792">
      <w:pPr>
        <w:spacing w:line="360" w:lineRule="auto"/>
        <w:jc w:val="center"/>
        <w:rPr>
          <w:rFonts w:ascii="宋体" w:hAnsi="宋体" w:cs="宋体"/>
          <w:b/>
          <w:color w:val="000000" w:themeColor="text1"/>
          <w:sz w:val="32"/>
          <w:szCs w:val="32"/>
        </w:rPr>
      </w:pPr>
    </w:p>
    <w:p w14:paraId="31CDA244">
      <w:pPr>
        <w:spacing w:line="360" w:lineRule="auto"/>
        <w:jc w:val="center"/>
        <w:rPr>
          <w:rFonts w:ascii="宋体" w:hAnsi="宋体" w:cs="宋体"/>
          <w:b/>
          <w:color w:val="000000" w:themeColor="text1"/>
          <w:sz w:val="32"/>
          <w:szCs w:val="32"/>
        </w:rPr>
      </w:pPr>
    </w:p>
    <w:p w14:paraId="68792BCC">
      <w:pPr>
        <w:spacing w:line="360" w:lineRule="auto"/>
        <w:jc w:val="center"/>
        <w:rPr>
          <w:rFonts w:ascii="宋体" w:hAnsi="宋体" w:cs="宋体"/>
          <w:b/>
          <w:color w:val="000000" w:themeColor="text1"/>
          <w:sz w:val="32"/>
          <w:szCs w:val="32"/>
        </w:rPr>
      </w:pPr>
    </w:p>
    <w:p w14:paraId="1D7BC02F">
      <w:pPr>
        <w:widowControl/>
        <w:adjustRightInd/>
        <w:jc w:val="left"/>
        <w:rPr>
          <w:rFonts w:ascii="宋体" w:hAnsi="宋体" w:cs="宋体"/>
          <w:b/>
          <w:color w:val="000000" w:themeColor="text1"/>
          <w:sz w:val="32"/>
          <w:szCs w:val="32"/>
        </w:rPr>
      </w:pPr>
      <w:r>
        <w:rPr>
          <w:rFonts w:ascii="宋体" w:hAnsi="宋体" w:cs="宋体"/>
          <w:b/>
          <w:color w:val="000000" w:themeColor="text1"/>
          <w:sz w:val="32"/>
          <w:szCs w:val="32"/>
        </w:rPr>
        <w:br w:type="page"/>
      </w:r>
    </w:p>
    <w:p w14:paraId="0E6F7097">
      <w:pPr>
        <w:spacing w:line="360" w:lineRule="auto"/>
        <w:jc w:val="center"/>
        <w:rPr>
          <w:rFonts w:ascii="宋体" w:hAnsi="宋体" w:cs="宋体"/>
          <w:b/>
          <w:color w:val="000000" w:themeColor="text1"/>
          <w:sz w:val="32"/>
          <w:szCs w:val="32"/>
        </w:rPr>
      </w:pPr>
      <w:r>
        <w:rPr>
          <w:rFonts w:hint="eastAsia" w:ascii="宋体" w:hAnsi="宋体" w:cs="宋体"/>
          <w:b/>
          <w:color w:val="000000" w:themeColor="text1"/>
          <w:sz w:val="32"/>
          <w:szCs w:val="32"/>
        </w:rPr>
        <w:t>中小企业声明函（工程、服务）</w:t>
      </w:r>
    </w:p>
    <w:p w14:paraId="21D78C26">
      <w:pPr>
        <w:spacing w:line="360" w:lineRule="auto"/>
        <w:rPr>
          <w:rFonts w:ascii="宋体" w:hAnsi="宋体" w:cs="宋体"/>
          <w:color w:val="000000" w:themeColor="text1"/>
        </w:rPr>
      </w:pPr>
    </w:p>
    <w:p w14:paraId="28B51734">
      <w:pPr>
        <w:spacing w:line="360" w:lineRule="auto"/>
        <w:ind w:firstLine="360" w:firstLineChars="150"/>
        <w:jc w:val="left"/>
        <w:rPr>
          <w:rFonts w:ascii="宋体" w:hAnsi="宋体" w:cs="宋体"/>
          <w:color w:val="000000" w:themeColor="text1"/>
          <w:sz w:val="24"/>
        </w:rPr>
      </w:pPr>
      <w:r>
        <w:rPr>
          <w:rFonts w:hint="eastAsia" w:ascii="宋体" w:hAnsi="宋体" w:cs="宋体"/>
          <w:color w:val="000000" w:themeColor="text1"/>
          <w:sz w:val="24"/>
        </w:rPr>
        <w:t>本公司（联合体）郑重声明，根据《政府采购促进中小企业发展管理办法》（财库﹝2020﹞46 号）的规定，本公司（联合体）参加</w:t>
      </w:r>
      <w:r>
        <w:rPr>
          <w:rFonts w:hint="eastAsia" w:ascii="宋体" w:hAnsi="宋体" w:cs="宋体"/>
          <w:color w:val="000000" w:themeColor="text1"/>
          <w:sz w:val="24"/>
          <w:u w:val="single"/>
        </w:rPr>
        <w:t>萧山区衙前镇第二小学</w:t>
      </w:r>
      <w:r>
        <w:rPr>
          <w:rFonts w:hint="eastAsia" w:ascii="宋体" w:hAnsi="宋体" w:cs="宋体"/>
          <w:color w:val="000000" w:themeColor="text1"/>
          <w:sz w:val="24"/>
        </w:rPr>
        <w:t>的</w:t>
      </w:r>
      <w:r>
        <w:rPr>
          <w:rFonts w:hint="eastAsia" w:ascii="宋体" w:hAnsi="宋体" w:cs="宋体"/>
          <w:color w:val="000000" w:themeColor="text1"/>
          <w:sz w:val="24"/>
          <w:u w:val="single"/>
        </w:rPr>
        <w:t>萧山区衙前镇第二小学2025年暑期教师疗休养采购项目</w:t>
      </w:r>
      <w:r>
        <w:rPr>
          <w:rFonts w:hint="eastAsia" w:ascii="宋体" w:hAnsi="宋体" w:cs="宋体"/>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65E05F68">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u w:val="single"/>
        </w:rPr>
        <w:t>（标的名称）</w:t>
      </w:r>
      <w:r>
        <w:rPr>
          <w:rFonts w:hint="eastAsia" w:ascii="宋体" w:hAnsi="宋体" w:cs="宋体"/>
          <w:color w:val="000000" w:themeColor="text1"/>
          <w:sz w:val="24"/>
        </w:rPr>
        <w:t xml:space="preserve">，属于 </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 xml:space="preserve"> ；承建（承接）企业为 </w:t>
      </w:r>
      <w:r>
        <w:rPr>
          <w:rFonts w:hint="eastAsia" w:ascii="宋体" w:hAnsi="宋体" w:cs="宋体"/>
          <w:color w:val="000000" w:themeColor="text1"/>
          <w:sz w:val="24"/>
          <w:u w:val="single"/>
        </w:rPr>
        <w:t>（企业名称）</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w:t>
      </w:r>
      <w:r>
        <w:rPr>
          <w:rFonts w:hint="eastAsia" w:ascii="宋体" w:hAnsi="宋体" w:cs="宋体"/>
          <w:color w:val="000000" w:themeColor="text1"/>
          <w:sz w:val="24"/>
          <w:u w:val="single"/>
        </w:rPr>
        <w:t xml:space="preserve"> （中型企业、小型企业、微型企业） </w:t>
      </w:r>
      <w:r>
        <w:rPr>
          <w:rFonts w:hint="eastAsia" w:ascii="宋体" w:hAnsi="宋体" w:cs="宋体"/>
          <w:color w:val="000000" w:themeColor="text1"/>
          <w:sz w:val="24"/>
        </w:rPr>
        <w:t>；</w:t>
      </w:r>
    </w:p>
    <w:p w14:paraId="0EA7A413">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u w:val="single"/>
        </w:rPr>
        <w:t>（标的名称）</w:t>
      </w:r>
      <w:r>
        <w:rPr>
          <w:rFonts w:hint="eastAsia" w:ascii="宋体" w:hAnsi="宋体" w:cs="宋体"/>
          <w:color w:val="000000" w:themeColor="text1"/>
          <w:sz w:val="24"/>
        </w:rPr>
        <w:t xml:space="preserve">，属于 </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 xml:space="preserve"> ；承建（承接）企业为 </w:t>
      </w:r>
      <w:r>
        <w:rPr>
          <w:rFonts w:hint="eastAsia" w:ascii="宋体" w:hAnsi="宋体" w:cs="宋体"/>
          <w:color w:val="000000" w:themeColor="text1"/>
          <w:sz w:val="24"/>
          <w:u w:val="single"/>
        </w:rPr>
        <w:t>（企业名称）</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w:t>
      </w:r>
      <w:r>
        <w:rPr>
          <w:rFonts w:hint="eastAsia" w:ascii="宋体" w:hAnsi="宋体" w:cs="宋体"/>
          <w:color w:val="000000" w:themeColor="text1"/>
          <w:sz w:val="24"/>
          <w:u w:val="single"/>
        </w:rPr>
        <w:t xml:space="preserve"> （中型企业、小型企业、微型企业） </w:t>
      </w:r>
      <w:r>
        <w:rPr>
          <w:rFonts w:hint="eastAsia" w:ascii="宋体" w:hAnsi="宋体" w:cs="宋体"/>
          <w:color w:val="000000" w:themeColor="text1"/>
          <w:sz w:val="24"/>
        </w:rPr>
        <w:t>；</w:t>
      </w:r>
    </w:p>
    <w:p w14:paraId="79F7E91C">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w:t>
      </w:r>
    </w:p>
    <w:p w14:paraId="44D68896">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以上企业，不属于大企业的分支机构，不存在控股股东为大企业的情形，也不存在与大企业的负责人为同一人的情形。</w:t>
      </w:r>
    </w:p>
    <w:p w14:paraId="6724BDAF">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本企业对上述声明内容的真实性负责。如有虚假，将依法承担相应责任。</w:t>
      </w:r>
    </w:p>
    <w:p w14:paraId="35A79809">
      <w:pPr>
        <w:spacing w:line="360" w:lineRule="auto"/>
        <w:ind w:right="1760"/>
        <w:jc w:val="right"/>
        <w:rPr>
          <w:rFonts w:ascii="宋体" w:hAnsi="宋体" w:cs="宋体"/>
          <w:color w:val="000000" w:themeColor="text1"/>
          <w:sz w:val="24"/>
        </w:rPr>
      </w:pPr>
      <w:r>
        <w:rPr>
          <w:rFonts w:hint="eastAsia" w:ascii="宋体" w:hAnsi="宋体" w:cs="宋体"/>
          <w:color w:val="000000" w:themeColor="text1"/>
          <w:sz w:val="24"/>
        </w:rPr>
        <w:t>响应人名称（电子签名）：</w:t>
      </w:r>
    </w:p>
    <w:p w14:paraId="2C5451C0">
      <w:pPr>
        <w:spacing w:line="360" w:lineRule="auto"/>
        <w:ind w:right="1120" w:firstLine="4680" w:firstLineChars="1950"/>
        <w:rPr>
          <w:rFonts w:ascii="宋体" w:hAnsi="宋体" w:cs="宋体"/>
          <w:color w:val="000000" w:themeColor="text1"/>
          <w:sz w:val="24"/>
        </w:rPr>
      </w:pPr>
      <w:r>
        <w:rPr>
          <w:rFonts w:hint="eastAsia" w:ascii="宋体" w:hAnsi="宋体" w:cs="宋体"/>
          <w:color w:val="000000" w:themeColor="text1"/>
          <w:sz w:val="24"/>
        </w:rPr>
        <w:t>日 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  日</w:t>
      </w:r>
    </w:p>
    <w:p w14:paraId="187CBF9E">
      <w:pPr>
        <w:spacing w:line="360" w:lineRule="auto"/>
        <w:ind w:firstLine="310" w:firstLineChars="147"/>
        <w:jc w:val="left"/>
        <w:rPr>
          <w:rFonts w:ascii="宋体" w:hAnsi="宋体" w:cs="宋体"/>
          <w:b/>
          <w:color w:val="000000" w:themeColor="text1"/>
          <w:szCs w:val="21"/>
        </w:rPr>
      </w:pPr>
      <w:r>
        <w:rPr>
          <w:rFonts w:hint="eastAsia" w:ascii="宋体" w:hAnsi="宋体" w:cs="宋体"/>
          <w:b/>
          <w:color w:val="000000" w:themeColor="text1"/>
          <w:szCs w:val="21"/>
        </w:rPr>
        <w:t>从业人员、营业收入、资产总额填报上一年度数据，无上一年度数据的新成立企业可不填报。</w:t>
      </w:r>
    </w:p>
    <w:p w14:paraId="2AE478C7">
      <w:pPr>
        <w:spacing w:line="360" w:lineRule="auto"/>
        <w:ind w:right="420"/>
        <w:rPr>
          <w:rFonts w:ascii="宋体" w:hAnsi="宋体" w:cs="宋体"/>
          <w:color w:val="000000" w:themeColor="text1"/>
          <w:sz w:val="24"/>
        </w:rPr>
      </w:pPr>
    </w:p>
    <w:p w14:paraId="069E1792">
      <w:pPr>
        <w:spacing w:line="360" w:lineRule="auto"/>
        <w:ind w:right="420"/>
        <w:rPr>
          <w:rFonts w:ascii="宋体" w:hAnsi="宋体" w:cs="宋体"/>
          <w:color w:val="000000" w:themeColor="text1"/>
          <w:sz w:val="24"/>
        </w:rPr>
      </w:pPr>
      <w:r>
        <w:rPr>
          <w:rFonts w:hint="eastAsia" w:ascii="宋体" w:hAnsi="宋体" w:cs="宋体"/>
          <w:color w:val="000000" w:themeColor="text1"/>
          <w:sz w:val="24"/>
        </w:rPr>
        <w:t xml:space="preserve">   注：</w:t>
      </w:r>
    </w:p>
    <w:p w14:paraId="63AB6ECE">
      <w:pPr>
        <w:spacing w:line="360" w:lineRule="auto"/>
        <w:ind w:right="420" w:firstLine="480" w:firstLineChars="200"/>
        <w:rPr>
          <w:rFonts w:ascii="宋体" w:hAnsi="宋体" w:cs="宋体"/>
          <w:color w:val="000000" w:themeColor="text1"/>
          <w:sz w:val="24"/>
        </w:rPr>
      </w:pPr>
      <w:r>
        <w:rPr>
          <w:rFonts w:hint="eastAsia" w:ascii="宋体" w:hAnsi="宋体" w:cs="宋体"/>
          <w:color w:val="000000" w:themeColor="text1"/>
          <w:sz w:val="24"/>
        </w:rPr>
        <w:t>1、填写要求：①“标的名称”、“采购文件中明确的所属行业”依据招标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3E7F7874">
      <w:pPr>
        <w:spacing w:line="360" w:lineRule="auto"/>
        <w:ind w:right="420" w:firstLine="720" w:firstLineChars="300"/>
        <w:rPr>
          <w:rFonts w:ascii="宋体" w:hAnsi="宋体" w:cs="宋体"/>
          <w:color w:val="000000" w:themeColor="text1"/>
          <w:sz w:val="24"/>
        </w:rPr>
      </w:pPr>
      <w:r>
        <w:rPr>
          <w:rFonts w:hint="eastAsia" w:ascii="宋体" w:hAnsi="宋体" w:cs="宋体"/>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1E41539E">
      <w:pPr>
        <w:rPr>
          <w:rFonts w:ascii="宋体" w:hAnsi="宋体" w:cs="宋体"/>
          <w:b/>
          <w:color w:val="000000" w:themeColor="text1"/>
          <w:kern w:val="0"/>
          <w:sz w:val="32"/>
          <w:szCs w:val="32"/>
        </w:rPr>
      </w:pPr>
    </w:p>
    <w:p w14:paraId="3C4B43E2">
      <w:pPr>
        <w:spacing w:line="360" w:lineRule="auto"/>
        <w:jc w:val="left"/>
        <w:rPr>
          <w:rFonts w:ascii="宋体" w:hAnsi="宋体" w:cs="宋体"/>
          <w:b/>
          <w:color w:val="000000" w:themeColor="text1"/>
          <w:spacing w:val="6"/>
          <w:sz w:val="32"/>
          <w:szCs w:val="32"/>
        </w:rPr>
      </w:pPr>
    </w:p>
    <w:p w14:paraId="4B95935B">
      <w:pPr>
        <w:pStyle w:val="79"/>
        <w:ind w:firstLine="667"/>
        <w:rPr>
          <w:rFonts w:ascii="宋体" w:hAnsi="宋体" w:eastAsia="宋体" w:cs="宋体"/>
          <w:b/>
          <w:color w:val="000000" w:themeColor="text1"/>
          <w:spacing w:val="6"/>
          <w:sz w:val="32"/>
          <w:szCs w:val="32"/>
        </w:rPr>
      </w:pPr>
    </w:p>
    <w:p w14:paraId="117AED39">
      <w:pPr>
        <w:pStyle w:val="79"/>
        <w:ind w:firstLine="667"/>
        <w:rPr>
          <w:rFonts w:ascii="宋体" w:hAnsi="宋体" w:eastAsia="宋体" w:cs="宋体"/>
          <w:b/>
          <w:color w:val="000000" w:themeColor="text1"/>
          <w:spacing w:val="6"/>
          <w:sz w:val="32"/>
          <w:szCs w:val="32"/>
        </w:rPr>
      </w:pPr>
    </w:p>
    <w:p w14:paraId="36C640D5">
      <w:pPr>
        <w:pStyle w:val="79"/>
        <w:ind w:firstLine="667"/>
        <w:rPr>
          <w:rFonts w:ascii="宋体" w:hAnsi="宋体" w:eastAsia="宋体" w:cs="宋体"/>
          <w:b/>
          <w:color w:val="000000" w:themeColor="text1"/>
          <w:spacing w:val="6"/>
          <w:sz w:val="32"/>
          <w:szCs w:val="32"/>
        </w:rPr>
      </w:pPr>
    </w:p>
    <w:p w14:paraId="20063380">
      <w:pPr>
        <w:pStyle w:val="79"/>
        <w:ind w:firstLine="667"/>
        <w:rPr>
          <w:rFonts w:ascii="宋体" w:hAnsi="宋体" w:eastAsia="宋体" w:cs="宋体"/>
          <w:b/>
          <w:color w:val="000000" w:themeColor="text1"/>
          <w:spacing w:val="6"/>
          <w:sz w:val="32"/>
          <w:szCs w:val="32"/>
        </w:rPr>
      </w:pPr>
    </w:p>
    <w:p w14:paraId="2DB104FB">
      <w:pPr>
        <w:pStyle w:val="79"/>
        <w:ind w:firstLine="667"/>
        <w:rPr>
          <w:rFonts w:ascii="宋体" w:hAnsi="宋体" w:eastAsia="宋体" w:cs="宋体"/>
          <w:b/>
          <w:color w:val="000000" w:themeColor="text1"/>
          <w:spacing w:val="6"/>
          <w:sz w:val="32"/>
          <w:szCs w:val="32"/>
        </w:rPr>
      </w:pPr>
    </w:p>
    <w:p w14:paraId="7E5411B2">
      <w:pPr>
        <w:pStyle w:val="79"/>
        <w:ind w:firstLine="667"/>
        <w:rPr>
          <w:rFonts w:ascii="宋体" w:hAnsi="宋体" w:eastAsia="宋体" w:cs="宋体"/>
          <w:b/>
          <w:color w:val="000000" w:themeColor="text1"/>
          <w:spacing w:val="6"/>
          <w:sz w:val="32"/>
          <w:szCs w:val="32"/>
        </w:rPr>
      </w:pPr>
    </w:p>
    <w:p w14:paraId="34D7DD34">
      <w:pPr>
        <w:pStyle w:val="79"/>
        <w:ind w:firstLine="667"/>
        <w:rPr>
          <w:rFonts w:ascii="宋体" w:hAnsi="宋体" w:eastAsia="宋体" w:cs="宋体"/>
          <w:b/>
          <w:color w:val="000000" w:themeColor="text1"/>
          <w:spacing w:val="6"/>
          <w:sz w:val="32"/>
          <w:szCs w:val="32"/>
        </w:rPr>
      </w:pPr>
    </w:p>
    <w:p w14:paraId="6271C9EC">
      <w:pPr>
        <w:pStyle w:val="79"/>
        <w:ind w:firstLine="667"/>
        <w:rPr>
          <w:rFonts w:ascii="宋体" w:hAnsi="宋体" w:eastAsia="宋体" w:cs="宋体"/>
          <w:b/>
          <w:color w:val="000000" w:themeColor="text1"/>
          <w:spacing w:val="6"/>
          <w:sz w:val="32"/>
          <w:szCs w:val="32"/>
        </w:rPr>
      </w:pPr>
    </w:p>
    <w:p w14:paraId="5E1A0644">
      <w:pPr>
        <w:widowControl/>
        <w:adjustRightInd/>
        <w:jc w:val="left"/>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14:paraId="56EAFD9D">
      <w:pPr>
        <w:spacing w:line="360" w:lineRule="auto"/>
        <w:jc w:val="left"/>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附件1：质疑函范本及制作说明</w:t>
      </w:r>
    </w:p>
    <w:p w14:paraId="000305A5">
      <w:pPr>
        <w:spacing w:line="360" w:lineRule="auto"/>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质疑函范本</w:t>
      </w:r>
    </w:p>
    <w:p w14:paraId="3826FC2C">
      <w:pPr>
        <w:snapToGrid w:val="0"/>
        <w:spacing w:before="240" w:beforeLines="100" w:line="360" w:lineRule="auto"/>
        <w:rPr>
          <w:rFonts w:ascii="宋体" w:hAnsi="宋体" w:cs="宋体"/>
          <w:bCs/>
          <w:color w:val="000000" w:themeColor="text1"/>
          <w:sz w:val="24"/>
        </w:rPr>
      </w:pPr>
      <w:r>
        <w:rPr>
          <w:rFonts w:hint="eastAsia" w:ascii="宋体" w:hAnsi="宋体" w:cs="宋体"/>
          <w:bCs/>
          <w:color w:val="000000" w:themeColor="text1"/>
          <w:sz w:val="24"/>
        </w:rPr>
        <w:t>一、质疑供应商基本信息</w:t>
      </w:r>
    </w:p>
    <w:p w14:paraId="4EB45EB3">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质疑供应商：</w:t>
      </w:r>
    </w:p>
    <w:p w14:paraId="3E1093DF">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地址：邮编：</w:t>
      </w:r>
    </w:p>
    <w:p w14:paraId="0DE2A217">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联系人：联系电话：</w:t>
      </w:r>
    </w:p>
    <w:p w14:paraId="3C7EA0EE">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授权代表：</w:t>
      </w:r>
    </w:p>
    <w:p w14:paraId="1F65EE2E">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联系电话：</w:t>
      </w:r>
    </w:p>
    <w:p w14:paraId="309A653B">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地址： 邮编：</w:t>
      </w:r>
    </w:p>
    <w:p w14:paraId="6E20E082">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二、质疑项目基本情况</w:t>
      </w:r>
    </w:p>
    <w:p w14:paraId="7D61C2A8">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质疑项目的名称：</w:t>
      </w:r>
    </w:p>
    <w:p w14:paraId="294BDBCC">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质疑项目的编号：包号：</w:t>
      </w:r>
    </w:p>
    <w:p w14:paraId="2AE6A958">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交易人名称：</w:t>
      </w:r>
    </w:p>
    <w:p w14:paraId="443A3186">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采购文件获取日期：</w:t>
      </w:r>
    </w:p>
    <w:p w14:paraId="6AFEFBC5">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三、质疑事项具体内容</w:t>
      </w:r>
    </w:p>
    <w:p w14:paraId="05C92233">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质疑事项1：</w:t>
      </w:r>
    </w:p>
    <w:p w14:paraId="5A3E538B">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事实依据：</w:t>
      </w:r>
    </w:p>
    <w:p w14:paraId="445F28BD">
      <w:pPr>
        <w:snapToGrid w:val="0"/>
        <w:spacing w:line="360" w:lineRule="auto"/>
        <w:rPr>
          <w:rFonts w:ascii="宋体" w:hAnsi="宋体" w:cs="宋体"/>
          <w:color w:val="000000" w:themeColor="text1"/>
          <w:sz w:val="24"/>
        </w:rPr>
      </w:pPr>
    </w:p>
    <w:p w14:paraId="5572C4E0">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法律依据：</w:t>
      </w:r>
    </w:p>
    <w:p w14:paraId="4C26A7E3">
      <w:pPr>
        <w:snapToGrid w:val="0"/>
        <w:spacing w:line="360" w:lineRule="auto"/>
        <w:rPr>
          <w:rFonts w:ascii="宋体" w:hAnsi="宋体" w:cs="宋体"/>
          <w:color w:val="000000" w:themeColor="text1"/>
          <w:sz w:val="24"/>
          <w:u w:val="dotted"/>
        </w:rPr>
      </w:pPr>
    </w:p>
    <w:p w14:paraId="2B6C4EC0">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质疑事项2</w:t>
      </w:r>
    </w:p>
    <w:p w14:paraId="2391D2A0">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w:t>
      </w:r>
    </w:p>
    <w:p w14:paraId="6591F2CA">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四、与质疑事项相关的质疑请求</w:t>
      </w:r>
    </w:p>
    <w:p w14:paraId="4CA0BC33">
      <w:pPr>
        <w:snapToGrid w:val="0"/>
        <w:spacing w:line="360" w:lineRule="auto"/>
        <w:rPr>
          <w:rFonts w:ascii="宋体" w:hAnsi="宋体" w:cs="宋体"/>
          <w:color w:val="000000" w:themeColor="text1"/>
          <w:sz w:val="24"/>
          <w:u w:val="dotted"/>
        </w:rPr>
      </w:pPr>
      <w:r>
        <w:rPr>
          <w:rFonts w:hint="eastAsia" w:ascii="宋体" w:hAnsi="宋体" w:cs="宋体"/>
          <w:color w:val="000000" w:themeColor="text1"/>
          <w:sz w:val="24"/>
        </w:rPr>
        <w:t>请求：</w:t>
      </w:r>
    </w:p>
    <w:p w14:paraId="0868F53E">
      <w:pPr>
        <w:spacing w:line="360" w:lineRule="auto"/>
        <w:rPr>
          <w:rFonts w:ascii="宋体" w:hAnsi="宋体" w:cs="宋体"/>
          <w:color w:val="000000" w:themeColor="text1"/>
          <w:sz w:val="24"/>
        </w:rPr>
      </w:pPr>
      <w:r>
        <w:rPr>
          <w:rFonts w:hint="eastAsia" w:ascii="宋体" w:hAnsi="宋体" w:cs="宋体"/>
          <w:color w:val="000000" w:themeColor="text1"/>
          <w:sz w:val="24"/>
        </w:rPr>
        <w:t xml:space="preserve">签字(签章)：                   公章：                      </w:t>
      </w:r>
    </w:p>
    <w:p w14:paraId="4C9D04DD">
      <w:pPr>
        <w:spacing w:line="360" w:lineRule="auto"/>
        <w:rPr>
          <w:rFonts w:ascii="宋体" w:hAnsi="宋体" w:cs="宋体"/>
          <w:color w:val="000000" w:themeColor="text1"/>
          <w:sz w:val="24"/>
        </w:rPr>
      </w:pPr>
      <w:r>
        <w:rPr>
          <w:rFonts w:hint="eastAsia" w:ascii="宋体" w:hAnsi="宋体" w:cs="宋体"/>
          <w:color w:val="000000" w:themeColor="text1"/>
          <w:sz w:val="24"/>
        </w:rPr>
        <w:t xml:space="preserve">日期：    </w:t>
      </w:r>
    </w:p>
    <w:p w14:paraId="4FA1EA2A">
      <w:pPr>
        <w:spacing w:line="360" w:lineRule="auto"/>
        <w:jc w:val="center"/>
        <w:rPr>
          <w:rFonts w:ascii="宋体" w:hAnsi="宋体" w:cs="宋体"/>
          <w:b/>
          <w:bCs/>
          <w:color w:val="000000" w:themeColor="text1"/>
          <w:sz w:val="24"/>
        </w:rPr>
      </w:pPr>
    </w:p>
    <w:p w14:paraId="5949CD0D">
      <w:pPr>
        <w:widowControl/>
        <w:adjustRightInd/>
        <w:jc w:val="left"/>
        <w:rPr>
          <w:rFonts w:ascii="宋体" w:hAnsi="宋体" w:cs="宋体"/>
          <w:b/>
          <w:color w:val="000000" w:themeColor="text1"/>
          <w:sz w:val="24"/>
        </w:rPr>
      </w:pPr>
      <w:r>
        <w:rPr>
          <w:rFonts w:ascii="宋体" w:hAnsi="宋体" w:cs="宋体"/>
          <w:b/>
          <w:color w:val="000000" w:themeColor="text1"/>
          <w:sz w:val="24"/>
        </w:rPr>
        <w:br w:type="page"/>
      </w:r>
    </w:p>
    <w:p w14:paraId="6D7810B3">
      <w:pPr>
        <w:spacing w:line="360" w:lineRule="auto"/>
        <w:rPr>
          <w:rFonts w:ascii="宋体" w:hAnsi="宋体" w:cs="宋体"/>
          <w:b/>
          <w:color w:val="000000" w:themeColor="text1"/>
          <w:sz w:val="24"/>
        </w:rPr>
      </w:pPr>
    </w:p>
    <w:p w14:paraId="3B5731CB">
      <w:pPr>
        <w:spacing w:line="360" w:lineRule="auto"/>
        <w:rPr>
          <w:rFonts w:ascii="宋体" w:hAnsi="宋体" w:cs="宋体"/>
          <w:b/>
          <w:color w:val="000000" w:themeColor="text1"/>
          <w:sz w:val="24"/>
        </w:rPr>
      </w:pPr>
      <w:r>
        <w:rPr>
          <w:rFonts w:hint="eastAsia" w:ascii="宋体" w:hAnsi="宋体" w:cs="宋体"/>
          <w:b/>
          <w:color w:val="000000" w:themeColor="text1"/>
          <w:sz w:val="24"/>
        </w:rPr>
        <w:t>质疑函制作说明：</w:t>
      </w:r>
    </w:p>
    <w:p w14:paraId="7C0476FF">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1.供应商提出质疑时，应提交质疑函和必要的证明材料。</w:t>
      </w:r>
    </w:p>
    <w:p w14:paraId="39B83D15">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2.质疑供应商若委托代理人进行质疑的，质疑函应按要求列明“授权代表”的有关内容，并在附件中提交由质疑</w:t>
      </w:r>
      <w:r>
        <w:rPr>
          <w:rFonts w:hint="eastAsia" w:ascii="宋体" w:hAnsi="宋体" w:cs="宋体"/>
          <w:color w:val="000000" w:themeColor="text1"/>
          <w:kern w:val="0"/>
          <w:sz w:val="24"/>
        </w:rPr>
        <w:t>供应商签署的授权委托书。授权委托书应载明代理人的姓名或者名称、代理事项、具体权限、期限和相关事项。</w:t>
      </w:r>
    </w:p>
    <w:p w14:paraId="642250AC">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3.质疑供应商若对项目的某一分包进行质疑，质疑函中应列明具体分包号。</w:t>
      </w:r>
    </w:p>
    <w:p w14:paraId="60EB0F6B">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4.质疑函的质疑事项应具体、明确，并有必要的事实依据和法律依据。</w:t>
      </w:r>
    </w:p>
    <w:p w14:paraId="07CD311C">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5.质疑函的质疑请求应与质疑事项相关。</w:t>
      </w:r>
    </w:p>
    <w:p w14:paraId="17E5488E">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6.质疑供应商为自然人的，质疑函应由本人签字；质疑供应商为法人或者其他组织的，质疑函应由法定代表人、主要负责人，或者其授权代表签字或者盖章，并加盖公章。</w:t>
      </w:r>
    </w:p>
    <w:p w14:paraId="59F7987D">
      <w:pPr>
        <w:widowControl/>
        <w:spacing w:line="360" w:lineRule="auto"/>
        <w:ind w:firstLine="600" w:firstLineChars="200"/>
        <w:jc w:val="left"/>
        <w:rPr>
          <w:rFonts w:ascii="宋体" w:hAnsi="宋体" w:cs="宋体"/>
          <w:color w:val="000000" w:themeColor="text1"/>
          <w:sz w:val="30"/>
          <w:szCs w:val="30"/>
        </w:rPr>
      </w:pPr>
    </w:p>
    <w:p w14:paraId="280BFFF6">
      <w:pPr>
        <w:spacing w:line="360" w:lineRule="auto"/>
        <w:jc w:val="center"/>
        <w:rPr>
          <w:rFonts w:ascii="宋体" w:hAnsi="宋体" w:cs="宋体"/>
          <w:b/>
          <w:color w:val="000000" w:themeColor="text1"/>
          <w:spacing w:val="6"/>
          <w:sz w:val="32"/>
          <w:szCs w:val="32"/>
        </w:rPr>
      </w:pPr>
    </w:p>
    <w:p w14:paraId="672DC8F5">
      <w:pPr>
        <w:spacing w:line="360" w:lineRule="auto"/>
        <w:jc w:val="center"/>
        <w:rPr>
          <w:rFonts w:ascii="宋体" w:hAnsi="宋体" w:cs="宋体"/>
          <w:b/>
          <w:color w:val="000000" w:themeColor="text1"/>
          <w:spacing w:val="6"/>
          <w:sz w:val="32"/>
          <w:szCs w:val="32"/>
        </w:rPr>
      </w:pPr>
    </w:p>
    <w:p w14:paraId="1B24BAB1">
      <w:pPr>
        <w:spacing w:line="360" w:lineRule="auto"/>
        <w:jc w:val="center"/>
        <w:rPr>
          <w:rFonts w:ascii="宋体" w:hAnsi="宋体" w:cs="宋体"/>
          <w:b/>
          <w:color w:val="000000" w:themeColor="text1"/>
          <w:spacing w:val="6"/>
          <w:sz w:val="32"/>
          <w:szCs w:val="32"/>
        </w:rPr>
      </w:pPr>
    </w:p>
    <w:p w14:paraId="32BA5066">
      <w:pPr>
        <w:spacing w:line="360" w:lineRule="auto"/>
        <w:jc w:val="center"/>
        <w:rPr>
          <w:rFonts w:ascii="宋体" w:hAnsi="宋体" w:cs="宋体"/>
          <w:b/>
          <w:color w:val="000000" w:themeColor="text1"/>
          <w:spacing w:val="6"/>
          <w:sz w:val="32"/>
          <w:szCs w:val="32"/>
        </w:rPr>
      </w:pPr>
    </w:p>
    <w:p w14:paraId="33B781C6">
      <w:pPr>
        <w:spacing w:line="360" w:lineRule="auto"/>
        <w:jc w:val="center"/>
        <w:rPr>
          <w:rFonts w:ascii="宋体" w:hAnsi="宋体" w:cs="宋体"/>
          <w:b/>
          <w:color w:val="000000" w:themeColor="text1"/>
          <w:spacing w:val="6"/>
          <w:sz w:val="32"/>
          <w:szCs w:val="32"/>
        </w:rPr>
      </w:pPr>
    </w:p>
    <w:p w14:paraId="714FAFB9">
      <w:pPr>
        <w:widowControl/>
        <w:adjustRightInd/>
        <w:jc w:val="left"/>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14:paraId="719C4987">
      <w:pPr>
        <w:spacing w:line="360" w:lineRule="auto"/>
        <w:jc w:val="left"/>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附件2：投诉书范本及制作说明</w:t>
      </w:r>
    </w:p>
    <w:p w14:paraId="13E6F6AA">
      <w:pPr>
        <w:spacing w:line="360" w:lineRule="auto"/>
        <w:jc w:val="center"/>
        <w:rPr>
          <w:rFonts w:ascii="宋体" w:hAnsi="宋体" w:cs="宋体"/>
          <w:b/>
          <w:color w:val="000000" w:themeColor="text1"/>
          <w:sz w:val="24"/>
        </w:rPr>
      </w:pPr>
    </w:p>
    <w:p w14:paraId="05049DEF">
      <w:pPr>
        <w:spacing w:line="360" w:lineRule="auto"/>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t>投诉书范本</w:t>
      </w:r>
    </w:p>
    <w:p w14:paraId="6772CC37">
      <w:pPr>
        <w:spacing w:line="360" w:lineRule="auto"/>
        <w:rPr>
          <w:rFonts w:ascii="宋体" w:hAnsi="宋体" w:cs="宋体"/>
          <w:color w:val="000000" w:themeColor="text1"/>
          <w:sz w:val="24"/>
        </w:rPr>
      </w:pPr>
      <w:r>
        <w:rPr>
          <w:rFonts w:hint="eastAsia" w:ascii="宋体" w:hAnsi="宋体" w:cs="宋体"/>
          <w:color w:val="000000" w:themeColor="text1"/>
          <w:sz w:val="24"/>
        </w:rPr>
        <w:t>一、投诉相关主体基本情况</w:t>
      </w:r>
    </w:p>
    <w:p w14:paraId="59493664">
      <w:pPr>
        <w:spacing w:line="360" w:lineRule="auto"/>
        <w:rPr>
          <w:rFonts w:ascii="宋体" w:hAnsi="宋体" w:cs="宋体"/>
          <w:color w:val="000000" w:themeColor="text1"/>
          <w:sz w:val="24"/>
          <w:u w:val="dotted"/>
        </w:rPr>
      </w:pPr>
      <w:r>
        <w:rPr>
          <w:rFonts w:hint="eastAsia" w:ascii="宋体" w:hAnsi="宋体" w:cs="宋体"/>
          <w:color w:val="000000" w:themeColor="text1"/>
          <w:sz w:val="24"/>
        </w:rPr>
        <w:t>投诉人：</w:t>
      </w:r>
    </w:p>
    <w:p w14:paraId="73A60D56">
      <w:pPr>
        <w:spacing w:line="360" w:lineRule="auto"/>
        <w:rPr>
          <w:rFonts w:ascii="宋体" w:hAnsi="宋体" w:cs="宋体"/>
          <w:color w:val="000000" w:themeColor="text1"/>
          <w:sz w:val="24"/>
          <w:u w:val="single"/>
        </w:rPr>
      </w:pPr>
      <w:r>
        <w:rPr>
          <w:rFonts w:hint="eastAsia" w:ascii="宋体" w:hAnsi="宋体" w:cs="宋体"/>
          <w:color w:val="000000" w:themeColor="text1"/>
          <w:sz w:val="24"/>
        </w:rPr>
        <w:t>地     址：邮编：</w:t>
      </w:r>
    </w:p>
    <w:p w14:paraId="4FBFBFBC">
      <w:pPr>
        <w:tabs>
          <w:tab w:val="left" w:pos="6510"/>
        </w:tabs>
        <w:spacing w:line="360" w:lineRule="auto"/>
        <w:jc w:val="left"/>
        <w:rPr>
          <w:rFonts w:ascii="宋体" w:hAnsi="宋体" w:cs="宋体"/>
          <w:color w:val="000000" w:themeColor="text1"/>
          <w:sz w:val="24"/>
        </w:rPr>
      </w:pPr>
      <w:r>
        <w:rPr>
          <w:rFonts w:hint="eastAsia" w:ascii="宋体" w:hAnsi="宋体" w:cs="宋体"/>
          <w:color w:val="000000" w:themeColor="text1"/>
          <w:sz w:val="24"/>
        </w:rPr>
        <w:t>法定代表人/主要负责人：</w:t>
      </w:r>
    </w:p>
    <w:p w14:paraId="46E4BAC7">
      <w:pPr>
        <w:tabs>
          <w:tab w:val="left" w:pos="6510"/>
        </w:tabs>
        <w:spacing w:line="360" w:lineRule="auto"/>
        <w:rPr>
          <w:rFonts w:ascii="宋体" w:hAnsi="宋体" w:cs="宋体"/>
          <w:color w:val="000000" w:themeColor="text1"/>
          <w:sz w:val="24"/>
          <w:u w:val="dotted"/>
        </w:rPr>
      </w:pPr>
      <w:r>
        <w:rPr>
          <w:rFonts w:hint="eastAsia" w:ascii="宋体" w:hAnsi="宋体" w:cs="宋体"/>
          <w:color w:val="000000" w:themeColor="text1"/>
          <w:sz w:val="24"/>
        </w:rPr>
        <w:t>联系电话：</w:t>
      </w:r>
    </w:p>
    <w:p w14:paraId="52682914">
      <w:pPr>
        <w:spacing w:line="360" w:lineRule="auto"/>
        <w:rPr>
          <w:rFonts w:ascii="宋体" w:hAnsi="宋体" w:cs="宋体"/>
          <w:color w:val="000000" w:themeColor="text1"/>
          <w:sz w:val="24"/>
          <w:u w:val="dotted"/>
        </w:rPr>
      </w:pPr>
      <w:r>
        <w:rPr>
          <w:rFonts w:hint="eastAsia" w:ascii="宋体" w:hAnsi="宋体" w:cs="宋体"/>
          <w:color w:val="000000" w:themeColor="text1"/>
          <w:sz w:val="24"/>
        </w:rPr>
        <w:t>授权代表：联系电话：</w:t>
      </w:r>
    </w:p>
    <w:p w14:paraId="688F3574">
      <w:pPr>
        <w:spacing w:line="360" w:lineRule="auto"/>
        <w:rPr>
          <w:rFonts w:ascii="宋体" w:hAnsi="宋体" w:cs="宋体"/>
          <w:color w:val="000000" w:themeColor="text1"/>
          <w:sz w:val="24"/>
          <w:u w:val="dotted"/>
        </w:rPr>
      </w:pPr>
      <w:r>
        <w:rPr>
          <w:rFonts w:hint="eastAsia" w:ascii="宋体" w:hAnsi="宋体" w:cs="宋体"/>
          <w:color w:val="000000" w:themeColor="text1"/>
          <w:sz w:val="24"/>
        </w:rPr>
        <w:t>地     址：邮编：</w:t>
      </w:r>
    </w:p>
    <w:p w14:paraId="22BA35B7">
      <w:pPr>
        <w:spacing w:line="360" w:lineRule="auto"/>
        <w:rPr>
          <w:rFonts w:ascii="宋体" w:hAnsi="宋体" w:cs="宋体"/>
          <w:color w:val="000000" w:themeColor="text1"/>
          <w:sz w:val="24"/>
          <w:u w:val="single"/>
        </w:rPr>
      </w:pPr>
      <w:r>
        <w:rPr>
          <w:rFonts w:hint="eastAsia" w:ascii="宋体" w:hAnsi="宋体" w:cs="宋体"/>
          <w:color w:val="000000" w:themeColor="text1"/>
          <w:sz w:val="24"/>
        </w:rPr>
        <w:t>被投诉人1：</w:t>
      </w:r>
    </w:p>
    <w:p w14:paraId="33C1BDDC">
      <w:pPr>
        <w:spacing w:line="360" w:lineRule="auto"/>
        <w:rPr>
          <w:rFonts w:ascii="宋体" w:hAnsi="宋体" w:cs="宋体"/>
          <w:color w:val="000000" w:themeColor="text1"/>
          <w:sz w:val="24"/>
          <w:u w:val="single"/>
        </w:rPr>
      </w:pPr>
      <w:r>
        <w:rPr>
          <w:rFonts w:hint="eastAsia" w:ascii="宋体" w:hAnsi="宋体" w:cs="宋体"/>
          <w:color w:val="000000" w:themeColor="text1"/>
          <w:sz w:val="24"/>
        </w:rPr>
        <w:t>地     址：邮编：</w:t>
      </w:r>
    </w:p>
    <w:p w14:paraId="29500CE2">
      <w:pPr>
        <w:spacing w:line="360" w:lineRule="auto"/>
        <w:rPr>
          <w:rFonts w:ascii="宋体" w:hAnsi="宋体" w:cs="宋体"/>
          <w:color w:val="000000" w:themeColor="text1"/>
          <w:sz w:val="24"/>
          <w:u w:val="single"/>
        </w:rPr>
      </w:pPr>
      <w:r>
        <w:rPr>
          <w:rFonts w:hint="eastAsia" w:ascii="宋体" w:hAnsi="宋体" w:cs="宋体"/>
          <w:color w:val="000000" w:themeColor="text1"/>
          <w:sz w:val="24"/>
        </w:rPr>
        <w:t>联系人：联系电话：</w:t>
      </w:r>
    </w:p>
    <w:p w14:paraId="0B0F2269">
      <w:pPr>
        <w:spacing w:line="360" w:lineRule="auto"/>
        <w:rPr>
          <w:rFonts w:ascii="宋体" w:hAnsi="宋体" w:cs="宋体"/>
          <w:color w:val="000000" w:themeColor="text1"/>
          <w:sz w:val="24"/>
        </w:rPr>
      </w:pPr>
      <w:r>
        <w:rPr>
          <w:rFonts w:hint="eastAsia" w:ascii="宋体" w:hAnsi="宋体" w:cs="宋体"/>
          <w:color w:val="000000" w:themeColor="text1"/>
          <w:sz w:val="24"/>
        </w:rPr>
        <w:t>被投诉人2</w:t>
      </w:r>
    </w:p>
    <w:p w14:paraId="4767FB21">
      <w:pPr>
        <w:spacing w:line="360" w:lineRule="auto"/>
        <w:rPr>
          <w:rFonts w:ascii="宋体" w:hAnsi="宋体" w:cs="宋体"/>
          <w:color w:val="000000" w:themeColor="text1"/>
          <w:sz w:val="24"/>
          <w:u w:val="dotted"/>
        </w:rPr>
      </w:pPr>
      <w:r>
        <w:rPr>
          <w:rFonts w:hint="eastAsia" w:ascii="宋体" w:hAnsi="宋体" w:cs="宋体"/>
          <w:color w:val="000000" w:themeColor="text1"/>
          <w:sz w:val="24"/>
        </w:rPr>
        <w:t>……</w:t>
      </w:r>
    </w:p>
    <w:p w14:paraId="2719DC73">
      <w:pPr>
        <w:spacing w:line="360" w:lineRule="auto"/>
        <w:rPr>
          <w:rFonts w:ascii="宋体" w:hAnsi="宋体" w:cs="宋体"/>
          <w:color w:val="000000" w:themeColor="text1"/>
          <w:sz w:val="24"/>
          <w:u w:val="single"/>
        </w:rPr>
      </w:pPr>
      <w:r>
        <w:rPr>
          <w:rFonts w:hint="eastAsia" w:ascii="宋体" w:hAnsi="宋体" w:cs="宋体"/>
          <w:color w:val="000000" w:themeColor="text1"/>
          <w:sz w:val="24"/>
        </w:rPr>
        <w:t>相关供应商：</w:t>
      </w:r>
    </w:p>
    <w:p w14:paraId="7A4463C1">
      <w:pPr>
        <w:spacing w:line="360" w:lineRule="auto"/>
        <w:rPr>
          <w:rFonts w:ascii="宋体" w:hAnsi="宋体" w:cs="宋体"/>
          <w:color w:val="000000" w:themeColor="text1"/>
          <w:sz w:val="24"/>
          <w:u w:val="single"/>
        </w:rPr>
      </w:pPr>
      <w:r>
        <w:rPr>
          <w:rFonts w:hint="eastAsia" w:ascii="宋体" w:hAnsi="宋体" w:cs="宋体"/>
          <w:color w:val="000000" w:themeColor="text1"/>
          <w:sz w:val="24"/>
        </w:rPr>
        <w:t>地     址：邮编：</w:t>
      </w:r>
    </w:p>
    <w:p w14:paraId="0FF1FB53">
      <w:pPr>
        <w:spacing w:line="360" w:lineRule="auto"/>
        <w:rPr>
          <w:rFonts w:ascii="宋体" w:hAnsi="宋体" w:cs="宋体"/>
          <w:color w:val="000000" w:themeColor="text1"/>
          <w:sz w:val="24"/>
          <w:u w:val="single"/>
        </w:rPr>
      </w:pPr>
      <w:r>
        <w:rPr>
          <w:rFonts w:hint="eastAsia" w:ascii="宋体" w:hAnsi="宋体" w:cs="宋体"/>
          <w:color w:val="000000" w:themeColor="text1"/>
          <w:sz w:val="24"/>
        </w:rPr>
        <w:t>联系人：联系电话：</w:t>
      </w:r>
    </w:p>
    <w:p w14:paraId="313EF278">
      <w:pPr>
        <w:spacing w:line="360" w:lineRule="auto"/>
        <w:rPr>
          <w:rFonts w:ascii="宋体" w:hAnsi="宋体" w:cs="宋体"/>
          <w:color w:val="000000" w:themeColor="text1"/>
          <w:sz w:val="24"/>
        </w:rPr>
      </w:pPr>
      <w:r>
        <w:rPr>
          <w:rFonts w:hint="eastAsia" w:ascii="宋体" w:hAnsi="宋体" w:cs="宋体"/>
          <w:color w:val="000000" w:themeColor="text1"/>
          <w:sz w:val="24"/>
        </w:rPr>
        <w:t>二、投诉项目基本情况</w:t>
      </w:r>
    </w:p>
    <w:p w14:paraId="14297A5D">
      <w:pPr>
        <w:spacing w:line="360" w:lineRule="auto"/>
        <w:rPr>
          <w:rFonts w:ascii="宋体" w:hAnsi="宋体" w:cs="宋体"/>
          <w:color w:val="000000" w:themeColor="text1"/>
          <w:sz w:val="24"/>
          <w:u w:val="dotted"/>
        </w:rPr>
      </w:pPr>
      <w:r>
        <w:rPr>
          <w:rFonts w:hint="eastAsia" w:ascii="宋体" w:hAnsi="宋体" w:cs="宋体"/>
          <w:color w:val="000000" w:themeColor="text1"/>
          <w:sz w:val="24"/>
        </w:rPr>
        <w:t>采购项目名称：</w:t>
      </w:r>
    </w:p>
    <w:p w14:paraId="15C419BD">
      <w:pPr>
        <w:spacing w:line="360" w:lineRule="auto"/>
        <w:rPr>
          <w:rFonts w:ascii="宋体" w:hAnsi="宋体" w:cs="宋体"/>
          <w:color w:val="000000" w:themeColor="text1"/>
          <w:sz w:val="24"/>
          <w:u w:val="single"/>
        </w:rPr>
      </w:pPr>
      <w:r>
        <w:rPr>
          <w:rFonts w:hint="eastAsia" w:ascii="宋体" w:hAnsi="宋体" w:cs="宋体"/>
          <w:color w:val="000000" w:themeColor="text1"/>
          <w:sz w:val="24"/>
        </w:rPr>
        <w:t>采购项目编号：包号：</w:t>
      </w:r>
    </w:p>
    <w:p w14:paraId="187B3925">
      <w:pPr>
        <w:spacing w:line="360" w:lineRule="auto"/>
        <w:rPr>
          <w:rFonts w:ascii="宋体" w:hAnsi="宋体" w:cs="宋体"/>
          <w:color w:val="000000" w:themeColor="text1"/>
          <w:sz w:val="24"/>
        </w:rPr>
      </w:pPr>
      <w:r>
        <w:rPr>
          <w:rFonts w:hint="eastAsia" w:ascii="宋体" w:hAnsi="宋体" w:cs="宋体"/>
          <w:color w:val="000000" w:themeColor="text1"/>
          <w:sz w:val="24"/>
        </w:rPr>
        <w:t>交易人名称：</w:t>
      </w:r>
    </w:p>
    <w:p w14:paraId="54D58910">
      <w:pPr>
        <w:spacing w:line="360" w:lineRule="auto"/>
        <w:rPr>
          <w:rFonts w:ascii="宋体" w:hAnsi="宋体" w:cs="宋体"/>
          <w:color w:val="000000" w:themeColor="text1"/>
          <w:sz w:val="24"/>
          <w:u w:val="single"/>
        </w:rPr>
      </w:pPr>
      <w:r>
        <w:rPr>
          <w:rFonts w:hint="eastAsia" w:ascii="宋体" w:hAnsi="宋体" w:cs="宋体"/>
          <w:color w:val="000000" w:themeColor="text1"/>
          <w:sz w:val="24"/>
        </w:rPr>
        <w:t>代理机构名称：</w:t>
      </w:r>
    </w:p>
    <w:p w14:paraId="6080A25D">
      <w:pPr>
        <w:spacing w:line="360" w:lineRule="auto"/>
        <w:rPr>
          <w:rFonts w:ascii="宋体" w:hAnsi="宋体" w:cs="宋体"/>
          <w:color w:val="000000" w:themeColor="text1"/>
          <w:sz w:val="24"/>
          <w:u w:val="dotted"/>
        </w:rPr>
      </w:pPr>
      <w:r>
        <w:rPr>
          <w:rFonts w:hint="eastAsia" w:ascii="宋体" w:hAnsi="宋体" w:cs="宋体"/>
          <w:color w:val="000000" w:themeColor="text1"/>
          <w:sz w:val="24"/>
        </w:rPr>
        <w:t>采购文件公告:</w:t>
      </w:r>
      <w:r>
        <w:rPr>
          <w:rFonts w:hint="eastAsia" w:ascii="宋体" w:hAnsi="宋体" w:cs="宋体"/>
          <w:color w:val="000000" w:themeColor="text1"/>
          <w:sz w:val="24"/>
          <w:u w:val="dotted"/>
        </w:rPr>
        <w:t xml:space="preserve">是/否 </w:t>
      </w:r>
      <w:r>
        <w:rPr>
          <w:rFonts w:hint="eastAsia" w:ascii="宋体" w:hAnsi="宋体" w:cs="宋体"/>
          <w:color w:val="000000" w:themeColor="text1"/>
          <w:sz w:val="24"/>
        </w:rPr>
        <w:t>公告期限：</w:t>
      </w:r>
    </w:p>
    <w:p w14:paraId="015297DE">
      <w:pPr>
        <w:spacing w:line="360" w:lineRule="auto"/>
        <w:rPr>
          <w:rFonts w:ascii="宋体" w:hAnsi="宋体" w:cs="宋体"/>
          <w:color w:val="000000" w:themeColor="text1"/>
          <w:sz w:val="24"/>
          <w:u w:val="single"/>
        </w:rPr>
      </w:pPr>
      <w:r>
        <w:rPr>
          <w:rFonts w:hint="eastAsia" w:ascii="宋体" w:hAnsi="宋体" w:cs="宋体"/>
          <w:color w:val="000000" w:themeColor="text1"/>
          <w:sz w:val="24"/>
        </w:rPr>
        <w:t>采购结果公告:</w:t>
      </w:r>
      <w:r>
        <w:rPr>
          <w:rFonts w:hint="eastAsia" w:ascii="宋体" w:hAnsi="宋体" w:cs="宋体"/>
          <w:color w:val="000000" w:themeColor="text1"/>
          <w:sz w:val="24"/>
          <w:u w:val="dotted"/>
        </w:rPr>
        <w:t xml:space="preserve">是/否 </w:t>
      </w:r>
      <w:r>
        <w:rPr>
          <w:rFonts w:hint="eastAsia" w:ascii="宋体" w:hAnsi="宋体" w:cs="宋体"/>
          <w:color w:val="000000" w:themeColor="text1"/>
          <w:sz w:val="24"/>
        </w:rPr>
        <w:t>公告期限：</w:t>
      </w:r>
    </w:p>
    <w:p w14:paraId="04F48E34">
      <w:pPr>
        <w:spacing w:line="360" w:lineRule="auto"/>
        <w:rPr>
          <w:rFonts w:ascii="宋体" w:hAnsi="宋体" w:cs="宋体"/>
          <w:color w:val="000000" w:themeColor="text1"/>
          <w:sz w:val="24"/>
        </w:rPr>
      </w:pPr>
      <w:r>
        <w:rPr>
          <w:rFonts w:hint="eastAsia" w:ascii="宋体" w:hAnsi="宋体" w:cs="宋体"/>
          <w:color w:val="000000" w:themeColor="text1"/>
          <w:sz w:val="24"/>
        </w:rPr>
        <w:t>三、质疑基本情况</w:t>
      </w:r>
    </w:p>
    <w:p w14:paraId="07431562">
      <w:pPr>
        <w:spacing w:line="360" w:lineRule="auto"/>
        <w:ind w:firstLine="480" w:firstLineChars="200"/>
        <w:rPr>
          <w:rFonts w:ascii="宋体" w:hAnsi="宋体" w:cs="宋体"/>
          <w:color w:val="000000" w:themeColor="text1"/>
          <w:sz w:val="24"/>
          <w:u w:val="dotted"/>
        </w:rPr>
      </w:pPr>
      <w:r>
        <w:rPr>
          <w:rFonts w:hint="eastAsia" w:ascii="宋体" w:hAnsi="宋体" w:cs="宋体"/>
          <w:color w:val="000000" w:themeColor="text1"/>
          <w:sz w:val="24"/>
        </w:rPr>
        <w:t>投诉人于年月日,向提出质疑，质疑事项为：</w:t>
      </w:r>
    </w:p>
    <w:p w14:paraId="70D97493">
      <w:pPr>
        <w:spacing w:line="360" w:lineRule="auto"/>
        <w:rPr>
          <w:rFonts w:ascii="宋体" w:hAnsi="宋体" w:cs="宋体"/>
          <w:color w:val="000000" w:themeColor="text1"/>
          <w:sz w:val="24"/>
          <w:u w:val="dotted"/>
        </w:rPr>
      </w:pPr>
    </w:p>
    <w:p w14:paraId="66ECFD06">
      <w:pPr>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u w:val="dotted"/>
        </w:rPr>
        <w:t>交易人/代理机构</w:t>
      </w:r>
      <w:r>
        <w:rPr>
          <w:rFonts w:hint="eastAsia" w:ascii="宋体" w:hAnsi="宋体" w:cs="宋体"/>
          <w:color w:val="000000" w:themeColor="text1"/>
          <w:sz w:val="24"/>
        </w:rPr>
        <w:t>于    年   月   日,就质疑事项作出了答复/没有在法定期限内作出答复。</w:t>
      </w:r>
    </w:p>
    <w:p w14:paraId="606F6AFA">
      <w:pPr>
        <w:spacing w:line="360" w:lineRule="auto"/>
        <w:rPr>
          <w:rFonts w:ascii="宋体" w:hAnsi="宋体" w:cs="宋体"/>
          <w:color w:val="000000" w:themeColor="text1"/>
          <w:sz w:val="24"/>
        </w:rPr>
      </w:pPr>
      <w:r>
        <w:rPr>
          <w:rFonts w:hint="eastAsia" w:ascii="宋体" w:hAnsi="宋体" w:cs="宋体"/>
          <w:color w:val="000000" w:themeColor="text1"/>
          <w:sz w:val="24"/>
        </w:rPr>
        <w:t>四、投诉事项具体内容</w:t>
      </w:r>
    </w:p>
    <w:p w14:paraId="3081DD56">
      <w:pPr>
        <w:spacing w:line="360" w:lineRule="auto"/>
        <w:rPr>
          <w:rFonts w:ascii="宋体" w:hAnsi="宋体" w:cs="宋体"/>
          <w:color w:val="000000" w:themeColor="text1"/>
          <w:sz w:val="24"/>
          <w:u w:val="single"/>
        </w:rPr>
      </w:pPr>
      <w:r>
        <w:rPr>
          <w:rFonts w:hint="eastAsia" w:ascii="宋体" w:hAnsi="宋体" w:cs="宋体"/>
          <w:color w:val="000000" w:themeColor="text1"/>
          <w:sz w:val="24"/>
        </w:rPr>
        <w:t>投诉事项 1：</w:t>
      </w:r>
    </w:p>
    <w:p w14:paraId="68ABE51F">
      <w:pPr>
        <w:spacing w:line="360" w:lineRule="auto"/>
        <w:rPr>
          <w:rFonts w:ascii="宋体" w:hAnsi="宋体" w:cs="宋体"/>
          <w:color w:val="000000" w:themeColor="text1"/>
          <w:sz w:val="24"/>
        </w:rPr>
      </w:pPr>
      <w:r>
        <w:rPr>
          <w:rFonts w:hint="eastAsia" w:ascii="宋体" w:hAnsi="宋体" w:cs="宋体"/>
          <w:color w:val="000000" w:themeColor="text1"/>
          <w:sz w:val="24"/>
        </w:rPr>
        <w:t>事实依据：</w:t>
      </w:r>
    </w:p>
    <w:p w14:paraId="6CE2B5C5">
      <w:pPr>
        <w:spacing w:line="360" w:lineRule="auto"/>
        <w:rPr>
          <w:rFonts w:ascii="宋体" w:hAnsi="宋体" w:cs="宋体"/>
          <w:color w:val="000000" w:themeColor="text1"/>
          <w:sz w:val="24"/>
          <w:u w:val="dotted"/>
        </w:rPr>
      </w:pPr>
    </w:p>
    <w:p w14:paraId="0C07C577">
      <w:pPr>
        <w:spacing w:line="360" w:lineRule="auto"/>
        <w:rPr>
          <w:rFonts w:ascii="宋体" w:hAnsi="宋体" w:cs="宋体"/>
          <w:color w:val="000000" w:themeColor="text1"/>
          <w:sz w:val="24"/>
          <w:u w:val="single"/>
        </w:rPr>
      </w:pPr>
      <w:r>
        <w:rPr>
          <w:rFonts w:hint="eastAsia" w:ascii="宋体" w:hAnsi="宋体" w:cs="宋体"/>
          <w:color w:val="000000" w:themeColor="text1"/>
          <w:sz w:val="24"/>
        </w:rPr>
        <w:t>法律依据：</w:t>
      </w:r>
    </w:p>
    <w:p w14:paraId="36B44215">
      <w:pPr>
        <w:spacing w:line="360" w:lineRule="auto"/>
        <w:rPr>
          <w:rFonts w:ascii="宋体" w:hAnsi="宋体" w:cs="宋体"/>
          <w:color w:val="000000" w:themeColor="text1"/>
          <w:sz w:val="24"/>
          <w:u w:val="dotted"/>
        </w:rPr>
      </w:pPr>
    </w:p>
    <w:p w14:paraId="4C8D1536">
      <w:pPr>
        <w:spacing w:line="360" w:lineRule="auto"/>
        <w:rPr>
          <w:rFonts w:ascii="宋体" w:hAnsi="宋体" w:cs="宋体"/>
          <w:color w:val="000000" w:themeColor="text1"/>
          <w:sz w:val="24"/>
        </w:rPr>
      </w:pPr>
      <w:r>
        <w:rPr>
          <w:rFonts w:hint="eastAsia" w:ascii="宋体" w:hAnsi="宋体" w:cs="宋体"/>
          <w:color w:val="000000" w:themeColor="text1"/>
          <w:sz w:val="24"/>
        </w:rPr>
        <w:t>投诉事项2</w:t>
      </w:r>
    </w:p>
    <w:p w14:paraId="08A3198E">
      <w:pPr>
        <w:spacing w:line="360" w:lineRule="auto"/>
        <w:rPr>
          <w:rFonts w:ascii="宋体" w:hAnsi="宋体" w:cs="宋体"/>
          <w:color w:val="000000" w:themeColor="text1"/>
          <w:sz w:val="24"/>
          <w:u w:val="dotted"/>
        </w:rPr>
      </w:pPr>
      <w:r>
        <w:rPr>
          <w:rFonts w:hint="eastAsia" w:ascii="宋体" w:hAnsi="宋体" w:cs="宋体"/>
          <w:color w:val="000000" w:themeColor="text1"/>
          <w:sz w:val="24"/>
        </w:rPr>
        <w:t>……</w:t>
      </w:r>
    </w:p>
    <w:p w14:paraId="4C95F8B6">
      <w:pPr>
        <w:spacing w:line="360" w:lineRule="auto"/>
        <w:rPr>
          <w:rFonts w:ascii="宋体" w:hAnsi="宋体" w:cs="宋体"/>
          <w:color w:val="000000" w:themeColor="text1"/>
          <w:sz w:val="24"/>
        </w:rPr>
      </w:pPr>
      <w:r>
        <w:rPr>
          <w:rFonts w:hint="eastAsia" w:ascii="宋体" w:hAnsi="宋体" w:cs="宋体"/>
          <w:color w:val="000000" w:themeColor="text1"/>
          <w:sz w:val="24"/>
        </w:rPr>
        <w:t>五、与投诉事项相关的投诉请求</w:t>
      </w:r>
    </w:p>
    <w:p w14:paraId="7D97A28F">
      <w:pPr>
        <w:spacing w:line="360" w:lineRule="auto"/>
        <w:rPr>
          <w:rFonts w:ascii="宋体" w:hAnsi="宋体" w:cs="宋体"/>
          <w:color w:val="000000" w:themeColor="text1"/>
          <w:sz w:val="24"/>
        </w:rPr>
      </w:pPr>
      <w:r>
        <w:rPr>
          <w:rFonts w:hint="eastAsia" w:ascii="宋体" w:hAnsi="宋体" w:cs="宋体"/>
          <w:color w:val="000000" w:themeColor="text1"/>
          <w:sz w:val="24"/>
        </w:rPr>
        <w:t>请求：</w:t>
      </w:r>
    </w:p>
    <w:p w14:paraId="5C16EABB">
      <w:pPr>
        <w:spacing w:line="360" w:lineRule="auto"/>
        <w:rPr>
          <w:rFonts w:ascii="宋体" w:hAnsi="宋体" w:cs="宋体"/>
          <w:color w:val="000000" w:themeColor="text1"/>
          <w:sz w:val="24"/>
          <w:u w:val="single"/>
        </w:rPr>
      </w:pPr>
    </w:p>
    <w:p w14:paraId="7BC0F77D">
      <w:pPr>
        <w:spacing w:line="360" w:lineRule="auto"/>
        <w:rPr>
          <w:rFonts w:ascii="宋体" w:hAnsi="宋体" w:cs="宋体"/>
          <w:color w:val="000000" w:themeColor="text1"/>
          <w:sz w:val="24"/>
        </w:rPr>
      </w:pPr>
      <w:r>
        <w:rPr>
          <w:rFonts w:hint="eastAsia" w:ascii="宋体" w:hAnsi="宋体" w:cs="宋体"/>
          <w:color w:val="000000" w:themeColor="text1"/>
          <w:sz w:val="24"/>
        </w:rPr>
        <w:t xml:space="preserve">签字(签章)：                   公章：                      </w:t>
      </w:r>
    </w:p>
    <w:p w14:paraId="2253F120">
      <w:pPr>
        <w:spacing w:line="360" w:lineRule="auto"/>
        <w:rPr>
          <w:rFonts w:ascii="宋体" w:hAnsi="宋体" w:cs="宋体"/>
          <w:color w:val="000000" w:themeColor="text1"/>
          <w:sz w:val="24"/>
        </w:rPr>
      </w:pPr>
      <w:r>
        <w:rPr>
          <w:rFonts w:hint="eastAsia" w:ascii="宋体" w:hAnsi="宋体" w:cs="宋体"/>
          <w:color w:val="000000" w:themeColor="text1"/>
          <w:sz w:val="24"/>
        </w:rPr>
        <w:t xml:space="preserve">日期：    </w:t>
      </w:r>
    </w:p>
    <w:p w14:paraId="4E6DBE05">
      <w:pPr>
        <w:spacing w:line="360" w:lineRule="auto"/>
        <w:rPr>
          <w:rFonts w:ascii="宋体" w:hAnsi="宋体" w:cs="宋体"/>
          <w:b/>
          <w:color w:val="000000" w:themeColor="text1"/>
          <w:sz w:val="24"/>
        </w:rPr>
      </w:pPr>
    </w:p>
    <w:p w14:paraId="302E7898">
      <w:pPr>
        <w:spacing w:line="360" w:lineRule="auto"/>
        <w:rPr>
          <w:rFonts w:ascii="宋体" w:hAnsi="宋体" w:cs="宋体"/>
          <w:b/>
          <w:color w:val="000000" w:themeColor="text1"/>
          <w:sz w:val="24"/>
        </w:rPr>
      </w:pPr>
    </w:p>
    <w:p w14:paraId="5B7BA5EB">
      <w:pPr>
        <w:spacing w:line="360" w:lineRule="auto"/>
        <w:rPr>
          <w:rFonts w:ascii="宋体" w:hAnsi="宋体" w:cs="宋体"/>
          <w:b/>
          <w:color w:val="000000" w:themeColor="text1"/>
          <w:sz w:val="24"/>
        </w:rPr>
      </w:pPr>
      <w:r>
        <w:rPr>
          <w:rFonts w:hint="eastAsia" w:ascii="宋体" w:hAnsi="宋体" w:cs="宋体"/>
          <w:b/>
          <w:color w:val="000000" w:themeColor="text1"/>
          <w:sz w:val="24"/>
        </w:rPr>
        <w:t>投诉书制作说明：</w:t>
      </w:r>
    </w:p>
    <w:p w14:paraId="16F40C55">
      <w:pPr>
        <w:widowControl/>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sz w:val="24"/>
        </w:rPr>
        <w:t>1.投诉人提起投诉时，应当提交投诉书和必要的证明材料，并按照被投诉人和与投诉事项有关的供应商数量提供投诉书副本。</w:t>
      </w:r>
    </w:p>
    <w:p w14:paraId="458FB0F8">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sz w:val="24"/>
        </w:rPr>
        <w:t>2.投诉人若委托代理人进行投诉的，投诉书应按照要求列明“授权代表”的有关内容，并在附件中提交由</w:t>
      </w:r>
      <w:r>
        <w:rPr>
          <w:rFonts w:hint="eastAsia" w:ascii="宋体" w:hAnsi="宋体" w:cs="宋体"/>
          <w:color w:val="000000" w:themeColor="text1"/>
          <w:kern w:val="0"/>
          <w:sz w:val="24"/>
        </w:rPr>
        <w:t>投诉人签署的授权委托书。授权委托书应当载明代理人的姓名或者名称、代理事项、具体权限、期限和相关事项。</w:t>
      </w:r>
    </w:p>
    <w:p w14:paraId="4D73F03C">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3.投诉人若对项目的某一分包进行投诉，投诉书应列明具体分包号。</w:t>
      </w:r>
    </w:p>
    <w:p w14:paraId="56156C32">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4.投诉书应简要列明质疑事项，质疑函、质疑答复等作为附件材料提供。</w:t>
      </w:r>
    </w:p>
    <w:p w14:paraId="3AF22328">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5.投诉书的投诉事项应具体、明确，并有必要的事实依据和法律依据。</w:t>
      </w:r>
    </w:p>
    <w:p w14:paraId="4A9368CA">
      <w:pPr>
        <w:widowControl/>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6.投诉书的投诉请求应与投诉事项相关。</w:t>
      </w:r>
    </w:p>
    <w:p w14:paraId="412433CE">
      <w:pPr>
        <w:widowControl/>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sz w:val="24"/>
        </w:rPr>
        <w:t>7.投诉人为自然人的，投诉书应当由本人签字；投诉人为法人或者其他组织的，投诉书应当由法定代表人、主要负责人，或者其授权代表签字或者盖章，并加盖公章。</w:t>
      </w:r>
    </w:p>
    <w:p w14:paraId="79D60180">
      <w:pPr>
        <w:widowControl/>
        <w:adjustRightInd/>
        <w:jc w:val="left"/>
        <w:rPr>
          <w:rFonts w:ascii="宋体" w:hAnsi="宋体" w:cs="宋体"/>
          <w:b/>
          <w:color w:val="000000" w:themeColor="text1"/>
          <w:spacing w:val="6"/>
          <w:sz w:val="32"/>
          <w:szCs w:val="32"/>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6206"/>
    </w:sdtPr>
    <w:sdtContent>
      <w:p w14:paraId="58D48075">
        <w:pPr>
          <w:pStyle w:val="3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6211"/>
    </w:sdtPr>
    <w:sdtContent>
      <w:p w14:paraId="3E090136">
        <w:pPr>
          <w:pStyle w:val="39"/>
          <w:jc w:val="center"/>
        </w:pPr>
        <w:r>
          <w:fldChar w:fldCharType="begin"/>
        </w:r>
        <w:r>
          <w:instrText xml:space="preserve"> PAGE   \* MERGEFORMAT </w:instrText>
        </w:r>
        <w:r>
          <w:fldChar w:fldCharType="separate"/>
        </w:r>
        <w:r>
          <w:rPr>
            <w:lang w:val="zh-CN"/>
          </w:rPr>
          <w:t>33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6209"/>
    </w:sdtPr>
    <w:sdtContent>
      <w:p w14:paraId="3F888E98">
        <w:pPr>
          <w:pStyle w:val="39"/>
          <w:jc w:val="center"/>
        </w:pPr>
        <w:r>
          <w:fldChar w:fldCharType="begin"/>
        </w:r>
        <w:r>
          <w:instrText xml:space="preserve"> PAGE   \* MERGEFORMAT </w:instrText>
        </w:r>
        <w:r>
          <w:fldChar w:fldCharType="separate"/>
        </w:r>
        <w:r>
          <w:rPr>
            <w:lang w:val="zh-CN"/>
          </w:rPr>
          <w:t>26</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6218"/>
    </w:sdtPr>
    <w:sdtContent>
      <w:p w14:paraId="6EA59742">
        <w:pPr>
          <w:pStyle w:val="39"/>
          <w:jc w:val="center"/>
        </w:pPr>
        <w:r>
          <w:fldChar w:fldCharType="begin"/>
        </w:r>
        <w:r>
          <w:instrText xml:space="preserve"> PAGE   \* MERGEFORMAT </w:instrText>
        </w:r>
        <w:r>
          <w:fldChar w:fldCharType="separate"/>
        </w:r>
        <w:r>
          <w:rPr>
            <w:lang w:val="zh-CN"/>
          </w:rPr>
          <w:t>37</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6213"/>
    </w:sdtPr>
    <w:sdtContent>
      <w:p w14:paraId="456B481B">
        <w:pPr>
          <w:pStyle w:val="39"/>
          <w:jc w:val="center"/>
        </w:pPr>
        <w:r>
          <w:fldChar w:fldCharType="begin"/>
        </w:r>
        <w:r>
          <w:instrText xml:space="preserve"> PAGE   \* MERGEFORMAT </w:instrText>
        </w:r>
        <w:r>
          <w:fldChar w:fldCharType="separate"/>
        </w:r>
        <w:r>
          <w:rPr>
            <w:lang w:val="zh-CN"/>
          </w:rPr>
          <w:t>35</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149C">
    <w:pPr>
      <w:pStyle w:val="39"/>
      <w:jc w:val="center"/>
    </w:pPr>
    <w:r>
      <w:fldChar w:fldCharType="begin"/>
    </w:r>
    <w:r>
      <w:instrText xml:space="preserve"> PAGE   \* MERGEFORMAT </w:instrText>
    </w:r>
    <w:r>
      <w:fldChar w:fldCharType="separate"/>
    </w:r>
    <w:r>
      <w:rPr>
        <w:lang w:val="zh-CN"/>
      </w:rPr>
      <w:t>39</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C6FC8">
    <w:pPr>
      <w:pStyle w:val="39"/>
      <w:framePr w:wrap="around" w:vAnchor="text" w:hAnchor="margin" w:xAlign="right" w:y="1"/>
      <w:rPr>
        <w:rStyle w:val="72"/>
      </w:rPr>
    </w:pPr>
    <w:r>
      <w:fldChar w:fldCharType="begin"/>
    </w:r>
    <w:r>
      <w:rPr>
        <w:rStyle w:val="72"/>
      </w:rPr>
      <w:instrText xml:space="preserve">PAGE  </w:instrText>
    </w:r>
    <w:r>
      <w:fldChar w:fldCharType="end"/>
    </w:r>
  </w:p>
  <w:p w14:paraId="04D35DCC">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2EBF">
    <w:pPr>
      <w:pStyle w:val="39"/>
      <w:jc w:val="center"/>
    </w:pPr>
    <w:r>
      <w:fldChar w:fldCharType="begin"/>
    </w:r>
    <w:r>
      <w:instrText xml:space="preserve"> PAGE   \* MERGEFORMAT </w:instrText>
    </w:r>
    <w:r>
      <w:fldChar w:fldCharType="separate"/>
    </w:r>
    <w:r>
      <w:rPr>
        <w:lang w:val="zh-CN"/>
      </w:rPr>
      <w:t>38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41C86">
    <w:pPr>
      <w:pStyle w:val="40"/>
    </w:pP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7AB5">
    <w:pPr>
      <w:pStyle w:val="40"/>
    </w:pP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F376">
    <w:pPr>
      <w:pStyle w:val="40"/>
    </w:pP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0CB8">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4A84">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BB99">
    <w:pPr>
      <w:pStyle w:val="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903D">
    <w:pPr>
      <w:pStyle w:val="40"/>
    </w:pPr>
    <w:r>
      <w:t>杭州市采购公开</w:t>
    </w: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wNDBkOGE4ZTQyNjQ1MmE0NTQxM2E2ZmQ2Nzc1M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FB6"/>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4F85"/>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165"/>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D1E"/>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8D"/>
    <w:rsid w:val="000D19E8"/>
    <w:rsid w:val="000D1FA1"/>
    <w:rsid w:val="000D2834"/>
    <w:rsid w:val="000D2CAC"/>
    <w:rsid w:val="000D34C8"/>
    <w:rsid w:val="000D34FD"/>
    <w:rsid w:val="000D3BE5"/>
    <w:rsid w:val="000D3C37"/>
    <w:rsid w:val="000D453A"/>
    <w:rsid w:val="000D4AFA"/>
    <w:rsid w:val="000D5EA6"/>
    <w:rsid w:val="000D5F00"/>
    <w:rsid w:val="000D6C9F"/>
    <w:rsid w:val="000D6E1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03F"/>
    <w:rsid w:val="001231D3"/>
    <w:rsid w:val="001232A7"/>
    <w:rsid w:val="00123F7C"/>
    <w:rsid w:val="0012419E"/>
    <w:rsid w:val="001248EF"/>
    <w:rsid w:val="00124AC0"/>
    <w:rsid w:val="00124FC4"/>
    <w:rsid w:val="001253AB"/>
    <w:rsid w:val="0012574C"/>
    <w:rsid w:val="001259B8"/>
    <w:rsid w:val="00126321"/>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34B"/>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BD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0D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B0"/>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82"/>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2D91"/>
    <w:rsid w:val="00473308"/>
    <w:rsid w:val="0047377C"/>
    <w:rsid w:val="0047471E"/>
    <w:rsid w:val="004749DA"/>
    <w:rsid w:val="00474DEF"/>
    <w:rsid w:val="00475729"/>
    <w:rsid w:val="004758E7"/>
    <w:rsid w:val="00475BAB"/>
    <w:rsid w:val="00475CCF"/>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DCF"/>
    <w:rsid w:val="004B6E50"/>
    <w:rsid w:val="004B728F"/>
    <w:rsid w:val="004B7317"/>
    <w:rsid w:val="004B75B2"/>
    <w:rsid w:val="004B75C6"/>
    <w:rsid w:val="004B7B53"/>
    <w:rsid w:val="004C02C5"/>
    <w:rsid w:val="004C0BF0"/>
    <w:rsid w:val="004C0D40"/>
    <w:rsid w:val="004C114F"/>
    <w:rsid w:val="004C11A9"/>
    <w:rsid w:val="004C27CF"/>
    <w:rsid w:val="004C2CA7"/>
    <w:rsid w:val="004C3592"/>
    <w:rsid w:val="004C45C8"/>
    <w:rsid w:val="004C4F8F"/>
    <w:rsid w:val="004C5F4B"/>
    <w:rsid w:val="004C612E"/>
    <w:rsid w:val="004C61B8"/>
    <w:rsid w:val="004C6367"/>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33B"/>
    <w:rsid w:val="00537456"/>
    <w:rsid w:val="0053790C"/>
    <w:rsid w:val="00537B3D"/>
    <w:rsid w:val="00540401"/>
    <w:rsid w:val="005405B2"/>
    <w:rsid w:val="0054076A"/>
    <w:rsid w:val="00540D47"/>
    <w:rsid w:val="00540EE7"/>
    <w:rsid w:val="00540F6A"/>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E1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E95"/>
    <w:rsid w:val="006130D0"/>
    <w:rsid w:val="0061355D"/>
    <w:rsid w:val="006139F7"/>
    <w:rsid w:val="00613AA2"/>
    <w:rsid w:val="00614906"/>
    <w:rsid w:val="0061517F"/>
    <w:rsid w:val="00615276"/>
    <w:rsid w:val="00615414"/>
    <w:rsid w:val="006155F1"/>
    <w:rsid w:val="00615846"/>
    <w:rsid w:val="0061589C"/>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04"/>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45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8BE"/>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60F"/>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36"/>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F74"/>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EC0"/>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753"/>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18E"/>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C28"/>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36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6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1E"/>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2D1"/>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B9"/>
    <w:rsid w:val="00A41C9A"/>
    <w:rsid w:val="00A41D73"/>
    <w:rsid w:val="00A42406"/>
    <w:rsid w:val="00A433E8"/>
    <w:rsid w:val="00A43A1D"/>
    <w:rsid w:val="00A43AB0"/>
    <w:rsid w:val="00A44854"/>
    <w:rsid w:val="00A44A45"/>
    <w:rsid w:val="00A454F0"/>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0D"/>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74"/>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411"/>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663"/>
    <w:rsid w:val="00BC692A"/>
    <w:rsid w:val="00BC76C5"/>
    <w:rsid w:val="00BC7C96"/>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761"/>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C90"/>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89"/>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C46"/>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B1A"/>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A3E"/>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422"/>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EBE"/>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F8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8F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2B7"/>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716"/>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94B"/>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427F22"/>
    <w:rsid w:val="025F0711"/>
    <w:rsid w:val="026B2E25"/>
    <w:rsid w:val="02824D4D"/>
    <w:rsid w:val="02913B8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FE18F3"/>
    <w:rsid w:val="08061376"/>
    <w:rsid w:val="083E6C3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85A8B"/>
    <w:rsid w:val="0AA374A5"/>
    <w:rsid w:val="0AAB7649"/>
    <w:rsid w:val="0AAF5E89"/>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73674"/>
    <w:rsid w:val="0E5604B2"/>
    <w:rsid w:val="0E6D5D79"/>
    <w:rsid w:val="0E9D0089"/>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7D4B15"/>
    <w:rsid w:val="10841832"/>
    <w:rsid w:val="108A3C80"/>
    <w:rsid w:val="10C26171"/>
    <w:rsid w:val="10F33360"/>
    <w:rsid w:val="10F4083A"/>
    <w:rsid w:val="10FC16EA"/>
    <w:rsid w:val="110F1D40"/>
    <w:rsid w:val="11266F33"/>
    <w:rsid w:val="118963A1"/>
    <w:rsid w:val="11946BDE"/>
    <w:rsid w:val="11C6522A"/>
    <w:rsid w:val="11D47628"/>
    <w:rsid w:val="11E104CC"/>
    <w:rsid w:val="11E20309"/>
    <w:rsid w:val="12255233"/>
    <w:rsid w:val="123410EC"/>
    <w:rsid w:val="12530213"/>
    <w:rsid w:val="127723A9"/>
    <w:rsid w:val="12862074"/>
    <w:rsid w:val="12883966"/>
    <w:rsid w:val="129E45B4"/>
    <w:rsid w:val="12D21374"/>
    <w:rsid w:val="12D81596"/>
    <w:rsid w:val="13072A44"/>
    <w:rsid w:val="131A1B7F"/>
    <w:rsid w:val="131D6765"/>
    <w:rsid w:val="135F4BE2"/>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A8729C"/>
    <w:rsid w:val="16B33777"/>
    <w:rsid w:val="16BC70A7"/>
    <w:rsid w:val="16C6339E"/>
    <w:rsid w:val="16C730F7"/>
    <w:rsid w:val="16FE2244"/>
    <w:rsid w:val="172F2D79"/>
    <w:rsid w:val="17557BEF"/>
    <w:rsid w:val="17D349C1"/>
    <w:rsid w:val="1830729E"/>
    <w:rsid w:val="185134E3"/>
    <w:rsid w:val="1870062C"/>
    <w:rsid w:val="18817102"/>
    <w:rsid w:val="18830A15"/>
    <w:rsid w:val="18852B28"/>
    <w:rsid w:val="188B5321"/>
    <w:rsid w:val="18A62E0F"/>
    <w:rsid w:val="18E918EB"/>
    <w:rsid w:val="18EE574D"/>
    <w:rsid w:val="19341F4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5FBC"/>
    <w:rsid w:val="1B8A2DD3"/>
    <w:rsid w:val="1BA209CF"/>
    <w:rsid w:val="1BB4777D"/>
    <w:rsid w:val="1BD75AB8"/>
    <w:rsid w:val="1BE22A26"/>
    <w:rsid w:val="1BFA2036"/>
    <w:rsid w:val="1C0459C2"/>
    <w:rsid w:val="1C1B3B4A"/>
    <w:rsid w:val="1C88086E"/>
    <w:rsid w:val="1CC47A8B"/>
    <w:rsid w:val="1D21751F"/>
    <w:rsid w:val="1D266CE1"/>
    <w:rsid w:val="1D3963AF"/>
    <w:rsid w:val="1D5C47CB"/>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44310"/>
    <w:rsid w:val="211116EB"/>
    <w:rsid w:val="211E01F0"/>
    <w:rsid w:val="216133FC"/>
    <w:rsid w:val="218944CA"/>
    <w:rsid w:val="21D56769"/>
    <w:rsid w:val="21D62C50"/>
    <w:rsid w:val="21E52EF3"/>
    <w:rsid w:val="21FB5D7B"/>
    <w:rsid w:val="220B1C3D"/>
    <w:rsid w:val="220B3A67"/>
    <w:rsid w:val="221D1D20"/>
    <w:rsid w:val="22334A87"/>
    <w:rsid w:val="22BE6801"/>
    <w:rsid w:val="22C21395"/>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917A6"/>
    <w:rsid w:val="25BE27CC"/>
    <w:rsid w:val="25E92F53"/>
    <w:rsid w:val="25F74A5C"/>
    <w:rsid w:val="2628662C"/>
    <w:rsid w:val="262D45DE"/>
    <w:rsid w:val="26871DC8"/>
    <w:rsid w:val="26A53EF9"/>
    <w:rsid w:val="26A65413"/>
    <w:rsid w:val="26A94201"/>
    <w:rsid w:val="26AC274F"/>
    <w:rsid w:val="27044A29"/>
    <w:rsid w:val="271D34C8"/>
    <w:rsid w:val="272F6449"/>
    <w:rsid w:val="276142BF"/>
    <w:rsid w:val="27783712"/>
    <w:rsid w:val="27907362"/>
    <w:rsid w:val="279B7084"/>
    <w:rsid w:val="28333E1D"/>
    <w:rsid w:val="28454BD6"/>
    <w:rsid w:val="28455253"/>
    <w:rsid w:val="28551971"/>
    <w:rsid w:val="285B1C53"/>
    <w:rsid w:val="2866056F"/>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CA2A1D"/>
    <w:rsid w:val="2DD15014"/>
    <w:rsid w:val="2DF72DE4"/>
    <w:rsid w:val="2E0220AF"/>
    <w:rsid w:val="2E4B082A"/>
    <w:rsid w:val="2E5D4E86"/>
    <w:rsid w:val="2E5D790B"/>
    <w:rsid w:val="2E776A61"/>
    <w:rsid w:val="2E9A3C18"/>
    <w:rsid w:val="2EBB0FEE"/>
    <w:rsid w:val="2EC63002"/>
    <w:rsid w:val="2F0A6B38"/>
    <w:rsid w:val="2F0E78D3"/>
    <w:rsid w:val="2F946CCB"/>
    <w:rsid w:val="2FD25781"/>
    <w:rsid w:val="2FFD7934"/>
    <w:rsid w:val="306F5EE2"/>
    <w:rsid w:val="30733ACD"/>
    <w:rsid w:val="308C3862"/>
    <w:rsid w:val="309379D8"/>
    <w:rsid w:val="30A270F7"/>
    <w:rsid w:val="30AD57F1"/>
    <w:rsid w:val="30DF1478"/>
    <w:rsid w:val="30EC586F"/>
    <w:rsid w:val="319C6071"/>
    <w:rsid w:val="31AC537E"/>
    <w:rsid w:val="31B420C4"/>
    <w:rsid w:val="31B82C24"/>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BC0149"/>
    <w:rsid w:val="38C44E93"/>
    <w:rsid w:val="38D87D1C"/>
    <w:rsid w:val="391F535F"/>
    <w:rsid w:val="39636459"/>
    <w:rsid w:val="396B7F6C"/>
    <w:rsid w:val="39B417A9"/>
    <w:rsid w:val="39F5707E"/>
    <w:rsid w:val="39FC5695"/>
    <w:rsid w:val="3A006D8E"/>
    <w:rsid w:val="3A3651E5"/>
    <w:rsid w:val="3A4E2342"/>
    <w:rsid w:val="3A744481"/>
    <w:rsid w:val="3A8C7BEF"/>
    <w:rsid w:val="3A906246"/>
    <w:rsid w:val="3B1636B5"/>
    <w:rsid w:val="3B2349B7"/>
    <w:rsid w:val="3B616CFF"/>
    <w:rsid w:val="3B6259F6"/>
    <w:rsid w:val="3B976654"/>
    <w:rsid w:val="3BC01EFC"/>
    <w:rsid w:val="3BCA786A"/>
    <w:rsid w:val="3BD31E2F"/>
    <w:rsid w:val="3BF15831"/>
    <w:rsid w:val="3C105946"/>
    <w:rsid w:val="3C471448"/>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95482B"/>
    <w:rsid w:val="3FAF4907"/>
    <w:rsid w:val="4019356B"/>
    <w:rsid w:val="401A2FBF"/>
    <w:rsid w:val="40592157"/>
    <w:rsid w:val="406E1CAE"/>
    <w:rsid w:val="40A0133A"/>
    <w:rsid w:val="40C31A53"/>
    <w:rsid w:val="40FF545D"/>
    <w:rsid w:val="410067C8"/>
    <w:rsid w:val="413C45E3"/>
    <w:rsid w:val="4147433B"/>
    <w:rsid w:val="418F0D2A"/>
    <w:rsid w:val="41D01505"/>
    <w:rsid w:val="423038C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E1696"/>
    <w:rsid w:val="45317DFB"/>
    <w:rsid w:val="455F6E02"/>
    <w:rsid w:val="456D3CE4"/>
    <w:rsid w:val="4579042C"/>
    <w:rsid w:val="457F0571"/>
    <w:rsid w:val="45851176"/>
    <w:rsid w:val="45C63B94"/>
    <w:rsid w:val="45C919C4"/>
    <w:rsid w:val="45F134FD"/>
    <w:rsid w:val="460E7DA5"/>
    <w:rsid w:val="462609AD"/>
    <w:rsid w:val="46422483"/>
    <w:rsid w:val="4659254A"/>
    <w:rsid w:val="465B0637"/>
    <w:rsid w:val="465E3F0D"/>
    <w:rsid w:val="466A16E6"/>
    <w:rsid w:val="466E019F"/>
    <w:rsid w:val="46893F2B"/>
    <w:rsid w:val="46C4686E"/>
    <w:rsid w:val="477B778F"/>
    <w:rsid w:val="478203EC"/>
    <w:rsid w:val="47B025FA"/>
    <w:rsid w:val="4809698F"/>
    <w:rsid w:val="4811697D"/>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E96C25"/>
    <w:rsid w:val="4BEE2503"/>
    <w:rsid w:val="4C245A30"/>
    <w:rsid w:val="4C676029"/>
    <w:rsid w:val="4CAF7256"/>
    <w:rsid w:val="4CB6685F"/>
    <w:rsid w:val="4CC367FE"/>
    <w:rsid w:val="4D077F3C"/>
    <w:rsid w:val="4D123355"/>
    <w:rsid w:val="4D2A3B31"/>
    <w:rsid w:val="4D312C52"/>
    <w:rsid w:val="4D4B0F25"/>
    <w:rsid w:val="4D905305"/>
    <w:rsid w:val="4D964A72"/>
    <w:rsid w:val="4D9C1254"/>
    <w:rsid w:val="4E793892"/>
    <w:rsid w:val="4E800872"/>
    <w:rsid w:val="4E9A20A5"/>
    <w:rsid w:val="4EC569ED"/>
    <w:rsid w:val="4ED50EA1"/>
    <w:rsid w:val="4EEC050C"/>
    <w:rsid w:val="4F104EC3"/>
    <w:rsid w:val="4F47354A"/>
    <w:rsid w:val="4F911C54"/>
    <w:rsid w:val="4FE625E0"/>
    <w:rsid w:val="5021480F"/>
    <w:rsid w:val="505D15FC"/>
    <w:rsid w:val="506C58F9"/>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22E4CC3"/>
    <w:rsid w:val="5244713B"/>
    <w:rsid w:val="52615633"/>
    <w:rsid w:val="52977FD4"/>
    <w:rsid w:val="52A25790"/>
    <w:rsid w:val="52A96B6F"/>
    <w:rsid w:val="52B45975"/>
    <w:rsid w:val="52B85475"/>
    <w:rsid w:val="52D94AA4"/>
    <w:rsid w:val="52EA3A62"/>
    <w:rsid w:val="52F50BB8"/>
    <w:rsid w:val="53097272"/>
    <w:rsid w:val="53544462"/>
    <w:rsid w:val="5397158E"/>
    <w:rsid w:val="54013861"/>
    <w:rsid w:val="54487265"/>
    <w:rsid w:val="544D6070"/>
    <w:rsid w:val="544F632C"/>
    <w:rsid w:val="54605E1E"/>
    <w:rsid w:val="54B3506A"/>
    <w:rsid w:val="54CA0D16"/>
    <w:rsid w:val="54DD4057"/>
    <w:rsid w:val="54E7490F"/>
    <w:rsid w:val="55061018"/>
    <w:rsid w:val="550764A4"/>
    <w:rsid w:val="550B2BF6"/>
    <w:rsid w:val="55214EB5"/>
    <w:rsid w:val="552C2215"/>
    <w:rsid w:val="55364EFD"/>
    <w:rsid w:val="555D4828"/>
    <w:rsid w:val="557A4C8B"/>
    <w:rsid w:val="558931E1"/>
    <w:rsid w:val="55923347"/>
    <w:rsid w:val="55925180"/>
    <w:rsid w:val="55983B1B"/>
    <w:rsid w:val="55A8376B"/>
    <w:rsid w:val="55C248FD"/>
    <w:rsid w:val="55DC29B6"/>
    <w:rsid w:val="55DD4241"/>
    <w:rsid w:val="55E07873"/>
    <w:rsid w:val="56135516"/>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0F043C"/>
    <w:rsid w:val="58917D2F"/>
    <w:rsid w:val="5894085C"/>
    <w:rsid w:val="58AE4F0C"/>
    <w:rsid w:val="58B57447"/>
    <w:rsid w:val="58B85899"/>
    <w:rsid w:val="58C0702C"/>
    <w:rsid w:val="58E363A9"/>
    <w:rsid w:val="59272ECB"/>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4336D"/>
    <w:rsid w:val="5C8A680C"/>
    <w:rsid w:val="5CB74C9C"/>
    <w:rsid w:val="5CE45C2B"/>
    <w:rsid w:val="5D0C4701"/>
    <w:rsid w:val="5D0F0395"/>
    <w:rsid w:val="5D1934BE"/>
    <w:rsid w:val="5D221076"/>
    <w:rsid w:val="5D397964"/>
    <w:rsid w:val="5D5A391C"/>
    <w:rsid w:val="5D5F10C0"/>
    <w:rsid w:val="5D891B7B"/>
    <w:rsid w:val="5D8A5E82"/>
    <w:rsid w:val="5DAD38EE"/>
    <w:rsid w:val="5E006862"/>
    <w:rsid w:val="5E0207B9"/>
    <w:rsid w:val="5E093CEF"/>
    <w:rsid w:val="5E1834A1"/>
    <w:rsid w:val="5E261785"/>
    <w:rsid w:val="5E4A7017"/>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232584"/>
    <w:rsid w:val="6032709C"/>
    <w:rsid w:val="60486761"/>
    <w:rsid w:val="605864BB"/>
    <w:rsid w:val="607330CE"/>
    <w:rsid w:val="60821CE5"/>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775066"/>
    <w:rsid w:val="62885958"/>
    <w:rsid w:val="62F40B65"/>
    <w:rsid w:val="62FC2CFE"/>
    <w:rsid w:val="63024505"/>
    <w:rsid w:val="63540CCD"/>
    <w:rsid w:val="635B1DB5"/>
    <w:rsid w:val="63711FED"/>
    <w:rsid w:val="63880DDC"/>
    <w:rsid w:val="638D750D"/>
    <w:rsid w:val="63AC52D2"/>
    <w:rsid w:val="63AC6CC0"/>
    <w:rsid w:val="63C745A9"/>
    <w:rsid w:val="63D97256"/>
    <w:rsid w:val="63E938BD"/>
    <w:rsid w:val="64055776"/>
    <w:rsid w:val="64175397"/>
    <w:rsid w:val="64240056"/>
    <w:rsid w:val="643E143A"/>
    <w:rsid w:val="648B6EEF"/>
    <w:rsid w:val="64C158BF"/>
    <w:rsid w:val="64CE2EAA"/>
    <w:rsid w:val="653C3090"/>
    <w:rsid w:val="65854376"/>
    <w:rsid w:val="658767BE"/>
    <w:rsid w:val="65892531"/>
    <w:rsid w:val="660606A9"/>
    <w:rsid w:val="66153939"/>
    <w:rsid w:val="66195831"/>
    <w:rsid w:val="662E75B1"/>
    <w:rsid w:val="66342C2E"/>
    <w:rsid w:val="663E784C"/>
    <w:rsid w:val="66551A38"/>
    <w:rsid w:val="666D1F69"/>
    <w:rsid w:val="668B6A45"/>
    <w:rsid w:val="66C01B46"/>
    <w:rsid w:val="66DC0695"/>
    <w:rsid w:val="671E7365"/>
    <w:rsid w:val="672F3F24"/>
    <w:rsid w:val="673E055F"/>
    <w:rsid w:val="67551CE3"/>
    <w:rsid w:val="67A22552"/>
    <w:rsid w:val="67A530AB"/>
    <w:rsid w:val="67B22DCC"/>
    <w:rsid w:val="67BE71AA"/>
    <w:rsid w:val="67D90273"/>
    <w:rsid w:val="67DE5875"/>
    <w:rsid w:val="67E55852"/>
    <w:rsid w:val="67EB1AB4"/>
    <w:rsid w:val="67FA1285"/>
    <w:rsid w:val="684D73D1"/>
    <w:rsid w:val="68551F4F"/>
    <w:rsid w:val="687C10C9"/>
    <w:rsid w:val="68840C16"/>
    <w:rsid w:val="68876EFB"/>
    <w:rsid w:val="68884654"/>
    <w:rsid w:val="689F444F"/>
    <w:rsid w:val="68B96DBB"/>
    <w:rsid w:val="68CA2805"/>
    <w:rsid w:val="68E85AE5"/>
    <w:rsid w:val="68E937A3"/>
    <w:rsid w:val="693E15D3"/>
    <w:rsid w:val="694B5DF6"/>
    <w:rsid w:val="69627681"/>
    <w:rsid w:val="69685ABF"/>
    <w:rsid w:val="6977531D"/>
    <w:rsid w:val="69B51747"/>
    <w:rsid w:val="69CC2BFF"/>
    <w:rsid w:val="69D327F2"/>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A041DE"/>
    <w:rsid w:val="6ED446C5"/>
    <w:rsid w:val="6F2A7D94"/>
    <w:rsid w:val="6F8331F1"/>
    <w:rsid w:val="6FAE1A09"/>
    <w:rsid w:val="6FD75BF8"/>
    <w:rsid w:val="7033407D"/>
    <w:rsid w:val="707723D0"/>
    <w:rsid w:val="70DB77AC"/>
    <w:rsid w:val="70F5661B"/>
    <w:rsid w:val="70FF0D7D"/>
    <w:rsid w:val="711979FC"/>
    <w:rsid w:val="71360107"/>
    <w:rsid w:val="713B688E"/>
    <w:rsid w:val="7153151E"/>
    <w:rsid w:val="71D43752"/>
    <w:rsid w:val="71D7083C"/>
    <w:rsid w:val="71F1796A"/>
    <w:rsid w:val="72154626"/>
    <w:rsid w:val="72262B5D"/>
    <w:rsid w:val="72283FF7"/>
    <w:rsid w:val="722E7212"/>
    <w:rsid w:val="723A0474"/>
    <w:rsid w:val="725923E4"/>
    <w:rsid w:val="72864BF7"/>
    <w:rsid w:val="729023FC"/>
    <w:rsid w:val="72CC5BD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969BC"/>
    <w:rsid w:val="761D08E0"/>
    <w:rsid w:val="762D0F58"/>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31F2"/>
    <w:rsid w:val="77D1700D"/>
    <w:rsid w:val="77EC04CC"/>
    <w:rsid w:val="78047EB1"/>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B56BE"/>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B57A34"/>
    <w:rsid w:val="7DE60973"/>
    <w:rsid w:val="7DEF0916"/>
    <w:rsid w:val="7DF74D88"/>
    <w:rsid w:val="7E1E5218"/>
    <w:rsid w:val="7E9A4E1F"/>
    <w:rsid w:val="7EA7723A"/>
    <w:rsid w:val="7EF56FBB"/>
    <w:rsid w:val="7F0768EB"/>
    <w:rsid w:val="7F143BEC"/>
    <w:rsid w:val="7F2C2C66"/>
    <w:rsid w:val="7F715AF2"/>
    <w:rsid w:val="7F793597"/>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79"/>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7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99"/>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1"/>
    <w:basedOn w:val="1"/>
    <w:qFormat/>
    <w:uiPriority w:val="0"/>
    <w:pPr>
      <w:spacing w:line="391" w:lineRule="auto"/>
      <w:ind w:firstLine="400"/>
    </w:pPr>
    <w:rPr>
      <w:rFonts w:ascii="宋体" w:hAnsi="宋体" w:cs="宋体"/>
      <w:lang w:val="zh-TW" w:eastAsia="zh-TW" w:bidi="zh-TW"/>
    </w:rPr>
  </w:style>
  <w:style w:type="paragraph" w:customStyle="1" w:styleId="963">
    <w:name w:val="[Normal]"/>
    <w:qFormat/>
    <w:uiPriority w:val="0"/>
    <w:rPr>
      <w:rFonts w:ascii="宋体" w:hAnsi="宋体" w:eastAsia="宋体" w:cs="Times New Roman"/>
      <w:sz w:val="24"/>
      <w:lang w:val="zh-CN" w:eastAsia="zh-CN" w:bidi="ar-SA"/>
    </w:rPr>
  </w:style>
  <w:style w:type="character" w:customStyle="1" w:styleId="964">
    <w:name w:val="font101"/>
    <w:basedOn w:val="69"/>
    <w:qFormat/>
    <w:uiPriority w:val="0"/>
    <w:rPr>
      <w:rFonts w:hint="eastAsia" w:ascii="宋体" w:hAnsi="宋体" w:eastAsia="宋体" w:cs="宋体"/>
      <w:color w:val="FF0000"/>
      <w:sz w:val="20"/>
      <w:szCs w:val="20"/>
      <w:u w:val="none"/>
    </w:rPr>
  </w:style>
  <w:style w:type="paragraph" w:customStyle="1" w:styleId="965">
    <w:name w:val="封面编号"/>
    <w:basedOn w:val="1"/>
    <w:qFormat/>
    <w:uiPriority w:val="0"/>
    <w:pPr>
      <w:spacing w:line="360" w:lineRule="auto"/>
      <w:jc w:val="center"/>
    </w:pPr>
    <w:rPr>
      <w:rFonts w:ascii="黑体" w:hAnsi="宋体" w:eastAsia="黑体" w:cs="宋体"/>
      <w:b/>
      <w:bCs/>
      <w:sz w:val="3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C1A6-B406-4D41-83FC-AC3C0A9570E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16505</Words>
  <Characters>17562</Characters>
  <Lines>28</Lines>
  <Paragraphs>47</Paragraphs>
  <TotalTime>21</TotalTime>
  <ScaleCrop>false</ScaleCrop>
  <LinksUpToDate>false</LinksUpToDate>
  <CharactersWithSpaces>18200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lucky</cp:lastModifiedBy>
  <cp:lastPrinted>2022-06-28T09:20:00Z</cp:lastPrinted>
  <dcterms:modified xsi:type="dcterms:W3CDTF">2025-06-27T17:17:46Z</dcterms:modified>
  <dc:title>杭州市市民卡扩大发卡工程</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84258AB6675643F6BF6FF823911FB273</vt:lpwstr>
  </property>
  <property fmtid="{D5CDD505-2E9C-101B-9397-08002B2CF9AE}" pid="5" name="commondata">
    <vt:lpwstr>eyJoZGlkIjoiMzdkYTNjODAzOWEyZTBjZWI2OWE0Y2U2MTNhOGNiNmUifQ==</vt:lpwstr>
  </property>
  <property fmtid="{D5CDD505-2E9C-101B-9397-08002B2CF9AE}" pid="6" name="KSOTemplateDocerSaveRecord">
    <vt:lpwstr>eyJoZGlkIjoiZDQwNDBkOGE4ZTQyNjQ1MmE0NTQxM2E2ZmQ2Nzc1MDMiLCJ1c2VySWQiOiI3NzUxMTI2MzgifQ==</vt:lpwstr>
  </property>
</Properties>
</file>